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197485</wp:posOffset>
            </wp:positionV>
            <wp:extent cx="1174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147955</wp:posOffset>
            </wp:positionV>
            <wp:extent cx="1174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left="2320"/>
        <w:spacing w:after="0" w:line="265" w:lineRule="auto"/>
        <w:rPr>
          <w:sz w:val="20"/>
          <w:szCs w:val="20"/>
          <w:color w:val="auto"/>
        </w:rPr>
      </w:pPr>
      <w:r>
        <w:rPr>
          <w:rFonts w:ascii="Times New Roman" w:cs="Times New Roman" w:eastAsia="Times New Roman" w:hAnsi="Times New Roman"/>
          <w:sz w:val="22"/>
          <w:szCs w:val="22"/>
          <w:b w:val="1"/>
          <w:bCs w:val="1"/>
          <w:color w:val="auto"/>
        </w:rPr>
        <w:t>FOR ANNUAL REPORTS OF EMPLOYEE STOCK PURCHASE, SAVINGS AND SIMILAR PLANS PURSUANT TO SECTION 15(d) OF THE SECURITIES EXCHANGE ACT OF 1934</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9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62"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21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Commission File Number: 1-11437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131445</wp:posOffset>
            </wp:positionV>
            <wp:extent cx="1174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tab/>
        <w:t>Full title of the plan and the address of the plan, if different from that of the issuer named below:</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SALARIED SAVINGS PLAN</w:t>
      </w:r>
    </w:p>
    <w:p>
      <w:pPr>
        <w:spacing w:after="0" w:line="207" w:lineRule="exact"/>
        <w:rPr>
          <w:sz w:val="24"/>
          <w:szCs w:val="24"/>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6801 Rockledge Drive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Bethesda, MD 20817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1356360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6892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20" w:type="dxa"/>
            <w:vAlign w:val="bottom"/>
          </w:tcPr>
          <w:p>
            <w:pPr>
              <w:spacing w:after="0"/>
              <w:rPr>
                <w:sz w:val="17"/>
                <w:szCs w:val="17"/>
                <w:color w:val="auto"/>
              </w:rPr>
            </w:pPr>
          </w:p>
        </w:tc>
      </w:tr>
      <w:tr>
        <w:trPr>
          <w:trHeight w:val="646"/>
        </w:trPr>
        <w:tc>
          <w:tcPr>
            <w:tcW w:w="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40" w:type="dxa"/>
            <w:vAlign w:val="bottom"/>
            <w:gridSpan w:val="4"/>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192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040" w:type="dxa"/>
            <w:vAlign w:val="bottom"/>
            <w:gridSpan w:val="4"/>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Salaried Savings Plan</w:t>
            </w:r>
          </w:p>
        </w:tc>
        <w:tc>
          <w:tcPr>
            <w:tcW w:w="192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6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Schedule</w:t>
            </w:r>
          </w:p>
        </w:tc>
        <w:tc>
          <w:tcPr>
            <w:tcW w:w="192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40" w:type="dxa"/>
            <w:vAlign w:val="bottom"/>
            <w:gridSpan w:val="4"/>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92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2"/>
        </w:trPr>
        <w:tc>
          <w:tcPr>
            <w:tcW w:w="60" w:type="dxa"/>
            <w:vAlign w:val="bottom"/>
          </w:tcPr>
          <w:p>
            <w:pPr>
              <w:spacing w:after="0"/>
              <w:rPr>
                <w:sz w:val="23"/>
                <w:szCs w:val="23"/>
                <w:color w:val="auto"/>
              </w:rPr>
            </w:pPr>
          </w:p>
        </w:tc>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040" w:type="dxa"/>
            <w:vAlign w:val="bottom"/>
            <w:gridSpan w:val="4"/>
          </w:tcPr>
          <w:p>
            <w:pPr>
              <w:spacing w:after="0"/>
              <w:rPr>
                <w:sz w:val="23"/>
                <w:szCs w:val="23"/>
                <w:color w:val="auto"/>
              </w:rPr>
            </w:pPr>
          </w:p>
        </w:tc>
        <w:tc>
          <w:tcPr>
            <w:tcW w:w="1920" w:type="dxa"/>
            <w:vAlign w:val="bottom"/>
          </w:tcPr>
          <w:p>
            <w:pPr>
              <w:spacing w:after="0"/>
              <w:rPr>
                <w:sz w:val="23"/>
                <w:szCs w:val="23"/>
                <w:color w:val="auto"/>
              </w:rPr>
            </w:pPr>
          </w:p>
        </w:tc>
      </w:tr>
      <w:tr>
        <w:trPr>
          <w:trHeight w:val="194"/>
        </w:trPr>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Statement of Net Assets Available for Benefits as of December 31, 2025</w:t>
            </w:r>
          </w:p>
        </w:tc>
        <w:tc>
          <w:tcPr>
            <w:tcW w:w="1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 of Net Assets Available for Benefits as of December 31, 2024</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 of Changes in Net Assets Available for Benefits for the Year Ended December 31, 2025</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17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2"/>
        </w:trPr>
        <w:tc>
          <w:tcPr>
            <w:tcW w:w="60" w:type="dxa"/>
            <w:vAlign w:val="bottom"/>
          </w:tcPr>
          <w:p>
            <w:pPr>
              <w:spacing w:after="0"/>
              <w:rPr>
                <w:sz w:val="23"/>
                <w:szCs w:val="23"/>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920" w:type="dxa"/>
            <w:vAlign w:val="bottom"/>
          </w:tcPr>
          <w:p>
            <w:pPr>
              <w:spacing w:after="0"/>
              <w:rPr>
                <w:sz w:val="23"/>
                <w:szCs w:val="23"/>
                <w:color w:val="auto"/>
              </w:rPr>
            </w:pPr>
          </w:p>
        </w:tc>
      </w:tr>
      <w:tr>
        <w:trPr>
          <w:trHeight w:val="194"/>
        </w:trPr>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1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8260" w:type="dxa"/>
            <w:vAlign w:val="bottom"/>
            <w:gridSpan w:val="7"/>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6"/>
        </w:trPr>
        <w:tc>
          <w:tcPr>
            <w:tcW w:w="60" w:type="dxa"/>
            <w:vAlign w:val="bottom"/>
          </w:tcPr>
          <w:p>
            <w:pPr>
              <w:spacing w:after="0"/>
              <w:rPr>
                <w:sz w:val="20"/>
                <w:szCs w:val="20"/>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Signature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148"/>
        </w:trPr>
        <w:tc>
          <w:tcPr>
            <w:tcW w:w="6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Lockheed Martin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Salaried Savings Plan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Lockheed Martin Corporation Salaried Savings Plan (the Plan) as of December 31, 2025 and 2024, the related statement of changes in net assets available for benefits for the year ended December 31, 2025, and the related notes and schedule (collectively referred to as the financial statements).</w:t>
      </w:r>
    </w:p>
    <w:p>
      <w:pPr>
        <w:spacing w:after="0" w:line="20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As part of our audits, we are required to obtain an understanding of internal control over financial reporting, but not for purposes of expressing an opinion on the effectiveness of the Plan’s internal control over financial reporting. Accordingly, we express no such opinion.</w:t>
      </w:r>
    </w:p>
    <w:p>
      <w:pPr>
        <w:spacing w:after="0" w:line="20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4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as of year end)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Mitchell &amp; Titus,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Lockheed Martin Corporation Salaried Savings Plan</w:t>
      </w:r>
    </w:p>
    <w:p>
      <w:pPr>
        <w:spacing w:after="0" w:line="4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Statement of Net Assets Available for Benefits</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0560"/>
          </w:cols>
          <w:pgMar w:left="32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-125095</wp:posOffset>
            </wp:positionV>
            <wp:extent cx="627507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75070" cy="205740"/>
                    </a:xfrm>
                    <a:prstGeom prst="rect">
                      <a:avLst/>
                    </a:prstGeom>
                    <a:noFill/>
                  </pic:spPr>
                </pic:pic>
              </a:graphicData>
            </a:graphic>
          </wp:anchor>
        </w:drawing>
      </w:r>
    </w:p>
    <w:p>
      <w:pPr>
        <w:spacing w:after="0" w:line="101" w:lineRule="exact"/>
        <w:rPr>
          <w:sz w:val="20"/>
          <w:szCs w:val="20"/>
          <w:color w:val="auto"/>
        </w:rPr>
      </w:pPr>
    </w:p>
    <w:p>
      <w:pPr>
        <w:ind w:left="900" w:right="540" w:hanging="161"/>
        <w:spacing w:after="0" w:line="237" w:lineRule="auto"/>
        <w:rPr>
          <w:sz w:val="20"/>
          <w:szCs w:val="20"/>
          <w:color w:val="auto"/>
        </w:rPr>
      </w:pPr>
      <w:r>
        <w:rPr>
          <w:rFonts w:ascii="Times New Roman" w:cs="Times New Roman" w:eastAsia="Times New Roman" w:hAnsi="Times New Roman"/>
          <w:sz w:val="18"/>
          <w:szCs w:val="18"/>
          <w:color w:val="auto"/>
        </w:rPr>
        <w:t>Interest in Lockheed Martin Corporation Defined Contribution Plans Master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60960</wp:posOffset>
            </wp:positionV>
            <wp:extent cx="627507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75070" cy="265430"/>
                    </a:xfrm>
                    <a:prstGeom prst="rect">
                      <a:avLst/>
                    </a:prstGeom>
                    <a:noFill/>
                  </pic:spPr>
                </pic:pic>
              </a:graphicData>
            </a:graphic>
          </wp:anchor>
        </w:drawing>
      </w:r>
    </w:p>
    <w:p>
      <w:pPr>
        <w:spacing w:after="0" w:line="165"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
        </w:trPr>
        <w:tc>
          <w:tcPr>
            <w:tcW w:w="348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100" w:right="120" w:hanging="134"/>
        <w:spacing w:after="0" w:line="237" w:lineRule="auto"/>
        <w:rPr>
          <w:sz w:val="20"/>
          <w:szCs w:val="20"/>
          <w:color w:val="auto"/>
        </w:rPr>
      </w:pPr>
      <w:r>
        <w:rPr>
          <w:rFonts w:ascii="Times New Roman" w:cs="Times New Roman" w:eastAsia="Times New Roman" w:hAnsi="Times New Roman"/>
          <w:sz w:val="18"/>
          <w:szCs w:val="18"/>
          <w:color w:val="auto"/>
        </w:rPr>
        <w:t>Investments in fully benefit-responsive investment contracts at contract value</w:t>
      </w:r>
    </w:p>
    <w:p>
      <w:pPr>
        <w:spacing w:after="0" w:line="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-127635</wp:posOffset>
            </wp:positionV>
            <wp:extent cx="627507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75070" cy="205740"/>
                    </a:xfrm>
                    <a:prstGeom prst="rect">
                      <a:avLst/>
                    </a:prstGeom>
                    <a:noFill/>
                  </pic:spPr>
                </pic:pic>
              </a:graphicData>
            </a:graphic>
          </wp:anchor>
        </w:drawing>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77470</wp:posOffset>
            </wp:positionV>
            <wp:extent cx="627507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75070" cy="265430"/>
                    </a:xfrm>
                    <a:prstGeom prst="rect">
                      <a:avLst/>
                    </a:prstGeom>
                    <a:noFill/>
                  </pic:spPr>
                </pic:pic>
              </a:graphicData>
            </a:graphic>
          </wp:anchor>
        </w:drawing>
      </w:r>
    </w:p>
    <w:p>
      <w:pPr>
        <w:spacing w:after="0" w:line="1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assets</w:t>
      </w:r>
    </w:p>
    <w:p>
      <w:pPr>
        <w:spacing w:after="0" w:line="3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-125095</wp:posOffset>
            </wp:positionV>
            <wp:extent cx="627507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7507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3"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ESOP</w:t>
      </w:r>
      <w:r>
        <w:rPr>
          <w:sz w:val="20"/>
          <w:szCs w:val="20"/>
          <w:color w:val="auto"/>
        </w:rPr>
        <w:tab/>
      </w:r>
      <w:r>
        <w:rPr>
          <w:rFonts w:ascii="Times New Roman" w:cs="Times New Roman" w:eastAsia="Times New Roman" w:hAnsi="Times New Roman"/>
          <w:sz w:val="18"/>
          <w:szCs w:val="18"/>
          <w:b w:val="1"/>
          <w:bCs w:val="1"/>
          <w:color w:val="auto"/>
        </w:rPr>
        <w:t>Directed</w:t>
      </w:r>
    </w:p>
    <w:p>
      <w:pPr>
        <w:ind w:left="60"/>
        <w:spacing w:after="0"/>
        <w:tabs>
          <w:tab w:leader="none" w:pos="1220" w:val="left"/>
          <w:tab w:leader="none" w:pos="3120" w:val="left"/>
        </w:tabs>
        <w:rPr>
          <w:sz w:val="20"/>
          <w:szCs w:val="20"/>
          <w:color w:val="auto"/>
        </w:rPr>
      </w:pPr>
      <w:r>
        <w:rPr>
          <w:rFonts w:ascii="Times New Roman" w:cs="Times New Roman" w:eastAsia="Times New Roman" w:hAnsi="Times New Roman"/>
          <w:sz w:val="18"/>
          <w:szCs w:val="18"/>
          <w:b w:val="1"/>
          <w:bCs w:val="1"/>
          <w:color w:val="auto"/>
        </w:rPr>
        <w:t>Fund</w:t>
      </w:r>
      <w:r>
        <w:rPr>
          <w:sz w:val="20"/>
          <w:szCs w:val="20"/>
          <w:color w:val="auto"/>
        </w:rPr>
        <w:tab/>
      </w:r>
      <w:r>
        <w:rPr>
          <w:rFonts w:ascii="Times New Roman" w:cs="Times New Roman" w:eastAsia="Times New Roman" w:hAnsi="Times New Roman"/>
          <w:sz w:val="18"/>
          <w:szCs w:val="18"/>
          <w:b w:val="1"/>
          <w:bCs w:val="1"/>
          <w:color w:val="auto"/>
        </w:rPr>
        <w:t>Investments</w:t>
      </w:r>
      <w:r>
        <w:rPr>
          <w:sz w:val="20"/>
          <w:szCs w:val="20"/>
          <w:color w:val="auto"/>
        </w:rPr>
        <w:tab/>
      </w:r>
      <w:r>
        <w:rPr>
          <w:rFonts w:ascii="Times New Roman" w:cs="Times New Roman" w:eastAsia="Times New Roman" w:hAnsi="Times New Roman"/>
          <w:sz w:val="17"/>
          <w:szCs w:val="17"/>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8,282,816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42,488,315</w:t>
            </w:r>
          </w:p>
        </w:tc>
        <w:tc>
          <w:tcPr>
            <w:tcW w:w="1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50,771,131</w:t>
            </w:r>
          </w:p>
        </w:tc>
      </w:tr>
      <w:tr>
        <w:trPr>
          <w:trHeight w:val="594"/>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4,374,595</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4,374,595</w:t>
            </w:r>
          </w:p>
        </w:tc>
      </w:tr>
      <w:tr>
        <w:trPr>
          <w:trHeight w:val="743"/>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287,426</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287,426</w:t>
            </w:r>
          </w:p>
        </w:tc>
      </w:tr>
      <w:tr>
        <w:trPr>
          <w:trHeight w:val="398"/>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8,282,816</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47,150,336</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55,433,152</w:t>
            </w:r>
          </w:p>
        </w:tc>
      </w:tr>
    </w:tbl>
    <w:p>
      <w:pPr>
        <w:spacing w:after="0" w:line="614" w:lineRule="exact"/>
        <w:rPr>
          <w:sz w:val="20"/>
          <w:szCs w:val="20"/>
          <w:color w:val="auto"/>
        </w:rPr>
      </w:pPr>
    </w:p>
    <w:p>
      <w:pPr>
        <w:sectPr>
          <w:pgSz w:w="11900" w:h="16838" w:orient="portrait"/>
          <w:cols w:equalWidth="0" w:num="2">
            <w:col w:w="6240" w:space="260"/>
            <w:col w:w="4060"/>
          </w:cols>
          <w:pgMar w:left="320" w:top="121" w:right="1019" w:bottom="1440" w:gutter="0" w:footer="0" w:header="0"/>
          <w:type w:val="continuous"/>
        </w:sectPr>
      </w:pPr>
    </w:p>
    <w:p>
      <w:pPr>
        <w:spacing w:after="0" w:line="16"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Administrative expenses payable</w:t>
            </w:r>
          </w:p>
        </w:tc>
        <w:tc>
          <w:tcPr>
            <w:tcW w:w="280" w:type="dxa"/>
            <w:vAlign w:val="bottom"/>
          </w:tcPr>
          <w:p>
            <w:pPr>
              <w:spacing w:after="0"/>
              <w:rPr>
                <w:sz w:val="20"/>
                <w:szCs w:val="20"/>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94"/>
        </w:trPr>
        <w:tc>
          <w:tcPr>
            <w:tcW w:w="5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304"/>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net assets available for benefits</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8,282,816</w:t>
            </w:r>
          </w:p>
        </w:tc>
        <w:tc>
          <w:tcPr>
            <w:tcW w:w="100" w:type="dxa"/>
            <w:vAlign w:val="bottom"/>
          </w:tcPr>
          <w:p>
            <w:pPr>
              <w:spacing w:after="0"/>
              <w:rPr>
                <w:sz w:val="24"/>
                <w:szCs w:val="24"/>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47,144,842</w:t>
            </w:r>
          </w:p>
        </w:tc>
        <w:tc>
          <w:tcPr>
            <w:tcW w:w="160" w:type="dxa"/>
            <w:vAlign w:val="bottom"/>
          </w:tcPr>
          <w:p>
            <w:pPr>
              <w:spacing w:after="0"/>
              <w:rPr>
                <w:sz w:val="24"/>
                <w:szCs w:val="24"/>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55,427,658</w:t>
            </w:r>
          </w:p>
        </w:tc>
        <w:tc>
          <w:tcPr>
            <w:tcW w:w="0" w:type="dxa"/>
            <w:vAlign w:val="bottom"/>
          </w:tcPr>
          <w:p>
            <w:pPr>
              <w:spacing w:after="0"/>
              <w:rPr>
                <w:sz w:val="1"/>
                <w:szCs w:val="1"/>
                <w:color w:val="auto"/>
              </w:rPr>
            </w:pPr>
          </w:p>
        </w:tc>
      </w:tr>
      <w:tr>
        <w:trPr>
          <w:trHeight w:val="73"/>
        </w:trPr>
        <w:tc>
          <w:tcPr>
            <w:tcW w:w="546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Lockheed Martin Corporation Salaried Savings Plan</w:t>
      </w:r>
    </w:p>
    <w:p>
      <w:pPr>
        <w:spacing w:after="0" w:line="3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Statement of Net Assets Available for Benefits</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7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Participant-</w:t>
      </w:r>
    </w:p>
    <w:p>
      <w:pPr>
        <w:ind w:left="6540"/>
        <w:spacing w:after="0" w:line="203" w:lineRule="auto"/>
        <w:tabs>
          <w:tab w:leader="none" w:pos="7900" w:val="left"/>
        </w:tabs>
        <w:rPr>
          <w:sz w:val="20"/>
          <w:szCs w:val="20"/>
          <w:color w:val="auto"/>
        </w:rPr>
      </w:pPr>
      <w:r>
        <w:rPr>
          <w:rFonts w:ascii="Times New Roman" w:cs="Times New Roman" w:eastAsia="Times New Roman" w:hAnsi="Times New Roman"/>
          <w:sz w:val="18"/>
          <w:szCs w:val="18"/>
          <w:b w:val="1"/>
          <w:bCs w:val="1"/>
          <w:color w:val="auto"/>
        </w:rPr>
        <w:t>ESOP</w:t>
      </w:r>
      <w:r>
        <w:rPr>
          <w:sz w:val="20"/>
          <w:szCs w:val="20"/>
          <w:color w:val="auto"/>
        </w:rPr>
        <w:tab/>
      </w:r>
      <w:r>
        <w:rPr>
          <w:rFonts w:ascii="Times New Roman" w:cs="Times New Roman" w:eastAsia="Times New Roman" w:hAnsi="Times New Roman"/>
          <w:sz w:val="18"/>
          <w:szCs w:val="18"/>
          <w:b w:val="1"/>
          <w:bCs w:val="1"/>
          <w:color w:val="auto"/>
        </w:rPr>
        <w:t>Directed</w:t>
      </w:r>
    </w:p>
    <w:p>
      <w:pPr>
        <w:jc w:val="both"/>
        <w:ind w:left="6600"/>
        <w:spacing w:after="0"/>
        <w:tabs>
          <w:tab w:leader="none" w:pos="7740" w:val="left"/>
          <w:tab w:leader="none" w:pos="9620" w:val="left"/>
        </w:tabs>
        <w:rPr>
          <w:sz w:val="20"/>
          <w:szCs w:val="20"/>
          <w:color w:val="auto"/>
        </w:rPr>
      </w:pPr>
      <w:r>
        <w:rPr>
          <w:rFonts w:ascii="Times New Roman" w:cs="Times New Roman" w:eastAsia="Times New Roman" w:hAnsi="Times New Roman"/>
          <w:sz w:val="18"/>
          <w:szCs w:val="18"/>
          <w:b w:val="1"/>
          <w:bCs w:val="1"/>
          <w:color w:val="auto"/>
        </w:rPr>
        <w:t>Fund</w:t>
      </w:r>
      <w:r>
        <w:rPr>
          <w:sz w:val="20"/>
          <w:szCs w:val="20"/>
          <w:color w:val="auto"/>
        </w:rPr>
        <w:tab/>
      </w:r>
      <w:r>
        <w:rPr>
          <w:rFonts w:ascii="Times New Roman" w:cs="Times New Roman" w:eastAsia="Times New Roman" w:hAnsi="Times New Roman"/>
          <w:sz w:val="18"/>
          <w:szCs w:val="18"/>
          <w:b w:val="1"/>
          <w:bCs w:val="1"/>
          <w:color w:val="auto"/>
        </w:rPr>
        <w:t>Investments</w:t>
      </w:r>
      <w:r>
        <w:rPr>
          <w:sz w:val="20"/>
          <w:szCs w:val="20"/>
          <w:color w:val="auto"/>
        </w:rPr>
        <w:tab/>
      </w: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13335</wp:posOffset>
            </wp:positionV>
            <wp:extent cx="627507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75070" cy="205740"/>
                    </a:xfrm>
                    <a:prstGeom prst="rect">
                      <a:avLst/>
                    </a:prstGeom>
                    <a:noFill/>
                  </pic:spPr>
                </pic:pic>
              </a:graphicData>
            </a:graphic>
          </wp:anchor>
        </w:drawing>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Assets</w:t>
      </w:r>
    </w:p>
    <w:p>
      <w:pPr>
        <w:sectPr>
          <w:pgSz w:w="11900" w:h="16838" w:orient="portrait"/>
          <w:cols w:equalWidth="0" w:num="1">
            <w:col w:w="10560"/>
          </w:cols>
          <w:pgMar w:left="320" w:top="121" w:right="1019" w:bottom="1440" w:gutter="0" w:footer="0" w:header="0"/>
        </w:sectPr>
      </w:pPr>
    </w:p>
    <w:p>
      <w:pPr>
        <w:spacing w:after="0" w:line="112" w:lineRule="exact"/>
        <w:rPr>
          <w:sz w:val="20"/>
          <w:szCs w:val="20"/>
          <w:color w:val="auto"/>
        </w:rPr>
      </w:pPr>
    </w:p>
    <w:p>
      <w:pPr>
        <w:ind w:left="900" w:right="580" w:hanging="161"/>
        <w:spacing w:after="0" w:line="237" w:lineRule="auto"/>
        <w:rPr>
          <w:sz w:val="20"/>
          <w:szCs w:val="20"/>
          <w:color w:val="auto"/>
        </w:rPr>
      </w:pPr>
      <w:r>
        <w:rPr>
          <w:rFonts w:ascii="Times New Roman" w:cs="Times New Roman" w:eastAsia="Times New Roman" w:hAnsi="Times New Roman"/>
          <w:sz w:val="18"/>
          <w:szCs w:val="18"/>
          <w:color w:val="auto"/>
        </w:rPr>
        <w:t>Interest in Lockheed Martin Corporation Defined Contribution Plans Master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60960</wp:posOffset>
            </wp:positionV>
            <wp:extent cx="627507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75070" cy="265430"/>
                    </a:xfrm>
                    <a:prstGeom prst="rect">
                      <a:avLst/>
                    </a:prstGeom>
                    <a:noFill/>
                  </pic:spPr>
                </pic:pic>
              </a:graphicData>
            </a:graphic>
          </wp:anchor>
        </w:drawing>
      </w:r>
    </w:p>
    <w:p>
      <w:pPr>
        <w:spacing w:after="0" w:line="165"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
        </w:trPr>
        <w:tc>
          <w:tcPr>
            <w:tcW w:w="350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100" w:right="160" w:hanging="134"/>
        <w:spacing w:after="0" w:line="237" w:lineRule="auto"/>
        <w:rPr>
          <w:sz w:val="20"/>
          <w:szCs w:val="20"/>
          <w:color w:val="auto"/>
        </w:rPr>
      </w:pPr>
      <w:r>
        <w:rPr>
          <w:rFonts w:ascii="Times New Roman" w:cs="Times New Roman" w:eastAsia="Times New Roman" w:hAnsi="Times New Roman"/>
          <w:sz w:val="18"/>
          <w:szCs w:val="18"/>
          <w:color w:val="auto"/>
        </w:rPr>
        <w:t>Investments in fully benefit-responsive investment contracts at contract value</w:t>
      </w:r>
    </w:p>
    <w:p>
      <w:pPr>
        <w:spacing w:after="0" w:line="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-127635</wp:posOffset>
            </wp:positionV>
            <wp:extent cx="627507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75070" cy="205740"/>
                    </a:xfrm>
                    <a:prstGeom prst="rect">
                      <a:avLst/>
                    </a:prstGeom>
                    <a:noFill/>
                  </pic:spPr>
                </pic:pic>
              </a:graphicData>
            </a:graphic>
          </wp:anchor>
        </w:drawing>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77470</wp:posOffset>
            </wp:positionV>
            <wp:extent cx="627507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75070" cy="265430"/>
                    </a:xfrm>
                    <a:prstGeom prst="rect">
                      <a:avLst/>
                    </a:prstGeom>
                    <a:noFill/>
                  </pic:spPr>
                </pic:pic>
              </a:graphicData>
            </a:graphic>
          </wp:anchor>
        </w:drawing>
      </w:r>
    </w:p>
    <w:p>
      <w:pPr>
        <w:spacing w:after="0" w:line="1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8,743,821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37,955,480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46,699,301</w:t>
            </w:r>
          </w:p>
        </w:tc>
      </w:tr>
      <w:tr>
        <w:trPr>
          <w:trHeight w:val="594"/>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4,482,556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4,482,556</w:t>
            </w:r>
          </w:p>
        </w:tc>
      </w:tr>
      <w:tr>
        <w:trPr>
          <w:trHeight w:val="743"/>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266,767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266,767</w:t>
            </w:r>
          </w:p>
        </w:tc>
      </w:tr>
      <w:tr>
        <w:trPr>
          <w:trHeight w:val="398"/>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8,743,821</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42,704,803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51,448,624</w:t>
            </w:r>
          </w:p>
        </w:tc>
      </w:tr>
    </w:tbl>
    <w:p>
      <w:pPr>
        <w:spacing w:after="0" w:line="200" w:lineRule="exact"/>
        <w:rPr>
          <w:sz w:val="20"/>
          <w:szCs w:val="20"/>
          <w:color w:val="auto"/>
        </w:rPr>
      </w:pPr>
    </w:p>
    <w:p>
      <w:pPr>
        <w:sectPr>
          <w:pgSz w:w="11900" w:h="16838" w:orient="portrait"/>
          <w:cols w:equalWidth="0" w:num="2">
            <w:col w:w="6280" w:space="300"/>
            <w:col w:w="3980"/>
          </w:cols>
          <w:pgMar w:left="320" w:top="121" w:right="1019" w:bottom="1440" w:gutter="0" w:footer="0" w:header="0"/>
          <w:type w:val="continuous"/>
        </w:sectPr>
      </w:pPr>
    </w:p>
    <w:p>
      <w:pPr>
        <w:spacing w:after="0" w:line="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-125095</wp:posOffset>
            </wp:positionV>
            <wp:extent cx="627507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75070" cy="205740"/>
                    </a:xfrm>
                    <a:prstGeom prst="rect">
                      <a:avLst/>
                    </a:prstGeom>
                    <a:noFill/>
                  </pic:spPr>
                </pic:pic>
              </a:graphicData>
            </a:graphic>
          </wp:anchor>
        </w:drawing>
      </w:r>
    </w:p>
    <w:p>
      <w:pPr>
        <w:spacing w:after="0" w:line="196"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Administrative expenses payable</w:t>
            </w:r>
          </w:p>
        </w:tc>
        <w:tc>
          <w:tcPr>
            <w:tcW w:w="300" w:type="dxa"/>
            <w:vAlign w:val="bottom"/>
          </w:tcPr>
          <w:p>
            <w:pPr>
              <w:spacing w:after="0"/>
              <w:rPr>
                <w:sz w:val="20"/>
                <w:szCs w:val="20"/>
                <w:color w:val="auto"/>
              </w:rPr>
            </w:pPr>
          </w:p>
        </w:tc>
        <w:tc>
          <w:tcPr>
            <w:tcW w:w="9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94"/>
        </w:trPr>
        <w:tc>
          <w:tcPr>
            <w:tcW w:w="54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5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24"/>
                <w:szCs w:val="24"/>
                <w:color w:val="auto"/>
              </w:rPr>
            </w:pPr>
          </w:p>
        </w:tc>
        <w:tc>
          <w:tcPr>
            <w:tcW w:w="10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95"/>
        </w:trPr>
        <w:tc>
          <w:tcPr>
            <w:tcW w:w="5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net assets available for benefits</w:t>
            </w: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8,743,821</w:t>
            </w:r>
          </w:p>
        </w:tc>
        <w:tc>
          <w:tcPr>
            <w:tcW w:w="100" w:type="dxa"/>
            <w:vAlign w:val="bottom"/>
          </w:tcPr>
          <w:p>
            <w:pPr>
              <w:spacing w:after="0"/>
              <w:rPr>
                <w:sz w:val="24"/>
                <w:szCs w:val="24"/>
                <w:color w:val="auto"/>
              </w:rPr>
            </w:pPr>
          </w:p>
        </w:tc>
        <w:tc>
          <w:tcPr>
            <w:tcW w:w="34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42,698,980</w:t>
            </w:r>
          </w:p>
        </w:tc>
        <w:tc>
          <w:tcPr>
            <w:tcW w:w="100" w:type="dxa"/>
            <w:vAlign w:val="bottom"/>
          </w:tcPr>
          <w:p>
            <w:pPr>
              <w:spacing w:after="0"/>
              <w:rPr>
                <w:sz w:val="24"/>
                <w:szCs w:val="24"/>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51,442,801</w:t>
            </w:r>
          </w:p>
        </w:tc>
        <w:tc>
          <w:tcPr>
            <w:tcW w:w="0" w:type="dxa"/>
            <w:vAlign w:val="bottom"/>
          </w:tcPr>
          <w:p>
            <w:pPr>
              <w:spacing w:after="0"/>
              <w:rPr>
                <w:sz w:val="1"/>
                <w:szCs w:val="1"/>
                <w:color w:val="auto"/>
              </w:rPr>
            </w:pPr>
          </w:p>
        </w:tc>
      </w:tr>
      <w:tr>
        <w:trPr>
          <w:trHeight w:val="72"/>
        </w:trPr>
        <w:tc>
          <w:tcPr>
            <w:tcW w:w="5480" w:type="dxa"/>
            <w:vAlign w:val="bottom"/>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Lockheed Martin Corporation Salaried Savings Plan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Statement of Changes in Net Assets Available for Benefits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Additions to net assets: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Contributions: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3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ESOP</w:t>
            </w:r>
          </w:p>
        </w:tc>
        <w:tc>
          <w:tcPr>
            <w:tcW w:w="18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Directed</w:t>
            </w:r>
          </w:p>
        </w:tc>
        <w:tc>
          <w:tcPr>
            <w:tcW w:w="300" w:type="dxa"/>
            <w:vAlign w:val="bottom"/>
          </w:tcPr>
          <w:p>
            <w:pPr>
              <w:spacing w:after="0"/>
              <w:rPr>
                <w:sz w:val="15"/>
                <w:szCs w:val="15"/>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Fund</w:t>
            </w:r>
          </w:p>
        </w:tc>
        <w:tc>
          <w:tcPr>
            <w:tcW w:w="180" w:type="dxa"/>
            <w:vAlign w:val="bottom"/>
          </w:tcPr>
          <w:p>
            <w:pPr>
              <w:spacing w:after="0"/>
              <w:rPr>
                <w:sz w:val="21"/>
                <w:szCs w:val="21"/>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3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8,743,821</w:t>
            </w:r>
          </w:p>
        </w:tc>
        <w:tc>
          <w:tcPr>
            <w:tcW w:w="16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42,698,980</w:t>
            </w:r>
          </w:p>
        </w:tc>
        <w:tc>
          <w:tcPr>
            <w:tcW w:w="160" w:type="dxa"/>
            <w:vAlign w:val="bottom"/>
          </w:tcPr>
          <w:p>
            <w:pPr>
              <w:spacing w:after="0"/>
              <w:rPr>
                <w:sz w:val="24"/>
                <w:szCs w:val="24"/>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51,442,801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-4176395</wp:posOffset>
            </wp:positionH>
            <wp:positionV relativeFrom="paragraph">
              <wp:posOffset>-264795</wp:posOffset>
            </wp:positionV>
            <wp:extent cx="7115175"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205740</wp:posOffset>
            </wp:positionV>
            <wp:extent cx="711517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726" w:lineRule="exact"/>
        <w:rPr>
          <w:sz w:val="20"/>
          <w:szCs w:val="20"/>
          <w:color w:val="auto"/>
        </w:rPr>
      </w:pPr>
    </w:p>
    <w:p>
      <w:pPr>
        <w:sectPr>
          <w:pgSz w:w="11900" w:h="16838" w:orient="portrait"/>
          <w:cols w:equalWidth="0" w:num="2">
            <w:col w:w="5880" w:space="720"/>
            <w:col w:w="4620"/>
          </w:cols>
          <w:pgMar w:left="320" w:top="121" w:right="359" w:bottom="1440" w:gutter="0" w:footer="0" w:header="0"/>
          <w:type w:val="continuous"/>
        </w:sectPr>
      </w:pPr>
    </w:p>
    <w:p>
      <w:pPr>
        <w:spacing w:after="0" w:line="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Employer</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line="192" w:lineRule="exact"/>
        <w:rPr>
          <w:sz w:val="20"/>
          <w:szCs w:val="20"/>
          <w:color w:val="auto"/>
        </w:rPr>
      </w:pPr>
    </w:p>
    <w:p>
      <w:pPr>
        <w:ind w:left="480" w:hanging="161"/>
        <w:spacing w:after="0" w:line="237" w:lineRule="auto"/>
        <w:rPr>
          <w:sz w:val="20"/>
          <w:szCs w:val="20"/>
          <w:color w:val="auto"/>
        </w:rPr>
      </w:pPr>
      <w:r>
        <w:rPr>
          <w:rFonts w:ascii="Times New Roman" w:cs="Times New Roman" w:eastAsia="Times New Roman" w:hAnsi="Times New Roman"/>
          <w:sz w:val="18"/>
          <w:szCs w:val="18"/>
          <w:color w:val="auto"/>
        </w:rPr>
        <w:t>Interest in net investment gain from participation in Lockheed Martin Corporation Defined Contribution Plans Master Trust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1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Total additions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76,328</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1,326,297</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1,402,625</w:t>
            </w:r>
          </w:p>
        </w:tc>
      </w:tr>
      <w:tr>
        <w:trPr>
          <w:trHeight w:val="418"/>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434,798</w:t>
            </w:r>
          </w:p>
        </w:tc>
        <w:tc>
          <w:tcPr>
            <w:tcW w:w="16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723,421</w:t>
            </w:r>
          </w:p>
        </w:tc>
        <w:tc>
          <w:tcPr>
            <w:tcW w:w="16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1,158,219</w:t>
            </w:r>
          </w:p>
        </w:tc>
      </w:tr>
      <w:tr>
        <w:trPr>
          <w:trHeight w:val="398"/>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511,126</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2,049,718</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2,560,844</w:t>
            </w:r>
          </w:p>
        </w:tc>
      </w:tr>
      <w:tr>
        <w:trPr>
          <w:trHeight w:val="59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179,249</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6,131,266</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6,310,515</w:t>
            </w:r>
          </w:p>
        </w:tc>
      </w:tr>
      <w:tr>
        <w:trPr>
          <w:trHeight w:val="418"/>
        </w:trPr>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21,839</w:t>
            </w:r>
          </w:p>
        </w:tc>
      </w:tr>
      <w:tr>
        <w:trPr>
          <w:trHeight w:val="398"/>
        </w:trPr>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690,375</w:t>
            </w:r>
          </w:p>
        </w:tc>
        <w:tc>
          <w:tcPr>
            <w:tcW w:w="16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8,202,823</w:t>
            </w:r>
          </w:p>
        </w:tc>
        <w:tc>
          <w:tcPr>
            <w:tcW w:w="160" w:type="dxa"/>
            <w:vAlign w:val="bottom"/>
          </w:tcPr>
          <w:p>
            <w:pPr>
              <w:spacing w:after="0"/>
              <w:rPr>
                <w:sz w:val="24"/>
                <w:szCs w:val="2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8,893,198</w:t>
            </w:r>
          </w:p>
        </w:tc>
      </w:tr>
    </w:tbl>
    <w:p>
      <w:pPr>
        <w:spacing w:after="0" w:line="200" w:lineRule="exact"/>
        <w:rPr>
          <w:sz w:val="20"/>
          <w:szCs w:val="20"/>
          <w:color w:val="auto"/>
        </w:rPr>
      </w:pPr>
    </w:p>
    <w:p>
      <w:pPr>
        <w:sectPr>
          <w:pgSz w:w="11900" w:h="16838" w:orient="portrait"/>
          <w:cols w:equalWidth="0" w:num="2">
            <w:col w:w="6240" w:space="360"/>
            <w:col w:w="4620"/>
          </w:cols>
          <w:pgMar w:left="320" w:top="121" w:right="359" w:bottom="1440" w:gutter="0" w:footer="0" w:header="0"/>
          <w:type w:val="continuous"/>
        </w:sectPr>
      </w:pPr>
    </w:p>
    <w:p>
      <w:pPr>
        <w:spacing w:after="0" w:line="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Deductions from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Distributions and withdrawals</w:t>
            </w:r>
          </w:p>
        </w:tc>
        <w:tc>
          <w:tcPr>
            <w:tcW w:w="36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1,151,271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3,678,591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4,829,862</w:t>
            </w:r>
          </w:p>
        </w:tc>
        <w:tc>
          <w:tcPr>
            <w:tcW w:w="0" w:type="dxa"/>
            <w:vAlign w:val="bottom"/>
          </w:tcPr>
          <w:p>
            <w:pPr>
              <w:spacing w:after="0"/>
              <w:rPr>
                <w:sz w:val="1"/>
                <w:szCs w:val="1"/>
                <w:color w:val="auto"/>
              </w:rPr>
            </w:pPr>
          </w:p>
        </w:tc>
      </w:tr>
      <w:tr>
        <w:trPr>
          <w:trHeight w:val="94"/>
        </w:trPr>
        <w:tc>
          <w:tcPr>
            <w:tcW w:w="6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6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78,370</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78,479</w:t>
            </w:r>
          </w:p>
        </w:tc>
        <w:tc>
          <w:tcPr>
            <w:tcW w:w="0" w:type="dxa"/>
            <w:vAlign w:val="bottom"/>
          </w:tcPr>
          <w:p>
            <w:pPr>
              <w:spacing w:after="0"/>
              <w:rPr>
                <w:sz w:val="1"/>
                <w:szCs w:val="1"/>
                <w:color w:val="auto"/>
              </w:rPr>
            </w:pPr>
          </w:p>
        </w:tc>
      </w:tr>
      <w:tr>
        <w:trPr>
          <w:trHeight w:val="94"/>
        </w:trPr>
        <w:tc>
          <w:tcPr>
            <w:tcW w:w="6580" w:type="dxa"/>
            <w:vAlign w:val="bottom"/>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1060" w:type="dxa"/>
            <w:vAlign w:val="bottom"/>
            <w:tcBorders>
              <w:bottom w:val="single" w:sz="8" w:color="auto"/>
            </w:tcBorders>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1120" w:type="dxa"/>
            <w:vAlign w:val="bottom"/>
            <w:tcBorders>
              <w:bottom w:val="single" w:sz="8" w:color="auto"/>
            </w:tcBorders>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deductions</w:t>
            </w:r>
          </w:p>
        </w:tc>
        <w:tc>
          <w:tcPr>
            <w:tcW w:w="36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1,151,380</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3,756,961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4,908,341</w:t>
            </w:r>
          </w:p>
        </w:tc>
        <w:tc>
          <w:tcPr>
            <w:tcW w:w="0" w:type="dxa"/>
            <w:vAlign w:val="bottom"/>
          </w:tcPr>
          <w:p>
            <w:pPr>
              <w:spacing w:after="0"/>
              <w:rPr>
                <w:sz w:val="1"/>
                <w:szCs w:val="1"/>
                <w:color w:val="auto"/>
              </w:rPr>
            </w:pPr>
          </w:p>
        </w:tc>
      </w:tr>
      <w:tr>
        <w:trPr>
          <w:trHeight w:val="95"/>
        </w:trPr>
        <w:tc>
          <w:tcPr>
            <w:tcW w:w="658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in net assets</w:t>
            </w:r>
          </w:p>
        </w:tc>
        <w:tc>
          <w:tcPr>
            <w:tcW w:w="36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(461,005)</w:t>
            </w: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4,445,862</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3,984,857</w:t>
            </w:r>
          </w:p>
        </w:tc>
        <w:tc>
          <w:tcPr>
            <w:tcW w:w="0" w:type="dxa"/>
            <w:vAlign w:val="bottom"/>
          </w:tcPr>
          <w:p>
            <w:pPr>
              <w:spacing w:after="0"/>
              <w:rPr>
                <w:sz w:val="1"/>
                <w:szCs w:val="1"/>
                <w:color w:val="auto"/>
              </w:rPr>
            </w:pPr>
          </w:p>
        </w:tc>
      </w:tr>
      <w:tr>
        <w:trPr>
          <w:trHeight w:val="94"/>
        </w:trPr>
        <w:tc>
          <w:tcPr>
            <w:tcW w:w="65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6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8,282,816</w:t>
            </w:r>
          </w:p>
        </w:tc>
        <w:tc>
          <w:tcPr>
            <w:tcW w:w="160" w:type="dxa"/>
            <w:vAlign w:val="bottom"/>
            <w:shd w:val="clear" w:color="auto" w:fill="CCEEFF"/>
          </w:tcPr>
          <w:p>
            <w:pPr>
              <w:spacing w:after="0"/>
              <w:rPr>
                <w:sz w:val="24"/>
                <w:szCs w:val="2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47,144,842</w:t>
            </w:r>
          </w:p>
        </w:tc>
        <w:tc>
          <w:tcPr>
            <w:tcW w:w="16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55,427,658</w:t>
            </w:r>
          </w:p>
        </w:tc>
        <w:tc>
          <w:tcPr>
            <w:tcW w:w="0" w:type="dxa"/>
            <w:vAlign w:val="bottom"/>
          </w:tcPr>
          <w:p>
            <w:pPr>
              <w:spacing w:after="0"/>
              <w:rPr>
                <w:sz w:val="1"/>
                <w:szCs w:val="1"/>
                <w:color w:val="auto"/>
              </w:rPr>
            </w:pPr>
          </w:p>
        </w:tc>
      </w:tr>
      <w:tr>
        <w:trPr>
          <w:trHeight w:val="88"/>
        </w:trPr>
        <w:tc>
          <w:tcPr>
            <w:tcW w:w="658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auto"/>
            </w:tcBorders>
            <w:vMerge w:val="continue"/>
            <w:shd w:val="clear" w:color="auto" w:fill="CCEEFF"/>
          </w:tcPr>
          <w:p>
            <w:pPr>
              <w:spacing w:after="0"/>
              <w:rPr>
                <w:sz w:val="7"/>
                <w:szCs w:val="7"/>
                <w:color w:val="auto"/>
              </w:rPr>
            </w:pPr>
          </w:p>
        </w:tc>
        <w:tc>
          <w:tcPr>
            <w:tcW w:w="1060" w:type="dxa"/>
            <w:vAlign w:val="bottom"/>
            <w:tcBorders>
              <w:bottom w:val="single" w:sz="8" w:color="auto"/>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vMerge w:val="continue"/>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auto"/>
            </w:tcBorders>
            <w:vMerge w:val="continue"/>
            <w:shd w:val="clear" w:color="auto" w:fill="CCEEFF"/>
          </w:tcPr>
          <w:p>
            <w:pPr>
              <w:spacing w:after="0"/>
              <w:rPr>
                <w:sz w:val="7"/>
                <w:szCs w:val="7"/>
                <w:color w:val="auto"/>
              </w:rPr>
            </w:pPr>
          </w:p>
        </w:tc>
        <w:tc>
          <w:tcPr>
            <w:tcW w:w="110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 Salaried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202" w:lineRule="exact"/>
        <w:rPr>
          <w:sz w:val="20"/>
          <w:szCs w:val="20"/>
          <w:color w:val="auto"/>
        </w:rPr>
      </w:pPr>
    </w:p>
    <w:p>
      <w:pPr>
        <w:jc w:val="both"/>
        <w:ind w:right="640"/>
        <w:spacing w:after="0" w:line="312" w:lineRule="auto"/>
        <w:rPr>
          <w:sz w:val="20"/>
          <w:szCs w:val="20"/>
          <w:color w:val="auto"/>
        </w:rPr>
      </w:pPr>
      <w:r>
        <w:rPr>
          <w:rFonts w:ascii="Times New Roman" w:cs="Times New Roman" w:eastAsia="Times New Roman" w:hAnsi="Times New Roman"/>
          <w:sz w:val="17"/>
          <w:szCs w:val="17"/>
          <w:color w:val="auto"/>
        </w:rPr>
        <w:t>The following description of the Lockheed Martin Corporation Salaried Savings Plan (the Plan) provides only general information about the Plan’s provisions. Participants should refer to the Plan document and Summary Plan Description for a more complete description of the Plan’s provisions.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Plan is a defined contribution plan covering salaried employees in groups to which Plan participation is extended by Lockheed Martin Corporation (Lockheed Martin or the Corporation), including employees in the U.S. and certain U.S. citizens working abroad. Eligible employees are automatically enrolled in the Plan when they are hired, unless they affirmatively decline to participate.</w:t>
      </w:r>
    </w:p>
    <w:p>
      <w:pPr>
        <w:spacing w:after="0" w:line="14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Plan includes an Employee Stock Ownership Plan (ESOP) feature. Cash dividends paid on Lockheed Martin common stock in both the ESOP Fund and the Lockheed Martin Stock Fund are automatically reinvested in those funds, unless the participant elects to receive the dividend directly as taxable income.</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assets of the Plan, excluding receivables, are held and invested on a commingled basis in the Lockheed Martin Corporation Defined Contribution Plans Master Trust (the Master Trust) under an agreement between Lockheed Martin and State Street Bank and Trust Company (the Trustee). The record keeper is Empower. Lockheed Martin is the Plan Sponsor and the Plan Administrator.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Plan allows eligible employees to make contributions on a before-tax, after-tax, or Roth 401(k) basis or in any combination. Each calendar year, eligible employees can contribute up to 40% of the employee’s base salary, subject to regulatory limitations. If automatically enrolled, a participant’s contribution is set at 4% of base salary in before-tax contributions. The Plan has an auto-escalation feature whereby contributions for those automatically enrolled are increased 1% each calendar year up to 12% unless changed by the participant. For participants hired prior to January 1, 2019, the auto</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enrollment was set at 3% and the auto-escalation goes up to 8%. The Plan permits catch-up contributions for participants turning age 50 or older by the end of the calendar year. Catch-up contributions are not eligible for Company matching contributions. The Corporation contributes a matching contribution equal to 50% of the participant’s contribution up to the first 8% (i.e., up to 4%) of the participant’s base salary. Substantially all employer matching contributions to the Plan consist of the Corporation’s common stock invested in the ESOP Fund. In addition to employer matching contribution, the Corporation contributes an employer profit-sharing contribution of up to 6% of an eligible employee’s weekly base salary (6% company contribution is for employees in eligible business units only). With respect to Participants who are employees of Sikorsky Aircraft Corporation who participate in the Plan</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pursuant to a collective bargaining agreement, contractual ratification bonuses may be contributed as before-tax contributions to the extent provided in the collective bargaining agreement. Matching Contribution shall be made in an amount equal to 50% of such a participant’s ratification bonus contributions.</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Contributions may be invested in one or more of the available investment funds at the participant’s election. Participants may change the investment mix of their account balance up to 6 times per calendar quarter. Participants may make an unlimited number of transfers out of the Lockheed Martin Stock Fund or the ESOP Fund.</w:t>
      </w:r>
    </w:p>
    <w:p>
      <w:pPr>
        <w:spacing w:after="0" w:line="129"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An option available to participants is the self-directed brokerage account (SDBA), whereby a participant may elect to invest the participant’s transferable account balance in stocks, mutual funds, bonds, or other investments of the participant’s choosing. A participant’s initial transfer to the SDBA must be at least $500, and subsequent transfers must be at least $500. No distributions, withdrawals, or loans may be made directly from the assets in the SDBA, unless the participant requests a lump sum distribution after termination of employment.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Participants are immediately vested in all employee contributions, rollover contributions from other qualified plans, the Corporation's matching contributions and earnings (or losses) thereon. Participants who were employed with an original start date before January 1, 2025 are immediately vested in all prior and future employer profit-sharing contributions. For participants hired with an original start date on or after January 1, 2025, vesting in employer profit-sharing contributions occurs at a rate of 20% for each year of service, with 100% vesting after five years of service. Participants become fully vested in employer profit-sharing contributions upon reaching age 65, becoming disabled (as defined in the Plan) or death, in each case if employed by the Corporation at the time.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the employer’s matching and non-elective contributions, as applicable, and the respective investment earnings or losses, less expenses, of the individual funds in which the account is invested.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Participants may borrow from their total account balance a minimum of $500 and up to a maximum amount equal to the lesser of 50% of their account balance or $50,000 (minus their highest outstanding loan balance from the past 12 months, if any). The loans are secured by the balance in the participant’s account and bear interest of 1% over a published prime rate. Principal and interest are paid ratably through weekly payroll deductions. Notes receivable from participants are measured at their unpaid principal balance plus any accrued but unpaid interest.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0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termination of service due to death, disability or retirement, a participant or beneficiary may elect to receive his or her account balance through a number of payout options. A participant is entitled to the account balance at the time his or her employment with the Corporation 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Board of Directors of Lockheed Martin has the right to amend, suspend or terminate the Plan at any time, subject to the provisions of the Employee Retirement Income Security Act of 1974 (ERISA). In the event of Plan termination, participants will receive a payment equal to the total value of their accounts.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ESOP Fund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held 17,105,154 and 17,963,170 shares of the Corporation’s common stock in the ESOP Fund as of December 31, 2025 and 2024, respectively.</w:t>
      </w:r>
    </w:p>
    <w:p>
      <w:pPr>
        <w:spacing w:after="0" w:line="221" w:lineRule="exact"/>
        <w:rPr>
          <w:sz w:val="20"/>
          <w:szCs w:val="20"/>
          <w:color w:val="auto"/>
        </w:rPr>
      </w:pPr>
    </w:p>
    <w:p>
      <w:pPr>
        <w:ind w:right="7620" w:firstLine="48"/>
        <w:spacing w:after="0" w:line="464" w:lineRule="auto"/>
        <w:tabs>
          <w:tab w:leader="none" w:pos="2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Accounting</w:t>
      </w:r>
    </w:p>
    <w:p>
      <w:pPr>
        <w:spacing w:after="0"/>
        <w:rPr>
          <w:sz w:val="20"/>
          <w:szCs w:val="20"/>
          <w:color w:val="auto"/>
        </w:rPr>
      </w:pPr>
      <w:r>
        <w:rPr>
          <w:rFonts w:ascii="Times New Roman" w:cs="Times New Roman" w:eastAsia="Times New Roman" w:hAnsi="Times New Roman"/>
          <w:sz w:val="18"/>
          <w:szCs w:val="18"/>
          <w:color w:val="auto"/>
        </w:rPr>
        <w:t>The financial statements of the Plan are prepared on the accrual basis of accounting.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 of assets and liabilities and changes therein, and disclosure of contingent assets and liabilities. Actual results could differ from those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Plan, through the Master Trust,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Investments in the Master Trust are primarily reported at fair value. Fair value is the price that would have been received to sell an asset or paid to transfer a liability in an orderly transaction between market participants at the measurement date. Fully benefit-responsive investment contracts are reported at contract value. Contract value is the relevant measurement attributable to fully benefit-responsive investment contracts because it is the amount participants would receive if they were to initiate permitted transactions under the terms of the Plan. The contract value represents contributions plus earnings, less participant withdrawals and administrative expenses. See Note 3 for discussion of fair value measurements and fully benefit-responsive investment contracts.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Purchases and sales of securities in the Master Trust are recorded on a trade-date basis. Interest income is recorded on the accrual basis. Dividends are recorded on the ex-dividend date. Gains and losses on investments bought and sold as well as held during the year are included in interest in net investment gains from the Master Trust on the Statement of Changes in Net Assets Available for Benefits. Interest income on notes receivable from participants is recorded on the accrual basis.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Direct administrative expenses are paid by the Master Trust and generally allocated to the Plan proportionally based on the Plan’s interest in the Master Trust’s net assets or directly if specifically related to the Plan. Certain indirect administrative expenses are paid by the Corporation and are excluded from these financial statements. Expenses paid by the Plan are shown on the Statement of Changes in Net Assets Available for Benefits.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Master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Plan’s interest in the Master Trust is stated at the value of the underlying net assets in the Master Trust. The realized and unrealized gains and losses and investment income of the Master Trust are allocated among the participating plans included therein proportionally based on each plan’s earnings, which include unrealized gains and losses, investment income and plan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Plan’s interest in the Master Trust balance as of December 31, 2025 and 2024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19"/>
                <w:szCs w:val="19"/>
                <w:color w:val="auto"/>
              </w:rPr>
            </w:pPr>
          </w:p>
        </w:tc>
        <w:tc>
          <w:tcPr>
            <w:tcW w:w="27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Master Trust</w:t>
            </w:r>
          </w:p>
        </w:tc>
        <w:tc>
          <w:tcPr>
            <w:tcW w:w="148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Plan’s Interest in</w:t>
            </w:r>
          </w:p>
        </w:tc>
        <w:tc>
          <w:tcPr>
            <w:tcW w:w="140" w:type="dxa"/>
            <w:vAlign w:val="bottom"/>
          </w:tcPr>
          <w:p>
            <w:pPr>
              <w:spacing w:after="0"/>
              <w:rPr>
                <w:sz w:val="16"/>
                <w:szCs w:val="16"/>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Master Trust</w:t>
            </w:r>
          </w:p>
        </w:tc>
        <w:tc>
          <w:tcPr>
            <w:tcW w:w="14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Plan’s Interest in</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Master Trust</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Master Trust</w:t>
            </w:r>
          </w:p>
        </w:tc>
        <w:tc>
          <w:tcPr>
            <w:tcW w:w="0" w:type="dxa"/>
            <w:vAlign w:val="bottom"/>
          </w:tcPr>
          <w:p>
            <w:pPr>
              <w:spacing w:after="0"/>
              <w:rPr>
                <w:sz w:val="1"/>
                <w:szCs w:val="1"/>
                <w:color w:val="auto"/>
              </w:rPr>
            </w:pPr>
          </w:p>
        </w:tc>
      </w:tr>
      <w:tr>
        <w:trPr>
          <w:trHeight w:val="241"/>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short-term investment fund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651,587</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7,605,598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6,934,489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6,232,879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 - Lockheed Martin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11,373,758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10,589,182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12,097,506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11,258,467</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Common/collective trusts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28,919,660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26,380,818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23,842,794</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646,229</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679,812</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599,901</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(b)</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117,723</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3,179,168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2,662,273</w:t>
            </w:r>
          </w:p>
        </w:tc>
        <w:tc>
          <w:tcPr>
            <w:tcW w:w="0" w:type="dxa"/>
            <w:vAlign w:val="bottom"/>
          </w:tcPr>
          <w:p>
            <w:pPr>
              <w:spacing w:after="0"/>
              <w:rPr>
                <w:sz w:val="1"/>
                <w:szCs w:val="1"/>
                <w:color w:val="auto"/>
              </w:rPr>
            </w:pPr>
          </w:p>
        </w:tc>
      </w:tr>
      <w:tr>
        <w:trPr>
          <w:trHeight w:val="223"/>
        </w:trPr>
        <w:tc>
          <w:tcPr>
            <w:tcW w:w="5360" w:type="dxa"/>
            <w:vAlign w:val="bottom"/>
          </w:tcPr>
          <w:p>
            <w:pPr>
              <w:ind w:left="340"/>
              <w:spacing w:after="0" w:line="223" w:lineRule="exact"/>
              <w:rPr>
                <w:sz w:val="20"/>
                <w:szCs w:val="20"/>
                <w:color w:val="auto"/>
              </w:rPr>
            </w:pPr>
            <w:r>
              <w:rPr>
                <w:rFonts w:ascii="Times New Roman" w:cs="Times New Roman" w:eastAsia="Times New Roman" w:hAnsi="Times New Roman"/>
                <w:sz w:val="18"/>
                <w:szCs w:val="18"/>
                <w:color w:val="auto"/>
              </w:rPr>
              <w:t xml:space="preserve">Total investments at fair value </w:t>
            </w:r>
            <w:r>
              <w:rPr>
                <w:rFonts w:ascii="Times New Roman" w:cs="Times New Roman" w:eastAsia="Times New Roman" w:hAnsi="Times New Roman"/>
                <w:sz w:val="23"/>
                <w:szCs w:val="23"/>
                <w:color w:val="auto"/>
                <w:vertAlign w:val="superscript"/>
              </w:rPr>
              <w:t>(c)(d)</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55,496,381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50,778,883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50,978,328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46,691,665</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4,374,595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4,991,458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4,482,556</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from broker for securities sold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230"/>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and dividends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35,862</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Other receivables </w:t>
            </w:r>
            <w:r>
              <w:rPr>
                <w:rFonts w:ascii="Times New Roman" w:cs="Times New Roman" w:eastAsia="Times New Roman" w:hAnsi="Times New Roman"/>
                <w:sz w:val="23"/>
                <w:szCs w:val="23"/>
                <w:color w:val="auto"/>
                <w:vertAlign w:val="superscript"/>
              </w:rPr>
              <w:t>(e)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61,512</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to broker for securities purchased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0" w:type="dxa"/>
            <w:vAlign w:val="bottom"/>
          </w:tcPr>
          <w:p>
            <w:pPr>
              <w:spacing w:after="0"/>
              <w:rPr>
                <w:sz w:val="1"/>
                <w:szCs w:val="1"/>
                <w:color w:val="auto"/>
              </w:rPr>
            </w:pPr>
          </w:p>
        </w:tc>
      </w:tr>
      <w:tr>
        <w:trPr>
          <w:trHeight w:val="230"/>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(70,473)</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20"/>
              <w:spacing w:after="0" w:line="230" w:lineRule="exact"/>
              <w:rPr>
                <w:sz w:val="20"/>
                <w:szCs w:val="20"/>
                <w:color w:val="auto"/>
              </w:rPr>
            </w:pPr>
            <w:r>
              <w:rPr>
                <w:rFonts w:ascii="Times New Roman" w:cs="Times New Roman" w:eastAsia="Times New Roman" w:hAnsi="Times New Roman"/>
                <w:sz w:val="18"/>
                <w:szCs w:val="18"/>
                <w:color w:val="auto"/>
              </w:rPr>
              <w:t xml:space="preserve">Other payables </w:t>
            </w:r>
            <w:r>
              <w:rPr>
                <w:rFonts w:ascii="Times New Roman" w:cs="Times New Roman" w:eastAsia="Times New Roman" w:hAnsi="Times New Roman"/>
                <w:sz w:val="23"/>
                <w:szCs w:val="23"/>
                <w:color w:val="auto"/>
                <w:vertAlign w:val="superscript"/>
              </w:rPr>
              <w:t>(e)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5360" w:type="dxa"/>
            <w:vAlign w:val="bottom"/>
          </w:tcPr>
          <w:p>
            <w:pPr>
              <w:ind w:left="340"/>
              <w:spacing w:after="0" w:line="223" w:lineRule="exact"/>
              <w:rPr>
                <w:sz w:val="20"/>
                <w:szCs w:val="20"/>
                <w:color w:val="auto"/>
              </w:rPr>
            </w:pPr>
            <w:r>
              <w:rPr>
                <w:rFonts w:ascii="Times New Roman" w:cs="Times New Roman" w:eastAsia="Times New Roman" w:hAnsi="Times New Roman"/>
                <w:sz w:val="18"/>
                <w:szCs w:val="18"/>
                <w:color w:val="auto"/>
              </w:rPr>
              <w:t xml:space="preserve">Total net assets </w:t>
            </w:r>
            <w:r>
              <w:rPr>
                <w:rFonts w:ascii="Times New Roman" w:cs="Times New Roman" w:eastAsia="Times New Roman" w:hAnsi="Times New Roman"/>
                <w:sz w:val="23"/>
                <w:szCs w:val="23"/>
                <w:color w:val="auto"/>
                <w:vertAlign w:val="superscript"/>
              </w:rPr>
              <w:t>(d)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60,409,112</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55,176,623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55,985,178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51,188,295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103-12 investment entities.</w:t>
      </w:r>
    </w:p>
    <w:p>
      <w:pPr>
        <w:spacing w:after="0" w:line="113"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5"/>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Includes auto loans, bank loans, collateralized mortgage obligations, government agencies and credit card loans.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340" w:right="40" w:hanging="332"/>
        <w:spacing w:after="0" w:line="239" w:lineRule="auto"/>
        <w:tabs>
          <w:tab w:leader="none" w:pos="335"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Plan’s reported total investments at fair value as of December 31, 2025 and 2024 has a variance of $7.8 million and $(7.6) million, respectively, to the reported Interest in Lockheed Martin Corporation Defined Contribution Plans Master Trust of Investments at fair value on the Statements of Net Assets Available for Benefits (see page 3 and 4). These amounts are the net result between certain accruals recorded by either the Master Trust or the Plan separately at year-end.</w:t>
      </w:r>
    </w:p>
    <w:p>
      <w:pPr>
        <w:spacing w:after="0" w:line="157" w:lineRule="exact"/>
        <w:rPr>
          <w:rFonts w:ascii="Times New Roman" w:cs="Times New Roman" w:eastAsia="Times New Roman" w:hAnsi="Times New Roman"/>
          <w:sz w:val="23"/>
          <w:szCs w:val="23"/>
          <w:color w:val="auto"/>
          <w:vertAlign w:val="superscript"/>
        </w:rPr>
      </w:pPr>
    </w:p>
    <w:p>
      <w:pPr>
        <w:ind w:left="340" w:right="80" w:hanging="332"/>
        <w:spacing w:after="0" w:line="235"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total investments at fair value and total net assets on the Master Trust’s balance included $1.7 million and $1.5 million of the Allcomp Inc. 401(k) Profit Sharing Plan balance as of December 31, 2025 and 2024, respectively. Effective April 19, 2022, this Plan became a participating plan in the Master Trust. Since the Plan has less than 100 participants, an audit is not required and accordingly financial statements were not prepared.</w:t>
      </w:r>
    </w:p>
    <w:p>
      <w:pPr>
        <w:spacing w:after="0" w:line="142"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unsettled trades, other receivables/payables, market values on foreign currency, other cash positions on futures.</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Plan, through the Master Trust, invests in the Lockheed Martin Investment Management Company (LMIMCo) Stable Value Fund which holds synthetic guaranteed investment contracts (synthetic GICs) that are fully benefit-responsive and managed separate accounts. A synthetic GIC, also known as a wrap contract, is an investment contract issued by an insurance company or other financial institution paired with an underlying investment or investments, usually a portfolio of high quality fixed income securities. These investment contracts provide the realized and unrealized gains and losses on the underlying investments that are amortized over the duration of the underlying investments through adjustments to the future interest-crediting rates. The primary factors affecting the future interest-crediting rates of the wrap contracts include the level of market interest rates, the amount and timing of participant contributions, transfers, and withdrawals into or out of the wrap contracts, the investment returns generated by the investments that back the wrap contracts, and the duration of the underlying investments covered by the wrap contracts. The future interest-crediting rates may not be less than 0% and are adjusted monthly or quarterly based on the yield to maturity of the underlying investments, a market value to contract value ratio of the underlying investments, and the durations of the underlying investments. The contracts are fully benefit-responsive, which guarantees that all qualified participant withdrawals will occur at contract value.</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certain circumstances, the amount withdrawn from the investment contract would be payable at fair value rather than at contract value. These events include termination of the Plan, a material adverse change to the provisions of the Plan, a withdrawal from a wrap contract in order to switch to a different investment provider, or adoption of a successor plan that does not meet the wrap contract issuer’s underwriting criteria for issuance of a duplicate wrap contract. The Plan Administrator does not believe that the occurrence of any of these events is probable. Also, the following events would permit the contract issuers to terminate the contracts prior to their scheduled maturity date: the Plan’s loss of its qualified status, uncured material breaches of responsibilities, or material and adverse changes to the provisions of the Plan. If one of these events were to occur, the contract issuer could terminate the contract at the fair value of the underlying investments.</w:t>
      </w:r>
    </w:p>
    <w:p>
      <w:pPr>
        <w:spacing w:after="0" w:line="189"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Master Trust invests in a Government Short-Term Investment Fund, consisting of U.S. Treasury obligations and commercial paper, which is used as a temporary investment to hold contributions from the day the cash is transferred from the Corporation to the Trustee until the day the cash is invested in a particular fund. The related earnings from the Government Short-Term Investment Fund are used to pay certain expenses related to participant accounts.</w:t>
      </w:r>
    </w:p>
    <w:p>
      <w:pPr>
        <w:spacing w:after="0" w:line="15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order to provide appropriate liquidity to meet ongoing daily cash outflow requirements for the Lockheed Martin Stock Fund, ESOP Fund, and the other investment funds that are investment alternatives for the Plan that are beneficiaries of the Master Trust, the Master Trust may be able to receive advances from the LMIMCo Stable Value Fund or the Corporation. The LMIMCo Stable Value Fund may make an advance only after considering its own liquidity needs. Any investment fund that receives an advance will compensate the LMIMCo Stable Value Fund for income lost due to any such advance by paying interest on such advance. The interest is compounded daily based on an annual rate equal to the interest crediting rate of the short-term investment portion of the LMIMCo Stable Value Fund. The Lockheed Martin Stock Fund and ESOP Fund may borrow, without interest, up to $200 million from the Corporation, as evidenced by a promissory note, which requires repayment within three business days after the advance. As of December 31, 2025 and 2024, there were no such advances payable to the Corporation. Occasionally, the Master Trust invests in derivative financial instruments for liquidity or asset allocation purposes. As of December 31, 2025 and 2024, there were no material investments in derivatives.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Assets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accounting standard for fair value measurements defines fair value, establishes a market-based framework or hierarchy for measuring fair value, and requires disclosures regarding fair value measurements. The standard is applicable whenever assets and liabilities are measured and included in the financial statements at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established in the standard prioritizes the inputs used in valuation techniques into three levels as follows:</w:t>
      </w:r>
    </w:p>
    <w:p>
      <w:pPr>
        <w:spacing w:after="0" w:line="185"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420" w:right="40" w:hanging="412"/>
        <w:spacing w:after="0" w:line="312" w:lineRule="auto"/>
        <w:tabs>
          <w:tab w:leader="none" w:pos="30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Observable inputs, other than Level 1 prices, such as quoted prices for similar instruments in active markets, quoted prices for identical or similar instruments in inactive markets, and amounts derived from valuation models where all significant inputs are observable in active markets; and</w:t>
      </w:r>
    </w:p>
    <w:p>
      <w:pPr>
        <w:spacing w:after="0" w:line="99" w:lineRule="exact"/>
        <w:rPr>
          <w:rFonts w:ascii="Times New Roman" w:cs="Times New Roman" w:eastAsia="Times New Roman" w:hAnsi="Times New Roman"/>
          <w:sz w:val="17"/>
          <w:szCs w:val="17"/>
          <w:color w:val="auto"/>
        </w:rPr>
      </w:pPr>
    </w:p>
    <w:p>
      <w:pPr>
        <w:ind w:left="420" w:right="60" w:hanging="412"/>
        <w:spacing w:after="0" w:line="282" w:lineRule="auto"/>
        <w:tabs>
          <w:tab w:leader="none" w:pos="2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where valuation models are supported by little or no market activity that one or more significant inputs are unobservable and require us to develop relevant assumptions.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assets in the Master Trust by asset category and their level within the fair value hierarchy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short-term investment fund</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656,715</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675,098</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8,437,126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8,447,158</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 - Lockheed Martin</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11,373,758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11,373,758</w:t>
            </w:r>
          </w:p>
        </w:tc>
      </w:tr>
      <w:tr>
        <w:trPr>
          <w:trHeight w:val="229"/>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Common/collective trusts </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28,919,660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28,919,660</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832,847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1,012,735</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867,174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867,174</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662,609</w:t>
            </w: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(b)</w:t>
            </w:r>
          </w:p>
        </w:tc>
        <w:tc>
          <w:tcPr>
            <w:tcW w:w="3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3,390,181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3,390,181</w:t>
            </w:r>
          </w:p>
        </w:tc>
      </w:tr>
      <w:tr>
        <w:trPr>
          <w:trHeight w:val="223"/>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 assets at fair value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24,052,295</w:t>
            </w:r>
          </w:p>
        </w:tc>
        <w:tc>
          <w:tcPr>
            <w:tcW w:w="14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31,444,086</w:t>
            </w:r>
          </w:p>
        </w:tc>
        <w:tc>
          <w:tcPr>
            <w:tcW w:w="14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55,496,381</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25,344</w:t>
            </w:r>
          </w:p>
        </w:tc>
      </w:tr>
      <w:tr>
        <w:trPr>
          <w:trHeight w:val="22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3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4,887,387</w:t>
            </w:r>
          </w:p>
        </w:tc>
      </w:tr>
      <w:tr>
        <w:trPr>
          <w:trHeight w:val="248"/>
        </w:trPr>
        <w:tc>
          <w:tcPr>
            <w:tcW w:w="6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60,409,112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dividend income earned by the Master Trust for the year ended December 31, 2025 was $764.0 million. The net appreciation for the year ended December 31, 2025 was $6.1 billion.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assets in the Master Trust by asset category and their level within the fair value hierarchy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short-term investment fund</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688,214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724,303</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6,926,943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6,934,489</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 - Lockheed Martin</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12,097,506</w:t>
            </w:r>
          </w:p>
        </w:tc>
      </w:tr>
      <w:tr>
        <w:trPr>
          <w:trHeight w:val="229"/>
        </w:trPr>
        <w:tc>
          <w:tcPr>
            <w:tcW w:w="6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Common/collective trusts </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26,108,226</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718,567</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755,451</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667,026</w:t>
            </w:r>
          </w:p>
        </w:tc>
      </w:tr>
      <w:tr>
        <w:trPr>
          <w:trHeight w:val="229"/>
        </w:trPr>
        <w:tc>
          <w:tcPr>
            <w:tcW w:w="6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(b)</w:t>
            </w:r>
          </w:p>
        </w:tc>
        <w:tc>
          <w:tcPr>
            <w:tcW w:w="3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130,680</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2,842,080</w:t>
            </w:r>
          </w:p>
        </w:tc>
      </w:tr>
      <w:tr>
        <w:trPr>
          <w:trHeight w:val="223"/>
        </w:trPr>
        <w:tc>
          <w:tcPr>
            <w:tcW w:w="6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investment assets at fair value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22,460,872</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28,517,456</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50,978,328</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w:t>
            </w:r>
          </w:p>
        </w:tc>
      </w:tr>
      <w:tr>
        <w:trPr>
          <w:trHeight w:val="23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3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4,991,458</w:t>
            </w:r>
          </w:p>
        </w:tc>
      </w:tr>
      <w:tr>
        <w:trPr>
          <w:trHeight w:val="248"/>
        </w:trPr>
        <w:tc>
          <w:tcPr>
            <w:tcW w:w="6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net assets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55,985,178</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103-12 investment entities.</w:t>
      </w:r>
    </w:p>
    <w:p>
      <w:pPr>
        <w:spacing w:after="0" w:line="154"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Includes auto loans, bank loans, collateralized mortgage obligations, government agencies and credit card loans.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Techniques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equivalents and short-term investment funds categorized as Level 1 are mostly comprised of short-term money-market instruments and are valued at cost, which approximates fair value. Cash equivalents and short-term investment funds categorized as Level 2 are short-term government securities consisting of U.S. Treasuries and U.S. agency issues.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Common and preferred stocks categorized as Level 1 are traded on active national and international exchanges and are valued at closing prices on the last trading day of the year. For common and preferred stocks not traded on an active exchange, or if the closing price is not available, the Trustee obtains indicative quotes from a pricing vendor, broker or investment manager. These stocks are categorized as Level 2 if the custodian obtains corroborated quotes from a pricing vendor.</w:t>
      </w:r>
    </w:p>
    <w:p>
      <w:pPr>
        <w:spacing w:after="0" w:line="2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Common/collective trusts (CCTs) and registered investment companies (e.g., mutual funds, exchange-traded funds (ETFs), etc.) are investment vehicles valued using the Net Asset Value (NAV) provided by the fund managers. The NAV is the total value of the fund divided by the number of shares outstanding and is based on the fair value of underlying investments held by the CCTs. CCTs are traded at NAV, determined daily or monthly. CCTs are categorized as Level 2 because the NAVs, although readily determinable, are not published on an active exchange nor publicly available. Registered investment companies are traded at NAV, determined and published daily, and are categorized as Level 1 or categorized as Level 2 if the NAVs, although readily determinable, are not published on an active exchange nor publicly available.</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Corporate debt securities, U.S. Government securities and other investments categorized as Level 2 are valued by the Trustee using pricing models that use verifiable observable market data (e.g., interest rates and yield curves observable at commonly quoted intervals), bids provided by brokers or dealers, or quoted prices of securities with similar characteristics. The Trustee obtains pricing based on indicative quotes or bid evaluations from vendors, brokers or the investment manager.</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SDBA investments categorized as Level 1 are primarily cash equivalents, common stock, ETFs, and mutual funds. As of December 31, 2025 and 2024, this account included Lockheed Martin common stock of $18.2 million and $16.7 million, respectively.</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management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Parties-in-Interest Transactions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Plan makes certain investments through the Master Trust, which are considered to be party-in-interest transactions for which a statutory exemption from the prohibited transaction regulation exists.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Master Trust held 23,515,534 and 24,895,062 shares of the Corporation’s common stock as of December 31, 2025 and 2024, respectively. Dividends earned by the Master Trust on the Corporation’s common stock were $322.1 million for the year ended December 31, 2025.</w:t>
      </w:r>
    </w:p>
    <w:p>
      <w:pPr>
        <w:spacing w:after="0" w:line="12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The Master Trust engages certain divisions of State Street Corporation for different services. State Street Bank and Trust Company is engaged by the Master Trust as its trustee and to provide custodial services. State Street Global Markets, LLC provides brokerage services while State Street Global Advisors (SSgA) provides investment management and is an independent fiduciary for the Company Stock Fund and the ESOP Fund. Additionally, SSgA manages the money market portfolio of the LMIMCo Stable Value Fund and the Master Trust uses the State Street Government Short Term Investment Fund (managed by SSgA) as its sweep vehicle.</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Master Trust invests in common stock from Charles Schwab Corporation, who provides the brokerage services for the SDBA investment option under the Plan.</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Master Trust owed the Corporation $6.0 million and $6.3 million as of December 31, 2025 and 2024, respectively, for certain expenses paid by the Corporation in providing services to the Plan and certain other plans.</w:t>
      </w:r>
    </w:p>
    <w:p>
      <w:pPr>
        <w:spacing w:after="0" w:line="13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notes receivable from participants are considered to be party-in-interest transactions for which a statutory exemption from the prohibited transaction regulation exists.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Income Tax Status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Internal Revenue Service (IRS) has determined and informed the Corporation by letter dated October 17, 2013, that the Plan is designed in accordance with applicable sections of the IRC and, therefore, the related trust is exempt from taxation. Under current IRS determination letter procedures, there is no opportunity for the Plan to obtain a more recent letter from the IRS. The Plan has been amended since issuance of the determination letter. However, the Plan Administrator and the Corporation’s counsel believe that the current design and operations of the Plan are in compliance with the applicable provisions of the IRC.</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GAAP requires management to evaluate tax positions taken by the Plan to determine whether the Plan has taken any uncertain positions that more likely than not would not be sustained upon examination by the IRS. The Plan Administrator has analyzed the tax positions taken by the Plan, and has concluded that as of December 31, 2025, there were no uncertain positions taken or expected to be taken that would require recognition of a liability or asset or disclosure in the financial statements. The Plan is subject to routine audits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taxing jurisdictions, but no tax audits are in progress. The Plan Administrator believes the Plan is no longer subject to income tax examinations for years prior to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Reconciliation of Financial Statements to Form 5500</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changes in net assets available for benefits for the year ended December 31, 2025, per the financial statements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5500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Amounts per</w:t>
            </w:r>
          </w:p>
        </w:tc>
        <w:tc>
          <w:tcPr>
            <w:tcW w:w="300" w:type="dxa"/>
            <w:vAlign w:val="bottom"/>
          </w:tcPr>
          <w:p>
            <w:pPr>
              <w:spacing w:after="0"/>
              <w:rPr>
                <w:sz w:val="20"/>
                <w:szCs w:val="20"/>
                <w:color w:val="auto"/>
              </w:rPr>
            </w:pPr>
          </w:p>
        </w:tc>
        <w:tc>
          <w:tcPr>
            <w:tcW w:w="14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14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Amounts per Form</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5500</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 net investment gain of Master Trust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6,310,515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(51,146)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6,259,369</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21,839</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78,479</w:t>
            </w:r>
          </w:p>
        </w:tc>
        <w:tc>
          <w:tcPr>
            <w:tcW w:w="300" w:type="dxa"/>
            <w:vAlign w:val="bottom"/>
          </w:tcPr>
          <w:p>
            <w:pPr>
              <w:spacing w:after="0"/>
              <w:rPr>
                <w:sz w:val="20"/>
                <w:szCs w:val="20"/>
                <w:color w:val="auto"/>
              </w:rPr>
            </w:pPr>
          </w:p>
        </w:tc>
        <w:tc>
          <w:tcPr>
            <w:tcW w:w="14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(72,985)</w:t>
            </w: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differences arose from the classification of certain administrative expenses, interest income on notes receivable from participants, which are included in the net investment gain in the Master Trust for Form 5500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Lockheed Martin Corporation Salaried Savings Plan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Employer Identification Number 52-1893632, Plan Number 017</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 5500, Schedule H, Line 4i – Schedule of Assets (Held at End of Year) *</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excluding shares or units)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(b)</w:t>
            </w:r>
          </w:p>
        </w:tc>
        <w:tc>
          <w:tcPr>
            <w:tcW w:w="5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5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Description of Investment, Including Maturity Date,</w:t>
            </w:r>
          </w:p>
        </w:tc>
        <w:tc>
          <w:tcPr>
            <w:tcW w:w="220" w:type="dxa"/>
            <w:vAlign w:val="bottom"/>
          </w:tcPr>
          <w:p>
            <w:pPr>
              <w:spacing w:after="0"/>
              <w:rPr>
                <w:sz w:val="12"/>
                <w:szCs w:val="12"/>
                <w:color w:val="auto"/>
              </w:rPr>
            </w:pPr>
          </w:p>
        </w:tc>
        <w:tc>
          <w:tcPr>
            <w:tcW w:w="8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w w:val="97"/>
              </w:rPr>
              <w:t>(d)</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Pr>
          <w:p>
            <w:pPr>
              <w:spacing w:after="0"/>
              <w:rPr>
                <w:sz w:val="12"/>
                <w:szCs w:val="12"/>
                <w:color w:val="auto"/>
              </w:rPr>
            </w:pPr>
          </w:p>
        </w:tc>
        <w:tc>
          <w:tcPr>
            <w:tcW w:w="3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Identity of Issue, Borrower, Lessor, or Similar</w:t>
            </w:r>
          </w:p>
        </w:tc>
        <w:tc>
          <w:tcPr>
            <w:tcW w:w="5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Rate of Interest,</w:t>
            </w: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0" w:type="dxa"/>
            <w:vAlign w:val="bottom"/>
          </w:tcPr>
          <w:p>
            <w:pPr>
              <w:spacing w:after="0"/>
              <w:rPr>
                <w:sz w:val="1"/>
                <w:szCs w:val="1"/>
                <w:color w:val="auto"/>
              </w:rPr>
            </w:pPr>
          </w:p>
        </w:tc>
      </w:tr>
      <w:tr>
        <w:trPr>
          <w:trHeight w:val="196"/>
        </w:trPr>
        <w:tc>
          <w:tcPr>
            <w:tcW w:w="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Party</w:t>
            </w:r>
          </w:p>
        </w:tc>
        <w:tc>
          <w:tcPr>
            <w:tcW w:w="5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Collateral, Par, or Maturity Value</w:t>
            </w:r>
          </w:p>
        </w:tc>
        <w:tc>
          <w:tcPr>
            <w:tcW w:w="220" w:type="dxa"/>
            <w:vAlign w:val="bottom"/>
          </w:tcPr>
          <w:p>
            <w:pPr>
              <w:spacing w:after="0"/>
              <w:rPr>
                <w:sz w:val="17"/>
                <w:szCs w:val="17"/>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Cost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29"/>
        </w:trPr>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00" w:type="dxa"/>
            <w:vAlign w:val="bottom"/>
            <w:tcBorders>
              <w:top w:val="single" w:sz="8" w:color="CCEEFF"/>
            </w:tcBorders>
            <w:shd w:val="clear" w:color="auto" w:fill="CCEEFF"/>
          </w:tcPr>
          <w:p>
            <w:pPr>
              <w:spacing w:after="0"/>
              <w:rPr>
                <w:sz w:val="19"/>
                <w:szCs w:val="19"/>
                <w:color w:val="auto"/>
              </w:rPr>
            </w:pPr>
          </w:p>
        </w:tc>
        <w:tc>
          <w:tcPr>
            <w:tcW w:w="5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rates ranging from 4.25% to 10.0%; varying maturities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287,426</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320" w:hanging="27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 for which a statutory exemption exists.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Exhibit</w:t>
      </w:r>
    </w:p>
    <w:p>
      <w:pPr>
        <w:ind w:left="18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auto"/>
        </w:rPr>
        <w:t>Number</w:t>
        <w:tab/>
        <w:t>Description</w:t>
      </w:r>
    </w:p>
    <w:p>
      <w:pPr>
        <w:spacing w:after="0" w:line="21" w:lineRule="exact"/>
        <w:rPr>
          <w:sz w:val="20"/>
          <w:szCs w:val="20"/>
          <w:color w:val="auto"/>
        </w:rPr>
      </w:pPr>
    </w:p>
    <w:p>
      <w:pPr>
        <w:ind w:left="940" w:hanging="563"/>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Lockheed Martin Corporation, as Plan Administrator, has duly caused this annual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Lockheed Martin Corporation Salaried</w:t>
      </w:r>
    </w:p>
    <w:p>
      <w:pPr>
        <w:ind w:left="5780"/>
        <w:spacing w:after="0" w:line="219" w:lineRule="auto"/>
        <w:rPr>
          <w:sz w:val="20"/>
          <w:szCs w:val="20"/>
          <w:color w:val="auto"/>
        </w:rPr>
      </w:pPr>
      <w:r>
        <w:rPr>
          <w:rFonts w:ascii="Times New Roman" w:cs="Times New Roman" w:eastAsia="Times New Roman" w:hAnsi="Times New Roman"/>
          <w:sz w:val="18"/>
          <w:szCs w:val="18"/>
          <w:color w:val="auto"/>
        </w:rPr>
        <w:t>Savings Plan, by Lockheed Martin</w:t>
      </w:r>
    </w:p>
    <w:p>
      <w:pPr>
        <w:ind w:left="5780"/>
        <w:spacing w:after="0"/>
        <w:rPr>
          <w:sz w:val="20"/>
          <w:szCs w:val="20"/>
          <w:color w:val="auto"/>
        </w:rPr>
      </w:pPr>
      <w:r>
        <w:rPr>
          <w:rFonts w:ascii="Times New Roman" w:cs="Times New Roman" w:eastAsia="Times New Roman" w:hAnsi="Times New Roman"/>
          <w:sz w:val="18"/>
          <w:szCs w:val="18"/>
          <w:color w:val="auto"/>
        </w:rPr>
        <w:t>Corporation as Plan Administrator</w:t>
      </w:r>
    </w:p>
    <w:p>
      <w:pPr>
        <w:spacing w:after="0" w:line="219" w:lineRule="exact"/>
        <w:rPr>
          <w:sz w:val="20"/>
          <w:szCs w:val="20"/>
          <w:color w:val="auto"/>
        </w:rPr>
      </w:pPr>
    </w:p>
    <w:p>
      <w:pPr>
        <w:ind w:left="20"/>
        <w:spacing w:after="0"/>
        <w:tabs>
          <w:tab w:leader="none" w:pos="576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7"/>
          <w:szCs w:val="17"/>
          <w:color w:val="auto"/>
        </w:rPr>
        <w:t>by: /s/ Nicholas Lossia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17145</wp:posOffset>
            </wp:positionV>
            <wp:extent cx="3480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Nicholas Lossia</w:t>
      </w:r>
    </w:p>
    <w:p>
      <w:pPr>
        <w:ind w:left="5780"/>
        <w:spacing w:after="0"/>
        <w:rPr>
          <w:sz w:val="20"/>
          <w:szCs w:val="20"/>
          <w:color w:val="auto"/>
        </w:rPr>
      </w:pPr>
      <w:r>
        <w:rPr>
          <w:rFonts w:ascii="Times New Roman" w:cs="Times New Roman" w:eastAsia="Times New Roman" w:hAnsi="Times New Roman"/>
          <w:sz w:val="18"/>
          <w:szCs w:val="18"/>
          <w:color w:val="auto"/>
        </w:rPr>
        <w:t>Vice President, Total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320" w:top="121" w:right="67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333-237831) pertaining to the Lockheed Martin Corporation Salaried Savings Plan of our report dated June 24, 2026, with respect to the financial statements and supplemental schedule of the Lockheed Martin Corporation Salaried Savings Plan included in this Annual Report (Form 11-K)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Mitchell &amp; Titus,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upperLetter"/>
      <w:start w:val="2"/>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2026-06-24T17:23:29Z</dcterms:created>
  <dcterms:modified xsi:type="dcterms:W3CDTF">2026-06-24T17:23:29Z</dcterms:modified>
</cp:coreProperties>
</file>