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197485</wp:posOffset>
            </wp:positionV>
            <wp:extent cx="1174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147955</wp:posOffset>
            </wp:positionV>
            <wp:extent cx="1174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2320"/>
        <w:spacing w:after="0" w:line="265"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9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62"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131445</wp:posOffset>
            </wp:positionV>
            <wp:extent cx="1174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Full title of the plan and the address of the plan, if different from that of the issuer named below:</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PERFORMANCE SHARING PLAN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BARGAINING EMPLOYEES</w:t>
      </w:r>
    </w:p>
    <w:p>
      <w:pPr>
        <w:spacing w:after="0" w:line="207" w:lineRule="exact"/>
        <w:rPr>
          <w:sz w:val="24"/>
          <w:szCs w:val="24"/>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6801 Rockledge Drive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Bethesda, MD 20817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1356360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68922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80" w:type="dxa"/>
            <w:vAlign w:val="bottom"/>
          </w:tcPr>
          <w:p>
            <w:pPr>
              <w:spacing w:after="0"/>
              <w:rPr>
                <w:sz w:val="17"/>
                <w:szCs w:val="17"/>
                <w:color w:val="auto"/>
              </w:rPr>
            </w:pPr>
          </w:p>
        </w:tc>
      </w:tr>
      <w:tr>
        <w:trPr>
          <w:trHeight w:val="646"/>
        </w:trPr>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8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188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700" w:type="dxa"/>
            <w:vAlign w:val="bottom"/>
            <w:gridSpan w:val="5"/>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Performance Sharing Plan for Bargaining Employees</w:t>
            </w:r>
          </w:p>
        </w:tc>
        <w:tc>
          <w:tcPr>
            <w:tcW w:w="188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7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tc>
        <w:tc>
          <w:tcPr>
            <w:tcW w:w="188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80" w:type="dxa"/>
            <w:vAlign w:val="bottom"/>
            <w:gridSpan w:val="4"/>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88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9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72"/>
        </w:trPr>
        <w:tc>
          <w:tcPr>
            <w:tcW w:w="60" w:type="dxa"/>
            <w:vAlign w:val="bottom"/>
          </w:tcPr>
          <w:p>
            <w:pPr>
              <w:spacing w:after="0"/>
              <w:rPr>
                <w:sz w:val="23"/>
                <w:szCs w:val="23"/>
                <w:color w:val="auto"/>
              </w:rPr>
            </w:pPr>
          </w:p>
        </w:tc>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080" w:type="dxa"/>
            <w:vAlign w:val="bottom"/>
            <w:gridSpan w:val="4"/>
          </w:tcPr>
          <w:p>
            <w:pPr>
              <w:spacing w:after="0"/>
              <w:rPr>
                <w:sz w:val="23"/>
                <w:szCs w:val="23"/>
                <w:color w:val="auto"/>
              </w:rPr>
            </w:pPr>
          </w:p>
        </w:tc>
        <w:tc>
          <w:tcPr>
            <w:tcW w:w="188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Statements of Net Assets Available for Benefits as of December 31, 2025 and 2024</w:t>
            </w:r>
          </w:p>
        </w:tc>
        <w:tc>
          <w:tcPr>
            <w:tcW w:w="1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6"/>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 of Changes in Net Assets Available for Benefits for the Year Ended December 31, 2025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37"/>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7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72"/>
        </w:trPr>
        <w:tc>
          <w:tcPr>
            <w:tcW w:w="60" w:type="dxa"/>
            <w:vAlign w:val="bottom"/>
          </w:tcPr>
          <w:p>
            <w:pPr>
              <w:spacing w:after="0"/>
              <w:rPr>
                <w:sz w:val="23"/>
                <w:szCs w:val="23"/>
                <w:color w:val="auto"/>
              </w:rPr>
            </w:pPr>
          </w:p>
        </w:tc>
        <w:tc>
          <w:tcPr>
            <w:tcW w:w="9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880" w:type="dxa"/>
            <w:vAlign w:val="bottom"/>
          </w:tcPr>
          <w:p>
            <w:pPr>
              <w:spacing w:after="0"/>
              <w:rPr>
                <w:sz w:val="23"/>
                <w:szCs w:val="23"/>
                <w:color w:val="auto"/>
              </w:rPr>
            </w:pPr>
          </w:p>
        </w:tc>
      </w:tr>
      <w:tr>
        <w:trPr>
          <w:trHeight w:val="194"/>
        </w:trPr>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Schedule H, Line 4i - Schedule of Assets (Held at End of Year)</w:t>
            </w:r>
          </w:p>
        </w:tc>
        <w:tc>
          <w:tcPr>
            <w:tcW w:w="18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0000FF"/>
              </w:rPr>
              <w:t>12</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300" w:type="dxa"/>
            <w:vAlign w:val="bottom"/>
            <w:gridSpan w:val="7"/>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37"/>
        </w:trPr>
        <w:tc>
          <w:tcPr>
            <w:tcW w:w="60" w:type="dxa"/>
            <w:vAlign w:val="bottom"/>
          </w:tcPr>
          <w:p>
            <w:pPr>
              <w:spacing w:after="0"/>
              <w:rPr>
                <w:sz w:val="20"/>
                <w:szCs w:val="20"/>
                <w:color w:val="auto"/>
              </w:rPr>
            </w:pPr>
          </w:p>
        </w:tc>
        <w:tc>
          <w:tcPr>
            <w:tcW w:w="93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Signature</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r>
      <w:tr>
        <w:trPr>
          <w:trHeight w:val="1148"/>
        </w:trPr>
        <w:tc>
          <w:tcPr>
            <w:tcW w:w="6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Lockheed Martin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Sharing Plan for Bargaining Employees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Lockheed Martin Corporation Performance Sharing Plan for Bargaining Employees (the Plan) as of December 31, 2025 and 2024, the related statement of changes in net assets available for benefits for the year ended December 31, 2025, and the related notes and schedule (collectively referred to as the financial statements).</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As part of our audits, we are required to obtain an understanding of internal control over financial reporting, but not for purposes of expressing an opinion on the effectiveness of the Plan’s internal control over financial reporting. Accordingly, we express no such opinion.</w:t>
      </w:r>
    </w:p>
    <w:p>
      <w:pPr>
        <w:spacing w:after="0" w:line="208"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4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The supplemental information in the accompanying schedule of assets (held as of year end)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646"/>
        </w:trPr>
        <w:tc>
          <w:tcPr>
            <w:tcW w:w="1280" w:type="dxa"/>
            <w:vAlign w:val="bottom"/>
            <w:tcBorders>
              <w:top w:val="single" w:sz="8" w:color="0000FF"/>
            </w:tcBorders>
          </w:tcPr>
          <w:p>
            <w:pPr>
              <w:spacing w:after="0"/>
              <w:rPr>
                <w:sz w:val="24"/>
                <w:szCs w:val="24"/>
                <w:color w:val="auto"/>
              </w:rPr>
            </w:pPr>
          </w:p>
        </w:tc>
        <w:tc>
          <w:tcPr>
            <w:tcW w:w="69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Performance Sharing Plan for Bargaining Employees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Statements of Net Assets Available for Benefits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99"/>
        </w:trPr>
        <w:tc>
          <w:tcPr>
            <w:tcW w:w="12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in Lockheed Martin Corporation Defined Contribution Plans Master Trust: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3,051,475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2,651,359</w:t>
            </w:r>
          </w:p>
        </w:tc>
      </w:tr>
      <w:tr>
        <w:trPr>
          <w:trHeight w:val="230"/>
        </w:trPr>
        <w:tc>
          <w:tcPr>
            <w:tcW w:w="82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Investments in fully benefit-responsive investment contracts at contract value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287,601</w:t>
            </w:r>
          </w:p>
        </w:tc>
      </w:tr>
      <w:tr>
        <w:trPr>
          <w:trHeight w:val="229"/>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48,231</w:t>
            </w:r>
          </w:p>
        </w:tc>
      </w:tr>
      <w:tr>
        <w:trPr>
          <w:trHeight w:val="223"/>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2,987,191</w:t>
            </w:r>
          </w:p>
        </w:tc>
      </w:tr>
      <w:tr>
        <w:trPr>
          <w:trHeight w:val="229"/>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Administrative expenses payable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net assets available for benefits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3,407,757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2,986,853</w:t>
            </w:r>
          </w:p>
        </w:tc>
      </w:tr>
      <w:tr>
        <w:trPr>
          <w:trHeight w:val="21"/>
        </w:trPr>
        <w:tc>
          <w:tcPr>
            <w:tcW w:w="12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Sharing Plan for Bargaining Employees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9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beginning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2,986,853</w:t>
            </w:r>
          </w:p>
        </w:tc>
        <w:tc>
          <w:tcPr>
            <w:tcW w:w="0" w:type="dxa"/>
            <w:vAlign w:val="bottom"/>
          </w:tcPr>
          <w:p>
            <w:pPr>
              <w:spacing w:after="0"/>
              <w:rPr>
                <w:sz w:val="1"/>
                <w:szCs w:val="1"/>
                <w:color w:val="auto"/>
              </w:rPr>
            </w:pPr>
          </w:p>
        </w:tc>
      </w:tr>
      <w:tr>
        <w:trPr>
          <w:trHeight w:val="209"/>
        </w:trPr>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Additions to net assets: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Contributions: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Participant</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170,828</w:t>
            </w:r>
          </w:p>
        </w:tc>
        <w:tc>
          <w:tcPr>
            <w:tcW w:w="0" w:type="dxa"/>
            <w:vAlign w:val="bottom"/>
          </w:tcPr>
          <w:p>
            <w:pPr>
              <w:spacing w:after="0"/>
              <w:rPr>
                <w:sz w:val="1"/>
                <w:szCs w:val="1"/>
                <w:color w:val="auto"/>
              </w:rPr>
            </w:pPr>
          </w:p>
        </w:tc>
      </w:tr>
      <w:tr>
        <w:trPr>
          <w:trHeight w:val="229"/>
        </w:trPr>
        <w:tc>
          <w:tcPr>
            <w:tcW w:w="93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Employer</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96,140</w:t>
            </w:r>
          </w:p>
        </w:tc>
        <w:tc>
          <w:tcPr>
            <w:tcW w:w="0" w:type="dxa"/>
            <w:vAlign w:val="bottom"/>
          </w:tcPr>
          <w:p>
            <w:pPr>
              <w:spacing w:after="0"/>
              <w:rPr>
                <w:sz w:val="1"/>
                <w:szCs w:val="1"/>
                <w:color w:val="auto"/>
              </w:rPr>
            </w:pPr>
          </w:p>
        </w:tc>
      </w:tr>
      <w:tr>
        <w:trPr>
          <w:trHeight w:val="223"/>
        </w:trPr>
        <w:tc>
          <w:tcPr>
            <w:tcW w:w="9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contributions</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266,968</w:t>
            </w:r>
          </w:p>
        </w:tc>
        <w:tc>
          <w:tcPr>
            <w:tcW w:w="0" w:type="dxa"/>
            <w:vAlign w:val="bottom"/>
          </w:tcPr>
          <w:p>
            <w:pPr>
              <w:spacing w:after="0"/>
              <w:rPr>
                <w:sz w:val="1"/>
                <w:szCs w:val="1"/>
                <w:color w:val="auto"/>
              </w:rPr>
            </w:pPr>
          </w:p>
        </w:tc>
      </w:tr>
      <w:tr>
        <w:trPr>
          <w:trHeight w:val="175"/>
        </w:trPr>
        <w:tc>
          <w:tcPr>
            <w:tcW w:w="9320" w:type="dxa"/>
            <w:vAlign w:val="bottom"/>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auto"/>
              </w:rPr>
              <w:t>Interest in net investment gain from participation in Lockheed Martin Corporation Defined Contribution Plans Master</w:t>
            </w:r>
          </w:p>
        </w:tc>
        <w:tc>
          <w:tcPr>
            <w:tcW w:w="1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Trust</w:t>
            </w: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398,986</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additions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670,236</w:t>
            </w:r>
          </w:p>
        </w:tc>
        <w:tc>
          <w:tcPr>
            <w:tcW w:w="0" w:type="dxa"/>
            <w:vAlign w:val="bottom"/>
          </w:tcPr>
          <w:p>
            <w:pPr>
              <w:spacing w:after="0"/>
              <w:rPr>
                <w:sz w:val="1"/>
                <w:szCs w:val="1"/>
                <w:color w:val="auto"/>
              </w:rPr>
            </w:pPr>
          </w:p>
        </w:tc>
      </w:tr>
      <w:tr>
        <w:trPr>
          <w:trHeight w:val="229"/>
        </w:trPr>
        <w:tc>
          <w:tcPr>
            <w:tcW w:w="9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Deductions from net assets: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Distributions and withdrawals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290,683</w:t>
            </w:r>
          </w:p>
        </w:tc>
        <w:tc>
          <w:tcPr>
            <w:tcW w:w="0" w:type="dxa"/>
            <w:vAlign w:val="bottom"/>
          </w:tcPr>
          <w:p>
            <w:pPr>
              <w:spacing w:after="0"/>
              <w:rPr>
                <w:sz w:val="1"/>
                <w:szCs w:val="1"/>
                <w:color w:val="auto"/>
              </w:rPr>
            </w:pPr>
          </w:p>
        </w:tc>
      </w:tr>
      <w:tr>
        <w:trPr>
          <w:trHeight w:val="229"/>
        </w:trPr>
        <w:tc>
          <w:tcPr>
            <w:tcW w:w="9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23"/>
        </w:trPr>
        <w:tc>
          <w:tcPr>
            <w:tcW w:w="9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deductions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295,508</w:t>
            </w:r>
          </w:p>
        </w:tc>
        <w:tc>
          <w:tcPr>
            <w:tcW w:w="0" w:type="dxa"/>
            <w:vAlign w:val="bottom"/>
          </w:tcPr>
          <w:p>
            <w:pPr>
              <w:spacing w:after="0"/>
              <w:rPr>
                <w:sz w:val="1"/>
                <w:szCs w:val="1"/>
                <w:color w:val="auto"/>
              </w:rPr>
            </w:pPr>
          </w:p>
        </w:tc>
      </w:tr>
      <w:tr>
        <w:trPr>
          <w:trHeight w:val="256"/>
        </w:trPr>
        <w:tc>
          <w:tcPr>
            <w:tcW w:w="9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Change in net assets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374,728</w:t>
            </w:r>
          </w:p>
        </w:tc>
        <w:tc>
          <w:tcPr>
            <w:tcW w:w="0" w:type="dxa"/>
            <w:vAlign w:val="bottom"/>
          </w:tcPr>
          <w:p>
            <w:pPr>
              <w:spacing w:after="0"/>
              <w:rPr>
                <w:sz w:val="1"/>
                <w:szCs w:val="1"/>
                <w:color w:val="auto"/>
              </w:rPr>
            </w:pPr>
          </w:p>
        </w:tc>
      </w:tr>
      <w:tr>
        <w:trPr>
          <w:trHeight w:val="256"/>
        </w:trPr>
        <w:tc>
          <w:tcPr>
            <w:tcW w:w="9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into the plan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w:t>
            </w:r>
          </w:p>
        </w:tc>
        <w:tc>
          <w:tcPr>
            <w:tcW w:w="0" w:type="dxa"/>
            <w:vAlign w:val="bottom"/>
          </w:tcPr>
          <w:p>
            <w:pPr>
              <w:spacing w:after="0"/>
              <w:rPr>
                <w:sz w:val="1"/>
                <w:szCs w:val="1"/>
                <w:color w:val="auto"/>
              </w:rPr>
            </w:pPr>
          </w:p>
        </w:tc>
      </w:tr>
      <w:tr>
        <w:trPr>
          <w:trHeight w:val="256"/>
        </w:trPr>
        <w:tc>
          <w:tcPr>
            <w:tcW w:w="93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9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assets available for benefits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3,407,757</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Lockheed Martin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Sharing Plan for Bargaining Employees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Description of the Plan</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Lockheed Martin Corporation Performance Sharing Plan for Bargaining Employees (the Plan) provides only general information about the Plan’s provisions. Participants should refer to the Plan document and Summary Plan Description for a more complete description of the Plan’s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is a defined contribution plan covering permanent full-time employees and certain permanent part-time employees under collective bargaining agreements of eligible business units of Lockheed Martin Corporation (Lockheed Martin or the Corporation). Employees are eligible to enroll in the Plan after completion of the waiting period in their collective bargaining agreement. Certain nonunion employees, as designated by Lockheed Martin, may participate in the Plan.</w:t>
      </w:r>
    </w:p>
    <w:p>
      <w:pPr>
        <w:spacing w:after="0" w:line="15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Plan includes an Employee Stock Ownership Plan (ESOP) feature. Cash dividends paid on Lockheed Martin common stock in both the ESOP Fund and the Lockheed Martin Stock Fund are automatically reinvested in those funds, unless the participant elects to receive the dividend directly as taxable income.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of the Plan, excluding receivables, are held and invested on a commingled basis in the Lockheed Martin Corporation Defined Contribution Plans Master Trust (the Master Trust) under an agreement between Lockheed Martin and State Street Bank and Trust Company (the Trustee). The record keeper is Empower. Lockheed Martin is the Plan Sponsor and the Plan Administrator.</w:t>
      </w:r>
    </w:p>
    <w:p>
      <w:pPr>
        <w:spacing w:after="0" w:line="13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represented employees who were participating in the Lockheed Martin Corporation Hourly Savings Plan Plus (HSP), the Lockheed Martin Corporation Capital Accumulation Plan (CAP), the Lockheed Martin Corporation Capital Accumulation Plan for Hourly Employees (HCAP), and the Lockheed Martin Corporation Basic Benefit Plan for Hourly Employees (BBP) became eligible to participate in the Plan and ineligible to participate in HSP, CAP, HCAP, and BBP. Most of these employees had their account balances transferred from HSP, CAP, HCAP, and BBP to the Plan. Account balances of those employees with more than one outstanding loan from any plan sponsored by the Corporation or a qualified domestic relations order (QDRO) hold under HSP, CAP, HCAP, or BBP were not immediately transferred; however, these account balances are subject to transfer to the Plan when the loans are repaid or the QDROs are resolved. During 2025, assets of the HSP, CAP, HCAP, and BBP in the amount of $35.9 million, $3.5 million, $4.1 million and $2.7 million, respectively, were transferred to the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21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Collective bargaining agreements determine whether participants can make contributions based on percentage of base wages, whether a participant is automatically enrolled in the Plan, and whether participants are eligible for employer contributions and employer matching contributions. Contributions may be made on a before-tax, after-tax, or Roth 401(k) basis. Eligible employees can contribute up to 40% of the employees' base wages, subject to regulatory limitations. If automatically enrolled, a participant’s contribution is set at 3% of eligible compensation in before-tax contributions. Certain unions in the Plan have an auto-escalation feature whereby contributions for those automatically enrolled are increased 1% each year up to 8% unless changed by the participant. Contributions are limited to amounts determined in collective bargaining agreements. In general, participant contributions eligible for an employer matching contribution range from 0% to 8% of base pay. Certain union participants receive the company contributions in a certain percentage of the employees' base wages. Participants may also elect to make additional contributions that are not considered for purposes of the employer match. The Plan permits catch-up contributions for participants turning age 50 or older by the end of the calendar year. Catch-up contributions are not eligible for Company matching contributions. Pursuant to the applicable collective bargaining agreements, certain participants may contribute additional sources of income to the Plan, such as ratification bonuses, a cost of living adjustment payment or lump sum wage supplement payment. Participants are immediately vested in all employer contributions.</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Contributions may be invested in one or more of the available investment funds at the participant’s election. Participants may change the investment mix of their account balance up to 6 times per calendar quarter. Participants may make an unlimited number of transfers out of the Lockheed Martin Stock Fund or the ESOP Fund.</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An option available to participants is the self-directed brokerage account (SDBA), whereby a participant may elect to invest the participant’s transferable account balance in stocks, mutual funds, bonds, or other investments of the participant’s choosing. A participant’s initial transfer to the SDBA must be at least $500, and subsequent transfers must be at least $500. No distributions, withdrawals, or loans may be made directly from the assets in the SDBA, unless the participant requests a lump sum distribution after termination of employment.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the employer’s matching and non-elective contributions, as applicable, and the respective investment earnings or losses, less expenses, of the individual funds in which the account is invested.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Participants may borrow from their total account balance a minimum of $500 and up to a maximum amount equal to the lesser of 50% of their account balance or $50,000 (minus their highest outstanding loan balance from the past 12 months, if any). The loans are secured by the balance in the participant’s account and bear interest of 1% over a published prime rate. Principal and interest are paid ratably through weekly payroll deductions. Notes receivable from participants are measured at their unpaid principal balance plus any accrued but unpaid interest.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termination of service due to death, disability or retirement, a participant or beneficiary may elect to receive his or her account balance through a number of payout options. A participant is entitled to the account balance at the time his or her employment with the Corporation ends.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8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Although it has not expressed any intent to do so, the Board of Directors of Lockheed Martin has the right to amend, suspend or terminate the Plan at any time, subject to the provisions of the Employee Retirement Income Security Act of 1974 (ERISA). In the event of Plan termination, participants will receive a payment equal to the total value of their accounts.</w:t>
      </w:r>
    </w:p>
    <w:p>
      <w:pPr>
        <w:spacing w:after="0" w:line="172" w:lineRule="exact"/>
        <w:rPr>
          <w:sz w:val="20"/>
          <w:szCs w:val="20"/>
          <w:color w:val="auto"/>
        </w:rPr>
      </w:pPr>
    </w:p>
    <w:p>
      <w:pPr>
        <w:ind w:right="7620" w:firstLine="48"/>
        <w:spacing w:after="0" w:line="464" w:lineRule="auto"/>
        <w:tabs>
          <w:tab w:leader="none" w:pos="2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Accounting</w:t>
      </w:r>
    </w:p>
    <w:p>
      <w:pPr>
        <w:spacing w:after="0"/>
        <w:rPr>
          <w:sz w:val="20"/>
          <w:szCs w:val="20"/>
          <w:color w:val="auto"/>
        </w:rPr>
      </w:pPr>
      <w:r>
        <w:rPr>
          <w:rFonts w:ascii="Times New Roman" w:cs="Times New Roman" w:eastAsia="Times New Roman" w:hAnsi="Times New Roman"/>
          <w:sz w:val="18"/>
          <w:szCs w:val="18"/>
          <w:color w:val="auto"/>
        </w:rPr>
        <w:t>The financial statements of the Plan are prepared on the accrual basis of accounting.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 of assets and liabilities and changes therein, and disclosure of contingent assets and liabilities.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Investments in the Master Trust are primarily reported at fair value. Fair value is the price that would have been received to sell an asset or paid to transfer a liability in an orderly transaction between market participants at the measurement date. Fully benefit-responsive investment contracts are reported at contract value. Contract value is the relevant measurement attributable to fully benefit-responsive investment contracts because it is the amount participants would receive if they were to initiate permitted transactions under the terms of the Plan. The contract value represents contributions plus earnings, less participant withdrawals and administrative expenses. See Note 3 for discussion of fair value measurements and fully benefit-responsive investment contracts.</w:t>
      </w:r>
    </w:p>
    <w:p>
      <w:pPr>
        <w:spacing w:after="0" w:line="1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Purchases and sales of securities in the Master Trust are recorded on a trade-date basis. Interest income is recorded on the accrual basis. Dividends are recorded on the ex-dividend date. Gains and losses on investments bought and sold as well as held during the year are included in interest in net investment gains from the Master Trust on the Statement of Changes in Net Assets Available for Benefits. Interest income on notes receivable from participants is recorded on the accrual basis.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 administrative expenses are paid by the Master Trust and generally allocated to the Plan proportionally based on the Plan’s interest in the Master Trust’s net assets or directly if specifically related to the Plan. Certain indirect administrative expenses are paid by the Corporation and are excluded from these financial statements. Expenses paid by the Plan are shown on the Statement of Changes in Net Assets Available for Benefits.</w:t>
      </w:r>
    </w:p>
    <w:p>
      <w:pPr>
        <w:spacing w:after="0" w:line="172" w:lineRule="exact"/>
        <w:rPr>
          <w:sz w:val="20"/>
          <w:szCs w:val="20"/>
          <w:color w:val="auto"/>
        </w:rPr>
      </w:pPr>
    </w:p>
    <w:p>
      <w:pPr>
        <w:ind w:right="10000" w:firstLine="48"/>
        <w:spacing w:after="0" w:line="464" w:lineRule="auto"/>
        <w:tabs>
          <w:tab w:leader="none" w:pos="2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Master Trust General</w:t>
      </w:r>
    </w:p>
    <w:p>
      <w:pPr>
        <w:spacing w:after="0" w:line="266" w:lineRule="auto"/>
        <w:rPr>
          <w:sz w:val="20"/>
          <w:szCs w:val="20"/>
          <w:color w:val="auto"/>
        </w:rPr>
      </w:pPr>
      <w:r>
        <w:rPr>
          <w:rFonts w:ascii="Times New Roman" w:cs="Times New Roman" w:eastAsia="Times New Roman" w:hAnsi="Times New Roman"/>
          <w:sz w:val="18"/>
          <w:szCs w:val="18"/>
          <w:color w:val="auto"/>
        </w:rPr>
        <w:t>The Plan’s interest in the Master Trust is stated at the value of the underlying net assets in the Master Trust. The realized and unrealized gains and losses and investment income of the Master Trust are allocated among the participating plans included therein proportionally based on each plan’s earnings, which include unrealized gains and losses, investment income and plan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Plan’s interest in the Master Trust balance as of December 31, 2025 and 2024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19"/>
                <w:szCs w:val="19"/>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3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Plan’s Interest</w:t>
            </w: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Master Trust</w:t>
            </w:r>
          </w:p>
        </w:tc>
        <w:tc>
          <w:tcPr>
            <w:tcW w:w="1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Plan’s Interest</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in Master</w:t>
            </w:r>
          </w:p>
        </w:tc>
        <w:tc>
          <w:tcPr>
            <w:tcW w:w="1340" w:type="dxa"/>
            <w:vAlign w:val="bottom"/>
            <w:gridSpan w:val="3"/>
            <w:vMerge w:val="continue"/>
          </w:tcPr>
          <w:p>
            <w:pPr>
              <w:spacing w:after="0"/>
              <w:rPr>
                <w:sz w:val="16"/>
                <w:szCs w:val="16"/>
                <w:color w:val="auto"/>
              </w:rPr>
            </w:pPr>
          </w:p>
        </w:tc>
        <w:tc>
          <w:tcPr>
            <w:tcW w:w="12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 Master Trust</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Trust Balance</w:t>
            </w:r>
          </w:p>
        </w:tc>
        <w:tc>
          <w:tcPr>
            <w:tcW w:w="2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50"/>
        </w:trPr>
        <w:tc>
          <w:tcPr>
            <w:tcW w:w="53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436,933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458,545</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1,465,903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36,102</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129,269</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investments at fair value </w:t>
            </w:r>
            <w:r>
              <w:rPr>
                <w:rFonts w:ascii="Times New Roman" w:cs="Times New Roman" w:eastAsia="Times New Roman" w:hAnsi="Times New Roman"/>
                <w:sz w:val="23"/>
                <w:szCs w:val="23"/>
                <w:color w:val="auto"/>
                <w:vertAlign w:val="superscript"/>
              </w:rPr>
              <w:t>(c)(d)</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55,496,381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50,978,328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2,654,788</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4,887,387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4,991,458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287,601</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from broker for securities sold</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interest and dividends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3"/>
                <w:szCs w:val="23"/>
                <w:color w:val="auto"/>
                <w:vertAlign w:val="superscript"/>
              </w:rPr>
              <w:t>(e)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Due to broker for securities purchased</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Other payables </w:t>
            </w:r>
            <w:r>
              <w:rPr>
                <w:rFonts w:ascii="Times New Roman" w:cs="Times New Roman" w:eastAsia="Times New Roman" w:hAnsi="Times New Roman"/>
                <w:sz w:val="23"/>
                <w:szCs w:val="23"/>
                <w:color w:val="auto"/>
                <w:vertAlign w:val="superscript"/>
              </w:rPr>
              <w:t>(e)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line="223" w:lineRule="exact"/>
              <w:rPr>
                <w:sz w:val="20"/>
                <w:szCs w:val="20"/>
                <w:color w:val="auto"/>
              </w:rPr>
            </w:pPr>
            <w:r>
              <w:rPr>
                <w:rFonts w:ascii="Times New Roman" w:cs="Times New Roman" w:eastAsia="Times New Roman" w:hAnsi="Times New Roman"/>
                <w:sz w:val="18"/>
                <w:szCs w:val="18"/>
                <w:color w:val="auto"/>
              </w:rPr>
              <w:t xml:space="preserve">Total net assets </w:t>
            </w:r>
            <w:r>
              <w:rPr>
                <w:rFonts w:ascii="Times New Roman" w:cs="Times New Roman" w:eastAsia="Times New Roman" w:hAnsi="Times New Roman"/>
                <w:sz w:val="23"/>
                <w:szCs w:val="23"/>
                <w:color w:val="auto"/>
                <w:vertAlign w:val="superscript"/>
              </w:rPr>
              <w:t>(d)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60,409,112</w:t>
            </w:r>
          </w:p>
        </w:tc>
        <w:tc>
          <w:tcPr>
            <w:tcW w:w="10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55,985,178</w:t>
            </w:r>
          </w:p>
        </w:tc>
        <w:tc>
          <w:tcPr>
            <w:tcW w:w="14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2,943,199</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2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340" w:right="40" w:hanging="332"/>
        <w:spacing w:after="0" w:line="239"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Plan’s reported total investments at fair value as of December 31, 2025 and 2024 has a variance of $(15.4) million and $3.4 million, respectively, to the reported Interest in Lockheed Martin Corporation Defined Contribution Plans Master Trust of Investments at fair value on the Statements of Net Assets Available for Benefits (see page 3). These amounts are the net result between certain accruals recorded by either the Master Trust or the Plan separately at year-end.</w:t>
      </w:r>
    </w:p>
    <w:p>
      <w:pPr>
        <w:spacing w:after="0" w:line="157" w:lineRule="exact"/>
        <w:rPr>
          <w:rFonts w:ascii="Times New Roman" w:cs="Times New Roman" w:eastAsia="Times New Roman" w:hAnsi="Times New Roman"/>
          <w:sz w:val="23"/>
          <w:szCs w:val="23"/>
          <w:color w:val="auto"/>
          <w:vertAlign w:val="superscript"/>
        </w:rPr>
      </w:pPr>
    </w:p>
    <w:p>
      <w:pPr>
        <w:ind w:left="340" w:right="80" w:hanging="332"/>
        <w:spacing w:after="0" w:line="235"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total investments at fair value and total net assets on the Master Trust’s balance included $1.7 million and $1.5 million of the Allcomp Inc. 401(k) Profit Sharing Plan balance as of December 31, 2025 and 2024, respectively. Effective April 19, 2022, this Plan became a participating plan in the Master Trust. Since the Plan has less than 100 participants, an audit is not required and accordingly financial statements were not prepared.</w:t>
      </w:r>
    </w:p>
    <w:p>
      <w:pPr>
        <w:spacing w:after="0" w:line="142"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unsettled trades, other receivables/payables, market values on foreign currency, other cash positions on futures.</w:t>
      </w:r>
    </w:p>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Plan, through the Master Trust, invests in the Lockheed Martin Investment Management Company (LMIMCo) Stable Value Fund which holds synthetic guaranteed investment contracts (synthetic GICs) that are fully benefit-responsive and managed separate accounts. A synthetic GIC, also known as a wrap contract, is an investment contract issued by an insurance company or other financial institution paired with an underlying investment or investments, usually a portfolio of high quality fixed income securities. These investment contracts provide the realized and unrealized gains and losses on the underlying investments that are amortized over the duration of the underlying investments through adjustments to the future interest-crediting rates. The primary factors affecting the future interest-crediting rates of the wrap contracts include the level of market interest rates, the amount and timing of participant contributions, transfers, and withdrawals into or out of the wrap contracts, the investment returns generated by the investments that back the wrap contracts, and the duration of the underlying investments covered by the wrap contracts. The future interest-crediting rates may not be less than 0% and are adjusted monthly or quarterly based on the yield to maturity of the underlying investments, a market value to contract value ratio of the underlying investments, and the durations of the underlying investments. The contracts are fully benefit-responsive, which guarantees that all qualified participant withdrawals will occur at contract value.</w:t>
      </w:r>
    </w:p>
    <w:p>
      <w:pPr>
        <w:spacing w:after="0" w:line="1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certain circumstances, the amount withdrawn from the investment contract would be payable at fair value rather than at contract value. These events include termination of the Plan, a material adverse change to the provisions of the Plan, a withdrawal from a wrap contract in order to switch to a different investment provider, or adoption of a successor plan that does not meet the wrap contract issuer’s underwriting criteria for issuance of a duplicate wrap contract. The Plan Administrator does not believe that the occurrence of any of these events is probable. Also, the following events would permit the contract issuers to terminate the contracts prior to their scheduled maturity date: the Plan’s loss of its qualified status, uncured material breaches of responsibilities, or material and adverse changes to the provisions of the Plan. If one of these events were to occur, the contract issuer could terminate the contract at the fair value of the underlying investments.</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Master Trust invests in a Government Short-Term Investment Fund, consisting of U.S. Treasury obligations and commercial paper, which is used as a temporary investment to hold contributions from the day the cash is transferred from the Corporation to the Trustee until the day the cash is invested in a particular fund. The related earnings from the Government Short-Term Investment Fund are used to pay certain expenses related to participant accounts.</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order to provide appropriate liquidity to meet ongoing daily cash outflow requirements for the Lockheed Martin Stock Fund, ESOP Fund, and the other investment funds that are investment alternatives for the Plan that are beneficiaries of the Master Trust, the Master Trust may be able to receive advances from the LMIMCo Stable Value Fund or the Corporation. The LMIMCo Stable Value Fund may make an advance only after considering its own liquidity needs. Any investment fund that receives an advance will compensate the LMIMCo Stable Value Fund for income lost due to any such advance by paying interest on such advance. The interest is compounded daily based on an annual rate equal to the interest crediting rate of the short-term investment portion of the LMIMCo Stable Value Fund. The Lockheed Martin Stock Fund and ESOP Fund may borrow, without interest, up to $200 million from the Corporation, as evidenced by a promissory note, which requires repayment within three business days after the advance. As of December 31, 2025 and 2024, there were no such advances payable to the Corporation. Occasionally, the Master Trust invests in derivative financial instruments for liquidity or asset allocation purposes. As of December 31, 2025 and 2024, there were no material investments in derivatives.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accounting standard for fair value measurements defines fair value, establishes a market-based framework or hierarchy for measuring fair value, and requires disclosures regarding fair value measurements. The standard is applicable whenever assets and liabilities are measured and included in the financial statements at fair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established in the standard prioritizes the inputs used in valuation techniques into three levels as follows:</w:t>
      </w:r>
    </w:p>
    <w:p>
      <w:pPr>
        <w:spacing w:after="0" w:line="185" w:lineRule="exact"/>
        <w:rPr>
          <w:sz w:val="20"/>
          <w:szCs w:val="20"/>
          <w:color w:val="auto"/>
        </w:rPr>
      </w:pPr>
    </w:p>
    <w:p>
      <w:pPr>
        <w:ind w:left="340" w:hanging="29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38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left="460" w:hanging="412"/>
        <w:spacing w:after="0" w:line="312" w:lineRule="auto"/>
        <w:tabs>
          <w:tab w:leader="none" w:pos="343"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prices, such as quoted prices for similar instruments in active markets, quoted prices for identical or similar instruments in inactive markets, and amounts derived from valuation models where all significant inputs are observable in active markets; and</w:t>
      </w:r>
    </w:p>
    <w:p>
      <w:pPr>
        <w:spacing w:after="0" w:line="99" w:lineRule="exact"/>
        <w:rPr>
          <w:rFonts w:ascii="Times New Roman" w:cs="Times New Roman" w:eastAsia="Times New Roman" w:hAnsi="Times New Roman"/>
          <w:sz w:val="17"/>
          <w:szCs w:val="17"/>
          <w:color w:val="auto"/>
        </w:rPr>
      </w:pPr>
    </w:p>
    <w:p>
      <w:pPr>
        <w:ind w:left="460" w:right="20" w:hanging="412"/>
        <w:spacing w:after="0" w:line="282"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valuation models are supported by little or no market activity that one or more significant inputs are unobservable and require us to develop relevant assumptions.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656,715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675,098</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8,437,126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8,447,158</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11,373,758</w:t>
            </w:r>
          </w:p>
        </w:tc>
      </w:tr>
      <w:tr>
        <w:trPr>
          <w:trHeight w:val="230"/>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28,919,660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832,847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1,012,735</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867,174</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662,609</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148,008</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3,390,181</w:t>
            </w:r>
          </w:p>
        </w:tc>
      </w:tr>
      <w:tr>
        <w:trPr>
          <w:trHeight w:val="223"/>
        </w:trPr>
        <w:tc>
          <w:tcPr>
            <w:tcW w:w="6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24,052,295</w:t>
            </w:r>
          </w:p>
        </w:tc>
        <w:tc>
          <w:tcPr>
            <w:tcW w:w="14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31,444,086</w:t>
            </w: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55,496,381</w:t>
            </w:r>
          </w:p>
        </w:tc>
      </w:tr>
      <w:tr>
        <w:trPr>
          <w:trHeight w:val="230"/>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25,344</w:t>
            </w:r>
          </w:p>
        </w:tc>
      </w:tr>
      <w:tr>
        <w:trPr>
          <w:trHeight w:val="229"/>
        </w:trPr>
        <w:tc>
          <w:tcPr>
            <w:tcW w:w="6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4,887,387</w:t>
            </w:r>
          </w:p>
        </w:tc>
      </w:tr>
      <w:tr>
        <w:trPr>
          <w:trHeight w:val="248"/>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60,409,112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dividend income earned by the Master Trust for the year ended December 31, 2025 was $764.0 million. The net appreciation for the year ended December 31, 2025 was $6.1 billion.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assets in the Master Trust by asset category and their level within the fair value hierarchy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3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and cash equivalents and short-term investment fund</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688,214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724,303</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and preferred stocks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6,926,943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6,934,489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stocks - Lockheed Martin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12,097,506</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Common/collective trusts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26,108,226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 (mutual funds)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718,567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755,451</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667,026</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(b)</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2,842,080</w:t>
            </w:r>
          </w:p>
        </w:tc>
      </w:tr>
      <w:tr>
        <w:trPr>
          <w:trHeight w:val="223"/>
        </w:trPr>
        <w:tc>
          <w:tcPr>
            <w:tcW w:w="6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investment assets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22,460,872</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28,517,456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50,978,328</w:t>
            </w:r>
          </w:p>
        </w:tc>
      </w:tr>
      <w:tr>
        <w:trPr>
          <w:trHeight w:val="230"/>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15,392</w:t>
            </w:r>
          </w:p>
        </w:tc>
      </w:tr>
      <w:tr>
        <w:trPr>
          <w:trHeight w:val="230"/>
        </w:trPr>
        <w:tc>
          <w:tcPr>
            <w:tcW w:w="63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4,991,458</w:t>
            </w:r>
          </w:p>
        </w:tc>
      </w:tr>
      <w:tr>
        <w:trPr>
          <w:trHeight w:val="248"/>
        </w:trPr>
        <w:tc>
          <w:tcPr>
            <w:tcW w:w="6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55,985,178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103-12 investment entities.</w:t>
      </w:r>
    </w:p>
    <w:p>
      <w:pPr>
        <w:spacing w:after="0" w:line="113"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0"/>
        </w:numPr>
        <w:rPr>
          <w:rFonts w:ascii="Arial" w:cs="Arial" w:eastAsia="Arial" w:hAnsi="Arial"/>
          <w:sz w:val="23"/>
          <w:szCs w:val="23"/>
          <w:color w:val="auto"/>
          <w:vertAlign w:val="superscript"/>
        </w:rPr>
      </w:pPr>
      <w:r>
        <w:rPr>
          <w:rFonts w:ascii="Times New Roman" w:cs="Times New Roman" w:eastAsia="Times New Roman" w:hAnsi="Times New Roman"/>
          <w:sz w:val="18"/>
          <w:szCs w:val="18"/>
          <w:color w:val="auto"/>
        </w:rPr>
        <w:t>Includes auto loans, bank loans, collateralized mortgage obligations, government agencies and credit card loans.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equivalents and short-term investment funds categorized as Level 1 are mostly comprised of short-term money-market instruments and are valued at cost, which approximates fair value. Cash equivalents and short-term investment funds categorized as Level 2 are short-term government securities consisting of U.S. Treasuries and U.S. agency issues.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Common and preferred stocks categorized as Level 1 are traded on active national and international exchanges and are valued at closing prices on the last trading day of the year. For common and preferred stocks not traded on an active exchange, or if the closing price is not available, the Trustee obtains indicative quotes from a pricing vendor, broker or investment manager. These stocks are categorized as Level 2 if the custodian obtains corroborated quotes from a pricing vendor.</w:t>
      </w:r>
    </w:p>
    <w:p>
      <w:pPr>
        <w:spacing w:after="0" w:line="13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Common/collective trusts (CCTs) and registered investment companies (e.g., mutual funds, exchange-traded funds (ETFs), etc.) are investment vehicles valued using the Net Asset Value (NAV) provided by the fund managers. The NAV is the total value of the fund divided by the number of shares outstanding and is based on the fair value of underlying investments held by the CCTs. CCTs are traded at NAV, determined daily or monthly. CCTs are categorized as Level 2 because the NAVs, although readily determinable, are not published on an active exchange nor publicly available. Registered investment companies are traded at NAV, determined and published daily, and are categorized as Level 1 or categorized as Level 2 if the NAVs, although readily determinable, are not published on an active exchange nor publicly available.</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Corporate debt securities, U.S. Government securities and other investments categorized as Level 2 are valued by the Trustee using pricing models that use verifiable observable market data (e.g., interest rates and yield curves observable at commonly quoted intervals), bids provided by brokers or dealers, or quoted prices of securities with similar characteristics. The Trustee obtains pricing based on indicative quotes or bid evaluations from vendors, brokers or the investment manager.</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SDBA investments categorized as Level 1 are primarily cash equivalents, common stock, ETFs, and mutual funds. As of December 31, 2025 and 2024, this account included Lockheed Martin common stock of $18.2 million and $16.7 million, respectively.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methods described above may produce a fair value calculation that may not be indicative of net realizable value or reflective of future fair values. Furthermore, while management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Parties-in-Interest Transactions</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Plan makes certain investments through the Master Trust, which are considered to be party-in-interest transactions for which a statutory exemption from the prohibited transaction regulation exists.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Master Trust held 23,515,534 and 24,895,062 shares of the Corporation’s common stock as of December 31, 2025 and 2024, respectively. Dividends earned by the Master Trust on the Corporation’s common stock were $322.1 million for the year ended December 31, 2025.</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Master Trust engages certain divisions of State Street Corporation for different services. State Street Bank and Trust Company is engaged by the Master Trust as its trustee and to provide custodial services. State Street Global Markets, LLC provides brokerage services while State Street Global Advisors (SSgA) provides investment management and is an independent fiduciary for the Company Stock Fund and the ESOP Fund. Additionally, SSgA manages the money market portfolio of the LMIMCo Stable Value Fund and the Master Trust uses the State Street Government Short Term Investment Fund (managed by SSgA) as its sweep vehicle.</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Master Trust invests in common stock from Charles Schwab Corporation, who provides the brokerage services for the SDBA investment option under the Plan.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Master Trust owed the Corporation $6.0 million and $6.3 million as of December 31, 2025 and 2024, respectively, for certain expenses paid by the Corporation in providing services to the Plan and certain other plans.</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addition, notes receivable from participants are considered to be party-in-interest transactions for which a statutory exemption from the prohibited transaction regulation exists.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Income Tax Status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Corporation by letter dated October 23, 2013, that the Plan is designed in accordance with applicable sections of the Internal Revenue Code (IRC) and, therefore, the related trust is exempt from taxation. Under current IRS determination letter procedures, there is no opportunity for the Plan to obtain a more recent letter from the IRS. The Plan has been amended since issuance of the determination letter. However, the Plan Administrator and the Corporation’s counsel believe that the current design and operations of the Plan are in compliance with the applicable provisions of the IRC.</w:t>
      </w:r>
    </w:p>
    <w:p>
      <w:pPr>
        <w:spacing w:after="0" w:line="1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GAAP requires management to evaluate tax positions taken by the Plan to determine whether the Plan has taken any uncertain positions that more likely than not would not be sustained upon examination by the IRS. The Plan Administrator has analyzed the tax positions taken by the Plan, and has concluded that as of December 31, 2025, there were no uncertain positions taken or expected to be</w:t>
      </w:r>
    </w:p>
    <w:p>
      <w:pPr>
        <w:sectPr>
          <w:pgSz w:w="11900" w:h="16838" w:orient="portrait"/>
          <w:cols w:equalWidth="0" w:num="1">
            <w:col w:w="11220"/>
          </w:cols>
          <w:pgMar w:left="320" w:top="121" w:right="359" w:bottom="1440" w:gutter="0" w:footer="0" w:header="0"/>
        </w:sect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taken that would require recognition of a liability or asset or disclosure in the financial statements. The Plan is subject to routine audits by taxing jurisdictions, but no tax audits are in progress. The Plan Administrator believes the Plan is no longer subject to income tax examinations for years prior to 2022.</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Reconciliation of Financial Statements to Form 5500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changes in net assets available for benefits for the year ended December 31, 2025, per the financial statements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5500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Amounts per</w:t>
            </w:r>
          </w:p>
        </w:tc>
        <w:tc>
          <w:tcPr>
            <w:tcW w:w="300" w:type="dxa"/>
            <w:vAlign w:val="bottom"/>
            <w:shd w:val="clear" w:color="auto" w:fill="CCEEFF"/>
          </w:tcPr>
          <w:p>
            <w:pPr>
              <w:spacing w:after="0"/>
              <w:rPr>
                <w:sz w:val="21"/>
                <w:szCs w:val="21"/>
                <w:color w:val="auto"/>
              </w:rPr>
            </w:pPr>
          </w:p>
        </w:tc>
        <w:tc>
          <w:tcPr>
            <w:tcW w:w="136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Amounts per Form</w:t>
            </w: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5500</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net investment gain of master trust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398,986</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398,781</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8"/>
              </w:rPr>
              <w:t>4,282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17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4,825</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8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differences arose from the classification of certain administrative expenses, interest income on notes receivable from participants, which are included in the net investment gain in the Master Trust for Form 5500 reporting purposes.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Lockheed Martin Corporation Performance Sharing Plan for Bargaining Employees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Employer Identification Number 52-1893632, Plan Number 055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5500, Schedule H, Line 4i – Schedule of Assets (Held at End of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7"/>
              </w:rPr>
              <w:t>(b)</w:t>
            </w:r>
          </w:p>
        </w:tc>
        <w:tc>
          <w:tcPr>
            <w:tcW w:w="5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center"/>
              <w:ind w:right="204"/>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5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Description of Investment, Including Maturity Date,</w:t>
            </w:r>
          </w:p>
        </w:tc>
        <w:tc>
          <w:tcPr>
            <w:tcW w:w="180" w:type="dxa"/>
            <w:vAlign w:val="bottom"/>
          </w:tcPr>
          <w:p>
            <w:pPr>
              <w:spacing w:after="0"/>
              <w:rPr>
                <w:sz w:val="12"/>
                <w:szCs w:val="12"/>
                <w:color w:val="auto"/>
              </w:rPr>
            </w:pPr>
          </w:p>
        </w:tc>
        <w:tc>
          <w:tcPr>
            <w:tcW w:w="980" w:type="dxa"/>
            <w:vAlign w:val="bottom"/>
            <w:gridSpan w:val="3"/>
            <w:vMerge w:val="restart"/>
          </w:tcPr>
          <w:p>
            <w:pPr>
              <w:jc w:val="center"/>
              <w:ind w:right="470"/>
              <w:spacing w:after="0"/>
              <w:rPr>
                <w:sz w:val="20"/>
                <w:szCs w:val="20"/>
                <w:color w:val="auto"/>
              </w:rPr>
            </w:pPr>
            <w:r>
              <w:rPr>
                <w:rFonts w:ascii="Times New Roman" w:cs="Times New Roman" w:eastAsia="Times New Roman" w:hAnsi="Times New Roman"/>
                <w:sz w:val="14"/>
                <w:szCs w:val="14"/>
                <w:color w:val="auto"/>
              </w:rPr>
              <w:t>(d)</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w:t>
            </w:r>
          </w:p>
        </w:tc>
        <w:tc>
          <w:tcPr>
            <w:tcW w:w="3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Identity of Issue, Borrower, Lessor, or</w:t>
            </w:r>
          </w:p>
        </w:tc>
        <w:tc>
          <w:tcPr>
            <w:tcW w:w="5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Rate of</w:t>
            </w:r>
          </w:p>
        </w:tc>
        <w:tc>
          <w:tcPr>
            <w:tcW w:w="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4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0" w:type="dxa"/>
            <w:vAlign w:val="bottom"/>
          </w:tcPr>
          <w:p>
            <w:pPr>
              <w:spacing w:after="0"/>
              <w:rPr>
                <w:sz w:val="1"/>
                <w:szCs w:val="1"/>
                <w:color w:val="auto"/>
              </w:rPr>
            </w:pPr>
          </w:p>
        </w:tc>
      </w:tr>
      <w:tr>
        <w:trPr>
          <w:trHeight w:val="198"/>
        </w:trPr>
        <w:tc>
          <w:tcPr>
            <w:tcW w:w="440" w:type="dxa"/>
            <w:vAlign w:val="bottom"/>
            <w:gridSpan w:val="2"/>
            <w:vMerge w:val="continue"/>
          </w:tcPr>
          <w:p>
            <w:pPr>
              <w:spacing w:after="0"/>
              <w:rPr>
                <w:sz w:val="17"/>
                <w:szCs w:val="17"/>
                <w:color w:val="auto"/>
              </w:rPr>
            </w:pPr>
          </w:p>
        </w:tc>
        <w:tc>
          <w:tcPr>
            <w:tcW w:w="3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Similar Party</w:t>
            </w:r>
          </w:p>
        </w:tc>
        <w:tc>
          <w:tcPr>
            <w:tcW w:w="5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Interest, Collateral, Par, or Maturity Value</w:t>
            </w:r>
          </w:p>
        </w:tc>
        <w:tc>
          <w:tcPr>
            <w:tcW w:w="180" w:type="dxa"/>
            <w:vAlign w:val="bottom"/>
          </w:tcPr>
          <w:p>
            <w:pPr>
              <w:spacing w:after="0"/>
              <w:rPr>
                <w:sz w:val="17"/>
                <w:szCs w:val="17"/>
                <w:color w:val="auto"/>
              </w:rPr>
            </w:pPr>
          </w:p>
        </w:tc>
        <w:tc>
          <w:tcPr>
            <w:tcW w:w="98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color w:val="auto"/>
              </w:rPr>
              <w:t>Cost</w:t>
            </w:r>
          </w:p>
        </w:tc>
        <w:tc>
          <w:tcPr>
            <w:tcW w:w="1040" w:type="dxa"/>
            <w:vAlign w:val="bottom"/>
          </w:tcPr>
          <w:p>
            <w:pPr>
              <w:jc w:val="center"/>
              <w:ind w:right="204"/>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40" w:type="dxa"/>
            <w:vAlign w:val="bottom"/>
            <w:tcBorders>
              <w:top w:val="single" w:sz="8" w:color="CCEEFF"/>
            </w:tcBorders>
            <w:shd w:val="clear" w:color="auto" w:fill="CCEEFF"/>
          </w:tcPr>
          <w:p>
            <w:pPr>
              <w:spacing w:after="0"/>
              <w:rPr>
                <w:sz w:val="19"/>
                <w:szCs w:val="19"/>
                <w:color w:val="auto"/>
              </w:rPr>
            </w:pPr>
          </w:p>
        </w:tc>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 ranging from 4.25% to 10.5%; varying maturities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27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Party-in-interest for which a statutory exemption exists.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Exhibit</w:t>
      </w:r>
    </w:p>
    <w:p>
      <w:pPr>
        <w:ind w:left="220"/>
        <w:spacing w:after="0"/>
        <w:tabs>
          <w:tab w:leader="none" w:pos="9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30" w:lineRule="exact"/>
        <w:rPr>
          <w:sz w:val="20"/>
          <w:szCs w:val="20"/>
          <w:color w:val="auto"/>
        </w:rPr>
      </w:pPr>
    </w:p>
    <w:p>
      <w:pPr>
        <w:ind w:left="1000" w:hanging="63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Lockheed Martin Corporation, as Plan Administrator, has duly caused this annual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Lockheed Martin Corporation Performance Sharing Plan for Bargaining</w:t>
      </w:r>
    </w:p>
    <w:p>
      <w:pPr>
        <w:ind w:left="5800"/>
        <w:spacing w:after="0"/>
        <w:rPr>
          <w:sz w:val="20"/>
          <w:szCs w:val="20"/>
          <w:color w:val="auto"/>
        </w:rPr>
      </w:pPr>
      <w:r>
        <w:rPr>
          <w:rFonts w:ascii="Times New Roman" w:cs="Times New Roman" w:eastAsia="Times New Roman" w:hAnsi="Times New Roman"/>
          <w:sz w:val="18"/>
          <w:szCs w:val="18"/>
          <w:color w:val="auto"/>
        </w:rPr>
        <w:t>Employees, by Lockheed Martin Corporation as Plan Administrator</w:t>
      </w:r>
    </w:p>
    <w:p>
      <w:pPr>
        <w:spacing w:after="0" w:line="232" w:lineRule="exact"/>
        <w:rPr>
          <w:sz w:val="20"/>
          <w:szCs w:val="20"/>
          <w:color w:val="auto"/>
        </w:rPr>
      </w:pPr>
    </w:p>
    <w:p>
      <w:pPr>
        <w:ind w:left="20"/>
        <w:spacing w:after="0"/>
        <w:tabs>
          <w:tab w:leader="none" w:pos="5780" w:val="left"/>
        </w:tabs>
        <w:rPr>
          <w:sz w:val="20"/>
          <w:szCs w:val="20"/>
          <w:color w:val="auto"/>
        </w:rPr>
      </w:pPr>
      <w:r>
        <w:rPr>
          <w:rFonts w:ascii="Times New Roman" w:cs="Times New Roman" w:eastAsia="Times New Roman" w:hAnsi="Times New Roman"/>
          <w:sz w:val="18"/>
          <w:szCs w:val="18"/>
          <w:color w:val="auto"/>
        </w:rPr>
        <w:t>Date: June 24, 2026</w:t>
      </w:r>
      <w:r>
        <w:rPr>
          <w:sz w:val="20"/>
          <w:szCs w:val="20"/>
          <w:color w:val="auto"/>
        </w:rPr>
        <w:tab/>
      </w:r>
      <w:r>
        <w:rPr>
          <w:rFonts w:ascii="Times New Roman" w:cs="Times New Roman" w:eastAsia="Times New Roman" w:hAnsi="Times New Roman"/>
          <w:sz w:val="17"/>
          <w:szCs w:val="17"/>
          <w:color w:val="auto"/>
        </w:rPr>
        <w:t>by: /s/ Nicholas Lossia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Nicholas Lossia</w:t>
      </w:r>
    </w:p>
    <w:p>
      <w:pPr>
        <w:ind w:left="5800"/>
        <w:spacing w:after="0"/>
        <w:rPr>
          <w:sz w:val="20"/>
          <w:szCs w:val="20"/>
          <w:color w:val="auto"/>
        </w:rPr>
      </w:pPr>
      <w:r>
        <w:rPr>
          <w:rFonts w:ascii="Times New Roman" w:cs="Times New Roman" w:eastAsia="Times New Roman" w:hAnsi="Times New Roman"/>
          <w:sz w:val="18"/>
          <w:szCs w:val="18"/>
          <w:color w:val="auto"/>
        </w:rPr>
        <w:t>Vice President, Total Rewards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121" w:right="57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333-237831) pertaining to the Lockheed Martin Corporation Performance Sharing Plan for Bargaining Employees of our report dated June 24, 2026, with respect to the financial statements and supplemental schedule of the Lockheed Martin Corporation Performance Sharing Plan for Bargaining Employees included in this Annual Report (Form 11-K) for the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Mitchell &amp; Titus,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upperLetter"/>
      <w:start w:val="2"/>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2026-06-24T16:59:38Z</dcterms:created>
  <dcterms:modified xsi:type="dcterms:W3CDTF">2026-06-24T16:59:38Z</dcterms:modified>
</cp:coreProperties>
</file>