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8000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80009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Sanchez Orlando Jr.</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920" w:type="dxa"/>
            <w:vAlign w:val="bottom"/>
            <w:tcBorders>
              <w:top w:val="single" w:sz="8" w:color="0000EE"/>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LOCKHEED MARTIN CORP</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LMT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280"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6801 ROCKLEDGE DRIVE</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BETHESDA MD</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20817</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703"/>
        <w:spacing w:after="0"/>
        <w:rPr>
          <w:sz w:val="20"/>
          <w:szCs w:val="20"/>
          <w:color w:val="auto"/>
        </w:rPr>
      </w:pPr>
      <w:r>
        <w:rPr>
          <w:rFonts w:ascii="Times New Roman" w:cs="Times New Roman" w:eastAsia="Times New Roman" w:hAnsi="Times New Roman"/>
          <w:sz w:val="20"/>
          <w:szCs w:val="20"/>
          <w:color w:val="0000FF"/>
        </w:rPr>
        <w:t>President Aeronautics</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00" w:type="dxa"/>
            <w:vAlign w:val="bottom"/>
          </w:tcPr>
          <w:p>
            <w:pPr>
              <w:ind w:left="60"/>
              <w:spacing w:after="0"/>
              <w:rPr>
                <w:sz w:val="20"/>
                <w:szCs w:val="20"/>
                <w:color w:val="auto"/>
              </w:rPr>
            </w:pPr>
            <w:r>
              <w:rPr>
                <w:rFonts w:ascii="Arial" w:cs="Arial" w:eastAsia="Arial" w:hAnsi="Arial"/>
                <w:sz w:val="15"/>
                <w:szCs w:val="15"/>
                <w:b w:val="1"/>
                <w:bCs w:val="1"/>
                <w:color w:val="auto"/>
              </w:rPr>
              <w:t>2. Amount of Securities</w:t>
            </w:r>
          </w:p>
        </w:tc>
        <w:tc>
          <w:tcPr>
            <w:tcW w:w="1420" w:type="dxa"/>
            <w:vAlign w:val="bottom"/>
            <w:gridSpan w:val="3"/>
          </w:tcPr>
          <w:p>
            <w:pPr>
              <w:ind w:left="24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00" w:type="dxa"/>
            <w:vAlign w:val="bottom"/>
          </w:tcPr>
          <w:p>
            <w:pPr>
              <w:ind w:left="60"/>
              <w:spacing w:after="0" w:line="165" w:lineRule="exact"/>
              <w:rPr>
                <w:sz w:val="20"/>
                <w:szCs w:val="20"/>
                <w:color w:val="auto"/>
              </w:rPr>
            </w:pPr>
            <w:r>
              <w:rPr>
                <w:rFonts w:ascii="Arial" w:cs="Arial" w:eastAsia="Arial" w:hAnsi="Arial"/>
                <w:sz w:val="15"/>
                <w:szCs w:val="15"/>
                <w:b w:val="1"/>
                <w:bCs w:val="1"/>
                <w:color w:val="auto"/>
                <w:w w:val="99"/>
              </w:rPr>
              <w:t>Beneficially Owned (Instr.</w:t>
            </w:r>
          </w:p>
        </w:tc>
        <w:tc>
          <w:tcPr>
            <w:tcW w:w="1420" w:type="dxa"/>
            <w:vAlign w:val="bottom"/>
            <w:gridSpan w:val="3"/>
          </w:tcPr>
          <w:p>
            <w:pPr>
              <w:ind w:left="24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4)</w:t>
            </w:r>
          </w:p>
        </w:tc>
        <w:tc>
          <w:tcPr>
            <w:tcW w:w="1420" w:type="dxa"/>
            <w:vAlign w:val="bottom"/>
            <w:gridSpan w:val="3"/>
          </w:tcPr>
          <w:p>
            <w:pPr>
              <w:ind w:left="240"/>
              <w:spacing w:after="0" w:line="165" w:lineRule="exact"/>
              <w:rPr>
                <w:sz w:val="20"/>
                <w:szCs w:val="20"/>
                <w:color w:val="auto"/>
              </w:rPr>
            </w:pPr>
            <w:r>
              <w:rPr>
                <w:rFonts w:ascii="Arial" w:cs="Arial" w:eastAsia="Arial" w:hAnsi="Arial"/>
                <w:sz w:val="15"/>
                <w:szCs w:val="15"/>
                <w:b w:val="1"/>
                <w:bCs w:val="1"/>
                <w:color w:val="auto"/>
              </w:rPr>
              <w:t>(D) or Indirect</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20" w:type="dxa"/>
            <w:vAlign w:val="bottom"/>
            <w:gridSpan w:val="3"/>
          </w:tcPr>
          <w:p>
            <w:pPr>
              <w:ind w:left="240"/>
              <w:spacing w:after="0"/>
              <w:rPr>
                <w:sz w:val="20"/>
                <w:szCs w:val="20"/>
                <w:color w:val="auto"/>
              </w:rPr>
            </w:pPr>
            <w:r>
              <w:rPr>
                <w:rFonts w:ascii="Arial" w:cs="Arial" w:eastAsia="Arial" w:hAnsi="Arial"/>
                <w:sz w:val="15"/>
                <w:szCs w:val="15"/>
                <w:b w:val="1"/>
                <w:bCs w:val="1"/>
                <w:color w:val="auto"/>
              </w:rPr>
              <w:t>(I) (Instr. 5)</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00" w:type="dxa"/>
            <w:vAlign w:val="bottom"/>
            <w:vMerge w:val="restart"/>
          </w:tcPr>
          <w:p>
            <w:pPr>
              <w:ind w:left="700"/>
              <w:spacing w:after="0"/>
              <w:rPr>
                <w:sz w:val="20"/>
                <w:szCs w:val="20"/>
                <w:color w:val="auto"/>
              </w:rPr>
            </w:pPr>
            <w:r>
              <w:rPr>
                <w:rFonts w:ascii="Times New Roman" w:cs="Times New Roman" w:eastAsia="Times New Roman" w:hAnsi="Times New Roman"/>
                <w:sz w:val="20"/>
                <w:szCs w:val="20"/>
                <w:color w:val="0000FF"/>
              </w:rPr>
              <w:t>460.226</w:t>
            </w:r>
          </w:p>
        </w:tc>
        <w:tc>
          <w:tcPr>
            <w:tcW w:w="680" w:type="dxa"/>
            <w:vAlign w:val="bottom"/>
          </w:tcPr>
          <w:p>
            <w:pPr>
              <w:spacing w:after="0"/>
              <w:rPr>
                <w:sz w:val="24"/>
                <w:szCs w:val="24"/>
                <w:color w:val="auto"/>
              </w:rPr>
            </w:pPr>
          </w:p>
        </w:tc>
        <w:tc>
          <w:tcPr>
            <w:tcW w:w="740" w:type="dxa"/>
            <w:vAlign w:val="bottom"/>
            <w:gridSpan w:val="2"/>
            <w:vMerge w:val="restart"/>
          </w:tcPr>
          <w:p>
            <w:pPr>
              <w:jc w:val="right"/>
              <w:ind w:right="565"/>
              <w:spacing w:after="0"/>
              <w:rPr>
                <w:sz w:val="20"/>
                <w:szCs w:val="20"/>
                <w:color w:val="auto"/>
              </w:rPr>
            </w:pPr>
            <w:r>
              <w:rPr>
                <w:rFonts w:ascii="Times New Roman" w:cs="Times New Roman" w:eastAsia="Times New Roman" w:hAnsi="Times New Roman"/>
                <w:sz w:val="20"/>
                <w:szCs w:val="20"/>
                <w:color w:val="0000FF"/>
              </w:rPr>
              <w:t>I</w:t>
            </w: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Lockheed Martin Salaried</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90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Savings Plan</w:t>
            </w:r>
          </w:p>
        </w:tc>
        <w:tc>
          <w:tcPr>
            <w:tcW w:w="1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500" w:type="dxa"/>
            <w:vAlign w:val="bottom"/>
            <w:tcBorders>
              <w:bottom w:val="single" w:sz="8" w:color="2C2C2C"/>
            </w:tcBorders>
            <w:gridSpan w:val="5"/>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5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180" w:type="dxa"/>
            <w:vAlign w:val="bottom"/>
            <w:tcBorders>
              <w:top w:val="single" w:sz="8" w:color="2C2C2C"/>
            </w:tcBorders>
            <w:gridSpan w:val="6"/>
          </w:tcPr>
          <w:p>
            <w:pPr>
              <w:jc w:val="center"/>
              <w:ind w:right="125"/>
              <w:spacing w:after="0"/>
              <w:rPr>
                <w:sz w:val="20"/>
                <w:szCs w:val="20"/>
                <w:color w:val="auto"/>
              </w:rPr>
            </w:pPr>
            <w:r>
              <w:rPr>
                <w:rFonts w:ascii="Arial" w:cs="Arial" w:eastAsia="Arial" w:hAnsi="Arial"/>
                <w:sz w:val="20"/>
                <w:szCs w:val="20"/>
                <w:b w:val="1"/>
                <w:bCs w:val="1"/>
                <w:color w:val="auto"/>
                <w:w w:val="96"/>
              </w:rPr>
              <w:t>Table II - Derivative Securities Beneficially Owned</w:t>
            </w:r>
          </w:p>
        </w:tc>
        <w:tc>
          <w:tcPr>
            <w:tcW w:w="30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5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7"/>
          </w:tcPr>
          <w:p>
            <w:pPr>
              <w:jc w:val="cente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00" w:type="dxa"/>
            <w:vAlign w:val="bottom"/>
          </w:tcPr>
          <w:p>
            <w:pPr>
              <w:spacing w:after="0"/>
              <w:rPr>
                <w:sz w:val="18"/>
                <w:szCs w:val="18"/>
                <w:color w:val="auto"/>
              </w:rPr>
            </w:pPr>
          </w:p>
        </w:tc>
        <w:tc>
          <w:tcPr>
            <w:tcW w:w="186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100"/>
              <w:spacing w:after="0"/>
              <w:rPr>
                <w:sz w:val="20"/>
                <w:szCs w:val="20"/>
                <w:color w:val="auto"/>
              </w:rPr>
            </w:pPr>
            <w:r>
              <w:rPr>
                <w:rFonts w:ascii="Arial" w:cs="Arial" w:eastAsia="Arial" w:hAnsi="Arial"/>
                <w:sz w:val="15"/>
                <w:szCs w:val="15"/>
                <w:b w:val="1"/>
                <w:bCs w:val="1"/>
                <w:color w:val="auto"/>
              </w:rPr>
              <w:t>3. Title and Amount of Securities</w:t>
            </w:r>
          </w:p>
        </w:tc>
        <w:tc>
          <w:tcPr>
            <w:tcW w:w="740" w:type="dxa"/>
            <w:vAlign w:val="bottom"/>
            <w:gridSpan w:val="2"/>
          </w:tcPr>
          <w:p>
            <w:pPr>
              <w:ind w:left="120"/>
              <w:spacing w:after="0"/>
              <w:rPr>
                <w:sz w:val="20"/>
                <w:szCs w:val="20"/>
                <w:color w:val="auto"/>
              </w:rPr>
            </w:pPr>
            <w:r>
              <w:rPr>
                <w:rFonts w:ascii="Arial" w:cs="Arial" w:eastAsia="Arial" w:hAnsi="Arial"/>
                <w:sz w:val="15"/>
                <w:szCs w:val="15"/>
                <w:b w:val="1"/>
                <w:bCs w:val="1"/>
                <w:color w:val="auto"/>
              </w:rPr>
              <w:t>4.</w:t>
            </w:r>
          </w:p>
        </w:tc>
        <w:tc>
          <w:tcPr>
            <w:tcW w:w="3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4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9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90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(Instr. 4)</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30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2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900" w:type="dxa"/>
            <w:vAlign w:val="bottom"/>
          </w:tcPr>
          <w:p>
            <w:pPr>
              <w:spacing w:after="0"/>
              <w:rPr>
                <w:sz w:val="5"/>
                <w:szCs w:val="5"/>
                <w:color w:val="auto"/>
              </w:rPr>
            </w:pPr>
          </w:p>
        </w:tc>
        <w:tc>
          <w:tcPr>
            <w:tcW w:w="6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Amount</w:t>
            </w:r>
          </w:p>
        </w:tc>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5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8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6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300" w:type="dxa"/>
            <w:vAlign w:val="bottom"/>
          </w:tcPr>
          <w:p>
            <w:pPr>
              <w:spacing w:after="0"/>
              <w:rPr>
                <w:sz w:val="14"/>
                <w:szCs w:val="14"/>
                <w:color w:val="auto"/>
              </w:rPr>
            </w:pP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8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Number</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900" w:type="dxa"/>
            <w:vAlign w:val="bottom"/>
          </w:tcPr>
          <w:p>
            <w:pPr>
              <w:spacing w:after="0"/>
              <w:rPr>
                <w:sz w:val="14"/>
                <w:szCs w:val="14"/>
                <w:color w:val="auto"/>
              </w:rPr>
            </w:pPr>
          </w:p>
        </w:tc>
        <w:tc>
          <w:tcPr>
            <w:tcW w:w="68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6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900" w:type="dxa"/>
            <w:vAlign w:val="bottom"/>
          </w:tcPr>
          <w:p>
            <w:pPr>
              <w:ind w:left="100"/>
              <w:spacing w:after="0"/>
              <w:rPr>
                <w:sz w:val="20"/>
                <w:szCs w:val="20"/>
                <w:color w:val="auto"/>
              </w:rPr>
            </w:pPr>
            <w:r>
              <w:rPr>
                <w:rFonts w:ascii="Arial" w:cs="Arial" w:eastAsia="Arial" w:hAnsi="Arial"/>
                <w:sz w:val="15"/>
                <w:szCs w:val="15"/>
                <w:b w:val="1"/>
                <w:bCs w:val="1"/>
                <w:color w:val="auto"/>
              </w:rPr>
              <w:t>Title</w:t>
            </w:r>
          </w:p>
        </w:tc>
        <w:tc>
          <w:tcPr>
            <w:tcW w:w="680" w:type="dxa"/>
            <w:vAlign w:val="bottom"/>
          </w:tcPr>
          <w:p>
            <w:pPr>
              <w:ind w:left="2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120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02/22/2027</w:t>
            </w:r>
          </w:p>
        </w:tc>
        <w:tc>
          <w:tcPr>
            <w:tcW w:w="190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9"/>
              </w:rPr>
              <w:t>685</w:t>
            </w:r>
          </w:p>
        </w:tc>
        <w:tc>
          <w:tcPr>
            <w:tcW w:w="740" w:type="dxa"/>
            <w:vAlign w:val="bottom"/>
            <w:gridSpan w:val="2"/>
          </w:tcPr>
          <w:p>
            <w:pPr>
              <w:jc w:val="right"/>
              <w:ind w:right="45"/>
              <w:spacing w:after="0"/>
              <w:rPr>
                <w:sz w:val="20"/>
                <w:szCs w:val="20"/>
                <w:color w:val="auto"/>
              </w:rPr>
            </w:pPr>
            <w:r>
              <w:rPr>
                <w:rFonts w:ascii="Times New Roman" w:cs="Times New Roman" w:eastAsia="Times New Roman" w:hAnsi="Times New Roman"/>
                <w:sz w:val="13"/>
                <w:szCs w:val="13"/>
                <w:color w:val="008000"/>
              </w:rPr>
              <w:t>(2)</w:t>
            </w:r>
          </w:p>
        </w:tc>
        <w:tc>
          <w:tcPr>
            <w:tcW w:w="3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D</w:t>
            </w: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gridSpan w:val="2"/>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120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02/26/2028</w:t>
            </w:r>
          </w:p>
        </w:tc>
        <w:tc>
          <w:tcPr>
            <w:tcW w:w="190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9"/>
              </w:rPr>
              <w:t>729</w:t>
            </w:r>
          </w:p>
        </w:tc>
        <w:tc>
          <w:tcPr>
            <w:tcW w:w="740" w:type="dxa"/>
            <w:vAlign w:val="bottom"/>
            <w:gridSpan w:val="2"/>
          </w:tcPr>
          <w:p>
            <w:pPr>
              <w:jc w:val="right"/>
              <w:ind w:right="45"/>
              <w:spacing w:after="0"/>
              <w:rPr>
                <w:sz w:val="20"/>
                <w:szCs w:val="20"/>
                <w:color w:val="auto"/>
              </w:rPr>
            </w:pPr>
            <w:r>
              <w:rPr>
                <w:rFonts w:ascii="Times New Roman" w:cs="Times New Roman" w:eastAsia="Times New Roman" w:hAnsi="Times New Roman"/>
                <w:sz w:val="13"/>
                <w:szCs w:val="13"/>
                <w:color w:val="008000"/>
              </w:rPr>
              <w:t>(2)</w:t>
            </w:r>
          </w:p>
        </w:tc>
        <w:tc>
          <w:tcPr>
            <w:tcW w:w="3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D</w:t>
            </w: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gridSpan w:val="2"/>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120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08/14/2028</w:t>
            </w:r>
          </w:p>
        </w:tc>
        <w:tc>
          <w:tcPr>
            <w:tcW w:w="190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1,201</w:t>
            </w:r>
          </w:p>
        </w:tc>
        <w:tc>
          <w:tcPr>
            <w:tcW w:w="740" w:type="dxa"/>
            <w:vAlign w:val="bottom"/>
            <w:gridSpan w:val="2"/>
          </w:tcPr>
          <w:p>
            <w:pPr>
              <w:jc w:val="right"/>
              <w:ind w:right="45"/>
              <w:spacing w:after="0"/>
              <w:rPr>
                <w:sz w:val="20"/>
                <w:szCs w:val="20"/>
                <w:color w:val="auto"/>
              </w:rPr>
            </w:pPr>
            <w:r>
              <w:rPr>
                <w:rFonts w:ascii="Times New Roman" w:cs="Times New Roman" w:eastAsia="Times New Roman" w:hAnsi="Times New Roman"/>
                <w:sz w:val="13"/>
                <w:szCs w:val="13"/>
                <w:color w:val="008000"/>
              </w:rPr>
              <w:t>(2)</w:t>
            </w:r>
          </w:p>
        </w:tc>
        <w:tc>
          <w:tcPr>
            <w:tcW w:w="3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D</w:t>
            </w: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LM</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Phantom Stock Units</w:t>
            </w:r>
          </w:p>
        </w:tc>
        <w:tc>
          <w:tcPr>
            <w:tcW w:w="120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(3)</w:t>
            </w:r>
          </w:p>
        </w:tc>
        <w:tc>
          <w:tcPr>
            <w:tcW w:w="190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20.7473</w:t>
            </w:r>
          </w:p>
        </w:tc>
        <w:tc>
          <w:tcPr>
            <w:tcW w:w="740" w:type="dxa"/>
            <w:vAlign w:val="bottom"/>
            <w:gridSpan w:val="2"/>
          </w:tcPr>
          <w:p>
            <w:pPr>
              <w:jc w:val="right"/>
              <w:ind w:right="45"/>
              <w:spacing w:after="0"/>
              <w:rPr>
                <w:sz w:val="20"/>
                <w:szCs w:val="20"/>
                <w:color w:val="auto"/>
              </w:rPr>
            </w:pPr>
            <w:r>
              <w:rPr>
                <w:rFonts w:ascii="Times New Roman" w:cs="Times New Roman" w:eastAsia="Times New Roman" w:hAnsi="Times New Roman"/>
                <w:sz w:val="13"/>
                <w:szCs w:val="13"/>
                <w:color w:val="008000"/>
              </w:rPr>
              <w:t>(3)</w:t>
            </w:r>
          </w:p>
        </w:tc>
        <w:tc>
          <w:tcPr>
            <w:tcW w:w="3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89"/>
              </w:rPr>
              <w:t>I</w:t>
            </w: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Supplemental</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Savings Plan</w:t>
            </w: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22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Award of restricted stock units which vests on the third anniversary of the grant date. Per the award agreement, vesting may be accelerated to the extent necessary to satisfy tax withholding obligations for retirement-eligible Reporting Persons and such vested shares shall be disposed to the Issuer for the purposes of satisfying the Reporting Person's tax withholding obligations, which is an exempt transaction under Rule 16b-3.</w:t>
      </w:r>
    </w:p>
    <w:p>
      <w:pPr>
        <w:spacing w:after="0" w:line="29"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restricted stock unit represents a contingent right to receive one share of LMT common stock.</w:t>
      </w:r>
    </w:p>
    <w:p>
      <w:pPr>
        <w:spacing w:after="0" w:line="52" w:lineRule="exact"/>
        <w:rPr>
          <w:rFonts w:ascii="Times New Roman" w:cs="Times New Roman" w:eastAsia="Times New Roman" w:hAnsi="Times New Roman"/>
          <w:sz w:val="15"/>
          <w:szCs w:val="15"/>
          <w:color w:val="008000"/>
        </w:rPr>
      </w:pPr>
    </w:p>
    <w:p>
      <w:pPr>
        <w:ind w:left="40" w:right="5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Phantom stock units acquired under the Lockheed Martin Supplemental Savings Plan exempt under Section 16(b) which will be settled in cash upon the reporting person's retirement or termination of service. The phantom stock units convert on a one-for-one basis.</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5"/>
              </w:rPr>
              <w:t>Orlando Sanchez, Jr., by</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900" w:type="dxa"/>
            <w:vAlign w:val="bottom"/>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Lynda M. Noggle,</w:t>
            </w:r>
          </w:p>
        </w:tc>
        <w:tc>
          <w:tcPr>
            <w:tcW w:w="1180" w:type="dxa"/>
            <w:vAlign w:val="bottom"/>
            <w:gridSpan w:val="2"/>
          </w:tcPr>
          <w:p>
            <w:pPr>
              <w:ind w:left="280"/>
              <w:spacing w:after="0" w:line="220" w:lineRule="exact"/>
              <w:rPr>
                <w:sz w:val="20"/>
                <w:szCs w:val="20"/>
                <w:color w:val="auto"/>
              </w:rPr>
            </w:pPr>
            <w:r>
              <w:rPr>
                <w:rFonts w:ascii="Times New Roman" w:cs="Times New Roman" w:eastAsia="Times New Roman" w:hAnsi="Times New Roman"/>
                <w:sz w:val="20"/>
                <w:szCs w:val="20"/>
                <w:color w:val="0000FF"/>
                <w:w w:val="96"/>
              </w:rPr>
              <w:t>06/10/2026</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420" w:type="dxa"/>
            <w:vAlign w:val="bottom"/>
            <w:tcBorders>
              <w:top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190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280" w:type="dxa"/>
            <w:vAlign w:val="bottom"/>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190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2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9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4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4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Lockheed Martin Corporation</w:t>
      </w:r>
    </w:p>
    <w:p>
      <w:pPr>
        <w:spacing w:after="0" w:line="188" w:lineRule="exact"/>
        <w:rPr>
          <w:sz w:val="20"/>
          <w:szCs w:val="20"/>
          <w:color w:val="auto"/>
        </w:rPr>
      </w:pPr>
    </w:p>
    <w:p>
      <w:pPr>
        <w:ind w:right="619"/>
        <w:spacing w:after="0" w:line="279" w:lineRule="auto"/>
        <w:rPr>
          <w:sz w:val="20"/>
          <w:szCs w:val="20"/>
          <w:color w:val="auto"/>
        </w:rPr>
      </w:pPr>
      <w:r>
        <w:rPr>
          <w:rFonts w:ascii="Courier New" w:cs="Courier New" w:eastAsia="Courier New" w:hAnsi="Courier New"/>
          <w:sz w:val="18"/>
          <w:szCs w:val="18"/>
          <w:color w:val="auto"/>
        </w:rPr>
        <w:t>The undersigned hereby constitutes and appoints Kevin J. O'Connor, John E. Stevens and Lynda M. Noggle, and each of them, jointly and severally, the undersigned's lawful attorney-in-fact and agent, with full power of substitution</w:t>
      </w:r>
    </w:p>
    <w:p>
      <w:pPr>
        <w:ind w:right="619" w:firstLine="234"/>
        <w:spacing w:after="0" w:line="264" w:lineRule="auto"/>
        <w:rPr>
          <w:sz w:val="20"/>
          <w:szCs w:val="20"/>
          <w:color w:val="auto"/>
        </w:rPr>
      </w:pPr>
      <w:r>
        <w:rPr>
          <w:rFonts w:ascii="Courier New" w:cs="Courier New" w:eastAsia="Courier New" w:hAnsi="Courier New"/>
          <w:sz w:val="18"/>
          <w:szCs w:val="18"/>
          <w:color w:val="auto"/>
        </w:rPr>
        <w:t>and re-substitution, for and in the undersigned's name, place and stead, and authorizes each of them in any and all capacities to effect the actions described in paragraphs 1 through 6 below, granting unto said attorneys-in-fact and agents, and each of them, full power and authority to do and perform each and every act and thing requisite or necessary to be done as fully to all intents and purposes as the undersigned might or could do in person, hereby ratifying and confirming all that said attorneys-in-fact and agents, and each of</w:t>
      </w:r>
    </w:p>
    <w:p>
      <w:pPr>
        <w:spacing w:after="0" w:line="6" w:lineRule="exact"/>
        <w:rPr>
          <w:sz w:val="20"/>
          <w:szCs w:val="20"/>
          <w:color w:val="auto"/>
        </w:rPr>
      </w:pPr>
    </w:p>
    <w:p>
      <w:pPr>
        <w:ind w:left="240" w:right="619"/>
        <w:spacing w:after="0" w:line="310" w:lineRule="auto"/>
        <w:rPr>
          <w:sz w:val="20"/>
          <w:szCs w:val="20"/>
          <w:color w:val="auto"/>
        </w:rPr>
      </w:pPr>
      <w:r>
        <w:rPr>
          <w:rFonts w:ascii="Courier New" w:cs="Courier New" w:eastAsia="Courier New" w:hAnsi="Courier New"/>
          <w:sz w:val="20"/>
          <w:szCs w:val="20"/>
          <w:color w:val="auto"/>
        </w:rPr>
        <w:t>them, or any substitute or substitutes, may lawfully do or cause to be done by virtue hereof.</w:t>
      </w:r>
    </w:p>
    <w:p>
      <w:pPr>
        <w:spacing w:after="0" w:line="54" w:lineRule="exact"/>
        <w:rPr>
          <w:sz w:val="20"/>
          <w:szCs w:val="20"/>
          <w:color w:val="auto"/>
        </w:rPr>
      </w:pPr>
    </w:p>
    <w:p>
      <w:pPr>
        <w:ind w:right="739"/>
        <w:spacing w:after="0" w:line="286" w:lineRule="auto"/>
        <w:tabs>
          <w:tab w:leader="none" w:pos="35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credentials to enable the undersigned to submit and file documents, forms and information via the United States Securities and Exchange Commission (SEC) Electronic Data Gathering and Retrieval (EDGAR) system, including (i)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(ii) enrolling the undersigned in EDGAR Next.</w:t>
      </w:r>
    </w:p>
    <w:p>
      <w:pPr>
        <w:spacing w:after="0" w:line="307" w:lineRule="exact"/>
        <w:rPr>
          <w:rFonts w:ascii="Courier New" w:cs="Courier New" w:eastAsia="Courier New" w:hAnsi="Courier New"/>
          <w:sz w:val="18"/>
          <w:szCs w:val="18"/>
          <w:color w:val="auto"/>
        </w:rPr>
      </w:pPr>
    </w:p>
    <w:p>
      <w:pPr>
        <w:ind w:left="360" w:hanging="360"/>
        <w:spacing w:after="0"/>
        <w:tabs>
          <w:tab w:leader="none" w:pos="3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 as account administrator for the undersigned's EDGAR account, including</w:t>
      </w:r>
    </w:p>
    <w:p>
      <w:pPr>
        <w:spacing w:after="0" w:line="57" w:lineRule="exact"/>
        <w:rPr>
          <w:rFonts w:ascii="Courier New" w:cs="Courier New" w:eastAsia="Courier New" w:hAnsi="Courier New"/>
          <w:sz w:val="18"/>
          <w:szCs w:val="18"/>
          <w:color w:val="auto"/>
        </w:rPr>
      </w:pPr>
    </w:p>
    <w:p>
      <w:pPr>
        <w:ind w:right="739"/>
        <w:spacing w:after="0" w:line="252"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 appointing, removing and replacing account administrators, technical administrators, account users and delegated entities; (ii) maintaining the security of the undersigned's EDGAR account, including modification of access codes; (iii) maintaining, modifying and certifying the accuracy of information on the undersigned's EDGAR account dashboard; and (iv) taking any other actions contemplated by Rule 10 of Regulation S-T.</w:t>
      </w:r>
    </w:p>
    <w:p>
      <w:pPr>
        <w:spacing w:after="0" w:line="112" w:lineRule="exact"/>
        <w:rPr>
          <w:rFonts w:ascii="Courier New" w:cs="Courier New" w:eastAsia="Courier New" w:hAnsi="Courier New"/>
          <w:sz w:val="18"/>
          <w:szCs w:val="18"/>
          <w:color w:val="auto"/>
        </w:rPr>
      </w:pPr>
    </w:p>
    <w:p>
      <w:pPr>
        <w:ind w:left="360" w:hanging="360"/>
        <w:spacing w:after="0"/>
        <w:tabs>
          <w:tab w:leader="none" w:pos="36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Cause Lockheed Martin Corporation (the Company) to accept a delegation of</w:t>
      </w:r>
    </w:p>
    <w:p>
      <w:pPr>
        <w:spacing w:after="0" w:line="34" w:lineRule="exact"/>
        <w:rPr>
          <w:rFonts w:ascii="Courier New" w:cs="Courier New" w:eastAsia="Courier New" w:hAnsi="Courier New"/>
          <w:sz w:val="20"/>
          <w:szCs w:val="20"/>
          <w:color w:val="auto"/>
        </w:rPr>
      </w:pPr>
    </w:p>
    <w:p>
      <w:pPr>
        <w:ind w:right="739"/>
        <w:spacing w:after="0" w:line="262"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authority from the undersigned's EDGAR account administrators and authorize the Company's EDGAR account administrators pursuant to that delegated entity designation to appoint, remove or replace users for the undersigned's EDGAR account.</w:t>
      </w:r>
    </w:p>
    <w:p>
      <w:pPr>
        <w:spacing w:after="0" w:line="100" w:lineRule="exact"/>
        <w:rPr>
          <w:rFonts w:ascii="Courier New" w:cs="Courier New" w:eastAsia="Courier New" w:hAnsi="Courier New"/>
          <w:sz w:val="20"/>
          <w:szCs w:val="20"/>
          <w:color w:val="auto"/>
        </w:rPr>
      </w:pPr>
    </w:p>
    <w:p>
      <w:pPr>
        <w:ind w:left="240" w:right="619" w:hanging="240"/>
        <w:spacing w:after="0" w:line="286" w:lineRule="auto"/>
        <w:tabs>
          <w:tab w:leader="none" w:pos="35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such form and substance as an attorney-in-fact approves in its discretion, any and all reports or forms</w:t>
      </w:r>
    </w:p>
    <w:p>
      <w:pPr>
        <w:ind w:right="739"/>
        <w:spacing w:after="0" w:line="252" w:lineRule="auto"/>
        <w:rPr>
          <w:sz w:val="20"/>
          <w:szCs w:val="20"/>
          <w:color w:val="auto"/>
        </w:rPr>
      </w:pPr>
      <w:r>
        <w:rPr>
          <w:rFonts w:ascii="Courier New" w:cs="Courier New" w:eastAsia="Courier New" w:hAnsi="Courier New"/>
          <w:sz w:val="20"/>
          <w:szCs w:val="20"/>
          <w:color w:val="auto"/>
        </w:rPr>
        <w:t>(including but not limited to Forms 3, 4 or 5, or Form 144) and any supplements or amendments thereto, that may be required to be filed by the undersigned pursuant to Section 16 of the Securities Exchange Act of 1934, as amended, and the rules and regulations promulgated thereunder (Section 16), and Rule 144 of the Securities Act of 1933 (Rule 144), with respect to the equity securities of the Company.</w:t>
      </w:r>
    </w:p>
    <w:p>
      <w:pPr>
        <w:spacing w:after="0" w:line="112" w:lineRule="exact"/>
        <w:rPr>
          <w:sz w:val="20"/>
          <w:szCs w:val="20"/>
          <w:color w:val="auto"/>
        </w:rPr>
      </w:pPr>
    </w:p>
    <w:p>
      <w:pPr>
        <w:ind w:right="619"/>
        <w:spacing w:after="0" w:line="279" w:lineRule="auto"/>
        <w:tabs>
          <w:tab w:leader="none" w:pos="35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Company's securities from any third party, including brokers, employee benefit plan administrators and trustees, and</w:t>
      </w:r>
    </w:p>
    <w:p>
      <w:pPr>
        <w:ind w:right="839" w:firstLine="234"/>
        <w:spacing w:after="0" w:line="274"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the undersigned hereby authorizes any such person to release any such information to any attorney-in-fact and further approves and ratifies any such release of information.</w:t>
      </w:r>
    </w:p>
    <w:p>
      <w:pPr>
        <w:spacing w:after="0" w:line="88" w:lineRule="exact"/>
        <w:rPr>
          <w:rFonts w:ascii="Courier New" w:cs="Courier New" w:eastAsia="Courier New" w:hAnsi="Courier New"/>
          <w:sz w:val="18"/>
          <w:szCs w:val="18"/>
          <w:color w:val="auto"/>
        </w:rPr>
      </w:pPr>
    </w:p>
    <w:p>
      <w:pPr>
        <w:ind w:left="240" w:right="619" w:hanging="240"/>
        <w:spacing w:after="0" w:line="286" w:lineRule="auto"/>
        <w:tabs>
          <w:tab w:leader="none" w:pos="35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submit and file any and all such reports or forms (including but not limited to Forms 3, 4 or 5 or Forms 144), and any supplements or amendments</w:t>
      </w:r>
    </w:p>
    <w:p>
      <w:pPr>
        <w:ind w:right="1079"/>
        <w:spacing w:after="0" w:line="310" w:lineRule="auto"/>
        <w:rPr>
          <w:sz w:val="20"/>
          <w:szCs w:val="20"/>
          <w:color w:val="auto"/>
        </w:rPr>
      </w:pPr>
      <w:r>
        <w:rPr>
          <w:rFonts w:ascii="Courier New" w:cs="Courier New" w:eastAsia="Courier New" w:hAnsi="Courier New"/>
          <w:sz w:val="20"/>
          <w:szCs w:val="20"/>
          <w:color w:val="auto"/>
        </w:rPr>
        <w:t>thereto, with the SEC via EDGAR, or cause them to be prepared, submitted and filed by a person appointed under paragraph 2 or 3 above.</w:t>
      </w:r>
    </w:p>
    <w:p>
      <w:pPr>
        <w:spacing w:after="0" w:line="54" w:lineRule="exact"/>
        <w:rPr>
          <w:sz w:val="20"/>
          <w:szCs w:val="20"/>
          <w:color w:val="auto"/>
        </w:rPr>
      </w:pPr>
    </w:p>
    <w:p>
      <w:pPr>
        <w:ind w:right="619"/>
        <w:spacing w:after="0" w:line="275"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any forms pursuant to Section 16 or Rule 144 with respect to the undersigned's holdings of and transactions in securities issued by the Company, unless earlier revoked by the undersigned in a</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20"/>
          <w:szCs w:val="20"/>
          <w:color w:val="auto"/>
        </w:rPr>
        <w:t>signed writing delivered to the foregoing attorneys-in-fact.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Name: /s/ Orlando Sanchez, Jr.</w:t>
      </w:r>
    </w:p>
    <w:p>
      <w:pPr>
        <w:spacing w:after="0"/>
        <w:rPr>
          <w:sz w:val="20"/>
          <w:szCs w:val="20"/>
          <w:color w:val="auto"/>
        </w:rPr>
      </w:pPr>
      <w:r>
        <w:rPr>
          <w:rFonts w:ascii="Courier New" w:cs="Courier New" w:eastAsia="Courier New" w:hAnsi="Courier New"/>
          <w:sz w:val="20"/>
          <w:szCs w:val="20"/>
          <w:color w:val="auto"/>
        </w:rPr>
        <w:t>5/26/2026</w:t>
      </w:r>
    </w:p>
    <w:sectPr>
      <w:pgSz w:w="11900" w:h="16838" w:orient="portrait"/>
      <w:cols w:equalWidth="0" w:num="1">
        <w:col w:w="9979"/>
      </w:cols>
      <w:pgMar w:left="480" w:top="106" w:right="1440"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37942" TargetMode="External"/><Relationship Id="rId11" Type="http://schemas.openxmlformats.org/officeDocument/2006/relationships/hyperlink" Target="http://www.sec.gov/cgi-bin/browse-edgar?action=getcompany&amp;CIK=00009364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2026-06-10T17:59:42Z</dcterms:created>
  <dcterms:modified xsi:type="dcterms:W3CDTF">2026-06-10T17:59:42Z</dcterms:modified>
</cp:coreProperties>
</file>