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-629920</wp:posOffset>
            </wp:positionV>
            <wp:extent cx="58420" cy="643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3989070</wp:posOffset>
            </wp:positionH>
            <wp:positionV relativeFrom="paragraph">
              <wp:posOffset>-629920</wp:posOffset>
            </wp:positionV>
            <wp:extent cx="58420" cy="643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748665</wp:posOffset>
            </wp:positionV>
            <wp:extent cx="6992620" cy="73634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7363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2" w:lineRule="exact"/>
        <w:rPr>
          <w:sz w:val="24"/>
          <w:szCs w:val="24"/>
          <w:color w:val="auto"/>
        </w:rPr>
      </w:pPr>
    </w:p>
    <w:p>
      <w:pPr>
        <w:sectPr>
          <w:pgSz w:w="11900" w:h="16845" w:orient="portrait"/>
          <w:cols w:equalWidth="0" w:num="2">
            <w:col w:w="2300" w:space="260"/>
            <w:col w:w="8520"/>
          </w:cols>
          <w:pgMar w:left="460" w:top="216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Cahill Timothy S</w:t>
        </w:r>
      </w:hyperlink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6801 ROCKLEDGE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LOCKHEED MARTIN CORP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LMT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20" w:hanging="6"/>
        <w:spacing w:after="0" w:line="260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6"/>
        <w:spacing w:after="0"/>
        <w:tabs>
          <w:tab w:leader="none" w:pos="208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26"/>
        <w:spacing w:after="0"/>
        <w:tabs>
          <w:tab w:leader="none" w:pos="208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Pres. Missiles &amp; Fire Control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45" w:orient="portrait"/>
          <w:cols w:equalWidth="0" w:num="3">
            <w:col w:w="3180" w:space="720"/>
            <w:col w:w="3220" w:space="614"/>
            <w:col w:w="3346"/>
          </w:cols>
          <w:pgMar w:left="460" w:top="216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jc w:val="center"/>
              <w:ind w:left="50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12/06/2024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33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2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3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3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8,910.46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12/06/2024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33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2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3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3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(2)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8,943.46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12/06/2024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2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3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3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(3)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8,963.46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12/06/2024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513.03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8,943.46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4"/>
                <w:vertAlign w:val="superscript"/>
              </w:rPr>
              <w:t>(5)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12/06/2024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33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513.03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8,910.46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4"/>
                <w:vertAlign w:val="superscript"/>
              </w:rPr>
              <w:t>(5)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12/06/2024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33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513.03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8,877.46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4"/>
                <w:vertAlign w:val="superscript"/>
              </w:rPr>
              <w:t>(5)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Lockheed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Martin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38.985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Salaried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Savings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1"/>
          </w:tcPr>
          <w:p>
            <w:pPr>
              <w:jc w:val="center"/>
              <w:ind w:left="3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33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12/06/2024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02/22/2026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33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12/06/2024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02/22/2027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2,974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12/06/2024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02/23/2025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-2812415</wp:posOffset>
            </wp:positionV>
            <wp:extent cx="29210" cy="28174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817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140" w:firstLine="3"/>
        <w:spacing w:after="0" w:line="243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accelerated vesting of shares received upon the conversion of a portion of restricted stock units (RSUs) granted on February 22, 2023, with a value equal to the tax withholding obligation of the retirement-eligible reporting person and disposition to the Issuer of such shares to satisfy the tax withholding obligation of the reporting person, which transactions are exempt under Rule 16b-3. The balance of the RSUs remains subject to continued vesting in the event the reporting person retires before the third anniversary of the grant date.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firstLine="3"/>
        <w:spacing w:after="0" w:line="243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accelerated vesting of shares received upon the conversion of a portion of restricted stock units (RSUs) granted on February 22, 2024, with a value equal to the tax withholding obligation of the retirement-eligible reporting person and disposition to the Issuer of such shares to satisfy the tax withholding obligation of the reporting person, which transactions are exempt under Rule 16b-3. The balance of the RSUs remains subject to continued vesting in the event the reporting person retires before the third anniversary of the grant date.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firstLine="3"/>
        <w:spacing w:after="0" w:line="243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accelerated vesting of shares received upon the conversion of a portion of restricted stock units (RSUs) granted on February 23, 2022, with a value equal to the tax withholding obligation of the retirement-eligible reporting person and disposition to the Issuer of such shares to satisfy the tax withholding obligation of the reporting person, which transactions are exempt under Rule 16b-3. The balance of the RSUs remains subject to continued vesting in the event the reporting person retires before the third anniversary of the grant date.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 to the Issuer of shares to satisfy the Reporting Person's tax withholding obligation upon vesting and settlement of stock units which is exempt under Rule 16b-3.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Holdings as of reportable transaction date include additional acquisitions through dividend reinvestment.</w:t>
      </w:r>
    </w:p>
    <w:p>
      <w:pPr>
        <w:sectPr>
          <w:pgSz w:w="11900" w:h="16845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6. Restricted stock units convert to common stock on a one-for-one basis.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6560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Timothy S. Cahill, by John E.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12/10/2024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4160520</wp:posOffset>
            </wp:positionH>
            <wp:positionV relativeFrom="paragraph">
              <wp:posOffset>-27305</wp:posOffset>
            </wp:positionV>
            <wp:extent cx="12750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Stevens,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4160520</wp:posOffset>
            </wp:positionH>
            <wp:positionV relativeFrom="paragraph">
              <wp:posOffset>-19685</wp:posOffset>
            </wp:positionV>
            <wp:extent cx="10820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5560695</wp:posOffset>
            </wp:positionH>
            <wp:positionV relativeFrom="paragraph">
              <wp:posOffset>-85725</wp:posOffset>
            </wp:positionV>
            <wp:extent cx="4876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560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right="2479" w:firstLine="3"/>
        <w:spacing w:after="0" w:line="338" w:lineRule="auto"/>
        <w:tabs>
          <w:tab w:leader="none" w:pos="13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7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50531" TargetMode="External"/><Relationship Id="rId14" Type="http://schemas.openxmlformats.org/officeDocument/2006/relationships/hyperlink" Target="http://www.sec.gov/cgi-bin/browse-edgar?action=getcompany&amp;CIK=00009364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2024-12-10T18:06:41Z</dcterms:created>
  <dcterms:modified xsi:type="dcterms:W3CDTF">2024-12-10T18:06:41Z</dcterms:modified>
</cp:coreProperties>
</file>