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21590</wp:posOffset>
            </wp:positionV>
            <wp:extent cx="135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4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30480</wp:posOffset>
            </wp:positionV>
            <wp:extent cx="1354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2" w:lineRule="exact"/>
        <w:rPr>
          <w:sz w:val="24"/>
          <w:szCs w:val="24"/>
          <w:color w:val="auto"/>
        </w:rPr>
      </w:pPr>
    </w:p>
    <w:p>
      <w:pPr>
        <w:ind w:left="300" w:hanging="218"/>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300" w:hanging="218"/>
        <w:spacing w:after="0"/>
        <w:tabs>
          <w:tab w:leader="none" w:pos="3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3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color w:val="auto"/>
        </w:rPr>
        <w:t>For the transition period from ______ to ______</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26035</wp:posOffset>
            </wp:positionV>
            <wp:extent cx="1354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LOCKHEED MARTIN CORPORATION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7" w:lineRule="exact"/>
        <w:rPr>
          <w:sz w:val="24"/>
          <w:szCs w:val="24"/>
          <w:color w:val="auto"/>
        </w:rPr>
      </w:pPr>
    </w:p>
    <w:tbl>
      <w:tblPr>
        <w:tblLayout w:type="fixed"/>
        <w:tblInd w:w="5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80" w:type="dxa"/>
            <w:vAlign w:val="bottom"/>
            <w:gridSpan w:val="2"/>
          </w:tcPr>
          <w:p>
            <w:pPr>
              <w:jc w:val="right"/>
              <w:ind w:right="725"/>
              <w:spacing w:after="0"/>
              <w:rPr>
                <w:sz w:val="20"/>
                <w:szCs w:val="20"/>
                <w:color w:val="auto"/>
              </w:rPr>
            </w:pPr>
            <w:r>
              <w:rPr>
                <w:rFonts w:ascii="Times New Roman" w:cs="Times New Roman" w:eastAsia="Times New Roman" w:hAnsi="Times New Roman"/>
                <w:sz w:val="14"/>
                <w:szCs w:val="14"/>
                <w:b w:val="1"/>
                <w:bCs w:val="1"/>
                <w:color w:val="auto"/>
              </w:rPr>
              <w:t>52-1893632</w:t>
            </w:r>
          </w:p>
        </w:tc>
      </w:tr>
      <w:tr>
        <w:trPr>
          <w:trHeight w:val="163"/>
        </w:trPr>
        <w:tc>
          <w:tcPr>
            <w:tcW w:w="3060" w:type="dxa"/>
            <w:vAlign w:val="bottom"/>
            <w:gridSpan w:val="4"/>
          </w:tcPr>
          <w:p>
            <w:pPr>
              <w:jc w:val="center"/>
              <w:ind w:left="426"/>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jc w:val="center"/>
              <w:ind w:left="48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7"/>
        </w:trPr>
        <w:tc>
          <w:tcPr>
            <w:tcW w:w="3060" w:type="dxa"/>
            <w:vAlign w:val="bottom"/>
            <w:gridSpan w:val="4"/>
          </w:tcPr>
          <w:p>
            <w:pPr>
              <w:jc w:val="center"/>
              <w:ind w:left="426"/>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190"/>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6801 Rockledge Drive,</w:t>
            </w:r>
          </w:p>
        </w:tc>
        <w:tc>
          <w:tcPr>
            <w:tcW w:w="16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Bethesda,</w:t>
            </w:r>
          </w:p>
        </w:tc>
        <w:tc>
          <w:tcPr>
            <w:tcW w:w="40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980" w:type="dxa"/>
            <w:vAlign w:val="bottom"/>
            <w:gridSpan w:val="2"/>
          </w:tcPr>
          <w:p>
            <w:pPr>
              <w:jc w:val="right"/>
              <w:ind w:right="905"/>
              <w:spacing w:after="0"/>
              <w:rPr>
                <w:sz w:val="20"/>
                <w:szCs w:val="20"/>
                <w:color w:val="auto"/>
              </w:rPr>
            </w:pPr>
            <w:r>
              <w:rPr>
                <w:rFonts w:ascii="Times New Roman" w:cs="Times New Roman" w:eastAsia="Times New Roman" w:hAnsi="Times New Roman"/>
                <w:sz w:val="14"/>
                <w:szCs w:val="14"/>
                <w:b w:val="1"/>
                <w:bCs w:val="1"/>
                <w:color w:val="auto"/>
              </w:rPr>
              <w:t>20817</w:t>
            </w:r>
          </w:p>
        </w:tc>
      </w:tr>
      <w:tr>
        <w:trPr>
          <w:trHeight w:val="203"/>
        </w:trPr>
        <w:tc>
          <w:tcPr>
            <w:tcW w:w="3060" w:type="dxa"/>
            <w:vAlign w:val="bottom"/>
            <w:gridSpan w:val="4"/>
          </w:tcPr>
          <w:p>
            <w:pPr>
              <w:jc w:val="center"/>
              <w:ind w:left="426"/>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jc w:val="center"/>
              <w:ind w:left="485"/>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40" w:type="dxa"/>
            <w:vAlign w:val="bottom"/>
            <w:gridSpan w:val="3"/>
          </w:tcPr>
          <w:p>
            <w:pPr>
              <w:jc w:val="center"/>
              <w:ind w:left="1386"/>
              <w:spacing w:after="0"/>
              <w:rPr>
                <w:sz w:val="20"/>
                <w:szCs w:val="20"/>
                <w:color w:val="auto"/>
              </w:rPr>
            </w:pPr>
            <w:r>
              <w:rPr>
                <w:rFonts w:ascii="Times New Roman" w:cs="Times New Roman" w:eastAsia="Times New Roman" w:hAnsi="Times New Roman"/>
                <w:sz w:val="14"/>
                <w:szCs w:val="14"/>
                <w:b w:val="1"/>
                <w:bCs w:val="1"/>
                <w:color w:val="auto"/>
              </w:rPr>
              <w:t>(301) 897-6000</w:t>
            </w: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188"/>
        </w:trPr>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3"/>
        </w:trPr>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338"/>
        </w:trPr>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4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6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color w:val="auto"/>
              </w:rPr>
              <w:t>Trading Symbol(s)</w:t>
            </w:r>
          </w:p>
        </w:tc>
        <w:tc>
          <w:tcPr>
            <w:tcW w:w="2980" w:type="dxa"/>
            <w:vAlign w:val="bottom"/>
            <w:gridSpan w:val="2"/>
          </w:tcPr>
          <w:p>
            <w:pPr>
              <w:jc w:val="center"/>
              <w:ind w:left="25"/>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Common Stock, $1 par value</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color w:val="auto"/>
              </w:rPr>
              <w:t>LMT</w:t>
            </w:r>
          </w:p>
        </w:tc>
        <w:tc>
          <w:tcPr>
            <w:tcW w:w="10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74" w:lineRule="exact"/>
        <w:rPr>
          <w:sz w:val="24"/>
          <w:szCs w:val="24"/>
          <w:color w:val="auto"/>
        </w:rPr>
      </w:pPr>
    </w:p>
    <w:p>
      <w:pPr>
        <w:ind w:left="80" w:right="3000"/>
        <w:spacing w:after="0" w:line="251"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ind w:left="8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highlight w:val="black"/>
        </w:rPr>
        <w:t>☐</w:t>
      </w:r>
    </w:p>
    <w:p>
      <w:pPr>
        <w:spacing w:after="0" w:line="75" w:lineRule="exact"/>
        <w:rPr>
          <w:sz w:val="24"/>
          <w:szCs w:val="24"/>
          <w:color w:val="auto"/>
        </w:rPr>
      </w:pPr>
    </w:p>
    <w:p>
      <w:pPr>
        <w:ind w:left="80" w:right="20"/>
        <w:spacing w:after="0" w:line="260"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8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highlight w:val="black"/>
        </w:rPr>
        <w:t>☐</w:t>
      </w:r>
    </w:p>
    <w:p>
      <w:pPr>
        <w:spacing w:after="0" w:line="4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7" w:lineRule="exact"/>
        <w:rPr>
          <w:sz w:val="24"/>
          <w:szCs w:val="24"/>
          <w:color w:val="auto"/>
        </w:rPr>
      </w:pPr>
    </w:p>
    <w:p>
      <w:pPr>
        <w:ind w:left="8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Accelerated filer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Non–accelerated filer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Emerging growth company </w:t>
      </w:r>
      <w:r>
        <w:rPr>
          <w:rFonts w:ascii="MS PGothic" w:cs="MS PGothic" w:eastAsia="MS PGothic" w:hAnsi="MS PGothic"/>
          <w:sz w:val="15"/>
          <w:szCs w:val="15"/>
          <w:color w:val="auto"/>
        </w:rPr>
        <w:t>☐</w:t>
      </w:r>
    </w:p>
    <w:p>
      <w:pPr>
        <w:spacing w:after="0" w:line="156" w:lineRule="exact"/>
        <w:rPr>
          <w:sz w:val="24"/>
          <w:szCs w:val="24"/>
          <w:color w:val="auto"/>
        </w:rPr>
      </w:pPr>
    </w:p>
    <w:p>
      <w:pPr>
        <w:ind w:left="80" w:right="2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highlight w:val="black"/>
        </w:rPr>
        <w:t>☐</w:t>
      </w:r>
    </w:p>
    <w:p>
      <w:pPr>
        <w:spacing w:after="0" w:line="61" w:lineRule="exact"/>
        <w:rPr>
          <w:sz w:val="24"/>
          <w:szCs w:val="24"/>
          <w:color w:val="auto"/>
        </w:rPr>
      </w:pPr>
    </w:p>
    <w:p>
      <w:pPr>
        <w:ind w:left="80" w:right="16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7" w:lineRule="exact"/>
        <w:rPr>
          <w:sz w:val="24"/>
          <w:szCs w:val="24"/>
          <w:color w:val="auto"/>
        </w:rPr>
      </w:pPr>
    </w:p>
    <w:p>
      <w:pPr>
        <w:ind w:left="80" w:right="20"/>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62" w:lineRule="exact"/>
        <w:rPr>
          <w:sz w:val="24"/>
          <w:szCs w:val="24"/>
          <w:color w:val="auto"/>
        </w:rPr>
      </w:pPr>
    </w:p>
    <w:p>
      <w:pPr>
        <w:ind w:left="80" w:right="14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3" w:lineRule="exact"/>
        <w:rPr>
          <w:sz w:val="24"/>
          <w:szCs w:val="24"/>
          <w:color w:val="auto"/>
        </w:rPr>
      </w:pPr>
    </w:p>
    <w:p>
      <w:pPr>
        <w:ind w:left="8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0" w:lineRule="exact"/>
        <w:rPr>
          <w:sz w:val="24"/>
          <w:szCs w:val="24"/>
          <w:color w:val="auto"/>
        </w:rPr>
      </w:pPr>
    </w:p>
    <w:p>
      <w:pPr>
        <w:ind w:left="80" w:right="20"/>
        <w:spacing w:after="0" w:line="280" w:lineRule="auto"/>
        <w:rPr>
          <w:sz w:val="20"/>
          <w:szCs w:val="20"/>
          <w:color w:val="auto"/>
        </w:rPr>
      </w:pPr>
      <w:r>
        <w:rPr>
          <w:rFonts w:ascii="Times New Roman" w:cs="Times New Roman" w:eastAsia="Times New Roman" w:hAnsi="Times New Roman"/>
          <w:sz w:val="15"/>
          <w:szCs w:val="15"/>
          <w:color w:val="auto"/>
        </w:rPr>
        <w:t>The aggregate market value of voting and non-voting common stock held by non-affiliates of the registrant computed by reference to the last sales price of such stock, as of the last business day of the registrant’s most recently completed second fiscal quarter, which was June 27, 2025, was approximately $106.5 billion.</w:t>
      </w:r>
    </w:p>
    <w:p>
      <w:pPr>
        <w:spacing w:after="0" w:line="7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There were 230,080,240 shares of our common stock, $1 par value per share, outstanding as of January 26, 2026.</w:t>
      </w:r>
    </w:p>
    <w:p>
      <w:pPr>
        <w:spacing w:after="0" w:line="12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0" w:lineRule="exact"/>
        <w:rPr>
          <w:sz w:val="24"/>
          <w:szCs w:val="24"/>
          <w:color w:val="auto"/>
        </w:rPr>
      </w:pPr>
    </w:p>
    <w:p>
      <w:pPr>
        <w:ind w:left="80"/>
        <w:spacing w:after="0" w:line="210" w:lineRule="exact"/>
        <w:rPr>
          <w:sz w:val="20"/>
          <w:szCs w:val="20"/>
          <w:color w:val="auto"/>
        </w:rPr>
      </w:pPr>
      <w:r>
        <w:rPr>
          <w:rFonts w:ascii="Times New Roman" w:cs="Times New Roman" w:eastAsia="Times New Roman" w:hAnsi="Times New Roman"/>
          <w:sz w:val="15"/>
          <w:szCs w:val="15"/>
          <w:color w:val="auto"/>
        </w:rPr>
        <w:t>Portions of Lockheed Martin Corporation’s 2026 Definitive Proxy Statement are incorporated by reference into Part III of this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 The 2026 Definitive Proxy Statement will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13"/>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9"/>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13"/>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2025</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gridSpan w:val="10"/>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20" w:type="dxa"/>
            <w:vAlign w:val="bottom"/>
            <w:gridSpan w:val="22"/>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60" w:type="dxa"/>
            <w:vAlign w:val="bottom"/>
            <w:gridSpan w:val="19"/>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82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1C.</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60" w:type="dxa"/>
            <w:vAlign w:val="bottom"/>
            <w:gridSpan w:val="1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18"/>
                <w:szCs w:val="18"/>
                <w:color w:val="auto"/>
              </w:rPr>
            </w:pPr>
          </w:p>
        </w:tc>
      </w:tr>
      <w:tr>
        <w:trPr>
          <w:trHeight w:val="520"/>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8"/>
                <w:szCs w:val="18"/>
                <w:color w:val="auto"/>
              </w:rPr>
            </w:pPr>
          </w:p>
        </w:tc>
        <w:tc>
          <w:tcPr>
            <w:tcW w:w="242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8.</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0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00" w:type="dxa"/>
            <w:vAlign w:val="bottom"/>
            <w:gridSpan w:val="1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40" w:type="dxa"/>
            <w:vAlign w:val="bottom"/>
          </w:tcPr>
          <w:p>
            <w:pPr>
              <w:spacing w:after="0"/>
              <w:rPr>
                <w:sz w:val="18"/>
                <w:szCs w:val="18"/>
                <w:color w:val="auto"/>
              </w:rPr>
            </w:pPr>
          </w:p>
        </w:tc>
      </w:tr>
      <w:tr>
        <w:trPr>
          <w:trHeight w:val="520"/>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10.</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6"/>
          </w:tcPr>
          <w:p>
            <w:pPr>
              <w:spacing w:after="0"/>
              <w:rPr>
                <w:sz w:val="18"/>
                <w:szCs w:val="18"/>
                <w:color w:val="auto"/>
              </w:rPr>
            </w:pPr>
          </w:p>
        </w:tc>
        <w:tc>
          <w:tcPr>
            <w:tcW w:w="478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12.</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4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40" w:type="dxa"/>
            <w:vAlign w:val="bottom"/>
          </w:tcPr>
          <w:p>
            <w:pPr>
              <w:spacing w:after="0"/>
              <w:rPr>
                <w:sz w:val="18"/>
                <w:szCs w:val="18"/>
                <w:color w:val="auto"/>
              </w:rPr>
            </w:pPr>
          </w:p>
        </w:tc>
      </w:tr>
      <w:tr>
        <w:trPr>
          <w:trHeight w:val="520"/>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70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16.</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w:t>
            </w:r>
          </w:p>
        </w:tc>
        <w:tc>
          <w:tcPr>
            <w:tcW w:w="4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40" w:type="dxa"/>
            <w:vAlign w:val="bottom"/>
          </w:tcPr>
          <w:p>
            <w:pPr>
              <w:spacing w:after="0"/>
              <w:rPr>
                <w:sz w:val="24"/>
                <w:szCs w:val="24"/>
                <w:color w:val="auto"/>
              </w:rPr>
            </w:pPr>
          </w:p>
        </w:tc>
      </w:tr>
      <w:tr>
        <w:trPr>
          <w:trHeight w:val="358"/>
        </w:trPr>
        <w:tc>
          <w:tcPr>
            <w:tcW w:w="20" w:type="dxa"/>
            <w:vAlign w:val="bottom"/>
            <w:tcBorders>
              <w:bottom w:val="single" w:sz="8" w:color="auto"/>
            </w:tcBorders>
          </w:tcPr>
          <w:p>
            <w:pPr>
              <w:spacing w:after="0"/>
              <w:rPr>
                <w:sz w:val="24"/>
                <w:szCs w:val="24"/>
                <w:color w:val="auto"/>
              </w:rPr>
            </w:pPr>
          </w:p>
        </w:tc>
        <w:tc>
          <w:tcPr>
            <w:tcW w:w="1160" w:type="dxa"/>
            <w:vAlign w:val="bottom"/>
            <w:tcBorders>
              <w:top w:val="single" w:sz="8" w:color="0000FF"/>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global aerospace and defense technology company that builds and sustains the solutions America and its allies need to deter conflict and advance national security and scientific exploration objectives. Our four business areas – Aeronautics, Missiles and Fire Control, Rotary and Mission Systems, and Space – work as one company offering integrated solutions, at scale, across all warfighting domains. Our defense, space, intelligence, homeland security, information technology, and cybersecurity capabilities serve U.S. and international customers in defense, civil and commercial applications. Our principal customers are agencies of the U.S. Government and allies.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 regional conflicts have demonstrated the integral role Lockheed Martin products play in protecting people, and we are rapidly transforming our business to meet increased demand. We are expanding production capacity to continue delivering at scale, and we are harnessing leading-edge technologies like artificial intelligence and autonomy, open-architecture systems, and advanced networking to make defense forces more agile, adaptive and unpredictable. Our goal is to deliver overwhelming capability and value – quickly, at the needed quantities and with the greatest effectiveness – to enable overmatch and strengthen deterrence today and into the future.</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achieve this by developing and investing in differentiating technologies, forging strategic partnerships, including with commercial companies, executing on our multi-year business transformation initiative, maintaining fiscal discipline, and continuing to cultivate the greatest aerospace and defense workforce talent and culture in the world. We invest substantially in our people to ensure that our people have the technical skills necessary to succeed, and we expect to continue to invest internally in innovative technologies that address rapidly evolving mission requirements for our customers. We also will continue to evaluate our organizational structure and portfolio and will make strategic changes, acquisitions or divestitures, as appropriate, while deepening our connection to commercial industry through cooperative partnerships, joint ventures and equity investments.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Missiles and Fire Control (MFC), Rotary and Mission Systems (RMS) and Space. We organize our business segments based on the nature of the products and services offered.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Aeronautics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Aeronautics is engaged in the research, design, development, manufacture, integration, sustainment, support and upgrade of advanced military aircraft, including combat and air mobility aircraft, unmanned air vehicles and related technologies. Aeronautics also has contracts with the U.S. Government for various classified programs. Aeronautics’ major programs include:</w:t>
      </w:r>
    </w:p>
    <w:p>
      <w:pPr>
        <w:spacing w:after="0" w:line="135"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Lightning II – international multi-role, multi-variant, fifth generation stealth fighter.</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C-130 Hercules – international tactical airlifter.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F-16 Fighting Falcon – combat-proven, international multi-role fighter.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F-22 Raptor – air dominance and multi-role fifth generation stealth fighter.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F-35 program is our largest program, generating 27% of our total consolidated sales, as well as 67% of Aeronautics’ sales in 2025. The F-35 program consists of multiple development, production and sustainment contracts. Development is focused on modernizing F-35’s capability and addressing emerging threats. Sustainment provides logistics and training support for the aircraft delivered to F-35 customers. Aircraft production is expected to continue well into the future given the U.S. Government’s stated objective of procuring 2,456 aircraft for the U.S. Air Force, U.S. Marine Corps, and U.S. Navy. We also have commitments from seven international partner countries and 12 FMS customers, who collectively during the year indicated their intent to purchase 72 additional aircraft beyond their existing programs of record. The F-35 program is significant and complex, and we, our customers, and our and our customers’ suppliers continually review aircraft performance, schedule, cost and requirements. Our current areas of focus include technology modernization, life-cycle cost containment, delivery schedule optimization, and aircraft readiness enhancements. For additional information on the F-35 program, see Item 1A - Risk Factors for a discussion of risks related to the F-35 program.</w:t>
      </w:r>
    </w:p>
    <w:p>
      <w:pPr>
        <w:spacing w:after="0" w:line="1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to the aircraft programs above, Aeronautics is involved in advanced development programs incorporating innovative design and rapid prototype applications. Our Advanced Development Programs (ADP) organization, also known as Skunk Works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focused on future systems, including unmanned and manned aerial systems and next generation capabilities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air dominance, hypersonics, intelligence, surveillance, reconnaissance, situational awareness and air mobility. We continue to explore technology advancement and insertion into our existing aircraft. We also are involved in numerous network-enabled activities that allow separate systems to work together to increase effectiveness and we continue to invest in new technologies to maintain and enhance competitiveness in military aircraft design, development and production.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Missiles and Fire Control</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MFC provides air and missile defense systems; tactical missiles and precision strike weapon systems; logistics; fire control systems; and mission operations support, readiness, engineering support and integration services. MFC also has contracts with the U.S. Government for various classified programs. MFC’s major programs include:</w:t>
      </w:r>
    </w:p>
    <w:p>
      <w:pPr>
        <w:spacing w:after="0" w:line="135" w:lineRule="exact"/>
        <w:rPr>
          <w:sz w:val="20"/>
          <w:szCs w:val="20"/>
          <w:color w:val="auto"/>
        </w:rPr>
      </w:pPr>
    </w:p>
    <w:p>
      <w:pPr>
        <w:jc w:val="both"/>
        <w:ind w:left="340" w:hanging="332"/>
        <w:spacing w:after="0" w:line="255"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Patriot Advanced Capability-3 (PAC-3) and Terminal High Altitude Area Defense (THAAD) air and missile defense programs. PAC-3 is an advanced defensive missile for the U.S. Army and international customers designed to intercept and eliminate incoming airborne threats using kinetic energy. THAAD is a transportable defensive missile system for the U.S. Government and international customers designed to engage targets both within and outside of the Earth’s atmosphere.</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Launch Rocket System (MLRS), Precision Strike Missile (PrSM), Joint Air-to-Surface Standoff Missile (JASSM), Long Range Anti-Ship Missile (LRASM), Hellfire and Joint Air-to-Ground Missile (JAGM) tactical and strike missile programs. MLRS is a highly mobile, automatic system that fires surface-to-surface rockets and missiles from the M270 and High Mobility Artillery Rocket System (HIMARS) platforms produced for the U.S. Army and international customers and PrSM is the next generation of precision strike surface-to-surface weapon systems that is compatible with the MLRS family of launchers in support of the U.S. Army. JASSM is an air-to-ground missile launched from fixed-wing aircraft, which is produced for the U.S. Air Force and international customers. LRASM is a precision guided anti-ship missile derived from JASSM and designed to interdict a variety of surface threats at very long range and produced for the U.S. Air Force, U.S. Navy, and international customers. Hellfire and JAGM are air-to-ground missile used on rotary and fixed-wing aircraft, which is produced for the U.S. Army, Navy, Marine Corps and international customers.</w:t>
      </w:r>
    </w:p>
    <w:p>
      <w:pPr>
        <w:spacing w:after="0" w:line="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Javelin program, which is a one-person portable and platform-employable anti-tank and multi-target precision weapon system. Javelin was developed and is currently produced for the U.S. Army and U.S. Marine Corps by a joint venture between Lockheed Martin and RTX Corporation.</w:t>
      </w:r>
    </w:p>
    <w:p>
      <w:pPr>
        <w:jc w:val="both"/>
        <w:ind w:left="340" w:hanging="332"/>
        <w:spacing w:after="0" w:line="23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Apache fire control system, Sniper Advanced Targeting Pod (SNIPER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Infrared Search and Track (IRST21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sensors and global sustainment programs. The Apache fire control system provides weapons-targeting capability for the Apache helicopter for the U.S. Army and international customers. SNIPER is a targeting system for several fixed-wing aircraft and is produced for the U.S. Air Force and international customers. IRST21 provides long-range infrared detection and tracking of airborne threats and is used on several fixed-wing aircraft. IRST21 is produced for the U.S. Air Force, the U.S. Navy, the National Guard and international customers.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Operations Forces Global Logistics Support Services (SOF GLSS) program, which provides logistics support services to the special operations forces of the U.S. military.</w:t>
      </w:r>
    </w:p>
    <w:p>
      <w:pPr>
        <w:ind w:left="340" w:hanging="332"/>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Hypersonics programs, which include several programs with the U.S. Air Force and U.S. Army to design, develop and build hypersonic strike weapons.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Rotary and Mission Systems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RMS designs, manufactures, services and supports various military and commercial helicopters, sea- and land-based missile defense systems, radar systems, laser systems, sea- and air-based mission and combat systems, command and control mission solutions, cyber solutions, simulation and training solutions, and services and supports surface ships. RMS also has contracts with the U.S. Government for various classified programs. RMS’ major lines of business include:</w:t>
      </w:r>
    </w:p>
    <w:p>
      <w:pPr>
        <w:spacing w:after="0" w:line="149" w:lineRule="exact"/>
        <w:rPr>
          <w:sz w:val="20"/>
          <w:szCs w:val="20"/>
          <w:color w:val="auto"/>
        </w:rPr>
      </w:pPr>
    </w:p>
    <w:p>
      <w:pPr>
        <w:ind w:left="340" w:hanging="332"/>
        <w:spacing w:after="0" w:line="23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Sikorsky helicopter programs such as those related to the Black Hawk, Seahawk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CH-53K King Stallion heavy lift helicopters, which are in service with U.S. and foreign governments, and the Combat Rescue Helicopter (CRH) utilized by the U.S. Air Force.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warfare systems and sensors (IWSS) programs such as Aegis Combat System (Aegis) programs that serve as an air and missile defense system for the U.S. Navy and international customers and are also a sea and land-based element of the U.S. missile defense system, and the Littoral Combat Ship (LCS), Multi-Mission Surface Combatant (MMSC), and River-Class Destroyer (RCD) (formerly known as Canadian Surface Combatant) programs to provide surface combatant ships for the U.S. Navy and international customers that are designed to operate in shallow waters and the open ocean.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Command, control, communications, computers, cyber, combat systems, intelligence, surveillance, and reconnaissance (C6ISR) programs such as the Command, Control, Battle Management and Communications (C2BMC) program to provide an air operations center for the Ballistic Missile Defense System for the U.S. Government, undersea combat systems programs largely serving the U.S. Navy, and Australia's Joint Air Battle Management System (AIR 6500).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right="2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logistics and simulation (TLS) programs such as those providing sustainment services and programs that provide simulators and associated training to U.S. military and foreign government customers.</w:t>
      </w:r>
    </w:p>
    <w:p>
      <w:pPr>
        <w:spacing w:after="0" w:line="135"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Effective January 2026, the IWSS and C6ISR lines of business within RMS were restructured and renamed Sensors, Effectors &amp; Mission Systems (SEMS) and Mission Integrated Command and Control (MIC2). This includes realignment of various programs, such as Aegis and RCD moving from what was historically IWSS to MIC2, which more closely aligns with C6ISR. SEMS and MIC2 will therefore incorporate an updated mix of existing program portfolios designed to accelerate mission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focused solutions and enhance our customers’ experience.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Space is engaged in the research and design, development,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Space’s major programs include:</w:t>
      </w:r>
    </w:p>
    <w:p>
      <w:pPr>
        <w:spacing w:after="0" w:line="153" w:lineRule="exact"/>
        <w:rPr>
          <w:sz w:val="20"/>
          <w:szCs w:val="20"/>
          <w:color w:val="auto"/>
        </w:rPr>
      </w:pPr>
    </w:p>
    <w:p>
      <w:pPr>
        <w:ind w:left="340" w:hanging="29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Trident II D5 Fleet Ballistic Missile (FBM), a program with the U.S. Navy for the only submarine-launched intercontinental ballistic missile currently in production in the U.S.</w:t>
      </w:r>
    </w:p>
    <w:p>
      <w:pPr>
        <w:ind w:left="340" w:hanging="29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Generation Overhead Persistent Infrared (Next Gen OPIR) system, which provides the U.S. Space Force with enhanced worldwide missile warning capabilities.</w:t>
      </w:r>
    </w:p>
    <w:p>
      <w:pPr>
        <w:ind w:left="340" w:right="20" w:hanging="292"/>
        <w:spacing w:after="0" w:line="243"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Generation Interceptor (NGI), a program with the Missile Defense Agency (MDA) utilizing next generation propulsion and sensors to provide homeland missile defense.</w:t>
      </w:r>
    </w:p>
    <w:p>
      <w:pPr>
        <w:spacing w:after="0" w:line="1" w:lineRule="exact"/>
        <w:rPr>
          <w:rFonts w:ascii="Times New Roman" w:cs="Times New Roman" w:eastAsia="Times New Roman" w:hAnsi="Times New Roman"/>
          <w:sz w:val="18"/>
          <w:szCs w:val="18"/>
          <w:color w:val="auto"/>
        </w:rPr>
      </w:pPr>
    </w:p>
    <w:p>
      <w:pPr>
        <w:ind w:left="340" w:hanging="292"/>
        <w:spacing w:after="0" w:line="234"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Orion Multi-Purpose Crew Vehicle (Orion), NASA’s next generation exploration-class crewed vehicle for human exploration to the Moon and throughout the solar system.</w:t>
      </w:r>
    </w:p>
    <w:p>
      <w:pPr>
        <w:spacing w:after="0" w:line="1" w:lineRule="exact"/>
        <w:rPr>
          <w:rFonts w:ascii="Times New Roman" w:cs="Times New Roman" w:eastAsia="Times New Roman" w:hAnsi="Times New Roman"/>
          <w:sz w:val="18"/>
          <w:szCs w:val="18"/>
          <w:color w:val="auto"/>
        </w:rPr>
      </w:pPr>
    </w:p>
    <w:p>
      <w:pPr>
        <w:ind w:left="320" w:hanging="27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Positioning System (GPS) III, a program to modernize the GPS satellite system for the U.S. Space Force.</w:t>
      </w:r>
    </w:p>
    <w:p>
      <w:pPr>
        <w:spacing w:after="0" w:line="7" w:lineRule="exact"/>
        <w:rPr>
          <w:rFonts w:ascii="Times New Roman" w:cs="Times New Roman" w:eastAsia="Times New Roman" w:hAnsi="Times New Roman"/>
          <w:sz w:val="18"/>
          <w:szCs w:val="18"/>
          <w:color w:val="auto"/>
        </w:rPr>
      </w:pPr>
    </w:p>
    <w:p>
      <w:pPr>
        <w:ind w:left="320" w:hanging="27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Hypersonics programs, which include several programs with the U.S. Army and U.S. Navy to design, develop and build hypersonic strike weapons.</w:t>
      </w:r>
    </w:p>
    <w:p>
      <w:pPr>
        <w:spacing w:after="0" w:line="9" w:lineRule="exact"/>
        <w:rPr>
          <w:rFonts w:ascii="Times New Roman" w:cs="Times New Roman" w:eastAsia="Times New Roman" w:hAnsi="Times New Roman"/>
          <w:sz w:val="18"/>
          <w:szCs w:val="18"/>
          <w:color w:val="auto"/>
        </w:rPr>
      </w:pPr>
    </w:p>
    <w:p>
      <w:pPr>
        <w:ind w:left="340" w:hanging="292"/>
        <w:spacing w:after="0" w:line="26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 and Tracking Layer programs, multiple tranches of small satellites to support the proliferated space architecture, with constellations of missile warning and communications satellites for the Space Development Agency.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routinely apply for and own a substantial number of U.S. and foreign patents and trademarks related to the products and services we provide. We also develop and own other intellectual property, including copyrights, trade secrets and research, development and engineering know-how, that contributes significantly to our business. In addition, we license intellectual property to and from third parties. The Federal Acquisition Regulation (FAR) and Defense Federal Acquisition Regulation Supplement (DFARS) provide the U.S. Government certain rights in intellectual property, including patents, developed by us and our subcontractors and suppliers in performance of government contracts or with government funding. The U.S. Government may use or authorize others, including competitors, to use such intellectual property. See the discussion of matters related to our intellectual property in Item 1A - Risk Factors. Non-U.S. governments also may have certain rights in patents and other intellectual property developed in performance of our contracts for them. Although our intellectual property rights in the aggregate are important to the operation of our business, we do not believe that any existing patent, license or other intellectual property right is of such importance that its loss or termination would have a material adverse effect on our business taken as a whole.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research and development (R&amp;D) activities using our own funds (referred to as company-funded or independent R&amp;D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See “Note 1 – Organization and Significant Accounting Policies” (under the caption “Research and development and similar costs”) included in our Notes to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Suppliers and Seasonality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products require relatively scarce raw materials, such as rare earth minerals. Other important materials and components, on which certain of our products rely, include aluminum, titanium, specialty steel, carbon fiber and advanced microelectronics, such as semiconductors. We rely on other companies to provide materials, components and products and to</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perform a portion of the services that are provided to our customers under the terms of most of our contracts. Although long-term agreements have historically helped enable a continued supply of these materials, supply chain challenges, supplier disputes, regulatory restrictions, and inflationary pressures have resulted in certain parts’ shortages, extended lead times and pricing escalations affecting certain sources of supply. We are working with U.S. Government, customers and suppliers on phase-in of regulatory requirements for transitioning the supply chains for rare earth minerals and magnets to secure and compliant sources. The current availability of sources of supply meeting regulatory requirements and the ability to ensure compliance down to the mining level within the timeframes required by the regulations are challenges we continue to work with our multi-tier supplier base. At the same time, we are focused on minimizing the impact of these supply chain challenges on our programs. However, many of the challenges are industry wide or caused by geopolitical events and general economic conditions that are outside of our control. These supplier disruptions have resulted in delays and increased costs and have adversely affected our program performance and operating results. These dynamics are expected to continue in 2026. For more information on the risks related to our suppliers and raw materials, see Item 1A - Risk Factors.</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material portion of our business is considered to be seasonal. Various factors, however, can affect the distribution of our sales between accounting periods, including the timing of government awards, the availability of government funding, product deliveries and customer acceptance.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specialized nature of our business, our performance depends on identifying, attracting, developing, motivating and retaining a highly skilled workforce with the requisite skills and, in many cases, security clearances, in multiple areas, including engineering, science, manufacturing, information technology, cybersecurity, business development and strategy and management. Our human capital management strategy, which we refer to as our people strategy, tightly aligns to our business needs and technology strategy. In 2025, it focused on continuing to accelerate the transformation of our workforce management technology through investments in upgraded systems and processes, increasing our ability to meet the quickly changing needs of our business, and maintaining a working environment and culture that is supportive of all employees and reflects our core value of “Respect Others.” We structure our people strategy and its implementation to comply with the laws and regulations to which we are subject as a federal government contractor.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a highly skilled workforce made up of approximately 123,000 employees, including approximately 72,000 engineers, scientists and information technology professionals. As of December 31, 2025, approximately 93% of our workforce was located in the U.S. and approximately 19% of our employees were covered by collective bargaining agreements with various unions. A number of our existing collective bargaining agreements expire in any given year. Historically, we have been successful in renegotiating expiring agreements without any material disruption of operating activities, and management considers employee and union relations to be good. This has continued to be the case in 2025.</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hire, develop and retain the top talent in the industry. During 2025, we hired nearly 10,800 new employees into Lockheed Martin, nearly 1,500 of which were college hires. In addition to the 10,800, we created internship opportunities for an additional 2,000 students. Our early career strategy, to include partnerships with universities and college internship roles, is an integral part of developing the full breadth of our talent pipelines, particularly in technical fields and critical skills areas. We seek to access the broadest possible pool of talent to enable us to meet our hiring needs.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Employee satisfaction is essential to attracting and retaining top talent, and we regularly conduct employee engagement surveys to gauge employee satisfaction and to understand the effectiveness of our people strategy and assess employees’ intent to stay. We attract and reward our employees by providing market competitive compensation and benefits, including incentives and recognition plans that extend to non-represented employees of all levels in our organization and encourage excellence through our pay-for-performance philosophy. We have a distributed workforce model that enables flexible working arrangements for employees and teams who can meet our customer commitments remotely, which has helped recruit and retain talent. In addition, we invest in the development of our employees through training, apprenticeship programs, security clearance sponsorship, leadership development plans and tuition assistance for continuing education or industry certifications. We believe this employee development makes us more competitive and assists with leadership succession planning. In addition to efforts focused on recruitment and retention, we also monitor employee attrition across our employee population and take action based on the insights we gain from that monitoring process.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 and Health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safety and health program we seek to optimize our operations with targeted safety, health and wellness opportunities designed to provide safe work conditions and a healthy work environment, promote workforce resiliency and enhance business value. As part of this program, we track employee health and safety measures, including quarterly and yearly targets related to the number of injury and illness incidents that occur at work, those incidents that result in days lost, and the number of days lost due to workplace injuries and illness.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the risks related to our human capital resources, see Item 1A –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with many different companies both within and outside of the defense and aerospace industry. The Boeing Company, General Dynamics, L3Harris Technologies, Northrop Grumman, and RTX Corporation are some of our primary competitors. Key characteristics of our industry include long operating cycles and intense competition, which is evident through the number of competitors bidding on program opportunities and the existence of bid protests (competitor protests of U.S. Government procurement awards).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often collaborate with our competitors through teaming arrangements in efforts to provide our customers with the best mix of capabilities to address specific requirements. Additionally, a company competing to be a prime contractor may, upon ultimate award of the contract to another competitor, serve as a subcontractor to the ultimate prime contracting company. It is not unusual to compete for a contract award with a peer company and, simultaneously, perform as a supplier to or a customer of that same competitor on other contracts.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 portfolio of products and services competes domestically and internationally against products and services of the companies listed above, numerous smaller competitors and startups, and increasingly, non-traditional and non-U.S. defense contractors. In some areas of our business, customer requirements and acquisition processes are changing to encourage or facilitate expanded competition. Principal factors of competition include: the technical excellence, reliability, safety and cost competitiveness of our products and services to the customer; technical and management capability; the ability to innovate and develop new products and technologies that improve mission performance and adapt to dynamic threats; successful program execution and on-time delivery of complex, integrated systems; the reputation and customer confidence derived from past performance; our demonstrated ability to execute and perform against contract requirements and successfully manage customer relationships; and our global footprint and accessibility to customers.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competition for international sales for most of our products and services is subject to U.S. Government stipulations (e.g., export restrictions, market access, technology transfer, industrial cooperation and contracting practices). We compete against U.S. and non-U.S. companies (or teams) for contract awards by international governments. International competitions are also subject to different laws or contracting practices of international governments, which affects how we structure our bid for the procurement. In many international procurements, the purchasing government’s relationship with the U.S. and its industrial cooperation programs designed to enhance local industry are important factors in determining the outcome of a competition. It is common for international customers to require contractors to comply with their industrial cooperation regulations, sometimes referred to as offset requirements, and we have entered into foreign offset agreements as part of securing some international business. For more information concerning our international business, see “International Business” in Management’s Discussion and Analysis of Financial Condition and Results of Operations and Item 1A – Risk Factors.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Technological advances in such areas as additive manufacturing, data analytics, digital engineering, artificial intelligence, advanced materials, autonomy and robotics, and new business models such as commercial access to space, are enabling new factors of competition for both traditional and non-traditional competitors. For more information on the risks related to new technologies, see Item 1A - 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heavily regulated. We contract with numerous U.S. Government agencies and entities, principally all branches of the U.S. military and NASA. We also contract with similar government authorities in other countries, either under the foreign military sales (FMS) program, contracted through the U.S. Government, or as a direct sale with the foreign government authority, which regulates these sales in a manner similar to the U.S. Government.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formation, administration and performance of U.S. Government and other governments’ contracts, including foreign governments. These laws and regulations, among other things:</w:t>
      </w:r>
    </w:p>
    <w:p>
      <w:pPr>
        <w:spacing w:after="0" w:line="121" w:lineRule="exact"/>
        <w:rPr>
          <w:sz w:val="20"/>
          <w:szCs w:val="20"/>
          <w:color w:val="auto"/>
        </w:rPr>
      </w:pPr>
    </w:p>
    <w:p>
      <w:pPr>
        <w:ind w:left="320" w:hanging="27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certification and disclosure of all cost or pricing data in connection with certain types of contract negotiations;</w:t>
      </w:r>
    </w:p>
    <w:p>
      <w:pPr>
        <w:spacing w:after="0" w:line="90" w:lineRule="exact"/>
        <w:rPr>
          <w:rFonts w:ascii="Times New Roman" w:cs="Times New Roman" w:eastAsia="Times New Roman" w:hAnsi="Times New Roman"/>
          <w:sz w:val="18"/>
          <w:szCs w:val="18"/>
          <w:color w:val="auto"/>
        </w:rPr>
      </w:pPr>
    </w:p>
    <w:p>
      <w:pPr>
        <w:ind w:left="320" w:hanging="27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specific and unique cost accounting practices that may differ from U.S. generally accepted accounting principles (GAAP);</w:t>
      </w:r>
    </w:p>
    <w:p>
      <w:pPr>
        <w:spacing w:after="0" w:line="90" w:lineRule="exact"/>
        <w:rPr>
          <w:rFonts w:ascii="Times New Roman" w:cs="Times New Roman" w:eastAsia="Times New Roman" w:hAnsi="Times New Roman"/>
          <w:sz w:val="18"/>
          <w:szCs w:val="18"/>
          <w:color w:val="auto"/>
        </w:rPr>
      </w:pPr>
    </w:p>
    <w:p>
      <w:pPr>
        <w:ind w:left="340" w:hanging="29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acquisition regulations, which may change or be replaced over time, that define which costs can be charged to the U.S. Government, how and when costs can be charged, and otherwise govern our right to reimbursement under certain U.S. Government and foreign contracts;</w:t>
      </w:r>
    </w:p>
    <w:p>
      <w:pPr>
        <w:spacing w:after="0" w:line="26" w:lineRule="exact"/>
        <w:rPr>
          <w:rFonts w:ascii="Times New Roman" w:cs="Times New Roman" w:eastAsia="Times New Roman" w:hAnsi="Times New Roman"/>
          <w:sz w:val="18"/>
          <w:szCs w:val="18"/>
          <w:color w:val="auto"/>
        </w:rPr>
      </w:pPr>
    </w:p>
    <w:p>
      <w:pPr>
        <w:ind w:left="340" w:right="20" w:hanging="29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specific security controls to protect U.S. Government controlled unclassified information and that our suppliers that have access to this type of information comply with cyber security regulations;</w:t>
      </w:r>
    </w:p>
    <w:p>
      <w:pPr>
        <w:spacing w:after="0" w:line="26" w:lineRule="exact"/>
        <w:rPr>
          <w:rFonts w:ascii="Times New Roman" w:cs="Times New Roman" w:eastAsia="Times New Roman" w:hAnsi="Times New Roman"/>
          <w:sz w:val="18"/>
          <w:szCs w:val="18"/>
          <w:color w:val="auto"/>
        </w:rPr>
      </w:pPr>
    </w:p>
    <w:p>
      <w:pPr>
        <w:ind w:left="340" w:hanging="29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use and dissemination of information classified for national security purposes and the export of certain products, services and technical data;</w:t>
      </w:r>
    </w:p>
    <w:p>
      <w:pPr>
        <w:spacing w:after="0" w:line="26"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acquisition from or use by contractors of materials, products or services procured from certain countries or entities located outside the United States (e.g., the prohibition on the acquisition of sensitive materials from non-allied foreign nations and prohibition on the acquisition and use of certain telecommunications and video surveillance services or equipment); and</w:t>
      </w:r>
    </w:p>
    <w:p>
      <w:pPr>
        <w:spacing w:after="0" w:line="40"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review and approval of contractor business systems, including accounting systems, estimating systems, earned value management systems for managing cost and schedule performance on certain complex programs, purchasing systems, material management and accounting systems for planning, controlling and accounting for the acquisition, use, issuing and disposition of material, and property management systems.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Government and in limited cases certain other governments may terminate any of our government contracts and subcontracts either at their convenience or for default based on our performance. If a contract is terminated for convenience, we generally are protected by provisions covering reimbursement for costs incurred on the contract, up to termination, and profit on those costs. If a contract is terminated for default, we generally are entitled to payment for our work that has been accepted by the U.S. Government or other governments; however, the U.S. Government and other governments could make claims to reduce our recovery or recoup its procurement costs and could assess other special penalties. For more information regarding the U.S. Government’s and other governments’ right to terminate our contracts and the risks of doing work internationally, see Item 1A – Risk Factors. For more information regarding government contracting laws and regulations, see Item 1A – Risk Factors as well as “Critical Accounting Policies – Contract Accounting / Sales Recognition” in Management’s Discussion and Analysis of Financial Condition and Results of Operations.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programs for the U.S. Government often operate for periods of time under undefinitized contract actions (UCAs), which means that we begin performing our obligations before the terms, specifications or price are finally agreed to between the parties. Although in most cases we historically have reached mutual agreement to definitize our UCAs, the U.S. Government has the ability to unilaterally definitize contracts and has done so in the past. Absent a successful appeal of such action, the unilateral definitization of the contract obligates us to perform under terms and conditions imposed by the U.S. Government.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Contracts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business is classified by the U.S. Government and cannot be specifically described. The operating results of classified contracts are included in our consolidated financial statements. The business risks and capital requirements associated with classified contracts historically have not differed materially from those of our other U.S. Government contracts. However, certain classified fixed-price development and production contracts carry higher performance risk, and we are unable to insure loss to government property because the classified nature of the contracts prevents the disclosure of information necessary for underwriting and claims to commercial insurers. Our internal controls addressing the financial reporting of classified contracts are consistent with our internal controls for our non-classified contracts.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Aircraft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commercial aircraft products are required to comply with U.S. and international regulations governing production and quality systems, airworthiness and installation approvals, repair procedures and continuing operational safety.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subject to and affected by various federal, state, local and foreign environmental protection laws and regulations regarding the discharge of materials into the environment or otherwise regulating the protection of the environment. As a result of these environmental protection laws, we are involved in environmental remediation at some of our current and former facilities and at third-party-owned sites where we have been designated a potentially responsible party as a result of our prior activities and those of our predecessor companies. Although the extent of our financial exposure cannot in all cases be reasonably estimated, the costs of environmental compliance have not had, and we do not expect that these costs will have, a material adverse effect on our financial condition or results of operations, primarily because substantially all of our environmental costs are allowable in establishing the price of our products and services under our contracts with the U.S. Government. For information regarding these matters, including current estimates of the amounts that we believe are required for remediation or cleanup to the extent that they are probable and estimable, see “Note 14 – Legal Proceedings, Commitments and Contingencies” included in our Notes to Consolidated Financial Statements. See also the discussion of environmental matters in Item 1A – Risk Factors.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and Sustainability Reporting and Regulation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an increasing global regulatory focus on greenhouse gas (GHG) emissions and their potential impacts relating to climate change. Various jurisdictions around the world in which we operate, including the U.S., the European Union, the United Kingdom, Australia and certain U.S. States, have adopted or proposed laws related to climate and sustainability reporting. These and future laws, regulations or policies in response to concerns over GHG emissions such as carbon taxes, mandatory reporting and disclosure obligations, including environmental requirements for certain federal contractors and subcontractors, and changes in procurement policies, including the use of environmental goals in proposal evaluation, could significantly increase our operational and compliance burdens and costs. We monitor developments in climate change-related regulation for their potential effect on us and also have a comprehensive sustainability program that seeks to mitigate our impact on the environment, including targets to reduce our GHG emissions. For more information on the risk of climate-change related regulation, see Item 1A – Risk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Applicable Regulations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and operations are subject to both U.S. and non-U.S. government laws, regulations and procurement policies and practices, including regulations relating to product testing, import-export controls, technology transfer restrictions, foreign investment, tariffs, taxation, repatriation of earnings, sanctions, exchange controls, the Foreign Corrupt Practices Act and other anti-corruption laws and anti-boycott provisions of the U.S. Export Control Reform Act of 2018.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a Maryland corporation formed in 1995 by combining the businesses of Lockheed Corporation and Martin Marietta Corporation. Our principal executive offices are located at 6801 Rockledge Drive, Bethesda, Maryland 20817. Our telephone number is (301) 897-6000 and our website address is </w:t>
      </w:r>
      <w:r>
        <w:rPr>
          <w:rFonts w:ascii="Times New Roman" w:cs="Times New Roman" w:eastAsia="Times New Roman" w:hAnsi="Times New Roman"/>
          <w:sz w:val="18"/>
          <w:szCs w:val="18"/>
          <w:u w:val="single" w:color="auto"/>
          <w:color w:val="auto"/>
        </w:rPr>
        <w:t>www.lockheedmartin.com</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make our website content available for information purposes only. It should not be relied upon for investment purposes, nor is it incorporated by reference into this Annual Report on Form 10-K (Form 10-K).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this Form 10-K, we incorporate by reference information from parts of other documents filed with the U.S. Securities and Exchange Commission (SEC). The SEC allows us to disclose important information by referring to it in this manner.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proxy statements for our annual stockholders’ meetings and amendments to those reports are available free of charge on our website, </w:t>
      </w:r>
      <w:r>
        <w:rPr>
          <w:rFonts w:ascii="Times New Roman" w:cs="Times New Roman" w:eastAsia="Times New Roman" w:hAnsi="Times New Roman"/>
          <w:sz w:val="18"/>
          <w:szCs w:val="18"/>
          <w:u w:val="single" w:color="auto"/>
          <w:color w:val="auto"/>
        </w:rPr>
        <w:t>www.lockheedmartin.com/investor</w:t>
      </w:r>
      <w:r>
        <w:rPr>
          <w:rFonts w:ascii="Times New Roman" w:cs="Times New Roman" w:eastAsia="Times New Roman" w:hAnsi="Times New Roman"/>
          <w:sz w:val="18"/>
          <w:szCs w:val="18"/>
          <w:color w:val="auto"/>
        </w:rPr>
        <w:t xml:space="preserve">, as soon as reasonably practical after we electronically file the material with, or furnish it to, the SEC. In addition, copies of our annual report will be made available, free of charge, upon written request. The SEC also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statements and other information regarding SEC registrants, including Lockheed Martin Corporation.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Form 10-K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and assumptions with respect to future sales, income and cash flows, growth, program performance, the outcome of litigation, anticipated pension costs and funding, environmental remediation cost estimates, planned acquisitions or dispositions of assets, future regulatory, economic or geopolitical changes, or the anticipated consequences thereof are examples of forward-looking statements. Numerous factors, including the risk factors described in the following section, could cause our actual results to differ materially from those expressed in our forward-looking statements.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actual financial results likely will be different from any projections due to the inherent nature of projections. Given these uncertainties, forward-looking statements should not be relied on in making investment decisions. The forward-looking statements contained in this Form 10-K speak only as of the date of its filing. Except where required by applicable law, we expressly disclaim a duty to provide updates to forward-looking statements after the date of this Form 10-K to reflect subsequent events, changed circumstances, changes in expectations, or the estimates and assumptions associated with them. The forward-looking statements in this Form 10-K are intended to be subject to the safe harbor protections provided by the federal securities laws.</w:t>
      </w:r>
    </w:p>
    <w:p>
      <w:pPr>
        <w:spacing w:after="0" w:line="1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or debt securities involves risks and uncertainties. While we seek to identify, manage and mitigate risks to our business, risk and uncertainty cannot be eliminated or necessarily predicted. The outcome of one or more of these risks could have a material effect on our results of operations or financial position. You should carefully consider the following factors, in addition to the other information contained in this Annual Report on Form 10-K, before deciding to trade in our common stock or debt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Government Contracts, our Industry and the Economy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contracts with the U.S. Government for a substantial portion of our business. Changes in the U.S. Government’s priorities, or delays or reductions in spending could have a material adverse effect on our business.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derived 72% of our total consolidated sales from the U.S. Government in 2025, including 63% from the Department of War (DoW), also known as the Department of Defense under 10 U.S.C. § 111(a). We expect to continue to derive most of our sales from work performed under U.S. Government contracts. A reduction in overall U.S. defense spending, on an absolute or inflation-adjusted basis, because of shifting priorities, budget compromises or otherwise could adversely affect our business. Budget uncertainty, extended or repeated U.S. Government shutdowns, the use of continuing resolutions, and the federal debt ceiling can adversely affect our industry and both the quantum and timing of funding for our programs. When appropriations are delayed or a government shutdown occurs and continues for an extended period, we may be at risk of reduced orders, program cancellations, nonpayment or payment delays and other disruptions. When the U.S. Government operates under a continuing resolution, new contract and program starts are restricted and funding for our programs may be unavailable, reduced or delayed.</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with the U.S. Government are conditioned upon the continuing availability of Congressional appropriations. Congress usually appropriates funds on a fiscal year (FY) basis even though contract performance may extend over many years. Consequently, contracts are often partially funded initially, and additional funds are committed only as Congress makes further appropriations over time. To the extent we incur costs in excess of funds obligated on a contract or in advance of a contract award or contract definitization, we are at risk of not being reimbursed for those costs unless and until additional funds are obligated under the contract or the contract is successfully awarded, definitized and funded, which could adversely affect our financial condition and results of operations.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fund or the termination of significant programs or contracts by the U.S. Government could adversely affect our business and financial performance. DoW’s changes in funding priorities also could reduce opportunities in existing programs and in future programs or initiatives where we intend to compete and where we have made investments. While we generally expect to compete and be well positioned as the incumbent on existing programs, we may not be successful and, even if we are successful, the replacement programs may be funded at lower levels or result in lower margins. In addition, our ability to grow in key areas such as hypersonics programs, classified programs and next-generation franchise programs will be affected by the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budget environment and whether development programs transition to production and the timing of such transition, all of which are dependent on U.S. Government authorization and funding.</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F-35 program comprises a material portion of our revenue and reductions or delays in funding for this program and risks related to performance, schedule, cost and requirements of the program could adversely affect our performance.</w:t>
      </w:r>
    </w:p>
    <w:p>
      <w:pPr>
        <w:spacing w:after="0" w:line="1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F-35 program, which consists of multiple development, production and sustainment contracts, is our largest program and represented 27% of our total consolidated sales in 2025. A decision by the U.S. Government, international partners, or FMS customer countries to cut spending on this program or reduce or delay planned orders may have an adverse impact on our business and results of operations. Given the size and complexity of the F-35 program, we anticipate that there will be continual reviews related to aircraft performance, program and delivery schedule, cost, and requirements as part of the DoW, Congressional, and international countries’ oversight and budgeting processes. Challenges and risks associated with this program include supplier performance, software development, definitizing and receiving funding for contracts on a timely basis, execution of future flight tests and findings resulting from testing and operating the aircraft, the level of cost associated with life cycle operations, sustainment and potential contractual obligations, inflation-related cost pressures, the ability to improve affordability, and potential competition from next-generation or other platforms. We may face similar risks for other complex and technologically advanced programs.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also may not be successful in making hardware upgrades and other modernization capabilities in a timely manner, including as a result of dependencies on suppliers, which could increase costs and create schedule delays. Our ability to capture and retain future F-35 growth in development, production and sustainment is dependent on the success of our efforts to achieve F-35 sustainment performance, customer affordability, supply chain improvements, continued reliability improvements and other efficiencies, some of which are outside our control. See also the Risk Factor below captioned “We are heavily dependent on suppliers and if our subcontractors or other suppliers or teaming agreement or joint venture partners fail to perform their obligations, our performance and ability to win future business could be adversely affected” for further discussion.</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procurement and other laws, regulations, and contract terms, including those that enable the U.S. Government to terminate contracts for convenience. Our business and reputation could be adversely affected if we or those we do business with fail to comply with these laws, regulations, or terms.</w:t>
      </w:r>
    </w:p>
    <w:p>
      <w:pPr>
        <w:spacing w:after="0" w:line="1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must comply with extensive laws and regulations relating to the award, administration and performance of U.S. Government contracts. Government contract laws and regulations affect how we do business with our customers and impose certain risks and costs on our business. A violation of these laws and regulations by us, our employees, others working on our behalf, a supplier or a joint venture partner could harm our reputation and result in the imposition of fines and penalties, the termination of our contracts, suspension or debarment from bidding on or being awarded contracts, loss of our ability to export products or perform services and civil or criminal investigations or proceedings. From time to time, the U.S. Government has proposed contract terms, imposed internal policies, or taken positions that represent fundamental changes from historical practices or that we believe are inconsistent with the FAR or other laws and regulations and that could adversely affect our business. In addition, costs to comply with new government regulations and changing policies and practices can increase our costs, reduce our margins and adversely affect our competitiveness. Also, a portion of our contracts are classified by the U.S. Government, which imposes security requirements that limit our ability to discuss our performance on these contracts, including any specific risks, disputes and claims.</w:t>
      </w:r>
    </w:p>
    <w:p>
      <w:pPr>
        <w:spacing w:after="0" w:line="213"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8"/>
          <w:szCs w:val="18"/>
          <w:i w:val="1"/>
          <w:iCs w:val="1"/>
          <w:color w:val="auto"/>
        </w:rPr>
        <w:t xml:space="preserve">Executive Orders. </w:t>
      </w:r>
      <w:r>
        <w:rPr>
          <w:rFonts w:ascii="Times New Roman" w:cs="Times New Roman" w:eastAsia="Times New Roman" w:hAnsi="Times New Roman"/>
          <w:sz w:val="18"/>
          <w:szCs w:val="18"/>
          <w:color w:val="auto"/>
        </w:rPr>
        <w:t>The President has issued multiple Executive Orders (EOs), including two that are intended to (i) simplify and accelerate the procurement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through an overhaul of the FAR and (ii) modernize the defense acquisition process by promoting commercial solutions, use of innovative acquisition authorities, and other existing streamlined processes. The Secretary of War recently released the Department’s Acquisition Transformation Strategy that is consistent with these EOs, and also aims to restructure the requirements process, funding authority, and reorganizes the Acquisition workforce. As part of this broader transformation, the U.S. Government is shifting its acquisition strategy toward longer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contract structures; some contracts that were previously negotiated on an annual basis may now be executed as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procurement. We expect a revision to the DFARS in the next several months as well.</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President recently issued an EO that could limit certain contractors performing work under critical defense weapons, supplies, and equipment contracts from issuing excessive dividends or owner distributions, making share repurchases, and placing certain restrictions on executive compensation, as well as additional measures. It is expected that this EO will be implemented this year through a new DFARS clause and the EO’s restrictions will apply only after the DoW determines that a contractor has failed to meet identified contract performance requirements.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applicability and full impact of these initiatives on our business is uncertain, we are adapting to meet the changes in U.S. Government buying behaviors and expectations. We will continue to monitor and assess their effects on our business and financial results.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Undefinitized Contract Action (UCA). </w:t>
      </w:r>
      <w:r>
        <w:rPr>
          <w:rFonts w:ascii="Times New Roman" w:cs="Times New Roman" w:eastAsia="Times New Roman" w:hAnsi="Times New Roman"/>
          <w:sz w:val="18"/>
          <w:szCs w:val="18"/>
          <w:color w:val="auto"/>
        </w:rPr>
        <w:t>From time to time, we perform work under a UCA with the U.S. Government, which is when we begin performing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obligations before the terms, specifications or price are finally agreed to between the parties. The U.S. Government has the right to unilaterally definitize contracts, which it has exercised in the past and which, absent a successful appeal, obligates us to perform under terms and conditions imposed on us by the U.S. Government and may negatively affect our expected profit and cash flows on a program or impose burdensome terms.</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Bid Protests. </w:t>
      </w:r>
      <w:r>
        <w:rPr>
          <w:rFonts w:ascii="Times New Roman" w:cs="Times New Roman" w:eastAsia="Times New Roman" w:hAnsi="Times New Roman"/>
          <w:sz w:val="18"/>
          <w:szCs w:val="18"/>
          <w:color w:val="auto"/>
        </w:rPr>
        <w:t>U.S. Government procurement laws permit legal challenges, referred to as bid protests, to the terms of a contract solicitation or the award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We may encounter bid protests from unsuccessful bidders on new program awards seeking to overturn the award. Unsuccessful bidders also may protest with the goal of being awarded a subcontract for a portion of the work in return for withdrawing the protest. Bid protests can result in significant expenses to us, contract modifications or even loss of the contract award and the resolution can extend the time until contract activity can begin and delay the recognition of sales and defer underlying cash flows and adversely affect our operating results. Our efforts to protest or challenge any bids for contracts that were not awarded to us also may be unsuccessful.</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Contract Termination. </w:t>
      </w:r>
      <w:r>
        <w:rPr>
          <w:rFonts w:ascii="Times New Roman" w:cs="Times New Roman" w:eastAsia="Times New Roman" w:hAnsi="Times New Roman"/>
          <w:sz w:val="18"/>
          <w:szCs w:val="18"/>
          <w:color w:val="auto"/>
        </w:rPr>
        <w:t>The U.S. Government may terminate any of our government contracts at its convenience or for default based on our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of which could adversely affect our business and financial performance. Generally, prime contractors have similar termination rights under subcontracts related to government contracts. If a contract is terminated for convenience, we generally are protected by provisions covering reimbursement for costs incurred on the contract and profit on those costs. However, to the extent insufficient funds have been appropriated by the U.S. Government to cover our costs upon a termination for convenience, the U.S. Government may assert that it is not required to appropriate additional funding. If a contract is terminated for default, the U.S. Government could make claims to reduce our recovery or recoup its procurement costs and could assess other special penalties, exposing us to liability and adversely affecting our ability to compete for future contracts and orders. In addition, the U.S. Government could terminate a prime contract under which we are a subcontractor, notwithstanding the fact that our performance and the quality of the products or services we delivered were consistent with our contractual obligations as a subcontractor.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changing customer procurement policies could adversely affect our business and financial results.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operate in a highly competitive industry and our competitors may have more extensive or more specialized engineering, technical, marketing and servicing capabilities than we do in certain areas. Our competitors may develop new technologies, products or services that could replace our current offerings. Additionally, if competitors can offer lower cost services and products, or provide services or products more quickly, at equivalent or in some cases even reduced capabilities, we may lose new business opportunities or contract recompetes, which could adversely affect our future results. We are facing increased competition from new entrants, startups and non-traditional defense contractors. Furthermore, acquisitions in our industry, including vertical integration, also could result in increased competition or limit our access to certain suppliers without appropriate remedies to protect our interests.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substantial portion of our business is awarded through competitive bidding. The U.S. Government increasingly has relied on competitive contract award types, including indefinite-delivery, indefinite-quantity and other multi-award contracts, which have the potential to create pricing pressure and to increase our costs by requiring us to submit multiple bids and proposals. Multi-award contracts require us to make sustained efforts to obtain task orders under the contract. Additionally, procurements that do not evaluate whether the cost assumptions in the bids are realistic can lead to bidders taking aggressive pricing positions, which could result in the winner realizing a loss upon contract award or an increased risk of lower margins or realizing a loss over the term of the contract. Competitors may be willing to accept more risk or lower profitability in competing for contracts than we are. The U.S. Government also may not award us large competitive contracts that we otherwise might have won in an effort to strengthen a broad industrial base or address other procurement policy preferences.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U.S. Government procurement policies and procedures and the application thereof are regularly changing, and such changes could adversely affect our profitability or the ability to win new business. For example, an increase in the use of contract structures that shift risk to the contractor, such as fixed-price development contracts and incentive-based fee arrangements, or the U.S Government using different award fee criteria than historically used (such as the evaluation of environmental factors) could adversely affect our profit rates or make it more difficult to win new contracts. The DoW is increasingly pursuing rapid acquisition pathways and procedures for new technologies, including through so called “other transaction authority” agreements (OTAs). OTAs are exempt from many traditional procurement laws, including the FAR, and an OTA award may be subject, in certain cases, to the condition that a significant portion of the work under the OTA is performed by a non-traditional defense contractor or that a portion of the cost of the protype project is funded by non-governmental sources. Changes in regulations or interpretations of what are allowable costs under our government contracts could adversely impact our profitability and changes in contract financing policy for fixed-price contracts, such as changes in performance and progress payments policies, could significantly affect the timing of our cash flows. Additionally, the DoW has proposed broad-reaching acquisition reforms that, if enacted, could impact our business and results of operations.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profitability and cash flow may vary based on the mix of our contracts and programs, our performance, and our ability to estimate and control costs.</w:t>
      </w:r>
    </w:p>
    <w:p>
      <w:pPr>
        <w:spacing w:after="0" w:line="1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profitability and cash flow may vary materially depending on the types of government contracts undertaken, the nature of products produced or services performed under those contracts, the costs incurred in performing the work, the achievement of other performance objectives and the stage of performance at which the right to receive fees is determined, particularly under award and incentive-fee contracts. Failure to perform to customer expectations and contract requirements may result in reduced fees or losses and may adversely affect our financial performance.</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Contract types primarily include fixed-price and cost-reimbursable contracts. Cost-reimbursable contracts provide for the payment of allowable costs incurred during performance of the contract plus a fee up to a ceiling based on the amount that has been funded. Cost, schedule or technical performance issues with respect to cost-reimbursable contracts could result in reduced fees, lower profit rates, or program cancellation. Fixed-price contracts are predominantly either firm fixed-price (FFP) contracts or fixed-price incentive (FPI) contracts. Under FFP contracts, we receive a fixed price irrespective of the actual costs we incur and therefore we carry the burden of any cost overruns. Under FPI contracts the U.S. Government is responsible for our costs up to a negotiated ceiling price and we generally share, based on a negotiated sharing formula, savings from cost underruns and expenses, up to the negotiated ceiling price, from cost overruns. We bear the risk for all cost overruns that exceed the negotiated ceiling price. Due to the fixed-price nature of the contracts, if our actual costs exceed our estimates, our margins and profits are reduced and we could incur a reach-forward loss. A reach-forward loss is when estimates of total costs to be incurred on a contract exceed total estimates of the transaction price. When this occurs, a provision for the entire loss is determined at the contract level and is recorded in the period in which the loss is evident.</w:t>
      </w:r>
    </w:p>
    <w:p>
      <w:pPr>
        <w:spacing w:after="0" w:line="2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Under both fixed-price and cost-reimbursable contracts, if we are unable to control costs, our operating results could be adversely affected. Costs to complete a contract may increase for many reasons, including technical and manufacturing challenges, schedule delays, workforce-related issues, inaccurate initial contract cost estimates, the timeliness and availability of materials from suppliers, internal and subcontractor performance or product quality issues, inability to meet cost reduction initiatives or achieve efficiencies from digital transformation, changing laws or regulations, inflation and natural disasters. Certain contracts may impose other risks, such as temporary payment withholds, forfeiting fees, paying penalties, or providing replacement systems in the event of performance failure.</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Contracts for development programs include complex design and technical requirements and are often contracted on a cost-reimbursable basis, however, some of our existing development programs are contracted on a fixed-price basis. In addition, we have certain contracts where we bid upfront on cost-reimbursable development work and the follow-on fixed-price production options in one submission. We expect we also will bid on similar programs in the future. Fixed-price development work or fixed-price production options, especially on competitively bid programs, is inherently riskier than cost-reimbursable work because the revenue is fixed, while the estimates of costs required to complete these contracts are subject to significant variability due to the nature of development programs. The technical complexity coupled with the fixed-price contract structure of certain of our ongoing development programs or new programs increases the risk that our costs will be greater than anticipated, resulting in reduced margins, operating profit, or reach-forward losses during the period of contract performance or upon contract award, all of which could be significant to our financial condition and operating results. Bidding upfront on fixed-price production options increases the risk that we may experience lower margins than expected, or a loss, on the production options because we must estimate the cost of producing a product before it has been developed. These risks may cause us not to bid on certain future programs, which could adversely affect our future growth prospects and financial performance. See “Note 1 – Organization and Significant Accounting Policies” included in our Notes to Consolidated Financial Statements for further details about losses incurred on certain programs, including fixed-price development programs.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Contracts for the transition from development to production (e.g., low rate initial production (LRIP) contracts) also create performance and financial risks to our business because of the challenge of starting and stabilizing a manufacturing production and test line while concurrently validating final design and managing change in requirements or capabilities requested by the customer.</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Many of our contracts include multiple option years exercisable at the customer’s discretion, which carries risk. The customer may decline to exercise an option, or the customer may exercise an option on a contract for which we expect to incur a loss or perform at a low margin, either of which could adversely affect our financial results.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routinely subject to audit by our customers on government contracts, including audits relating to our disclosed Cost Accounting Standards (CAS) rate structure or any changes to our CAS rate structure and the results of those audits could have an adverse effect on our business, reputation and results of operations</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U.S. Government agencies, including the Defense Contract Audit Agency, the Defense Contract Management Agency and various agency Inspectors General, routinely audit and investigate government contractors. These agencies review a contractor’s compliance with applicable laws, regulations and contract terms, regarding, among other things, contract pricing, contract performance, cost structure and business systems. U.S. Government audits and investigations often take years to</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complete, and many result in no adverse action against us. Like many U.S. Government contractors, we have received audit and investigative reports recommending the reduction of certain contract prices or that certain payments be repaid, delayed, or withheld, and may involve substantial amounts. Similarly, like other U.S. Government contractors, audits and investigations also occur related to cost reimbursements that are based upon our final allowable incurred costs for each year. We have unaudited or unsettled incurred cost claims related to past years, which limits our ability to issue final billings on contracts for which authorized and appropriated funds may be expiring or can result in delays in final billings and our ability to close out a contract. These audits could result in unanticipated changes to contract prices and the amount and timing of payments, which could affect profitability and cash flows for any particular reporting period. These changes could have a material impact on financial condition and results of operations in such period.</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an audit or investigation uncovers improper or illegal activities, we may be subject to civil or criminal penalties and administrative sanctions, including reductions of the value of contracts, contract modifications or terminations, forfeiture of profits, suspension of payments, repayments, penalties, fines or suspension or debarment from doing business with the U.S. Government. Reductions in the value of contracts, contract modifications or terminations, forfeiture of profits, suspension of payments, repayments, penalties, and fines could have a material impact on financial condition and results of operations in any particular reporting period, and suspension or debarment could have a material adverse effect on us because of our dependence on contracts with the U.S. Government. In addition, we could suffer serious reputational harm if allegations of impropriety were made against us. Similar government oversight and risks to our business and reputation exist in most other countries where we conduct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suppliers and if our subcontractors or other suppliers or teaming agreement or joint venture partners fail to perform their obligations, our performance and ability to win future business could be adversely affected.</w:t>
      </w:r>
    </w:p>
    <w:p>
      <w:pPr>
        <w:spacing w:after="0" w:line="1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the prime contractor on most of our contracts and rely on other companies to provide materials, major components and products, and to perform a portion of the services that are provided to our customers. These arrangements may involve subcontracts, teaming arrangements, joint ventures, or supply agreements with other companies (contracting parties) and, in many cases, contracting parties in turn rely on lower-tier subcontractors. We sometimes have disputes with our contracting parties, including regarding the cost, quality and timeliness of work performed, workshares, customer concerns about the contracting party’s performance, issues related to lower-tier subcontractor performance, our failure to issue or extend task orders, or our hiring the personnel of a subcontractor, teammate or joint venture partner or vice versa. We also could be adversely affected by actions or issues experienced by our contracting parties that are outside of our control, such as misconduct and reputational issues involving our contracting parties, which could subject us to liability or adversely affect our ability to compete for contract awards. The financial stability and viability of our contracting parties or lower-tier subcontractors have and in the future could adversely affect their ability to meet their performance obligations and result in an impact on our business and results of operations.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 failure by one or more of our contracting parties to provide agreed-upon materials, components or products, or perform agreed-upon services, on a timely basis, according to specifications, including compliance with regulatory requirements we flow down from our prime contracts, or at all, has and may adversely affect our ability to perform our obligations and require that we transition impacted work to other companies. Contracting party performance deficiencies may result in additional costs or delays in product deliveries and affect our operating results and could result in a customer terminating our contract for default or convenience. A default termination could expose us to liability and affect our ability to compete for future contracts and orders. A failure by our contracting parties to meet affordability targets could negatively affect our profitability, result in contract losses and affect our ability to win new business.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we are affected by government procurement restrictions and issues affecting industry supply chains broadly. For example, U.S. Government statutes and regulations impose restrictions on the sourcing of items from specified countries. We seek to manage supply risk through long-term contracts, identifying domestic or other U.S. allied alternative sources of items and maintaining an acceptable level of our key materials in inventories. Advanced microelectronics, including semiconductors, underpin many of our current and future critical technologies and platforms, and global shortages of these products due to increased demand or other supply chain challenges could result in increased procurement lead times and increased costs and potential shortages, which could affect our performance. We also must comply with specific procurement requirements that can limit the number of eligible suppliers, and a significant number of the components or supplies used are currently single or sole sourced. Because the identification and qualification of new or additional suppliers can take an extended period of time and can result in additional cost, issues with suppliers or trade actions that limit our ability to use certain suppliers, especially when single or sole sourced, can have an adverse impact on our business. Complying with U.S. Government contracting regulations that limit the source or manufacture of suppliers and impose stringent cybersecurity regulations also may create challenges for our supply chain and increase costs.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remain heavily dependent on our supply chain for sourcing contractually compliant components, which is outside of our direct control and is multi-tiered. The future occurrence of non-compliant components in our programs could cause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suspensions in product deliveries, remediation work on installed components, contract price adjustments and alternate supply sourcing, all of which could adversely affect our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develop new technologies, products and services and efficiently produce and deliver existing products.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Many of the products and services we provide are highly engineered and involve sophisticated technologies with related complex manufacturing and systems integration processes. Our customers’ requirements change and evolve regularly. Accordingly, our future performance depends, in part, on our ability to adapt to changing customer needs rapidly, identify emerging technological trends, develop and manufacture innovative products and services efficiently and bring those offerings to market quickly at cost-effective prices. This includes efforts to provide mission solutions that integrate capabilities and resources across all forces and domains, which we refer to as joint all domain operations, and to implement emerging digital and network technologies and capabilities. Artificial intelligence technologies have rapidly developed and our business may be adversely affected if we cannot successfully integrate the technology into our internal business processes and product and service offerings in a timely, cost-effective, compliant and responsible manner. To advance our innovation and position us to meet our customers’ requirements, we make investments in emerging technologies that we believe are needed to keep pace with rapid industry innovation and seek to collaborate with commercial entities that we believe have complementary technologies to ours. These commercial entities may not be accustomed to government contracting and may be unwilling to agree to the government’s customary terms, including with respect to intellectual property, liability and indemnification terms, which may prevent or lessen the benefit of collaboration. We may not be successful in identifying or developing emerging technologies and may spend significant resources on projects that ultimately are unsuccessful or yield a low return on the amount invested.</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future success in delivering innovative and affordable solutions to our customers relies, in part, on our multi-year business transformation initiative that seeks to significantly enhance our digital infrastructure to increase efficiencies and collaboration throughout our business while reducing costs. This digital transformation effort requires substantial investment and if we are unable to successfully implement the strategy or do so in a timely manner, our results of operations and future competitiveness may be adversely affected.</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we fail in our development projects, if our new products or technologies fail to achieve customer acceptance, if competitors develop more capable technologies or offerings or develop new technologies or offerings or deliver existing offerings faster, or if stakeholders perceive our company as being slow to adapt, lacking in innovation or inconsistently delivering results, we may be unsuccessful in obtaining new contracts or winning all or a portion of next generation programs, including in key areas such as hypersonics and classified work, and this could adversely affect our future performance and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macroeconomic and public health events and conditions could adversely affect our business, financial condition and operating results.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Geopolitical</w:t>
      </w:r>
      <w:r>
        <w:rPr>
          <w:rFonts w:ascii="Times New Roman" w:cs="Times New Roman" w:eastAsia="Times New Roman" w:hAnsi="Times New Roman"/>
          <w:sz w:val="18"/>
          <w:szCs w:val="18"/>
          <w:color w:val="auto"/>
        </w:rPr>
        <w:t>. Changes in U.S. Government and other nations’ administrations and their associated shifts in policy and priorities could also impact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market conditions. Our business is highly sensitive to geopolitical and security issues, including foreign policy actions taken by governments such as tariffs, sanctions, embargoes, export and import controls, and other trade restrictions, which can affect the demand for, and our ability to sell, our products and services, cause disruptions to our supply chain, and, ultimately, could adversely affect our business.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Economic sanctions, export controls, and other trade restrictions, for instance those that the U.S. Government and other nations implemented against Russia in light of its invasion of Ukraine or those relating to the conflict in the Middle East, could directly and indirectly result in the disruption of our business and supply chain. Conflicts in Ukraine and elsewhere have increased the threat of malicious cyber activity from nation states and other actors. China has placed restrictions on and sanctioned our company and certain executives in connection with foreign military sales by the U.S. Government to Taiwan involving our products and services. We will continue to follow official U.S. Government guidance as it relates to sales to Taiwan and do not currently expect a material impact to our business from these actions.</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Global conflicts, including those noted above, have significantly elevated global geopolitical tensions and security concerns and resulted in increased demand for some of our products and services. However, if we are unable to increase production to meet demand in the timeframe customers expect, whether due to supply constraints, government funding, or otherwise, then we may lose sales opportunities as those customers seek alternatives, even less capable ones, that may be delivered more quickly. Furthermore, the level of continuing demand and our ability to sell to customers to meet that demand is subject in part to changes in government policies and priorities. Our ability to invest, or attract investment, to fund increased production to meet anticipated demand, and our ability to earn returns on those investments, is subject to government policies and priorities and our ability to perform, the impacts of which could impact our results of operations.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actions relating to rare earth minerals that are used in certain of our products, including U.S. Government sourcing prohibitions on the import of such minerals and the imposition of export controls on such minerals by China, have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raised concerns about supply availability. The rare earth supply chain continues to be vulnerable to disruption due to increasing scarcity and constrained capacity, and we are developing and executing mitigation plans designed to safeguard supply and meet future delivery commitments. We believe we will continue to meet our production and delivery commitments. However, if we are unable to successfully mitigate disruptions to the availability of rare earth minerals, our future profits, margins and cash flows may be adversely affected.</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Certain materials and component parts that go into making our products are imported into the U.S. and are subject to tariffs, sanctions, embargoes, export and import controls, and other trade restrictions. The U.S. Government has increased, expanded, or imposed new tariffs on goods imported from various countries. We also export certain products to other countries, and several countries have increased or imposed additional tariffs in response to U.S. tariffs. The tariff environment has been dynamic in 2025, with changes occurring on an ongoing basis, and it is possible that additional developments will occur in the future, including as a result of negotiations between the U.S. and trade partners and legal challenges to the tariffs. At this time, excluding the near-term cash flow impact, we do not believe that the tariffs announced by the U.S. or actions taken in response to these tariffs by other countries will have a material adverse effect upon our results of operation or financial condition over the long term. The actual impact of the tariffs is subject to a number of factors including the effective date and duration of such tariffs, changes in the amount, scope and nature of the tariffs, any countermeasures that the target countries may take, the result of negotiations between the U.S. and trade partners, how our Tier 1 and Tier 2 suppliers react, possible substitution effects, possible duty-free entry entitlements, the outcome of any legal challenges, and any mitigating actions that may become available.</w:t>
      </w:r>
    </w:p>
    <w:p>
      <w:pPr>
        <w:spacing w:after="0" w:line="16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international sales also could be adversely affected by actions taken by the U.S. Government, including the exercise of foreign policy, Congressional oversight or the financing of particular programs, that may alter the international demand for our products or that may prevent, restrict or otherwise impose conditions upon the sale and delivery of our products or the transfer of sensitive technology. For example, the U.S. Government has imposed certain sanctions on Türkish entities and persons, which has affected our ability to obtain certain U.S. export permits or authorizations necessary to perform under our existing contracts supporting the Türkish Utility Helicopter Program (TUHP), and could impact our work with Türkish industry and our opportunity for sales in Türkiye generally. See “Note 1 – Organization and Significant Accounting Policies” included in our Notes to Consolidated Financial Statements for more information on TUHP. Our inability to perform under, or compete for, contracts with international customers because of actions taken by the U.S. Government has resulted and may in the future result in our inability to recover our costs, incurrence of reach-forward losses, claims and contract terminations by these customers and suppliers, and limitations on our ability to pursue new business, which could have an adverse effect on our operating results.</w:t>
      </w:r>
    </w:p>
    <w:p>
      <w:pPr>
        <w:spacing w:after="0" w:line="1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Macroeconomic. </w:t>
      </w:r>
      <w:r>
        <w:rPr>
          <w:rFonts w:ascii="Times New Roman" w:cs="Times New Roman" w:eastAsia="Times New Roman" w:hAnsi="Times New Roman"/>
          <w:sz w:val="18"/>
          <w:szCs w:val="18"/>
          <w:color w:val="auto"/>
        </w:rPr>
        <w:t>Heightened levels of inflation and the potential worsening of macroeconomic conditions, including slower growth or recession, changes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and monetary policy, tighter credit, higher interest rates and currency fluctuations, present risks for us, our suppliers and the stability of the broader defense industrial base. If we are unable to successfully mitigate these impacts, our future profits, margins and cash flows, particularly for existing fixed-price contracts, may be adversely affected. Although we believe defense spending is more resilient to adverse macroeconomic conditions than many other industrial sectors, our suppliers and other partners, many of which are more exposed to commercial markets or have fewer resources, may be adversely impacted to a more significant degree than we are by an economic downturn. Such an impact could affect their performance and adversely impact our operations.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macroeconomic conditions could cause budgetary pressures for our government customers resulting in reductions or delays in spending, which could adversely impact our business. Higher interest rates increase the borrowing costs on new debt and could affect the fair value of our investments. Interest rates also impact our pension obligations. For example, higher interest rates reduce the measure of our gross pension obligations while lower interest rates increase it.</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Public health. </w:t>
      </w:r>
      <w:r>
        <w:rPr>
          <w:rFonts w:ascii="Times New Roman" w:cs="Times New Roman" w:eastAsia="Times New Roman" w:hAnsi="Times New Roman"/>
          <w:sz w:val="18"/>
          <w:szCs w:val="18"/>
          <w:color w:val="auto"/>
        </w:rPr>
        <w:t>We face a wide variety of risks related to public health crises, epidemics, pandemics or similar events. If a new health epidemic or outbreak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to occur, we could experience broad and varied effects similar to the impact of COVID-19, including adverse impacts to our workforce and supply chain, inflationary pressures and increased costs, schedule or production delays, market volatility and other financial ramifications. If any of these were to occur, our future results and performance could be adversely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sales may pose different economic, regulatory, competition and other risks.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present risks that are different and potentially greater than those encountered in our U.S. business. In 2025, 28% of our total sales were associated with international customers. International sales are subject to numerous political and economic factors, including changes in foreign national priorities, foreign government budgets, global economic conditions, and fluctuations in foreign currency exchange rates, the possibility of trade sanctions and other government actions, regulatory requirements, and significant competition, taxation, and other risks associated with doing business outside the U.S. Sales of military products and services and any associated industrial development (offset) agreements are subject to U.S. export regulations and foreign policy, and there could be significant delays or other issues in reaching definitive agreements for</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announced programs. See the Risk Factor “Geopolitical, macroeconomic and public health events and conditions could adversely affect our business, financial condition and operating results.” Competition for international sales is intense, including from international manufacturers whose governments sometimes provide research and development assistance, marketing subsidies and other assistance for their products and services.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international business is conducted through FMS contracted through the U.S. Government and by direct commercial sales (DCS) to international customers. FMS contracts with the U.S. Government are subject to the FAR and the DFARS. Because the U.S. Government functions as an intermediary in FMS sales, we are reliant on, and could be adversely impacted by, relations between the U.S. Government and the international customers and the capacity and speed of the DoW’s administration of requests from non-U.S. countries to convert requests to sales. In contrast, DCS transactions represent sales directly to international government customers and are subject to U.S. and foreign laws and regulations, including product testing, import-export control, technology transfer restrictions, investments, taxation, repatriation of earnings, exchange controls, the Foreign Corrupt Practices Act and other anti-corruption laws and regulations, and the anti-boycott provisions of the U.S. Export Control Reform Act of 2018. While we have extensive policies in place to comply with such laws and regulations, failure by us, our employees or others working on our behalf to comply with these laws and regulations could result in administrative, civil, or criminal liabilities, including suspension, debarment from bidding for or performing government contracts, or suspension of our export privileges, which could have a material adverse effect on us. We frequently team with international subcontractors and suppliers who also are exposed to similar risks.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DCS transactions present a higher level of potential risks because they involve direct relationships with governmental contracting parties with which we typically have less familiarity. Additionally, international procurement and local country rules and regulations, contract laws and judicial systems differ from those in the U.S. and, in some cases, may be less predictable than those in the U.S., which could impair our ability to enforce contracts and increase the risk of adverse or unpredictable outcomes, including the possibility that certain matters that would be considered civil matters in the U.S. are treated as criminal matters in other countries.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conjunction with defense procurements, some international customers require contractors to comply with industrial cooperation regulations, including entering into industrial participation, industrial development or localization agreements, sometimes referred to as offset agreements (also known as offset contracts), as a condition to obtaining orders for our products and services. These agreements generally extend over several years and obligate the contractor to perform certain commitments, which may include in-country purchases, technology transfers, local manufacturing support, consulting support to in-country projects, investments in joint ventures and financial support projects, and preference for local suppliers or subcontractors. The customer’s expectations in respect of the scope of offset commitments can be substantial, including high-value content, and may exceed existing local technical capability. Failure to meet these commitments, which can be subjective and outside of our control, may result in significant penalties, and could lead to a reduction in sales to a country. Furthermore, some of our existing offset agreements are dependent upon the successful operation of joint ventures that we do not control and involve products and services that are outside of our core business, which may increase the risk of breaching our obligations, exposing us to compliance risks of the joint venture, and impairing our ability to recover our investment. For more information on our industrial development obligations, including the notional value of our remaining industrial development obligations and potential penalties for non-compliance, see “Contractual Commitments” in Management’s Discussion and Analysis of Financial Condition and Results of Operations.</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benefit fully from or adequately protect our intellectual property rights or use third-party intellectual property, which could negatively affect our business.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own a substantial number of U.S. and foreign patents and trademarks related to the products and services we provide. In addition to owning a large portfolio of patents and trademarks, we develop and own other intellectual property, including copyrights, trade secrets and research, development and engineering know-how, which contribute significantly to our business. We also license intellectual property to and from third parties. The FAR and DFARS provide that the U.S. Government obtains certain rights in intellectual property, including patents, developed by us and our subcontractors and suppliers in performance of government contracts or with government funding. The U.S. Government may use, or may authorize others including competitors to use, such intellectual property. Non-U.S. governments also may have certain rights in patents and other intellectual property developed in performance of our contracts with these entities. The U.S. Government is pursuing aggressive positions on the acquisition of broad technical data and software packages as well as the scope and applicability of the rights in such technical data and software once acquired. The DoW is also implementing an overarching intellectual property acquisition policy that will require greater focus and planning as to intellectual property rights for its programs, with the potential impacts of this policy or any associated regulatory changes on future acquisitions yet to be determined. The DoW’s efforts could affect our ability to protect and exploit our intellectual property and to leverage supplier intellectual property, for example, if we are unable to obtain necessary licenses from our suppliers to meet government requirements. Additionally, third parties may assert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our products or services infringe their intellectual property rights, which could result in costly and time-consuming disputes, subject us to damages and injunctions and adversely affect our ability to compete and perform on certain contracts.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financial performance depends on us identifying, attracting and retaining a highly skilled workforce.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performance is dependent upon us identifying, attracting, developing, motivating and retaining a highly skilled workforce with the requisite skills in multiple areas including engineering, science, manufacturing, information technology, artificial intelligence, cybersecurity, business development and strategy and management. Due to the national security nature of our work, our performance is also dependent upon personnel who hold security clearances and receive substantial training to work on certain programs or tasks and can be difficult to replace on a timely basis if we experience unplanned attrition. The market for highly skilled workers and leaders in our industry as well as the market for individuals holding high-level security clearances is extremely competitive and not confined to our industry. For example, we compete with commercial technology companies outside of the aerospace and defense industry for qualified technical, cyber and scientific positions, which may not face the same type of cost pressures as a government contractor and which may be able to offer more flexible work arrangements given that certain of our employees must perform the majority of their work in a secure facility because of the need to access classified information. If we cannot adequately attract and retain personnel with the requisite skills or clearances in this competitive market, our performance and future prospects may be adversely affected.</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implemented flexible work arrangements and a distributed workforce model, where portions of our workforce work remotely while others are required to be on-site in our facilities depending on, among other things, the nature of the job performed, business needs, and evolving circumstances. In conjunction with this, it is critical that we develop and train employees, hire new qualified personnel, and successfully manage the short and long-term development and transfer of critical knowledge and skills, including leadership development and succession planning throughout our business. While we have processes in place for management transition and the transfer of knowledge and skills, the loss of key personnel, coupled with an inability to adequately train other personnel, hire new personnel or transfer knowledge and skills, could significantly impact our ability to perform under our contracts, execute on new or growing programs and otherwise manage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approximately 19% of our workforce is comprised of employees that are covered by collective bargaining agreements with various unions. If we encounter difficulties with renegotiations or renewals of collective bargaining arrangements or are unsuccessful in those efforts, we could incur additional costs and experience work stoppages. Union actions at suppliers also can affect us. Any delays or work stoppages could adversely affect our ability to perform under our contracts, which could negatively impact our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other security threats and disruptions could have a material adverse effect on our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aerospace and defense company, we face a multitude of security threats, including cybersecurity threats ranging from attacks common to most industries, such as ransomware and denial-of-service, to attacks from more advanced and persistent, highly organized adversaries, including nation state actors, some of which target the U.S. defense industrial base and other critical infrastructure sectors. The sophistication of threats continues to evolve and grow, including the risk associated with the use of emerging technologies, such as artificial intelligence and quantum computing, for nefarious purposes. In addition to cybersecurity threats, we face threats to the security of our facilities and employees from terrorist acts, sabotage and other disruptions, any of which could adversely affect our business. The improper conduct of our employees or others working on our behalf who have access to export controlled, classified or other sensitive information could also adversely affect our business and reputation.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protect sensitive information, including by complying with evolving information security, data protection and privacy regulations and related disclosure requirements, our customers or governmental authorities could investigate the adequacy of our threat mitigation and detection processes and procedures and could bring actions against us for noncompliance with applicable laws and regulations. Moreover, depending on the severity of an incident, our customers’ data, our employees’ data, our intellectual property (including trade secrets and research, development and engineering know-how) and other third-party data (such as that of subcontractors, suppliers and vendors) could be compromised, which could adversely affect our business. Products and services we provide to customers also carry cybersecurity risks, including risks that they could be breached or fail to detect, prevent or combat attacks, which could result in losses to our customers and claims against us, and could harm our relationships with our customers and financial results.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persistence, sophistication, volume and novelty of threats we face, we may not be successful in preventing or mitigating an attack that could have a material adverse effect on us and the costs related to cyber or other security threats or disruptions may not be fully insured or indemnified by other means. The national security aspects of our business and much of the data we protect increase and create different risks relative to other industries. National security considerations may also preclude us from, or cause us to delay, publicly disclosing a cybersecurity incident.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customers (including sites that we operate and manage for our customers), suppliers, subcontractors, joint venture partners and acquired entities that we do not fully integrate face similar security threats and an incident at one of these entities could adversely impact our business. These entities are typically outside our control and may have access to our information with varying levels of security and cybersecurity resources, expertise, safeguards and capabilities. Their relationships with government contractors, including us, may increase the risk that they are targeted by the same threats we face, however, they may not be as prepared for such threats. Adversaries actively seek to exploit security and cybersecurity weaknesses in our supply chain. Breaches in our multi-tiered supply chain, which is comprised of thousands of direct and indirect suppliers, have and could in the future compromise our data and adversely affect customer deliverables. We also must rely on our supply chain for adequately detecting and reporting cyber incidents, which could affect our ability to report or respond to cybersecurity incidents effectively or in a timely manner.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our cybersecurity risk management, strategy and governance, see Item 1C. – Cybersecurity.</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complete or manage acquisitions, divestitures, equity investments and other transactions or if acquired entities or equity investments fail to perform as expected, our financial results, business and future prospects could be harmed.</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pursuing our business strategy, we routinely conduct discussions, evaluate companies, and enter into agreements regarding possible acquisitions, joint ventures, other investments and divestitures. We seek to identify acquisition or investment opportunities that will expand or complement our existing products and services or customer base, at reasonable valuations. To be successful, we must conduct due diligence to identify valuation issues and potential loss contingencies or underlying risks, some of which are difficult to discover or assess prior to consummation of an acquisition or investment; negotiate transaction terms; complete and close complex transactions; integrate acquired companies and employees; and realize anticipated operating and other synergies efficiently and effectively. U.S. and international regulatory scrutiny of mergers and acquisitions has and could continue to limit our ability to execute certain transactions that we might otherwise pursue.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Acquisitions, divestitures, joint ventures and investments often require substantial management resources and have the potential to divert our attention from our existing business. Unidentified or identified but uncertain liabilities that are not covered by indemnification or other coverage could adversely affect our future financial results. This is particularly the case in respect of successor liability under procurement laws and regulations such as the False Claims Act or the Truthful Cost or Pricing Data Act (formerly the Truth in Negotiations Act), anti-corruption, environmental, tax, import-export and technology transfer laws, which provide for civil and criminal penalties and the potential for debarment. We also may incur unanticipated costs or expenses, including post-closing asset impairment charges, expenses associated with eliminating duplicate facilities, employee retention, transaction-related or other litigation, and other liabilities. Any of the foregoing could adversely affect our business and results of operations.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Joint ventures and other noncontrolling investments operate under shared control with other parties. These investments typically face many of the same risks and uncertainties as we do, but may expose us to additional risks not present if we retained full control. A joint venture partner may have economic or other business interests that are inconsistent with ours and we may be unable to prevent strategic decisions that may adversely affect our business, financial condition and results of operations. We also could be adversely affected by, or liable for, actions taken by these joint ventures that we do not control, including violations of anti-corruption, import and export, taxation and anti-boycott laws.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Depending on our rights and percentage of ownership, we may consolidate the financial results of such entities or account for our interests under the equity method. Under the equity method of accounting for nonconsolidated ventures and investments, we recognize our share of the operating profit or loss of these joint ventures in our results of operations. Our operating results are affected by the conduct and performance of businesses over which we do not exercise control and, as a result, we may not be successful in achieving the growth or other intended benefits of strategic investments.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investments in early-stage companies that we believe are advancing or developing new technologies applicable to our business. These investments are generally illiquid at the time of investment and typically we hold a non-controlling interest.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Significant Contingencies, Uncertainties and Estimates, including Pension, Taxes, Environmental and Litigation Costs</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Pension funding requirements and costs are dependent on return on pension assets and other economic and actuarial assumptions which, if changed, may cause our future earnings and cash flow to fluctuate significantly and affect the affordability of our products and services.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and retirees participate in defined benefit pension plans. The impact of these plans on our earnings may be volatile in that the amount of expense or income we record may materially change from year to year because the calculations are sensitive to changes in several key economic assumptions, including interest rates and rates of return on plan assets, other actuarial assumptions including participant longevity (also known as mortality), as well as the timing of cash funding. Changes in these factors, including actual returns on plan assets, may also affect our plan funding, cash flows and stockholders’ equity. We could be required to make pension contributions earlier than and/or in excess of what was planned if our return on pension assets is less than our assumptions, which would reduce our free cash flow.</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made substantial cash contributions to our plans as required by the Employee Retirement Income Security Act of 1974 (ERISA), as amended, and in accordance with U.S. Government Cost Accounting Standards (CAS), and expect to make future contributions as required or when deemed prudent. We generally can recover a significant portion of these contributions related to our plans as allowable costs on our U.S. Government contracts, including FMS. However, there can be differences between the time when we contribute cash to our plans under pension funding rules and when we recover pension costs under CAS, which can affect the timing of our cash flows. Our business segments’ results of operations include pension expense as calculated under CAS while our consolidated financial statements must present pension income or expense in accordance with U.S. GAAP Financial Accounting Standards (FAS); differences in these accounting rules may result in significant period adjustments referred to as our FAS/CAS pension adjustments. Additionally, because allowable pension costs are included in the price of our products and services, those costs can affect our affordability and competitiveness.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we have taken actions intended to reduce the size of our defined benefit pension plans including pension transactions whereby we purchase group annuity contracts (GACs) from insurance companies using assets from the pension trust and transfer associated pension liabilities to the insurers. We expect to continue to evaluate such transactions in the future. Future transactions, depending on their size, could result in us making additional contributions to the pension trust and/or require us to recognize noncash settlement charges in earnings in the applicable reporting period.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how these factors could impact financial condition and results of operations, see “Critical Accounting Policies – Qualified Defined Benefit Pension Plans” in the MD&amp;A and “Note 11 – Retirement Benefits” included in our 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estimates and projections may prove to be inaccurate and certain of our assets may be at risk of future impairment.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accounting for some of our most significant activities is based on judgments and estimates, which are complex and subject to many variables. For example, accounting for sales using the percentage-of-completion cost-to-cost method requires that we assess risks and make assumptions regarding future schedule, cost, technical and performance issues for thousands of contracts, many of which are long-term in nature. This process can be especially difficult when estimating costs for development programs because of the inherent uncertainty in developing a new product or technology. Because of the significance of the judgments and estimation processes involved in accounting for our contracts, materially different amounts of revenue and operating profit could be recorded if we used different assumptions or if the underlying circumstances were to change. Changes in underlying assumptions, circumstances or estimates may adversely affect our future financial condition and results of operations. Additionally, we initially allocate the purchase price of acquired businesses based on a preliminary assessment of the fair value of identifiable assets acquired and liabilities assumed. For acquisitions we may use a one-year measurement period to analyze and assess several factors used in establishing the asset and liability fair values as of the acquisition date which could result in adjustments to asset and liability balances.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$11.3 billion of goodwill assets recorded on our consolidated balance sheet as of December 31, 2025 from previous acquisitions, which represents approximately 19% of our total assets. These goodwill assets are subject to annual impairment testing and more frequent testing upon the occurrence of certain events or significant changes in circumstances that indicate goodwill may be impaired. If we experience changes or factors arise that negatively affect the expected cash flows of a reporting unit, we may be required to write off all or a portion of the reporting unit’s related goodwill assets.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Actual financial results could differ from our judgments and estimates. See “Critical Accounting Policies” in the MD&amp;A and Results of Operations and “Note 1 – Organization and Significant Accounting Policies” included in our Notes to Consolidated Financial Statements for a complete discussion of our significant accounting policies and use of estimates.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and interpretations or exposure to additional tax liabilities could adversely affect our financial results.</w:t>
      </w:r>
    </w:p>
    <w:p>
      <w:pPr>
        <w:spacing w:after="0" w:line="20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are subject to income and other taxes in the U.S. and foreign jurisdictions. Changes in U.S. (federal or state) or foreign tax laws and regulations, or their interpretation and application, including those with retroactive effect, could result in increases in our tax expense and affect profitability and cash flows.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net deferred tax assets will change periodically based on several factors, including the measurement of our retirement benefit obligations, cash contributions to our retirement plans, change in the amount or reevaluation of uncertain tax positions, and future changes in tax laws. In addition, we are regularly under audit or examination by tax authorities, including foreign tax authorities. The final resolution of tax audits and any related administrative reviews or litigation could result in unanticipated increases in our tax expense and changes to the timing of required tax payments, which could affect profitability and cash flows for any particular reporting period. These increases or changes could have a material impact on financial condition and results of operations in such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significant risks and uncertainties that may not be covered by indemnity or insurance.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business relates to designing, developing and manufacturing advanced defense and technology products and systems. New technologies may be untested or unproven. Failure of some of these products and services could result in extensive loss of life or property damage. Accordingly, we may incur liabilities that are unique to our products and services. In some but not all circumstances, we may be entitled to certain legal protections or indemnifications from our customers, either through U.S. Government indemnifications under Public Law 85-804, 10 U.S.C. 3861, the Commercial Space Launch Act or the Price-Anderson Act, qualification of our products and services by the Department of Homeland Security under the SAFETY Act provisions of the Homeland Security Act of 2002, contractual provisions or otherwise.</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seek to obtain insurance coverage from established and reputable insurance carriers to the extent available in order to cover these risks and liabilities. However, the amount of insurance coverage that we maintain or that is available to purchase in the market may not be adequate to cover all claims or liabilities and we may self-insure certain types of risk. Insurance coverage is subject to the terms and conditions of the insurance contract and is further subject to any sublimits, exclusions, restrictions, or defenses, including standard exclusions for acts of war. Existing coverage is renewed annually and may be canceled pursuant to the terms of the policies while we remain exposed to the risk and it is not possible to obtain insurance to protect against all operational risks, natural hazards and liabilities. For example, we are limited in the amount of insurance we can obtain to cover unusually hazardous risks or certain natural hazards such as earthquakes, fires or extreme weather conditions, some of which may be exacerbated by climate change. We have significant operations in geographic areas prone to these risks, such as in California, Florida and Texas, and certain of our properties have suffered damage from natural disasters in the past and may again in the future. We could incur significant costs to improve the climate resiliency of our infrastructure and supply chain and otherwise prepare for, respond to, and mitigate the effects of climate change. In addition, under certain classified fixed-price development and production contracts, we are unable to insure risk of loss to government property because of the classified nature of the contracts and the inability to disclose classified information necessary for underwriting and claims to commercial insurers. Even if insurance coverage is available, we may not be able to obtain it in an amount, at a price or on terms acceptable to us. Some insurance providers may be unable or unwilling to provide us insurance given the nature of our business or products. Additionally, disputes with insurance carriers over coverage terms or the insolvency of one or more of our insurance carriers may significantly affect the amount or timing of our cash flows.</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 costs resulting from an accident, failure of or defect in our products or services, natural catastrophe or other incident, or liability arising from our products and services in excess of any legal protection, indemnity, and our insurance coverage (or for which indemnity or insurance is not available or not obtained) could adversely impact our financial condition and operating results. Any accident, failure of, or defect in our products or services, even if fully indemnified or insured, could negatively affect our reputation among our customers and the public and make it more difficult for us to compete effectively. It also could affect the cost and availability of adequate insurance in the future.</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regulations, including in relation to climate change, could adversely affect our future earnings as well as the affordability of our products and services.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These types of matters could result in fines, penalties, cost reimbursements or contributions, compensatory or treble damages or non-monetary sanctions or relief. We have incurred and will continue to incur liabilities for environmental remediation at some of our current and former facilities and at third-party-owned sites where we have been designated a potentially responsible party</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our historical activities and those of our predecessor companies. Environmental remediation activities usually span many years, and the extent of financial exposure can be difficult to estimate. Among the variables management must assess in evaluating costs associated with these cases and remediation sites are the status of site assessment, extent of the contamination, impacts on natural resources, changing cost estimates, evolution of technologies used to remediate the site, continually evolving environmental standards, availability of insurance coverage and indemnification under existing agreements and cost allowability issues, including varying efforts by the U.S. Government to limit allowability of our costs in resolving liability at third-party-owned sites. Our environmental remediation related liabilities also could increase significantly because of acquisitions, stricter remediation standards for existing or newly regulated substances, changes in the interpretation or enforcement of existing laws and regulations, or the discovery of previously unknown or more extensive contamination. For information regarding these matters, including current estimates of the amounts that we believe are required for environmental remediation to the extent probable and estimable, see “Note 14 – Legal Proceedings, Commitments and Contingencies” included in our Notes to Consolidated Financial Statements.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manage and have managed various U.S. Government-owned facilities on behalf of the U.S. Government. At such facilities, environmental compliance and remediation costs historically have been the responsibility of the U.S. Government. We have relied, and continue to rely with respect to past practices, on U.S. Government funding to pay at least a portion if not all of such costs, notwithstanding efforts by some U.S. Government representatives to limit the U.S. Government’s responsibility. Although the U.S. Government remains responsible for capital and operating costs associated with environmental compliance, responsibility for fines and penalties associated with environmental noncompliance typically is borne by either the U.S. Government or the contractor, depending on the contract and the relevant facts. Some environmental laws include criminal provisions. A conviction under environmental law could affect our ability to be awarded future or perform under existing U.S. Government contracts.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increasing global regulatory focus on greenhouse gas (GHG) emissions and their potential impacts relating to climate change could result in laws, regulations or policies that significantly increase our direct and indirect operational and compliance burdens, which could adversely affect our financial condition and results of operations. These laws, regulations or policies could take many forms, including carbon taxes, cap and trade regimes, increased efficiency standards, GHG reduction commitments, incentives or mandates for particular types of energy, disclosure requirements or changes in procurement laws. Changes in government procurement laws that mandate or take into account climate change considerations, such as the contractor’s GHG emissions, GHG emission reduction targets, lower emission products or other climate risks, in evaluating bids could result in costly changes to our operations or affect our competitiveness on future bids, or our ability to bid at all. In addition to incurring direct costs to implement any climate-change related laws, regulations or policies, we may see indirect costs rise, such as increased energy or material costs, as a result of policies affecting other sectors of the economy. Although most of these increased costs likely would be recoverable through pricing, to the extent that the increase in our costs as a result of these policies are greater than our competitors, we may be less competitive on future bids or the total increased cost in our industry’s products and services could result in lower demand from our customers. We monitor developments in climate change-related laws, regulations and policies for their potential effect on us. In addition, climate change-related litigation and investigations have increased in recent years and any claims or investigations against us could be costly to defend and our business could be adversely affected by the outcome.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a number of legal proceedings. We cannot predict the outcome of litigation and other contingencies with certainty.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may be adversely affected by the outcome of legal proceedings and other contingencies that cannot be predicted with certainty. As required by U.S. GAAP, we estimate loss contingencies and establish reserves based on our assessment of contingencies where liability is deemed probable and reasonably estimable considering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our current legal proceedings, see Item 3 – Legal Proceedings and “Note 14 – Legal Proceedings, Commitments and Contingencies” included in our Notes to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pay or increase our dividend or to repurchase shares of our common stock.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dividend payments and share repurchases are subject to limitations under applicable laws and the discretion of our Board of Directors and are determined after considering then-existing conditions, including earnings, other operating results and capital requirements and cash deployment alternatives. Dividend payments and share repurchases may also be impacted by the implementation of presidential executive orders. Our payment of dividends and execution of share repurchases could vary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historical practices or our stated expectations. Decreases in asset values or increases in liabilities, including liabilities associated with employee benefit plans and assets and liabilities associated with taxes, can reduce net earnings and stockholders’ equity. Under certain circumstances, a deficit in stockholders’ equity could limit our ability to pay dividends and make share repurchases under Maryland state law in the future. In addition, the timing and amount of share repurchases under Board of Directors approved share repurchase plans may differ from stated expectations and is within the discretion of management and will depend on many factors, including our ability to generate sufficient cash flows from operations in the future or to borrow money from available financing sources, our results of operations, capital requirements, applicable law and the applicability of presidential executive orders.</w:t>
      </w:r>
    </w:p>
    <w:p>
      <w:pPr>
        <w:spacing w:after="0" w:line="15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cybersecurity is critical to advancing our 21st Century Security vision and enabling our digital transformation efforts. As an aerospace and defense company, we face a multitude of cybersecurity threats that range from attacks common to most industries, such as ransomware and denial-of-service, to attacks from more advanced and persistent, highly organized adversaries, including nation state actors, some of which target the defense industrial base and other critical infrastructure sectors. Our customers, suppliers, subcontractors and joint venture partners face similar cybersecurity threats, and a cybersecurity incident impacting us or any of these entities could materially adversely affect our operations, performance and results of operations. These cybersecurity threats and related risks make it imperative that we strive to be a leader in the information security field, and we expend considerable resources on cybersecurity.</w:t>
      </w:r>
    </w:p>
    <w:p>
      <w:pPr>
        <w:spacing w:after="0" w:line="14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corporate information security organization has implemented a governance structure and processes to assess, identify, manage and report cybersecurity risks. We also have a corporate-wide counterintelligence and insider threat detection program to proactively identify external and internal threats and mitigate those threats in a timely manner. As a defense contractor, we must comply with extensive regulations, including requirements imposed by the DFARS related to adequately safeguarding controlled unclassified information (CUI) and reporting cybersecurity incidents to the DoW. We have implemented cybersecurity policies and frameworks based on industry and governmental standards to align closely with DoW requirements, instructions and guidance. Moreover, we continue to work with the DoW on assessing cybersecurity risk and on policies and practices aimed at mitigating these risks. For example, we have worked in collaboration with the other members of the defense industrial base to support DoW’s development of the Cybersecurity Maturity Model Certification (CMMC) program, DoW’s program to ensure members of the defense industrial base meet cybersecurity requirements for handling CUI and federal contract information. In November 2025, we submitted our initial CMMC certification as required by the program. In addition to following DoW guidance and implementing pre-existing third party frameworks, we have developed our own practices and frameworks, which we believe enhance our ability to identify and manage cybersecurity risks. For example, we use a proactive risk management strategy that we developed and implemented called the Intelligence Driven Defense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model that seeks to identify and prevent cybersecurity incidents by understanding the nature of adversaries and using this information to minimize the impact of an attack.</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effectiveness of our security controls are validated by external third parties, including an independent audit agency to maintain our ISO 27001 certification. Whether through independent audits or consulting on best practices, we continuously evaluate both the design and operational effectiveness of security controls. We also share and receive threat intelligence with our defense industrial base peers, government agencies, information sharing and analysis centers and cybersecurity associations.</w:t>
      </w:r>
    </w:p>
    <w:p>
      <w:pPr>
        <w:spacing w:after="0" w:line="1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rely heavily on our supply chain to deliver our products and services to our customers, and a cybersecurity incident at a supplier, subcontractor, joint venture partner, or service provider could materially adversely impact us. We assess third party cybersecurity controls through a cybersecurity questionnaire and include security and privacy addendums to our contracts where applicable. We also contractually flow cybersecurity regulatory requirements to our subcontractors as required by the DFARS and other government agency specific requirements. These contractual flow downs include the requirement that our subcontractors implement certain security controls, and that our subcontractors self-report the status of their implementation of these controls to the U.S. Government. These government contracting regulations may create challenges for our supply chain and increase costs. We also require that our subcontractors report cybersecurity incidents to us so that we can assess the impact of the incident on us. For select suppliers, we engage third-party cybersecurity monitoring and alerting services, and seek to work directly with those suppliers to address potential deficiencies identified. We also make available cybersecurity education and awareness materials and briefings to our suppliers.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Board of Directors oversees management’s processes for identifying and mitigating risks, including cybersecurity risks, to help align our risk exposure with our strategic objectives. Senior leadership, including our Chief Information Security Officer (CISO), report to the Board of Directors on our cybersecurity and information security posture at least annually and the Board of Directors is apprised of cybersecurity incidents deemed to have a moderate or higher business impact, even if immaterial to us. The Classified Business and Security Committee of the Board of Directors is briefed by senior leadership, as appropriate, on the cybersecurity of classified programs and the security of our classified business supply chain. Other than oversight of classified business cybersecurity, the full Board retains oversight of cybersecurity because of its importance to Lockheed Martin and the heightened risk in the aerospace and defense industry. In the event of an incident, we intend to follow our detailed incident response playbook, which outlines the steps to be followed from incident detection to mitigation, recovery and notification, including notifying functional areas (e.g., legal), as well as senior leadership, the Board, and regulators, as appropriate.</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corporate information security organization, led by our CISO, is responsible for our overall information security strategy, policy, security engineering, operations and cyber threat detection and response. The current CISO has extensive information technology and program management experience, and has served many years in our corporate information security organization. The corporate information security organization manages and continually enhances a robust enterprise security structure with the ultimate goal of preventing cybersecurity incidents to the extent feasible, while simultaneously increasing our system resilience in an effort to minimize the business impact should an incident occur. Central to this organization is our computer incident response team (CIRT), which is responsible for the protection, detection and response capabilities used in the defense of Lockheed Martin’s data and enterprise computing networks. Employees outside of our corporate information security organization also have a role in our cybersecurity defenses and they are immersed in a corporate culture supportive of security, which we believe improves our cybersecurity.</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Assessing, identifying and managing cybersecurity related risks are integrated into our overall enterprise risk management (ERM) process. Cybersecurity related risks are included in the risk universe that the ERM function evaluates to assess top risks to the enterprise on an annual basis. To the extent the ERM process identifies a heightened cybersecurity related risk, risk owners are assigned to develop risk mitigation plans, which are then tracked to completion. The ERM process’s annual risk assessment and relevant mitigations are presented to the Board of Directors.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extensive approach we take to cybersecurity, we may not be successful in preventing or mitigating a cybersecurity incident that could have a material adverse effect on us. While Lockheed Martin maintains cybersecurity insurance, the costs related to cybersecurity threats or disruptions may not be fully insured. See Item 1A. “Risk Factors” for a discussion of cybersecurity risks.</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we owned or leased building space (including offices, manufacturing plants, warehouses, service centers, laboratories and other facilities) at 333 locations primarily in the U.S. Additionally, we manage or occupy 9 government-owned facilities under lease and other arrangements. At December 31, 2025, we had significant operations in the following locations:</w:t>
      </w:r>
    </w:p>
    <w:p>
      <w:pPr>
        <w:spacing w:after="0" w:line="4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Aeronautics </w:t>
      </w:r>
      <w:r>
        <w:rPr>
          <w:rFonts w:ascii="Times New Roman" w:cs="Times New Roman" w:eastAsia="Times New Roman" w:hAnsi="Times New Roman"/>
          <w:sz w:val="18"/>
          <w:szCs w:val="18"/>
          <w:color w:val="auto"/>
        </w:rPr>
        <w:t>- Palmdale, California; Marietta, Georgia; Greenville, South Carolina; and Fort Worth, Texas.</w:t>
      </w:r>
    </w:p>
    <w:p>
      <w:pPr>
        <w:spacing w:after="0" w:line="13"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Missiles and Fire Control </w:t>
      </w:r>
      <w:r>
        <w:rPr>
          <w:rFonts w:ascii="Times New Roman" w:cs="Times New Roman" w:eastAsia="Times New Roman" w:hAnsi="Times New Roman"/>
          <w:sz w:val="18"/>
          <w:szCs w:val="18"/>
          <w:color w:val="auto"/>
        </w:rPr>
        <w:t>- Troy, Alabama; Camden, Arkansas; Ocala and Orlando, Florida; Lexington, Kentucky; and Grand Prairie, Texas</w:t>
      </w:r>
    </w:p>
    <w:p>
      <w:pPr>
        <w:spacing w:after="0" w:line="1" w:lineRule="exact"/>
        <w:rPr>
          <w:rFonts w:ascii="Arial" w:cs="Arial" w:eastAsia="Arial" w:hAnsi="Arial"/>
          <w:sz w:val="22"/>
          <w:szCs w:val="22"/>
          <w:color w:val="auto"/>
        </w:rPr>
      </w:pPr>
    </w:p>
    <w:p>
      <w:pPr>
        <w:ind w:left="340" w:right="440" w:hanging="332"/>
        <w:spacing w:after="0" w:line="249"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Rotary and Mission Systems </w:t>
      </w:r>
      <w:r>
        <w:rPr>
          <w:rFonts w:ascii="Times New Roman" w:cs="Times New Roman" w:eastAsia="Times New Roman" w:hAnsi="Times New Roman"/>
          <w:sz w:val="18"/>
          <w:szCs w:val="18"/>
          <w:color w:val="auto"/>
        </w:rPr>
        <w:t>- Stratford, Connecticut; Orlando, Florida; Moorestown/Mt. Laurel, New Jersey; Owego and Syracuse,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Manassas, Virginia; and Mielec, Poland.</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w:t>
      </w:r>
      <w:r>
        <w:rPr>
          <w:rFonts w:ascii="Times New Roman" w:cs="Times New Roman" w:eastAsia="Times New Roman" w:hAnsi="Times New Roman"/>
          <w:sz w:val="18"/>
          <w:szCs w:val="18"/>
          <w:color w:val="auto"/>
        </w:rPr>
        <w:t>- Huntsville, Alabama; Sunnyvale, California; Denver, Colorado; Cape Canaveral, Florida; and Valley Forge, Pennsylvania.</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activities </w:t>
      </w:r>
      <w:r>
        <w:rPr>
          <w:rFonts w:ascii="Times New Roman" w:cs="Times New Roman" w:eastAsia="Times New Roman" w:hAnsi="Times New Roman"/>
          <w:sz w:val="18"/>
          <w:szCs w:val="18"/>
          <w:color w:val="auto"/>
        </w:rPr>
        <w:t>- Bethesda, Maryland.</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square feet of floor space owned, leased, or utilized by business segment at December 31, 2025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3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6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w:t>
            </w:r>
          </w:p>
        </w:tc>
        <w:tc>
          <w:tcPr>
            <w:tcW w:w="30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5.1</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c>
          <w:tcPr>
            <w:tcW w:w="16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3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30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10.5</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c>
          <w:tcPr>
            <w:tcW w:w="16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0.2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w:t>
            </w:r>
          </w:p>
        </w:tc>
        <w:tc>
          <w:tcPr>
            <w:tcW w:w="3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3.3</w:t>
            </w: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activities</w:t>
            </w:r>
          </w:p>
        </w:tc>
        <w:tc>
          <w:tcPr>
            <w:tcW w:w="30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0.9</w:t>
            </w:r>
          </w:p>
        </w:tc>
        <w:tc>
          <w:tcPr>
            <w:tcW w:w="168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35.4</w:t>
            </w: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14.1</w:t>
            </w: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17.0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facilities are in good condition and adequate for their current use. We may add, improve, replace, or reduce facilities as considered appropriate to meet the needs of our operations.</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will have a material adverse effect on the corporation as a whole, notwithstanding that the unfavorable resolution of any matter may have a material effect on our net earnings and cash flows in any particular interim reporting period. We cannot predict the outcome of legal or other proceedings with certainty.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 extent of our financial exposure cannot in all cases be reasonably estimated at this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the matters discussed above, including current estimates of the amounts that we believe are required for remediation or clean-up to the extent estimable, see “Note 14 – Legal Proceedings, Commitments and Contingencies” included in our Notes to Consolidated Financial Statements, which are incorporated herein by reference.</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officers as of January 29, 2026 are listed below, with their ages on that date, positions and offices currently held, and principal occupation and business experience during at least the last five years. There are no family relationships among any of our executive officers and directors. All executive officers serve at the discretion of the Board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Timothy S. Cahill (age 60), President – Missiles and Fire Control</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Cahill has served as President for the Missiles and Fire Control (MFC) business segment since November 2022. Mr. Cahill previously served as Senior Vice President Global Business Development &amp; Strategy (GBD&amp;S) from March 2021 to October 2022. Prior to that, Mr. Cahill served as Senior Vice President Lockheed Martin International from October 2019 to March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Stephanie C. Hill (age 61), President – Rotary and Mission Systems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Hill has served as President for the Rotary and Mission Systems (RMS) business segment since June 2020. She previously served as Senior Vice President, Enterprise Business Transformation from June 2019 to June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M. Lightfoot, Jr. (age 62), President – Space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Mr. Lightfoot has served as President for the Space business segment since January 2022. He previously served as Vice President, Operations for the Space business segment from June 2021 to December 2021. Prior to that, he served as Vice President, Strategy and Business Development for Space from May 2019 to June 2021.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J. O’Connor (age 58), Senior Vice President, General Counsel and Corporate Secretary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O’Connor has served as Senior Vice President, General Counsel and Corporate Secretary since January 2025. Prior to joining Lockheed Martin Corporation he served as the Senior Vice President and Chief Legal Officer of Carrier Corporation from January 2020 until January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Edward Paul, III (age 50), Vice President and Controller</w:t>
      </w:r>
    </w:p>
    <w:p>
      <w:pPr>
        <w:spacing w:after="0" w:line="202" w:lineRule="exact"/>
        <w:rPr>
          <w:sz w:val="20"/>
          <w:szCs w:val="20"/>
          <w:color w:val="auto"/>
        </w:rPr>
      </w:pPr>
    </w:p>
    <w:p>
      <w:pPr>
        <w:ind w:right="80"/>
        <w:spacing w:after="0" w:line="453" w:lineRule="auto"/>
        <w:rPr>
          <w:sz w:val="20"/>
          <w:szCs w:val="20"/>
          <w:color w:val="auto"/>
        </w:rPr>
      </w:pPr>
      <w:r>
        <w:rPr>
          <w:rFonts w:ascii="Times New Roman" w:cs="Times New Roman" w:eastAsia="Times New Roman" w:hAnsi="Times New Roman"/>
          <w:sz w:val="18"/>
          <w:szCs w:val="18"/>
          <w:color w:val="auto"/>
        </w:rPr>
        <w:t xml:space="preserve">Mr. Paul has served as Vice President and Controller since June 2022. Previously, he served as Vice President, Accounting from March 2015 to June 2022. </w:t>
      </w:r>
      <w:r>
        <w:rPr>
          <w:rFonts w:ascii="Times New Roman" w:cs="Times New Roman" w:eastAsia="Times New Roman" w:hAnsi="Times New Roman"/>
          <w:sz w:val="18"/>
          <w:szCs w:val="18"/>
          <w:b w:val="1"/>
          <w:bCs w:val="1"/>
          <w:color w:val="auto"/>
        </w:rPr>
        <w:t>Maria A. Ricciardone (age 50), Vice President, Treasurer and Investor Relations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Ricciardone has served as Vice President, Treasurer and Investor Relations since January 2024. She previously served as Vice President, Investor Relations from October 2022 to December 2023. Prior to joining Lockheed Martin Corporation in October 2022, she served as Vice President, Finance – FP&amp;A and Global Components of Arrow Electronics from June 2019 to October 2022. Prior to that, she served as Treasurer and Vice President, Strategy and Investor Relations for Hubbell Incorporated from January 2016 to June 2019.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Evan T. Scott (age 48), Chief Financial Officer</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Scott has served as Chief Financial Officer since April 2025. He previously served as Vice President and Chief Financial Officer of the Missiles and Fire Control (MFC) business segment from January 2024 to April 2025. Prior to that, Mr. Scott was Vice President and Treasurer from June 2022 through December 2023, and Vice President, Finance and Business Operations of the Space business segment from March 2019 to August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Frank A. St. John (age 59), Chief Operating Officer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St. John has served as Chief Operating Officer since June 2020. He previously served as Executive Vice President for RMS from August 2019 to June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D. Taiclet (age 65), Chairman, President and Chief Executive Officer</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Taiclet has served as Chairman since March 2021 and as President and Chief Executive Officer (CEO) of Lockheed Martin Corporation since June 2020. He has served on the Lockheed Martin Corporation Board of Directors since January 2018.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Gregory M. Ulmer (age 61), President – Aeronautics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Ulmer has served as President for the Aeronautics business segment since February 2021. He previously served as Vice President and General Manager, F-35 Lightning II Program from March 2018 to January 2021.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January 26, 2026, we had 20,822 holders of record of our common stock, par value $1 per share. Our common stock is traded on the New York Stock Exchange (NYSE) under the symbol LMT.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 Performance Graph</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total return on a cumulative basis through December 31, 2025, assuming reinvestment of dividends, of $100 invested in Lockheed Martin common stock as of market close on December 31, 2020 to the Standard and Poor’s (S&amp;P) 500 Index and the S&amp;P Aerospace &amp;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97790</wp:posOffset>
            </wp:positionV>
            <wp:extent cx="5846445" cy="3549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S&amp;P Aerospace &amp; Defense Index comprises Axon Enterprise, Inc., General Dynamics Corporation, General Electric Company, Howmet Aerospace Inc., Huntington Ingalls Industries, L3Harris Technologies, Inc., Lockheed Martin Corporation, Northrop Grumman Corporation, RTX Corporation, Textron Inc., The Boeing Company and Transdigm Group Inc. The stockholder return performance indicated on the graph is not a guarantee of future performance.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graph is not deemed to be “filed” with the U.S. Securities and Exchange Commission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quarter ended December 31, 2025.</w:t>
      </w:r>
    </w:p>
    <w:p>
      <w:pPr>
        <w:spacing w:after="0" w:line="18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provides information about our repurchases of our common stock that is registered pursuant to Section 12 of the Securities Exchange Act of 1934 during the quarter ended December 31, 2025.</w:t>
      </w: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46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2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280" w:type="dxa"/>
            <w:vAlign w:val="bottom"/>
          </w:tcPr>
          <w:p>
            <w:pPr>
              <w:spacing w:after="0"/>
              <w:rPr>
                <w:sz w:val="15"/>
                <w:szCs w:val="15"/>
                <w:color w:val="auto"/>
              </w:rPr>
            </w:pPr>
          </w:p>
        </w:tc>
        <w:tc>
          <w:tcPr>
            <w:tcW w:w="2180" w:type="dxa"/>
            <w:vAlign w:val="bottom"/>
          </w:tcPr>
          <w:p>
            <w:pPr>
              <w:jc w:val="center"/>
              <w:ind w:right="92"/>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8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Period </w:t>
            </w:r>
            <w:r>
              <w:rPr>
                <w:rFonts w:ascii="Times New Roman" w:cs="Times New Roman" w:eastAsia="Times New Roman" w:hAnsi="Times New Roman"/>
                <w:sz w:val="10"/>
                <w:szCs w:val="10"/>
                <w:color w:val="auto"/>
              </w:rPr>
              <w:t>(a)</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6"/>
                <w:szCs w:val="16"/>
                <w:color w:val="auto"/>
              </w:rPr>
            </w:pPr>
          </w:p>
        </w:tc>
        <w:tc>
          <w:tcPr>
            <w:tcW w:w="1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4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 Plans or</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 xml:space="preserve">Programs </w:t>
            </w:r>
            <w:r>
              <w:rPr>
                <w:rFonts w:ascii="Times New Roman" w:cs="Times New Roman" w:eastAsia="Times New Roman" w:hAnsi="Times New Roman"/>
                <w:sz w:val="10"/>
                <w:szCs w:val="10"/>
                <w:color w:val="auto"/>
                <w:w w:val="99"/>
              </w:rPr>
              <w:t>(b)</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0" w:type="dxa"/>
            <w:vAlign w:val="bottom"/>
          </w:tcPr>
          <w:p>
            <w:pPr>
              <w:spacing w:after="0"/>
              <w:rPr>
                <w:sz w:val="1"/>
                <w:szCs w:val="1"/>
                <w:color w:val="auto"/>
              </w:rPr>
            </w:pPr>
          </w:p>
        </w:tc>
      </w:tr>
      <w:tr>
        <w:trPr>
          <w:trHeight w:val="27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September 29, 2025 – October 26, 2025 </w:t>
            </w:r>
            <w:r>
              <w:rPr>
                <w:rFonts w:ascii="Times New Roman" w:cs="Times New Roman" w:eastAsia="Times New Roman" w:hAnsi="Times New Roman"/>
                <w:sz w:val="23"/>
                <w:szCs w:val="23"/>
                <w:color w:val="auto"/>
                <w:vertAlign w:val="superscript"/>
              </w:rPr>
              <w:t>(c)</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488.29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October 27, 2025 – November 30, 2025 </w:t>
            </w:r>
            <w:r>
              <w:rPr>
                <w:rFonts w:ascii="Times New Roman" w:cs="Times New Roman" w:eastAsia="Times New Roman" w:hAnsi="Times New Roman"/>
                <w:sz w:val="23"/>
                <w:szCs w:val="23"/>
                <w:color w:val="auto"/>
                <w:vertAlign w:val="superscript"/>
              </w:rPr>
              <w:t>(c)</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488.43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0" w:type="dxa"/>
            <w:vAlign w:val="bottom"/>
          </w:tcPr>
          <w:p>
            <w:pPr>
              <w:spacing w:after="0"/>
              <w:rPr>
                <w:sz w:val="1"/>
                <w:szCs w:val="1"/>
                <w:color w:val="auto"/>
              </w:rPr>
            </w:pPr>
          </w:p>
        </w:tc>
      </w:tr>
      <w:tr>
        <w:trPr>
          <w:trHeight w:val="27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December 1, 2025 – December 31, 2025 </w:t>
            </w:r>
            <w:r>
              <w:rPr>
                <w:rFonts w:ascii="Times New Roman" w:cs="Times New Roman" w:eastAsia="Times New Roman" w:hAnsi="Times New Roman"/>
                <w:sz w:val="23"/>
                <w:szCs w:val="23"/>
                <w:color w:val="auto"/>
                <w:vertAlign w:val="superscript"/>
              </w:rPr>
              <w:t>(c)</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1,441,683</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474.26</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1,432,865</w:t>
            </w: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57"/>
        </w:trPr>
        <w:tc>
          <w:tcPr>
            <w:tcW w:w="4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1"/>
                <w:szCs w:val="21"/>
                <w:color w:val="auto"/>
                <w:vertAlign w:val="superscript"/>
              </w:rPr>
              <w:t>(c)</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475.55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1,576,193</w:t>
            </w:r>
          </w:p>
        </w:tc>
        <w:tc>
          <w:tcPr>
            <w:tcW w:w="28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40" w:hanging="332"/>
        <w:spacing w:after="0" w:line="237" w:lineRule="auto"/>
        <w:tabs>
          <w:tab w:leader="none" w:pos="33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September 29, 2025 was the first day of our October 2025 fiscal month.</w:t>
      </w:r>
    </w:p>
    <w:p>
      <w:pPr>
        <w:spacing w:after="0" w:line="32" w:lineRule="exact"/>
        <w:rPr>
          <w:rFonts w:ascii="Times New Roman" w:cs="Times New Roman" w:eastAsia="Times New Roman" w:hAnsi="Times New Roman"/>
          <w:sz w:val="21"/>
          <w:szCs w:val="21"/>
          <w:color w:val="auto"/>
          <w:vertAlign w:val="superscript"/>
        </w:rPr>
      </w:pPr>
    </w:p>
    <w:p>
      <w:pPr>
        <w:jc w:val="both"/>
        <w:ind w:left="340" w:hanging="332"/>
        <w:spacing w:after="0"/>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2010, our Board of Directors approved a share repurchase program pursuant to which we are authorized to repurchase our common stock in privately negotiated transactions or in the open market at prices per share not exceeding the then-current market prices. From time to time, our Board of Directors authorizes increases to our share repurchase program. In October 2025, the Board of Directors authorized an increase to the program by $2.0 billion. The total remaining authorization for future common share repurchases under our share repurchase program was $8.3 billion as of December 31, 2025. Under the program, management has discretion to determine the dollar amount of shares to be repurchased and the timing of any repurchases in compliance with applicable law and regulation. This includes purchases pursuant to Rule 10b5-1 plans, including accelerated share repurchases. The program does not have an expiration date, and may be amended or terminated by the Board of Directors at any time.</w:t>
      </w:r>
    </w:p>
    <w:p>
      <w:pPr>
        <w:spacing w:after="0" w:line="2" w:lineRule="exact"/>
        <w:rPr>
          <w:rFonts w:ascii="Times New Roman" w:cs="Times New Roman" w:eastAsia="Times New Roman" w:hAnsi="Times New Roman"/>
          <w:sz w:val="23"/>
          <w:szCs w:val="23"/>
          <w:color w:val="auto"/>
          <w:vertAlign w:val="superscript"/>
        </w:rPr>
      </w:pPr>
    </w:p>
    <w:p>
      <w:pPr>
        <w:jc w:val="both"/>
        <w:ind w:left="340" w:hanging="332"/>
        <w:spacing w:after="0" w:line="233" w:lineRule="auto"/>
        <w:tabs>
          <w:tab w:leader="none" w:pos="33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fourth quarter of 2025, the total number of shares purchased included 10,294 shares that were transferred to us by employees in satisfaction of tax withholding obligations associated with the vesting of restricted stock units. These purchases were made pursuant to a separate authorization by our Board of Directors and are not included within the share repurchase program described above.</w:t>
      </w:r>
    </w:p>
    <w:p>
      <w:pPr>
        <w:spacing w:after="0" w:line="3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thereto included in Item 8 - Financial Statements and Supplementary Data.</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MD&amp;A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or Operations” in the Company’s Annual Report on Form 10-K for the fiscal year ended December 31, 2024 filed with the SEC on January 28,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global aerospace and defense technology company that builds and sustains the solutions America and its allies need to deter conflict and advance national security and scientific exploration objectives. Our four business areas – Aeronautics, Missiles and Fire Control, Rotary and Mission Systems, and Space – work as one company offering integrated solutions, at scale, across all warfighting domains. Our defense, space, intelligence, homeland security, information technology, and cybersecurity capabilities serve U.S. and international customers in defense, civil and commercial applications. Our principal customers are agencies of the U.S. Government and allies. In 2025, 72% of our $75.0 billion in sales were from the U.S. Government, either as a prime contractor or as a subcontractor (including 63% from the Department of War (DoW), also known as the Department of Defense under 10 U.S.C. § 111(a)) and 28% were from international customers (including foreign military sales (FMS) contracted through the U.S. Government).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Missiles and Fire Control (MFC), Rotary and Mission Systems (RMS) and Space. We organize our business segments based on the nature of the products and services offered.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 regional conflicts have demonstrated the integral role Lockheed Martin products play in protecting people, and we are rapidly transforming our business to meet increased demand. We are expanding production capacity to continue delivering at scale, and we are harnessing leading-edge technologies like artificial intelligence and autonomy, open-architecture systems, and advanced networking to make defense forces more agile, adaptive and unpredictable. Our goal is to deliver overwhelming capability and value – quickly, at the needed quantities and with the greatest effectiveness – to enable overmatch and strengthen deterrence today and into the future.</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achieve this by developing and investing in differentiating technologies, forging strategic partnerships, including with commercial companies, executing on our multi-year business transformation initiative, maintaining fiscal discipline, and continuing to cultivate the greatest aerospace and defense workforce talent and culture in the world. We invest substantially in our people to ensure that our people have the technical skills necessary to succeed, and we expect to continue to invest internally in innovative technologies that address rapidly evolving mission requirements for our customers. We also will continue to evaluate our organizational structure and portfolio and will make strategic changes, acquisitions or divestitures, as appropriate, while deepening our connection to commercial industry through cooperative partnerships, joint ventures and equity investments.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Shaping Activities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continuously strive to strengthen our portfolio of products and services to meet the current and future needs of our customers. We accomplish this in part by our independent research and development activities and through acquisition, divestiture and internal realignment activities.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selectively pursue the acquisition of businesses, investments and ventures at attractive valuations that will expand or complement our current portfolio and allow access to new customers or technologies. We also may explore the divestiture of businesses, investments or ventures that no longer meet our needs or strategy or that could perform better outside of our organization or with a different owner. In pursuing our business strategy, we routinely conduct discussions, evaluate targets and enter into agreements regarding possible acquisitions, divestitures, joint ventures and equity investments.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during the second quarter of 2025, we paid $360 million, in cash, for the acquisition of Amentum’s Rapid Solutions business (Rapid Solutions). This acquisition integrates Rapid Solutions’ advanced space and airborne mission capabilities, including intelligence, surveillance and reconnaissance technologies, into Lockheed Martin’s portfolio. Rapid Solutions operates within our Space business segment and the financial results have been included within our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in the period post-acquisition. See “Note 1 – Organization and Significant Accounting Policies” included in our Notes to Consolidated Financial Statements for further information regarding the acquisition of Rapid Solutions.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complex and evolving global security environment. Conflicts or tensions in areas such as Europe, the Middle East, and the Pacific region have heightened tensions and highlighted security requirements globally, including in these regions as well as the U.S. Although these tensions and conflicts may drive interest in specific products or services as countries seek to improve their security posture, our business primarily operates on a long-cycle basis. As a result, the U.S. Government has been broadly focused on increasing industry capacity to meet long-term demand. We continue to work with the U.S. Government, international partners, and our supply chain to increase capacity and enhance our ability to scale our operations to anticipate potential demand, deliver critical capabilities, and replenish depleted U.S. and allied stockpiles of products that have been consumed over the past several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and Geopolitical Environment</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business and financial performance are impacted by general economic conditions including inflationary pressures, delays and disruptions in supply chains, business slowdowns or shutdowns, workforce challenges and labor shortfalls, impacts from technological change, and market volatility. These macroeconomic factors have contributed, and may continue to contribute, to increased costs, delays, disruptions and other performance challenges, as well as competing demands for limited resources to address such increased costs and other challenges, for our company, our suppliers and partners, and our customers.</w:t>
      </w:r>
    </w:p>
    <w:p>
      <w:pPr>
        <w:spacing w:after="0" w:line="14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experienced, and continue to experience, supply chain challenges, including supplier shortages and performance issues. While on-time deliveries are improving, pressures remain in certain areas, and we are proactively working with our suppliers to meet our contract commitments. In addition, macroeconomic conditions including elevated levels of inflation present risks for us, our suppliers and the stability of the broader defense industrial base. Supply chain challenges, including both the availability and cost of goods, may be further impacted due to the imposition of tariffs and the availability of raw materials including rare earth minerals, as discussed below under “Recent Developments in Trade and Regulatory Policies.” If we experience significant supply chain issues or high rates of inflation, and are unable to successfully mitigate the impact, our future profits, margins and cash flows, particularly for existing fixed-price contracts, may be adversely affected. We remain committed to our ongoing efforts to increase the efficiency of our operations and improve the cost competitiveness and affordability of our products and services, which may, in part, offset cost increases from inflation.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in Trade and Regulatory Policies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materials and component parts that go into making our products are imported into the U.S. and are subject to tariffs, sanctions, embargoes, export and import controls, and other trade restrictions. The U.S. Government has increased, expanded, or imposed new tariffs on goods imported from various countries. We also export certain products to other countries, and several countries have increased or imposed additional tariffs in response to U.S. tariffs. The tariff environment has been dynamic in 2025, with changes occurring on an ongoing basis, and it is possible that additional developments will occur in the future, including as a result of negotiations between the U.S. and trade partners and legal challenges to the tariffs. Tariffs that have been enacted or expanded by the U.S. or other countries had an impact of approximately $485 million on our cash flows during the year ended December 31, 2025. However, we expect a substantial portion of this impact to be recoverable over time. We are closely monitoring the situation and evaluating the potential future impacts of the imposition of the announced tariffs to our business and financial condition. We are pursuing available options to fully or substantially mitigate the impact of the increased tariffs or any future tariffs, including seeking exclusions, through drawbacks, refunds, recovering the costs in the pricing of our products, or securing alternative sources of materials or products. However, these actions may not be successful in fully or substantially mitigating the impact of tariffs, and, even if successful, there could continue to be a near-term volatility in cash flows due to the timing of when tariffs are paid compared to when such costs may be refunded or recovered. Additionally, a substantial amount of our imports qualify for duty-free entry. At this time, excluding the near-term cash flow impact, we do not believe that the tariffs announced by the U.S. or actions taken in response to these tariffs by other countries will have a material adverse effect upon our results of operations or financial condition over the long term.</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changes in tax, trade, or other policies either in the U.S. or other countries, as well as any fluctuation in foreign exchange rates as a result of such activity, could materially increase our tax burden, the price we pay for materials and component parts, the price our customers pay, and result in delays in products received or non-delivery from our vendors as well as impact the availability of materials (including rare earth minerals), which could materially impact our business and financial results.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addition, recent government actions relating to rare earth minerals that are used in certain of our products have raised concerns about supply availability. We are monitoring the rare earth minerals supply chain and maintaining active engagement with our suppliers as the regulatory landscape evolves. If we are unable to successfully mitigate disruptions to the availability of rare earth minerals, our future profits, margins and cash flows may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 - Risk Factors for additional risks to the company related to the geopolitical and economic environment.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Budget Environment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customer is the U.S. Government, from which we derived 72% of our sales in 2025, including 63% from the DoW. Funding for U.S. Government programs is subject to a variety of factors that can affect our business, including the Administration’s budget requests and procurement priorities and policies, annual congressional budget authorization and appropriation processes, and other U.S. Government domestic and international priorities. U.S. Government spending levels, particularly defense spending, and timely funding thereof can affect our financial performance over the short and long term.</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Administration published its Fiscal Year (FY) 2026 budget request in June 2025. The budget request includes $848.3 billion in the base budget (discretionary) funding, and $113.3 billion in reconciliation (mandatory) funding. The One Big Beautiful Bill Act was signed by the President on July 4, 2025. The bill provides more than $150 billion in mandatory funding (inclusive of the $113.3 billion reconciliation funding) for the DoW available until September 30, 2029.</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National Defense Authorization Act (NDAA) for FY2026 was signed into law on December 18, 2025. This legislation authorizes $901 billion for Defense which includes an $8 billion increase over the President’s DoW Budget Request. On November 12, 2025, the President signed into law a Continuing Resolution funding the DoW through January 30, 2026. On January 20, 2026, Congress unveiled its final Appropriations package, which includes the Defense Appropriations Act conference report. This legislation provides $839.2 billion in funding for the DoW representing an $8.4 billion increase over the topline in the President’s DoW Budget Request. Congress is working to pass this bill prior to the expiration of the Continuing Resolution on January 30, 2026, but it is possible a short continuing resolution may be needed before final passage.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the Administration indicating their desire for a significant increase in defense spending in FY2027, we anticipate the federal budget, additional potential tax law changes, and regulatory environment will continue to be subject to debate and compromise shaped by, among other things, the Administration and Congress, heightened political tensions, the global security environment, inflationary pressures, and macroeconomic conditions. The result may be shifting funding priorities, which could have material impacts on defense spending broadly and our programs. Additionally, the Administration continues to take steps to evaluate government-wide and defense-specific staffing and procurement, which includes assessing mission priorities, procurement methods, program performance, and other factors and then potentially taking action based on those assessments. Those actions remain uncertain and could result in impacts to both our current and future business prospects and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key component of our strategic plan is to grow our international sales. To accomplish this growth, we continue to focus on strengthening our relationships internationally through partnerships and joint technology efforts. Our international business is conducted either by FMS contracted through the U.S. Government or by direct commercial sales (DCS) to international government customers. In 2025, approximately 77% of our sales to international customers were FMS and about 23% were DCS. Additionally, in 2025, substantially all of our sales from international customers were in our Aeronautics, MFC and RMS business segments. Space’s sales from international customers were not material in 2025. See Item 1A - Risk Factors for a discussion of risks related to international sales.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international customers accounted for 36% of Aeronautics’ sales. There continues to be strong international interest in the F-35 program, which includes commitments from the U.S. Government and seven international partner countries and twelve FMS customers, as well as expressions of interest from other countries. The U.S. Government and the partner countries continue to work together on the design, testing, production and sustainment of the F-35 program. Other areas of international expansion at our Aeronautics business segment include the F-16 and C-130J programs, which continue to draw interest from international customers for new aircraft.</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2025, international customers accounted for 29% of MFC’s sales. Our MFC business segment continues to generate significant international interest, most notably in the air and missile defense product line, which produces the PAC-3 and Terminal High Altitude Area Defense (THAAD) systems. Seventeen nations have chosen PAC-3 Cost Reduction Initiative (CRI) and PAC-3 Missile Segment Enhancement (MSE) to provide missile defense capabilities. Additionally, we continue to see international demand for our tactical and strike missile products and fire control systems, where we received orders for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precision fire systems, Hellfire, and for Joint Air-to-Surface Standoff Missile (JASSM) from multiple nations, and for our Apache fire control system from Poland.</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2025, international customers accounted for 34% of RMS’ sales. Our RMS business segment continues to experience international interest in the Aegis Ballistic Missile Defense System (Aegis) for which we perform activities in the development, production, modernization, ship integration, test and lifetime support for ships of international customers such as Japan, Spain, the Republic of Korea and Australia. We have combat systems programs associated with different classes of surface combatant ships from customers in Canada and Germany. Our Multi-Mission Surface Combatant (MMSC) program will provide surface combatant ships for international customers, such as the Kingdom of Saudi Arabia, designed to operate in shallow waters and the open ocean. In our training, logistics and simulation portfolio, we have active programs and pursuits in the United Kingdom, Singapore, Australia, Germany, Japan, New Zealand, Republic of Korea and France. We continue to draw interest from international customers for radar systems, where we have received recent orders from Denmark, Sweden and Singapore. We have active development, production and sustainment support of the S-70 Black Hawk and MH-60 Seahawk helicopters to international customers, including India, Philippines, Australia, the Republic of Korea, Thailand, the Kingdom of Saudi Arabia, Japan, and Greece. Commercial aircraft are sold to international customers to support search and rescue missions as well as VIP and offshore oil and gas transportation.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December 31, 2025, our backlog was $193.6 billion compared to $176.0 billion at December 31, 2024. Backlog is converted into sales in future periods as work is performed or deliveries are made. We expect to recognize approximately 37% of our backlog over the next 12 months and a total of approximately 60% over the next 24 months as revenue, with the remainder recognized thereafter.</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backlog includes both funded (firm orders for our products and services for which funding has been both authorized and appropriated by the customer) and unfunded (firm orders for which funding has not been appropriated) amounts. We do not include unexercised options or potential orders under indefinite-delivery, indefinite-quantity (IDIQ) agreements in our backlog. If any of our contracts with firm orders were to be terminated, our backlog would be reduced by the expected value of the unfilled orders of such contracts. Funded backlog was $120.2 billion at December 31, 2025, as compared to $107.8 billion at December 31, 2024. For backlog related to each of our business segments, see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cycle is primarily long-term and involves many types of contracts for the design, development and manufacture of products and related activities with varying delivery schedules. Consequently, the results of operations of a particular year, or year-to-year comparisons of sales and profits, may not be indicative of future operating results. The following discussions of comparative results should be reviewed in this context. All per share amounts cited in these discussions are presented on a “per diluted share” basis, unless otherwise noted. Our consolidated results of operations were as follows (in millions, except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75,048</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71,043</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67,571</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(67,429)</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(64,113)</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(59,092)</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7,619</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6,930</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8,479</w:t>
            </w:r>
          </w:p>
        </w:tc>
      </w:tr>
      <w:tr>
        <w:trPr>
          <w:trHeight w:val="229"/>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112</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7,731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7,013</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8,507</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1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(1,118)</w:t>
            </w:r>
          </w:p>
        </w:tc>
        <w:tc>
          <w:tcPr>
            <w:tcW w:w="4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(1,036)</w:t>
            </w:r>
          </w:p>
        </w:tc>
        <w:tc>
          <w:tcPr>
            <w:tcW w:w="46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FAS pension (expense) income</w:t>
            </w:r>
          </w:p>
        </w:tc>
        <w:tc>
          <w:tcPr>
            <w:tcW w:w="2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(874)</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2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183</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181</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5,922</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6,220</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8,098</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(905)</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(884)</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(1,178)</w:t>
            </w:r>
          </w:p>
        </w:tc>
      </w:tr>
      <w:tr>
        <w:trPr>
          <w:trHeight w:val="223"/>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5,017</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5,336</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6,920</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21.49</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22.31</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27.55</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reported in other income, net, including our share of earnings or losses from equity method investees, are included in the operating profit of our business segments. Accordingly, such amounts are included in the discussion of our business segment results of operations.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sales from the delivery of products and services to our customers. Our consolidated sales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62,654</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56,265</w:t>
            </w:r>
          </w:p>
        </w:tc>
        <w:tc>
          <w:tcPr>
            <w:tcW w:w="320" w:type="dxa"/>
            <w:vAlign w:val="bottom"/>
            <w:shd w:val="clear" w:color="auto" w:fill="CCEEFF"/>
          </w:tcPr>
          <w:p>
            <w:pPr>
              <w:spacing w:after="0"/>
              <w:rPr>
                <w:sz w:val="19"/>
                <w:szCs w:val="19"/>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of total sales</w:t>
            </w:r>
          </w:p>
        </w:tc>
        <w:tc>
          <w:tcPr>
            <w:tcW w:w="3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12,394</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320" w:type="dxa"/>
            <w:vAlign w:val="bottom"/>
            <w:shd w:val="clear" w:color="auto" w:fill="CCEEFF"/>
          </w:tcPr>
          <w:p>
            <w:pPr>
              <w:spacing w:after="0"/>
              <w:rPr>
                <w:sz w:val="19"/>
                <w:szCs w:val="19"/>
                <w:color w:val="auto"/>
              </w:rPr>
            </w:pPr>
          </w:p>
        </w:tc>
      </w:tr>
      <w:tr>
        <w:trPr>
          <w:trHeight w:val="230"/>
        </w:trPr>
        <w:tc>
          <w:tcPr>
            <w:tcW w:w="4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of total sales</w:t>
            </w:r>
          </w:p>
        </w:tc>
        <w:tc>
          <w:tcPr>
            <w:tcW w:w="3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1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3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75,048</w:t>
            </w:r>
          </w:p>
        </w:tc>
        <w:tc>
          <w:tcPr>
            <w:tcW w:w="3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71,043</w:t>
            </w: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67,571</w:t>
            </w:r>
          </w:p>
        </w:tc>
        <w:tc>
          <w:tcPr>
            <w:tcW w:w="320" w:type="dxa"/>
            <w:vAlign w:val="bottom"/>
            <w:tcBorders>
              <w:bottom w:val="single" w:sz="8" w:color="auto"/>
            </w:tcBorders>
            <w:shd w:val="clear" w:color="auto" w:fill="CCEEFF"/>
          </w:tcPr>
          <w:p>
            <w:pPr>
              <w:spacing w:after="0"/>
              <w:rPr>
                <w:sz w:val="20"/>
                <w:szCs w:val="20"/>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contracts are accounted for using the percentage-of-completion cost-to-cost method. Under the percentage-of-completion cost-to-cost method, we record sales on contracts over time based upon our progress towards completion on a particular contract, as well as our estimate of the profit to be earned at completion. The following discussion of material changes in our consolidated sales should be read in tandem with the subsequent discussion of changes in our consolidated operating costs and expenses and our business segment results of operations because changes in our sales are typically accompanied by a corresponding change in our operating costs and expenses due to the nature of the percentage-of-completion cost-to-cost method.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sales increased $3.4 billion, or 6%, in 2025 as compared to 2024. The increase was primarily attributable to higher product sales of approximately $1.7 billion at MFC, $1.0 billion at Aeronautics, and $475 million at Space. Higher product sales at MFC were due to production ramp-up on Joint Air-to-Surface Standoff Missile (JASSM), Long Range Anti-Ship Missile (LRASM) and precision fires programs. Higher product sales at Aeronautics were due to higher volume on F-35 production contracts, partially offset by the unfavorable cumulative adjustment to sales driven by recognizing a reach-forward loss on a classified contract in the second quarter of 2025. Higher product sales at Space were due to higher volume on Fleet Ballistic Missile (FBM), Next Generation Interceptor (NGI) and Orion programs, partially offset by the impact of program lifecycle in the OPIR 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Sales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sales increased $628 million, or 5%, in 2025 as compared to 2024. The increase in service sales was primarily due to higher sales of approximately $620 million at Aeronautics as a result of higher volume on F-35 sustainment contracts.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costs and expenses, for both products and services, consist of materials, labor, subcontracting costs and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 Our consolidated operating costs and expenses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expenses – products</w:t>
            </w:r>
          </w:p>
        </w:tc>
        <w:tc>
          <w:tcPr>
            <w:tcW w:w="2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(57,020)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(54,852)</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(50,206)</w:t>
            </w: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 product sales</w:t>
            </w:r>
          </w:p>
        </w:tc>
        <w:tc>
          <w:tcPr>
            <w:tcW w:w="22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91.0 %</w:t>
            </w:r>
          </w:p>
        </w:tc>
        <w:tc>
          <w:tcPr>
            <w:tcW w:w="3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92.5 %</w:t>
            </w: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89.2 %</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expenses – services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(11,339)</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(10,217)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(10,027)</w:t>
            </w: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 service sales</w:t>
            </w:r>
          </w:p>
        </w:tc>
        <w:tc>
          <w:tcPr>
            <w:tcW w:w="22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91.5 %</w:t>
            </w:r>
          </w:p>
        </w:tc>
        <w:tc>
          <w:tcPr>
            <w:tcW w:w="3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86.8 %</w:t>
            </w:r>
          </w:p>
        </w:tc>
        <w:tc>
          <w:tcPr>
            <w:tcW w:w="4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88.7 %</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2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(66)</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unallocated, net</w:t>
            </w:r>
          </w:p>
        </w:tc>
        <w:tc>
          <w:tcPr>
            <w:tcW w:w="2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996</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1,043</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1,233</w:t>
            </w:r>
          </w:p>
        </w:tc>
      </w:tr>
      <w:tr>
        <w:trPr>
          <w:trHeight w:val="230"/>
        </w:trPr>
        <w:tc>
          <w:tcPr>
            <w:tcW w:w="4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(67,429)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(64,113)</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(59,092)</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of material changes in our consolidated operating costs and expenses for products and services should be read in tandem with the preceding discussion of changes in our consolidated sales and our business segment results of operations. Except for potential impacts to our programs resulting from supply chain disruptions, inflation, and tariffs, we have not identified any additional developing trends in operating costs and expenses for products and services that could have a material impact on our future operations.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Costs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costs increased $2.2 billion, or 4%, in 2025 as compared to 2024. The increase was primarily attributable to higher product costs of approximately $1.5 billion at Aeronautics, $285 million at Space and $225 million at RMS. Higher product costs at Aeronautics were due to higher volume and the impact of recognizing a reach-forward loss on a classified contract previously described in “Product Sales”. Higher product costs at Space were due to higher volume, partially offset by the impact of program lifecycle previously described in “Product Sales”. Higher product costs at RMS were due to higher production volume on Black Hawk programs and the impact of recognizing reach-forward losses on TUHP in the second quarter of 2025, partially offset by lower production volume on Seahawk programs.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 costs increased approximately $1.1 billion, or 11%, in 2025 as compared to 2024. The increase was primarily attributable to higher service costs of approximately $540 million at Aeronautics and $425 million at RMS. Higher service costs at Aeronautics were due to higher volume as described above in “Service Sales”. Higher service costs at RMS were due to the impact of recognizing a reach-forward loss on Canadian Maritime Helicopter Program (CMHP) as previously described.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and Other Charges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charges totaling $66 million ($52 million, or $0.22 per share, after-tax) in 2025 and $87 million ($69 million, or $0.29 per share, after-tax) in 2024. See “Note 16 – Impairment and Other Charges” included in our Notes to Consolidated Financial Statements for additional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Unallocated, Net</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unallocated, net primarily includes the FAS/CAS pension operating adjustment (which represents the difference between total CAS pension cost recorded in our business segments’ results of operations and the service cost component of FAS pension (expense) income), stock-based compensation expense, changes in the fair value of assets and liabilities for deferred compensation plans, intangible asset amortization expense and other corporate costs. These items are not allocated to the business segments and, therefore, are not allocated to operating costs and expenses for products or services. Other unallocated, net reduced operating expenses by $996 million and $1.0 billion in 2025 and 2024. The fluctuations in other unallocated, net for all periods were due to costs associated with various corporate items, none of which were individually significant.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in 2025 was $112 million, compared to $83 million in 2024. Other income, net primarily includes earnings generated by equity method investees, as well as gains or losses for acquisitions, divestitures, and other items, none of which are individually significant. The increase in other income, net in 2025 resulted primarily from an intellectual property license arrangement and the Commercial Engine Solutions divestiture net working capital true-up.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 2025 was $1.1 billion, compared to $1.0 billion in 2024. The increase in interest expense in 2025 resulted primarily from issuance of senior unsecured notes in July 2025 and December 2024 and a higher intra-period outstanding balance of commercial paper. See “Capital Structure, Resources and Other” included within the “Liquidity and Cash Flows” discussion below and “Note 10 – Debt” included in our Notes to Consolidated Financial Statements for a discussion of our debt.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Non-Service FAS Pension (Expense) Income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FAS pension expense in 2025 was $874 million, compared to non-service FAS pension income of $62 million in 2024. Non-service FAS pension expense in 2025 includes a noncash, non-operating pension settlement charge of $479 million ($377 million, or $1.63 per share, after-tax) in connection with the transfer of $943 million of our gross defined benefit pension obligations and related plan assets to insurance companies in December 2025. Additionally, the increase in expense was primarily due to higher prior service cost amortization and a reduced asset base. See “Note 11 – Retirement Benefits” for more information.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Income (Expense), Net</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non-operating income, net primarily includes gains or losses related to adjustments in valuation of early-stage company investments or gains or losses upon the sale of these investments and interest income earned on cash and cash equivalents. Other non-operating income, net in 2025 was $183 million, compared to $181 million in 2024. See “Note 1 – Organization and Significant Accounting Policies” included in our Notes to Consolidated Financial Statements for additional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income tax rate was 15.3% for 2025 and 14.2% for 2024. The higher effective income tax rate in 2025 was attributable to the One Big Beautiful Bill Act (the Tax Act) primarily driven by lower tax deductions for foreign derived intangible income partially offset by the favorable resolution of certain federal income tax audit items with the Internal Revenue Service (IRS). The rates for all periods benefited from research and development tax credits, dividends paid to our defined contribution plans with an employee stock ownership plan feature, tax deductions for foreign derived intangible income and employee equity awards.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into law the Tax Act. Key provisions include the permanent reinstatement of immediate expensing for domestic research expenditures, the restoration of full expensing for qualified machinery, equipment and other short-lived assets, and several modifications to existing international tax provisions.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U.S. (federal or state) or foreign tax laws and regulations, or their interpretation and application (including those with retroactive effect), could significantly impact our provision for income taxes, the amount of taxes payable, our deferred tax asset and liability balances, and stockholders’ equity. In addition to future changes in tax laws, the amount of net deferred tax assets will change periodically based on several factors, including the measurement of our retirement benefit obligations, actual cash contributions to our retirement benefit plans and the change in the amount or reevaluation of uncertain tax positions.</w:t>
      </w:r>
    </w:p>
    <w:p>
      <w:pPr>
        <w:spacing w:after="0" w:line="116"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During the second quarter of 2025, the IRS issued a Notice of Proposed Adjustment (NOPA) for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2020. The proposed adjustments stemmed from a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accounting method change that was adopted in 2018 in connection with our ASC 606 implementation and the 2017 Tax Cuts and Jobs Act. This matter was resolved in the fourth quarter of 2025, and the corresponding uncertain tax position, along with any accrued interest and penalties, recorded in the second and third quarters of 2025 was removed from our December 31, 2025 balance. Also, during the fourth quarter of 2025, we entered into an agreed Revenue Agent Report (RAR) for the 2018-2022 federal income tax returns, resolving the remaining open federal income tax audit issues for those years.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regularly under audit or examination by tax authorities, including U.S. and foreign tax authorities (Australia, Canada, India, Italy, Japan, Poland, the United Kingdom, and other countries). The final resolution of tax audits and any related administrative reviews or litigation could result in unanticipated increases in our tax expense and changes to the timing of required tax payments, which could affect profitability and cash flows for any particular reporting period. These increases or changes could have a material impact on financial condition and results of operations in such period.</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has a framework to implement a global minimum corporate tax of 15% for companies with global revenue and profits above certain thresholds (referred to as Pillar 2). Although the U.S. has not enacted legislation to implement Pillar 2, certain countries in which we operate have adopted legislation, and other countries are in the process of introducing legislation to implement Pillar</w:t>
      </w:r>
    </w:p>
    <w:p>
      <w:pPr>
        <w:spacing w:after="0" w:line="1" w:lineRule="exact"/>
        <w:rPr>
          <w:sz w:val="20"/>
          <w:szCs w:val="20"/>
          <w:color w:val="auto"/>
        </w:rPr>
      </w:pPr>
    </w:p>
    <w:p>
      <w:pPr>
        <w:jc w:val="both"/>
        <w:ind w:firstLine="8"/>
        <w:spacing w:after="0" w:line="255"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OECD issued new administrative guidance on January 5, 2026, with respect to Pillar 2 which modifies key aspects of the framework for countries to enact in their own laws. This new guidance reaffirms we do not expect Pillar 2 to have a material impact on our effective tax rate or our results of operation and financial position.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reported net earnings of $5.0 billion ($21.49 per share) in 2025 and $5.3 billion ($22.31 per share) in 2024. Net earnings and earnings per share in 2025 were affected by the factors mentioned above. Earnings per share also benefited from a net decrease of approximately 5.7 million weighted average common shares outstanding in 2025 compared to 2024. The reduction in weighted average common shares outstanding was a result of share repurchases, partially offset by share issuance under our stock-based awards and certain defined contribution plans.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Results of Operations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MFC, RMS and Space. We organize our business segments based on the nature of products and services offered.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operating profit of our business segments exclude intersegment sales, operating costs and expenses and profit as these activities are eliminated in consolidation and thus are not included in management’s evaluation of performance of each segment. Business segment operating profit includes our share of earnings or losses from equity method investees as the operating activities of the equity method investees are closely aligned with the operations of our business segments.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segment operating profit excludes the FAS/CAS pension operating adjustment (see “Note 3 – Information on Business Segments”), a portion of corporate costs not considered allowable or allocable to contracts with the U.S. Government under the applicable U.S. Government Cost Accounting Standards (CAS) or portions of the Federal Acquisition Regulation (FAR), and other items not considered part of management’s evaluation of segment operating performance. See “Note 1 – Organization and Significant Accounting Policies” for a discussion related to certain factors that may impact the comparability of sales and operating profit of our business segments.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operating costs and expenses and operating profit for each of our business segments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30,257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28,618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27,474</w:t>
            </w: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14,450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12,682</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5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17,312</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17,264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16,239</w:t>
            </w:r>
          </w:p>
        </w:tc>
      </w:tr>
      <w:tr>
        <w:trPr>
          <w:trHeight w:val="229"/>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2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13,029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12,479</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r>
      <w:tr>
        <w:trPr>
          <w:trHeight w:val="22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75,048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71,043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67,571</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413</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5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1,323</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30"/>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2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1,345</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1,226</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3"/>
        </w:trPr>
        <w:tc>
          <w:tcPr>
            <w:tcW w:w="5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business segment operating profit</w:t>
            </w:r>
          </w:p>
        </w:tc>
        <w:tc>
          <w:tcPr>
            <w:tcW w:w="2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6,743</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6,083</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w:t>
            </w:r>
          </w:p>
        </w:tc>
      </w:tr>
      <w:tr>
        <w:trPr>
          <w:trHeight w:val="22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items</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FAS/CAS pension operating adjustment</w:t>
            </w:r>
          </w:p>
        </w:tc>
        <w:tc>
          <w:tcPr>
            <w:tcW w:w="25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1,518</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2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5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5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unallocated, net</w:t>
            </w:r>
          </w:p>
        </w:tc>
        <w:tc>
          <w:tcPr>
            <w:tcW w:w="2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930</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5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consolidated operating profit</w:t>
            </w:r>
          </w:p>
        </w:tc>
        <w:tc>
          <w:tcPr>
            <w:tcW w:w="2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7,731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7,013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segment discussions include information relating to backlog for each segment. Also see “Backlog” discussion above.</w:t>
      </w:r>
    </w:p>
    <w:p>
      <w:pPr>
        <w:spacing w:after="0" w:line="171"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Management evaluates performance on our contracts by focusing on sales and operating profit and not by type or amount of operating expense. Consequently, our discussion of business segment performance focuses on sales and operating profit, consistent with our approach for managing the business. This approach is consistent throughout the life cycle of our contracts, as management assesses the bidding of each contract by focusing on sales and operating profit and monitors performance on our contracts in a similar manner through their completion.</w:t>
      </w:r>
    </w:p>
    <w:p>
      <w:pPr>
        <w:spacing w:after="0" w:line="140"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We regularly provide customers with reports of our costs as the contract progresses. The cost information in the reports is accumulated in a manner specified by the requirements of each contract. For example, cost data provided to a customer for a product would typically align to the subcomponents of that product (such as a wing-box on an aircraft) and for services would align to the type of work being performed (such as aircraft sustainment). Our contracts generally allow for the recovery of costs in the pricing of our products and services. Most of our contracts are bid and negotiated with our customers under circumstances in which we are required to disclose our estimated total costs to provide the product or service. This approach for negotiating contracts with our U.S. Government customers generally allows for recovery of our actual costs plus a reasonable profit margin. We also may enter into long-term supply contracts for certain materials or components to coincide with the production schedule of certain products and to ensure their availability at known unit prices.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We have a number of programs that are designated as classified by the U.S. Government, and that cannot be specifically described. The operating results of these classified programs are included in our consolidated and business segment results and are subject to the same oversight and internal controls as our other programs.</w:t>
      </w:r>
    </w:p>
    <w:p>
      <w:pPr>
        <w:spacing w:after="0" w:line="204"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Our sales are primarily derived from long-term contracts for products and services provided to the U.S. Government as well as FMS contracted through the U.S. Government.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spacing w:after="0" w:line="15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Many of our contracts span several years and include highly complex technical requirements. At the outset of a contract accounted for under the percentage-of-completion cost-to-cost method, we identify and monitor risks to the achievement of the technical, schedule and cost aspects of the contract, as well as our ability to earn variable consideration, and assess the effects of those risks on our estimates of sales and total costs to complete the contract. The estimates consider the technical requirements (e.g., a newly developed product versus a mature product), the schedule and associated tasks (e.g., the number and type of milestone events) and costs (e.g., material, labor, subcontractor, overhead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and variable considerations. Profit booking rates may increase during the performance of the contract if we successfully retire risks related to the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The profit booking rate may also be adjusted if the total estimated value of the contract changes or there is a contract modification. All of the estimates are subject to change during the performance of the contract and may affect the profit booking rate. For further discussion on fixed-price contracts, see “Note 1 – Organization and Significant Accounting Policies” included in our Notes to Consolidated Financial Statements.</w:t>
      </w:r>
    </w:p>
    <w:p>
      <w:pPr>
        <w:spacing w:after="0" w:line="15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Changes in sales and operating profit generally are expressed in terms of volume, contract mix, and/or performance (referred to as profit booking rate adjustments).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 Contract mix primarily refers to changes in the ratio of contract type or life cycle (e.g., cost-type, fixed-price, development, production and/or sustainment) and other cost recoveries.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Comparability of our segment sales, operating profit and operating margin may be impacted favorably or unfavorably by changes in profit booking rates on our contracts. Increases in the profit booking rates, typically referred to as favorable profit booking rate adjustments,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and are typically referred to as unfavorable profit booking rate adjustments. Increases or decreases in profit booking rates are recognized in the period they are determined and reflect the inception-to-date effect of such changes. Segment operating profit and margin can be impacted favorably or unfavorably by, for example, certain items listed below, which may or may not impact sales. Favorable items include the positive resolution of contractual matters, cost recoveries on severance and restructuring, insurance recoveries and gains on sales of assets. Unfavorable items include the adverse resolution of contractual matters, supply chain disruptions, restructuring charges (except for significant severance actions, which are excluded from segment operating results), reserves for disputes, certain asset impairments, and losses on sales of certain assets.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effect of our consolidated net profit booking rate adjustments on segment operating profit (loss)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Aeronautics</w:t>
            </w: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5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90</w:t>
            </w:r>
          </w:p>
        </w:tc>
        <w:tc>
          <w:tcPr>
            <w:tcW w:w="5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00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500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52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0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5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Space</w:t>
            </w:r>
          </w:p>
        </w:tc>
        <w:tc>
          <w:tcPr>
            <w:tcW w:w="2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370</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225</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55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net adjustments to segment operating profit</w:t>
            </w:r>
          </w:p>
        </w:tc>
        <w:tc>
          <w:tcPr>
            <w:tcW w:w="20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b w:val="1"/>
                <w:bCs w:val="1"/>
                <w:color w:val="auto"/>
              </w:rPr>
              <w:t>75</w:t>
            </w:r>
          </w:p>
        </w:tc>
        <w:tc>
          <w:tcPr>
            <w:tcW w:w="5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5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1,585</w:t>
            </w:r>
          </w:p>
        </w:tc>
      </w:tr>
    </w:tbl>
    <w:p>
      <w:pPr>
        <w:spacing w:after="0" w:line="25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consolidated net profit booking rate adjustments increased segment operating profit by approximately $75 million in 2025 and decreased segment operating profit by $180 million in 2024. The impact in 2025 includes reach-forward losses of $950 million on an ongoing classified program at our Aeronautics business segment, $570 million on Canadian Maritime Helicopter Program (CMHP) and $95 million on Türkish Utility Helicopter Program (TUHP) at our RMS business segment, and $140 million of unfavorable profit adjustments on C-130 program at our Aeronautics business segment. In addition to these losses and unfavorable profit adjustments, we also recorded $130 million of favorable adjustments upon completion on certain commercial civil space programs at Space, and $90 million favorable adjustments upon completion of a classified program at Aeronautics. The impact in 2024 includes reach-forward losses of $555 million on a classified program at our Aeronautics business segment, reach-forward losses of $1.4 billion recognized on a classified program at our MFC business segment and $155 million of favorable profit rate adjustments following the resolution of a long-standing claim associated with a completed C-5 Galaxy aircraft contract at our Aeronautics business segment. See the discussions under “Revenue Recognition” in “Note 1 – Organization and Significant Accounting Policies” included in our Notes to Consolidated Financial Statements for more information.</w:t>
      </w:r>
    </w:p>
    <w:p>
      <w:pPr>
        <w:spacing w:after="0" w:line="15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With respect to the classified program at our Aeronautics business segment, we continue to monitor this program, and we may need to record additional losses in future periods if we experience further performance issues, increases in scope, or increases in costs from prior estimates. Our estimates may change, in particular, as we conduct further development and testing on the program, which may lead to new findings or cause us to modify our expectations or understanding of the risks inherent in the program. Similarly, we may need to record additional losses in future periods for the programs at our MFC and RMS business segments referenced above. Any such losses could be material to our financial results in any period that they are recognized. For further discussion regarding the losses recognized on these programs, see “Note 1 – Organization and Significant Accounting Policies” included in our Notes to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w:t>
      </w:r>
    </w:p>
    <w:p>
      <w:pPr>
        <w:spacing w:after="0" w:line="20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Our Aeronautics business segment is engaged in the research, design, development, manufacture, integration, sustainment, support and upgrade of advanced military aircraft, including combat and air mobility aircraft, unmanned air vehicles and related technologies. Aeronautics’ major programs include the F-35 Lightning II,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130 Hercules, F-16 Fighting Falcon and F-22 Raptor. Aeronautics’ operating results included the following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30,257</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28,618</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32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32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59,435</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62,763</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60,156</w:t>
            </w:r>
          </w:p>
        </w:tc>
        <w:tc>
          <w:tcPr>
            <w:tcW w:w="320" w:type="dxa"/>
            <w:vAlign w:val="bottom"/>
            <w:tcBorders>
              <w:bottom w:val="single" w:sz="8" w:color="auto"/>
            </w:tcBorders>
          </w:tcPr>
          <w:p>
            <w:pPr>
              <w:spacing w:after="0"/>
              <w:rPr>
                <w:sz w:val="20"/>
                <w:szCs w:val="20"/>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Aeronautics’ sales in 2025 increased $1.6 billion, or 6%, compared to 2024. The increase was primarily attributable to higher sales of approximately $1.9 billion for the F-35 program due to increased volume on production and sustainment contracts; and about $150 million for the F-16 program due to increased production volume as this program continues to ramp. These increases were partially offset by lower sales of approximately $215 million on classified programs due to lower volume; and $155 million due to the favorable resolution of a long-standing claim associated with a completed C-5 Galaxy aircraft contract recognized in 2024.</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Aeronautics’ operating profit in 2025 decreased $437 million, or 17%, compared to 2024. The decrease was primarily attributable to higher reach-forward losses of $395 million recognized on a classified program ($950 million recognized in the second quarter of 2025 compared to $555 million recognized in 2024); about $180 million for the C-130 program due to higher unfavorable profit adjustments and production volume; and $155 million due to the favorable resolution of the claim on the C-5</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Galaxy aircraft contract recognized in 2024. These decreases were partially offset by increased profit of approximately $270 million on the F-35 program due to higher volume and favorable profit adjustments on production and sustainment contracts. See “Note 1 – Organization and Significant Accounting Policies” for more details on program losses.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decreased in 2025 compared to 2024 primarily due to orders timing on the C-130 program.</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inception of the F-35 program through December 31, 2025, we have delivered 1,293 production F-35 aircraft, including 927 F-35A variants, 238 F-35B variants and 128 F-35C variants, and our backlog as of that date was 368 aircraft. In addition, during the third quarter of 2025, Lockheed Martin and the Joint Program Office (JPO) reached an agreement for Lot 18 and Lot 19 F-35 Air Vehicle Production Contract for 296 aircraft, followed by definitization on September 29, 2025. The scope includes aircraft for the U.S. Air Force, Navy, and Marines and the International Partners and FMS customers, in addition to the required infrastructure for the international Final Assembly and Checkout Facilities (FACOs) and other equipment. With this award, an additional 3 Lot 18 aircraft and 148 Lot 19 aircraft were added to the F-35 backlog, demonstrating the F-35 program’s continued progress and longevity.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Missiles and Fire Control</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MFC business segment provides air and missile defense systems; tactical missiles and precision strike weapon systems; logistics; fire control systems; and mission operations support, readiness, engineering support and integration services. MFC’s major programs include Patriot Advanced Capability-3 (PAC-3), Terminal High Altitude Area Defense (THAAD), Multiple Launch Rocket System (MLRS), Precision Strike Missile (PrSM), Joint Air-to-Surface Standoff Missile (JASSM), Long-Range Anti-Ship Missile (LRASM), Hellfire, Joint Air-to-Ground Missile (JAGM), Javelin, Apache fire control system, Sniper Advanced Targeting Pod (SNIPER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Infrared Search and Track (IRST21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Special Operations Forces Global Logistics Support Services (SOF GLSS), and hypersonics programs. MFC’s operating results included the following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14,450</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32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2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46,650</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38,783</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320" w:type="dxa"/>
            <w:vAlign w:val="bottom"/>
            <w:tcBorders>
              <w:bottom w:val="single" w:sz="8" w:color="auto"/>
            </w:tcBorders>
          </w:tcPr>
          <w:p>
            <w:pPr>
              <w:spacing w:after="0"/>
              <w:rPr>
                <w:sz w:val="20"/>
                <w:szCs w:val="20"/>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MFC’s sales in 2025 increased $1.8 billion, or 14%, compared to 2024. The increase was primarily attributable to higher sales of approximately $1.4 billion for tactical and strike missile programs due to increased volume (primarily JASSM, LRASM, Guided Multiple Launch Rocket System (GMLRS) and PrSM); and about $450 million for integrated air and missile defense programs due to increased volume (primarily existing PAC-3 contracts).</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MFC’s operating profit in 2025 increased $1.6 billion compared to 2024. The increase was primarily due to reach-forward losses of approximately $1.4 billion recognized on a classified program in 2024; and about $240 million for tactical and strike missile programs due to increased volume (primarily JASSM, LRASM, GMLRS and PrSM).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increased in 2025 compared to 2024 primarily due to higher orders on JASSM, LRASM, PAC-3 and Apache programs.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Rotary and Mission Systems</w:t>
      </w:r>
    </w:p>
    <w:p>
      <w:pPr>
        <w:spacing w:after="0" w:line="17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RMS designs, manufactures, services and supports various military and commercial helicopters, surface ships, sea and land-based missile defense systems, radar systems, laser systems, sea and air-based mission and combat systems, command and control mission solutions, cyber solutions, and simulation and training solutions. RMS’ major programs include Aegis Combat System, Littoral Combat Ship (LCS), Multi-Mission Surface Combatant (MMSC), River-Class Destroyer (RCD) (formerly known as Canadian Surface Combatant), Black Hawk and Seahawk helicopters, CH-53K King Stallion heavy lift helicopter,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Combat Rescue Helicopter (CRH), VH-92A helicopter, and the C2BMC program. RMS’ operating results included the following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17,312</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320" w:type="dxa"/>
            <w:vAlign w:val="bottom"/>
            <w:shd w:val="clear" w:color="auto" w:fill="CCEEFF"/>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32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47,715</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320" w:type="dxa"/>
            <w:vAlign w:val="bottom"/>
            <w:tcBorders>
              <w:bottom w:val="single" w:sz="8" w:color="auto"/>
            </w:tcBorders>
          </w:tcPr>
          <w:p>
            <w:pPr>
              <w:spacing w:after="0"/>
              <w:rPr>
                <w:sz w:val="20"/>
                <w:szCs w:val="20"/>
                <w:color w:val="auto"/>
              </w:rPr>
            </w:pPr>
          </w:p>
        </w:tc>
      </w:tr>
    </w:tbl>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RMS’ sales in 2025 increased $48 million compared to 2024. The increase was primarily attributable to higher sales of approximately $95 million for Sikorsky helicopter programs due to higher volume on production contracts (primarily Black Hawk); about $75 million for increased volume on integrated warfare systems and sensors (IWSS) programs (various radar programs and the RCD program); and approximately $45 million for C6ISR programs due to higher volume. These increases were partially offset by lower sales of $165 million for various training, logistics and simulation (TLS) programs due to lower volume.</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RMS’ operating profit in 2025 decreased $598 million, or 31%, compared to 2024. The decrease was primarily due to the reach-forward losses of approximately $570 million on the CMHP program and $95 million on the TUHP program recognized in the second quarter of 2025; and about $60 million on C6ISR programs due to unfavorable profit adjustments. These decreases were partially offset by increased profit of approximately $90 million for IWSS programs (various radar programs and the RCD program) primarily due to favorable profit adjustments.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increased in 2025 compared to 2024 primarily due to higher orders on Sikorsky programs.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Space business segment is engaged in the research and design, development,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Space’s major programs include the Trident II D5 Fleet Ballistic Missile (FBM), Orion Multi-Purpose Crew Vehicle (Orion), Next Generation Overhead Persistent Infrared (Next Gen OPIR) system, Global Positioning System (GPS) III, hypersonics and Transport and Tracking Layer programs and Next Generation Interceptor (NGI). Operating profit for our Space business segment includes our share of earnings for our investment in United Launch Alliance (ULA), which provides expendable launch services to the U.S. Government and commercial customers. Space’s operating results included the following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13,029</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340" w:type="dxa"/>
            <w:vAlign w:val="bottom"/>
            <w:shd w:val="clear" w:color="auto" w:fill="CCEEFF"/>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40" w:type="dxa"/>
            <w:vAlign w:val="bottom"/>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39,822</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36,377</w:t>
            </w: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340" w:type="dxa"/>
            <w:vAlign w:val="bottom"/>
            <w:tcBorders>
              <w:bottom w:val="single" w:sz="8" w:color="auto"/>
            </w:tcBorders>
          </w:tcPr>
          <w:p>
            <w:pPr>
              <w:spacing w:after="0"/>
              <w:rPr>
                <w:sz w:val="20"/>
                <w:szCs w:val="20"/>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Space’s sales in 2025 increased $550 million, or 4%, compared to 2024. The increase was primarily attributable to higher sales of approximately $380 million for strategic and missile defense programs due to the ramp on the NGI program and higher volume on FBM program; and about $255 million for commercial and civil space programs due to higher volume (primarily Orion). These increases were partially offset by lower net sales of $135 million on national security space programs due to changes in the program lifecycle on the OPIR mission.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Space’s operating profit in 2025 increased $119 million, or 10%, compared to 2024. The increase was primarily attributable to approximately $175 million for commercial civil space programs government satellite programs, reflecting favorable performance at completion on certain commercial civil space programs recognized in the first and second quarters of 2025. This increase was partially offset by $40 million of lower equity earnings from our investment in ULA.</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earnings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equity earnings (attributable to our investment in ULA) were not significant in 2025, compared to $45 million, or 4%, of Space’s operating profit in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Backlog increased in 2025 compared to 2024 primarily due to higher orders for strategic and missile defense programs including NGI, strategic re-entry programs, and hypersonics.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$4.1 billion that was generally available to fund ordinary business operations without significant legal, regulatory or other restrictions. Our principal source of liquidity is our cash from operations and access to credit markets. Access to credit markets includes our revolving credit facilities, including the ability to issue commercial paper (see “Note 10 – Debt” included in our Notes to Consolidated Financial Statements for additional information). The outstanding balance of commercial paper can fluctuate daily and the amount outstanding during the period may be greater or less than the amount reported at the end of the period. There were no borrowings outstanding under the revolving credit facilities or the commercial paper program at year end for either 2025 or 2024. We may, as conditions warrant, continue to issue commercial paper backed by our revolving credit facilities to manage the timing of cash flows.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received from customers is our primary source of cash from operations. However, from time to time, we fund customer programs ourselves pending government appropriations or prior to contract award. If we incur costs in excess of funds obligated on the contract or in advance of a contract award, this negatively affects our cash flows, and we may be at risk for reimbursement of the excess costs. In addition, when estimates of total costs to be incurred on a contract exceed total estimates of the transaction price, a provision for the entire loss is determined at the contract level and is recorded in the period in which the loss is evident, which we refer to as a reach-forward loss. These reach-forward losses do not have an immediate cash flow impact, but as future costs are incurred on these contracts, these losses will negatively impact cash flows over the remaining period of performance.</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Increases in costs due to tariffs may impact our cash flows, as we may not be able to fully recover these costs, and even if recovery is possible, it may not occur in the same period as the incurred costs. See “Recent Developments in Trade and Regulatory Policies” included within the “Business Overview” discussion above.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Billing timetables and payment terms on our contracts vary based on a number of factors, including the contract type. We generally bill and collect cash more frequently under cost-reimbursable contracts, which represented approximately 40% of the sales we recorded in 2025, as we are authorized to bill as the costs are incurred. A number of our fixed-price contracts may provide for performance-based payments, which allow us to bill and collect cash as we perform on the contract as we hit milestones. The amounts of performance-based payments and the related milestones are determined in the negotiation of each contract. The timing of such payments may differ from the timing of the costs incurred related to our contract performance, thereby affecting our cash flows.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 the performance of the contract and are invoiced regularly as costs are incurred. Our cash flows may be affected if the U.S. Government changes its payment policies. The U.S. Government from time to time withholds payments on certain of our billings based on contract terms or regulatory provisions. Ultimately, the impact of policy changes or withholding payments may delay the receipt of cash, but the cumulative amount of cash collected during the life of the contract should not vary due to these items.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maintain a disciplined and dynamic cash deployment strategy to invest in our business and key technologies to provide our customers with enhanced capabilities, enhance stockholder value, and position ourselves to take advantage of new business opportunities when they arise. Consistent with that strategy, we have continued to invest in our business and technologies through capital expenditures, independent research and development, and selective business acquisitions and investments. As we implement our digital and business transformation, which includes new financial accounting systems, the timing of certain of our cash flows may be temporarily impacted within a calendar year.</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actively manage our debt levels, including maturities and interest rates. We seek to finance our business in a manner that preserves financial flexibility while minimizing borrowing costs to the extent practicable. We review changes in financial market and economic conditions to manage the types, amounts and maturities of our indebtedness. We may at times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refinance existing indebtedness, vary our mix of variable-rate and fixed-rate debt or seek alternative financing sources or arrangements for our cash and operational needs.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actively manage our pension obligations and expect to continue to opportunistically manage our pension liabilities through additional contributions at our discretion, the purchase of group annuity contracts or other actions for portions of our outstanding defined benefit pension obligations using assets from the pension trust. See “Note 11 – Retirement Benefits” included in our Notes to Consolidated Financial Statements for additional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information followed by a discussion of the key elements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2,483</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1,442</w:t>
            </w:r>
          </w:p>
        </w:tc>
        <w:tc>
          <w:tcPr>
            <w:tcW w:w="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2,547</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5,017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5,336</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6,920</w:t>
            </w:r>
          </w:p>
        </w:tc>
      </w:tr>
      <w:tr>
        <w:trPr>
          <w:trHeight w:val="22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adjustments</w:t>
            </w:r>
          </w:p>
        </w:tc>
        <w:tc>
          <w:tcPr>
            <w:tcW w:w="21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4,523</w:t>
            </w:r>
          </w:p>
        </w:tc>
        <w:tc>
          <w:tcPr>
            <w:tcW w:w="4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3,300</w:t>
            </w:r>
          </w:p>
        </w:tc>
        <w:tc>
          <w:tcPr>
            <w:tcW w:w="44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441</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(294)</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5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(1,424)</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(1,370)</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(651)</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8,557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6,972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7,920</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1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(1,977)</w:t>
            </w:r>
          </w:p>
        </w:tc>
        <w:tc>
          <w:tcPr>
            <w:tcW w:w="4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(1,792)</w:t>
            </w:r>
          </w:p>
        </w:tc>
        <w:tc>
          <w:tcPr>
            <w:tcW w:w="44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(1,694)</w:t>
            </w:r>
          </w:p>
        </w:tc>
      </w:tr>
      <w:tr>
        <w:trPr>
          <w:trHeight w:val="229"/>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(4,942)</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(4,139)</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(7,331)</w:t>
            </w:r>
          </w:p>
        </w:tc>
      </w:tr>
      <w:tr>
        <w:trPr>
          <w:trHeight w:val="22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1,638</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1,041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(1,105)</w:t>
            </w: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4,121</w:t>
            </w:r>
          </w:p>
        </w:tc>
        <w:tc>
          <w:tcPr>
            <w:tcW w:w="4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2,483</w:t>
            </w:r>
          </w:p>
        </w:tc>
        <w:tc>
          <w:tcPr>
            <w:tcW w:w="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1,442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$1.6 billion in 2025 compared to 2024. The increase was primarily due to various changes in working capital (primarily timing of cash payments for accounts payable and contract liabilities at RMS) and lower tax payments, reflecting the impact of the One Big Beautiful Bill Act (the Tax 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 - Free Cash Flow</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Free cash flow is a non-GAAP financial measure that we define as cash from operations less capital expenditures. Our capital expenditures are comprised of equipment and facilities infrastructure and information technology (inclusive of costs for the development or purchase of internal-use software that are capitalized). We use free cash flow to evaluate our business performance and overall liquidity, and is a performance goal in our annual and long-term incentive plans. We believe free cash flow is a useful measure for investors because it represents the amount of cash generated from operations after reinvesting in the business and that may be available to return to stockholders and creditors (through dividends, stock repurchases and debt repayments) or available to fund acquisitions and other investments. The entire amount of free cash flow is not necessarily available for discretionary expenditures, however, because it does not account for certain mandatory expenditures, such as the repayment of maturing debt and future pension contributions. While management believes that free cash flow as a non-GAAP financial measure may be useful in evaluating our financial performance, it should be considered supplemental to, and not a substitute for, financial information prepared in accordance with GAAP and may not be comparable to similarly titled measures used by other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cash provided by operating activities to free cash flow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operations</w:t>
            </w:r>
          </w:p>
        </w:tc>
        <w:tc>
          <w:tcPr>
            <w:tcW w:w="2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8,557</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6,972</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7,920</w:t>
            </w:r>
          </w:p>
        </w:tc>
      </w:tr>
      <w:tr>
        <w:trPr>
          <w:trHeight w:val="229"/>
        </w:trPr>
        <w:tc>
          <w:tcPr>
            <w:tcW w:w="4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9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(1,649)</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(1,685)</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(1,691)</w:t>
            </w:r>
          </w:p>
        </w:tc>
      </w:tr>
      <w:tr>
        <w:trPr>
          <w:trHeight w:val="230"/>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6,908</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5,287</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6,229</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increased $1.6 billion in 2025 compared to 2024, primarily due to the increase in cash provided by operating activities described above.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related to investing activities primarily include capital expenditures and payments for acquisitions and divestitures of businesses and investments. The majority of our capital expenditures are for equipment and facilities infrastructure that generally are incurred to support new and existing programs across all of our business segments. We also incur capital expenditures for information technology to support programs and general enterprise information technology infrastructure, inclusive of costs for the development or purchase of internal-use software.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increased $185 million in 2025 compared to 2024, primarily due to a $360 million cash payment for the acquisition of Rapid Solutions.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for financing activities increased $803 million in 2025 compared to 2024. During 2025, we received net proceeds of $2.0 billion, compared to $3.0 billion in 2024, from issuance of senior unsecured notes. Additionally, we repaid $642 million in 2025, compared to $168 million in 2024, of long-term notes with fixed interest rates according to their scheduled maturities. During 2025, we paid $3.0 billion to repurchase 6.6 million shares of our common stock, compared to $3.7 billion to repurchase 7.5 million shares of our common stock in 2024. See “Note 12 – Stockholders’ Equity” and “Note 10 – Debt” included in our Notes to Consolidated Financial Statements for additional information regarding dividend payments, share repurchases and debt issuances.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Resources and Other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we held cash and cash equivalents of $4.1 billion that were generally available to fund ordinary business operations without significant legal, regulatory, or other restrictions.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outstanding short-term and long-term debt, net of unamortized discounts and issuance costs, was $21.7 billion as of December 31, 2025 and is in the form of publicly issued notes that bear interest at fixed rates. As of December 31, 2025, we were in compliance with all covenants contained in our debt and credit agreements. See “Note 10 – Debt</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included in our Notes to Consolidated Financial Statements for more information on our long-term debt and revolving credit facilities.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we had contractual commitments to repay debt, make payments under operating leases, settle obligations related to agreements to purchase goods and services and settle tax and other liabilities. Financing lease obligations were not material. Payments due under these obligations and commitments are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Due Within</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31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17,401</w:t>
            </w:r>
          </w:p>
        </w:tc>
        <w:tc>
          <w:tcPr>
            <w:tcW w:w="2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2,123</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1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w:t>
            </w:r>
          </w:p>
        </w:tc>
        <w:tc>
          <w:tcPr>
            <w:tcW w:w="2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3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1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82,813</w:t>
            </w:r>
          </w:p>
        </w:tc>
        <w:tc>
          <w:tcPr>
            <w:tcW w:w="2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38,761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127,473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42,191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table above includes debt presented gross of any unamortized discounts and issuance costs, but excludes the net unfunded obligation and estimated minimum funding requirements related to our qualified defined benefit pension plans. For additional information about obligations and our future minimum contribution requirements for these plans, see “Note 11 – Retirement Benefits” included in our Notes to Consolidated Financial Statements. Amounts related to other liabilities represent the contractual obligations for certain long-term liabilities recorded as of December 31, 2025. Such amounts mainly include expected payments under non-qualified pension plans, environmental liabilities and deferred compensation plans.</w:t>
      </w:r>
    </w:p>
    <w:p>
      <w:pPr>
        <w:spacing w:after="0" w:line="1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Purchase obligations related to operating activities include agreements and contracts that give the supplier recourse to us for cancellation or nonperformance under the contract or contain terms that would subject us to liquidated damages. Such agreements and contracts may, for example, be related to direct materials, obligations to subcontractors and outsourcing arrangements. Total purchase obligations for operating activities in the preceding table include approximately $75.5 billion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related to contractual commitments entered into as a result of contracts we have with our U.S. Government customers. The U.S. Government generally would be required to pay us for any costs we incur relative to these commitments if they were to terminate the related contracts “for convenience” under the FAR, subject to available funding. This also would be true in cases where we perform subcontract work for a prime contractor under a U.S. Government contract. The termination for convenience language also may be included in contracts with foreign, state and local governments. We also have contracts with customers that do not include termination for convenience provisions, including contracts with DCS customers.</w:t>
      </w:r>
    </w:p>
    <w:p>
      <w:pPr>
        <w:spacing w:after="0" w:line="1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majority of our capital expenditures for 2025 and those planned for 2026 are for equipment, facilities infrastructure and information technology. The amounts above in the table represent the portion of expected capital expenditures to be incurred in 2026 and beyond that have been obligated under contracts as of December 31, 2025 and not necessarily total capital expenditures for future periods. Expenditures for equipment and facilities infrastructure are generally incurred to support new and existing programs across all of our business segments. For example, we have projects underway at Aeronautics to support classified development programs and at RMS to support our Sikorsky helicopter programs; and we have projects underway to modernize certain of our facilities. We also incur capital expenditures for information technology to support programs and general enterprise information technology infrastructure, inclusive of costs for the development or purchase of internal-use software.</w:t>
      </w:r>
    </w:p>
    <w:p>
      <w:pPr>
        <w:spacing w:after="0" w:line="148"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also may enter into industrial cooperation agreements, sometimes referred to as offset agreements, as a condition to obtaining orders for our products and services from certain customers in foreign countries. These agreements are designed to enhance the social and economic environment of the foreign country by requiring the contractor to promote investment in the country. Offset agreements may be satisfied through activities that do not require us to use cash, including transferring technology, providing manufacturing and other consulting support to in-country projects and the purchase by third parties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vendors) of supplies from in-country vendors. These agreements also may be satisfied through our use of cash for such activities as purchasing supplies from in-country vendors, providing financial support for in-country projects, establishment of joint ventures with local companies and building or leasing facilities for in-country operations. We typically do not commit to offset agreements until orders for our products or services are definitive. The amounts ultimately applied against our offset agreements are based on negotiations with the customer and typically require cash outlays that represent only a fraction of the original amount in the offset agreement. Satisfaction of our offset obligations are included in the estimates of our total costs to complete the contract and may impact our sales, profitability and cash flows. Our ability to recover investments on our consolidated balance sheet that we make to satisfy offset obligations is generally dependent upon the successful operation of ventures that we do not control and may involve products and services that are dissimilar to our business activities. At December 31, 2025, the notional value of remaining obligations under our outstanding offset agreements totaled approximately $19.9 billion, which primarily relate to our Aeronautics, MFC and RMS business segments, most of which extend through 2044. To the extent we have entered into purchase or other obligations at December 31, 2025 that also satisfy offset agreements, those amounts are included in the contractual commitments table above. Offset programs usually extend over several years and may provide for penalties, estimated at approximately $2.2 billion at December 31, 2025, in the event we fail to perform in accordance with offset requirements. While historically we have not been required to pay material penalties, resolution of offset requirements are often the result of negotiations and subjective judgments.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In some cases, we may guarantee the contractual performance of third parties such as joint venture partners. At December 31, 2025, we had the following outstanding letters of credit, surety bonds and third-party guarantees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Less Than</w:t>
            </w:r>
          </w:p>
        </w:tc>
      </w:tr>
      <w:tr>
        <w:trPr>
          <w:trHeight w:val="241"/>
        </w:trPr>
        <w:tc>
          <w:tcPr>
            <w:tcW w:w="50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 Year</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Standby letters of credit </w:t>
            </w:r>
            <w:r>
              <w:rPr>
                <w:rFonts w:ascii="Times New Roman" w:cs="Times New Roman" w:eastAsia="Times New Roman" w:hAnsi="Times New Roman"/>
                <w:sz w:val="10"/>
                <w:szCs w:val="10"/>
                <w:color w:val="auto"/>
              </w:rPr>
              <w:t>(a)</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1,254</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 bonds</w:t>
            </w:r>
          </w:p>
        </w:tc>
        <w:tc>
          <w:tcPr>
            <w:tcW w:w="32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482</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Guarantees</w:t>
            </w:r>
          </w:p>
        </w:tc>
        <w:tc>
          <w:tcPr>
            <w:tcW w:w="3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commitments</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3,687</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1,756</w:t>
            </w:r>
          </w:p>
        </w:tc>
      </w:tr>
    </w:tbl>
    <w:p>
      <w:pPr>
        <w:spacing w:after="0" w:line="135" w:lineRule="exact"/>
        <w:rPr>
          <w:sz w:val="20"/>
          <w:szCs w:val="20"/>
          <w:color w:val="auto"/>
        </w:rPr>
      </w:pPr>
    </w:p>
    <w:p>
      <w:pPr>
        <w:ind w:left="340" w:right="20" w:hanging="332"/>
        <w:spacing w:after="0" w:line="225" w:lineRule="auto"/>
        <w:tabs>
          <w:tab w:leader="none" w:pos="33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Approximately $1.0 billion of standby letters of credit in the “Less Than 1 Year” category are expected to renew for additional periods until completion of the contractual obligation.</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third-party guarantees totaled $150 million, of which approximately 87.9% related to guarantees of contractual performance of joint ventures to which we currently are or previously were a party. These amounts represent our estimate of the maximum amounts we would expect to incur upon the contractual non-performance of the joint venture, joint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venture partners or divested businesses. Generally, we also have cross-indemnities in place that may enable us to recover amounts that may be paid on behalf of a joint venture partner.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December 31, 2025 and 2024, there were no material amounts recorded in our financial statements related to third-party guarantees or novation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U.S.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 Organization and Significant Accounting Policies” included in our Notes to Consolidated Financial Statements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Accounting / Sales Recognition</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majority of our sales are generated from long-term contracts with the U.S. Government and international customers (including FMS contracted through the U.S. Government) for the research, design, development, manufacture, integration and sustainment of advanced technology systems, products and services. We recognize revenue as performance obligations are satisfied and the customer obtains control of the products and services. Substantially all of our revenue is recognized over time as we perform under the contract because control of the work in process transfers continuously to the customer. For performance obligations in which control transfers continuously to the customer, revenue is recognized based on the extent of progress towards completion of the performance obligation, generally using the percentage of completion cost-to-cost measure of progress.</w:t>
      </w:r>
    </w:p>
    <w:p>
      <w:pPr>
        <w:spacing w:after="0" w:line="14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Significant estimates and assumptions are made in estimating contract sales, costs, and profit. We estimate profit as the difference between estimated sales and total estimated costs to complete the contract. We also estimate variable consideration at the most likely amount, which is included in the transaction price to the extent it is probable that a significant reversal of cumulative revenue recognized will not occur. All of the estimates require significant judgment and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evident, which we refer to as a reach-forward loss.</w:t>
      </w:r>
    </w:p>
    <w:p>
      <w:pPr>
        <w:spacing w:after="0" w:line="1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Comparability of our segment sales, operating profit and operating margin may be impacted favorably or unfavorably by changes in profit booking rates on our contracts. Segment operating profit and margin may also be impacted favorably or unfavorably by other items, which may or may not impact sales. Favorable items may include the positive resolution of contractual matters, cost recoveries on severance and restructuring, insurance recoveries and gains on sales of assets. Unfavorable items may include the adverse resolution of contractual matters, supply chain disruptions, restructuring charges (except for significant severance actions, which are excluded from segment operating results), reserves for disputes, certain asset impairments, and losses on sales of certain assets.</w:t>
      </w:r>
    </w:p>
    <w:p>
      <w:pPr>
        <w:spacing w:after="0" w:line="14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impacts of changes in estimates and assumptions on our consolidated financial statements, see “Note 1 – Organization and Significant Accounting Policies” included in our 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 Accounting Considerations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majority of our sales are driven by pricing based on costs incurred to produce products or perform services under contracts with the U.S. Government. Cost-based pricing is determined under the FAR. The FAR provides guidance on the types of costs that are allowable in establishing prices for goods and services under U.S. Government contracts. For example, costs such as those related to charitable contributions, interest expense and certain advertising and public relations activities are unallowable and, therefore, not recoverable through sales. In addition, we may enter into agreements with the U.S. Government that address the subjects of allowability and allocability of costs to contracts for specific matters. For example, most of the environmental costs we incur for environmental remediation related to sites operated in prior years are allocated to our current operations as general and administrative costs under FAR provisions and a supporting settlement agreement reached with the U.S. Government.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closely monitor compliance with and the consistent application of our critical accounting policies related to contract accounting. Costs incurred and allocated to contracts are reviewed for compliance with U.S. Government regulations by our personnel and are subject to audit by the Defense Contract Audit Agency.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Qualified Defined Benefit Pension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and retirees participate in qualified defined benefit pension plans (reference “Note 11 – Retirement Benefits” included in our Notes to Consolidated Financial Statements) representing the majority of our accrued retirement benefit obligations. We recognize on a plan-by-plan basis the net funded status of these plans under GAAP as either an asset or a liability on our consolidated balance sheets. The GAAP funded status represents the difference between the fair value of each plan’s assets and the benefit obligation of the plan. The GAAP benefit obligation represents the present value of the estimated future benefits we currently expect to pay to plan participants based on past service. The defined benefit pension plans for salaried employees are fully frozen effective January 1, 2020.</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we executed buy-out conversions of group annuity contracts previously purchased using assets from certain of our qualified defined benefit pension plans transferring the related pension obligations of $943 million and requiring recognition of a noncash, non-operating pretax settlement charge in earnings of $479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take actions to reduce the size of our defined benefit pension plans and expect to continue to look for opportunities to manage our pension liabilities through the purchase of group annuity contracts or other actions in future years. Future transactions could result in a noncash settlement charge to earnings, which could be material to a reporting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these actions, the impact of these plans on our earnings may be volatile in that the amount of expense we record and the funded status may materially change from year to year because the calculations are sensitive to changes in several key economic assumptions, including interest rates, actual rates of return on plan assets and other actuarial assumptions including participant longevity, as well as the timing of cash funding.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Actuarial Assumptions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benefit obligations and assets are measured at the end of each year, or more frequently, upon the occurrence of certain events such as a significant plan amendment (including in connection with a pension transaction), settlement, or curtailment. The amounts we record are measured using actuarial valuations, which are dependent upon key assumptions such as discount rates, the expected long-term rate of return on plan assets, and participant longevity. The assumptions we make affect both the calculation of the benefit obligations as of the measurement date and the calculation of FAS expense in subsequent periods. When reassessing these assumptions, we consider past and current market conditions and make judgments about future market trends. We also consider factors such as the timing and amounts of expected contributions to the plans and benefit payments to plan participants.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use a single weighted average discount rate approach when calculating our consolidated pension benefit obligations resulting in 5.375% at December 31, 2025, compared to 5.625% at December 31, 2024. We evaluate several data points in order to arrive at an appropriate discount rate assumption, including results from cash flow models, quoted rates from long-term bond indices and changes in long-term bond rates over the past year. As part of our evaluation, we calculate the approximate average yields on corporate bonds rated AA or better selected to match our projected plan cash flows.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utilized an expected long-term rate of return on plan assets of 6.50% at both December 31, 2025 and December 31, 2024. The long-term rate of return assumption represents the expected long-term rate of return on the funds invested or to be invested, to provide for the benefits included in the benefit obligations. This assumption is based on several factors including historical market index returns, the anticipated long-term allocation of plan assets, the historical return data for the trust funds, plan expenses and the potential to outperform market index returns. The difference between the expected and actual return affects both the funded status and the calculation of subsequent period FAS pension expense, where a market-related value of plan assets is determined using asset gains or losses over the prior three-year period. Although the actual return in any specific year likely will differ from the assumption, the average expected return over a long-term future horizon should be approximately equal to the assumption. Any variance in a particular year should not, by itself, suggest that the assumption should be changed. Patterns of variances are reviewed over time, and then combined with expectations for the future. As a result, changes in this assumption are less frequent than changes in the discount rate.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Cumulative net gains and losses are amortized to expense using the corridor method, where they are recognized to the extent they exceed 10% of the greater of market-related value of plan assets or projected benefit obligations, over an average period of approximately twenty years.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discount rate and long-term rate of return on plan assets assumptions we select at the end of each year are based on our best estimates and judgment. A change of plus or minus 25 basis points in the 5.375% discount rate assumption at December 31, 2025, with all other assumptions held constant, would have decreased or increased the amount of the benefit obligation we recorded at the end of 2025 by approximately $700 million, which would result in an after-tax increase or decrease in stockholders’ equity at the end of the year of approximately $550 million. If the 5.375% discount rate at December 31, 2025 that was used to compute the expected 2026 FAS pension expense had been 25 basis points higher or lower, with all other assumptions held constant, the amount of FAS pension expense projected for 2026 would be lower or higher by approximately $10 million. If the 6.50% expected long-term rate of return on plan assets assumption at December 31, 2025 that was used to compute the expected 2026 FAS pension expense had been 25 basis points higher or lower, with all other assumptions held constant, the amount of FAS pension expense projected for 2026 would be lower or higher by approximately $55 million. Each year, differences between the actual and expected long-term rate of return on plan assets impacts the measurement of the following year’s FAS pension expense. Every 100 basis points increase (decrease) in return during 2025 between our actual rate of return of approximately 10.5% and our expected long-term rate of return decreased (increased) expected 2026 FAS pension expense by approximately $10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Considerations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made cash contributions to our qualified defined benefit pension plans of $860 million in 2025, and $990 million in 2024. Funding of our plans is determined in accordance with the Employee Retirement Income Security Act of 1974 (ERISA), as amended, and in a manner consistent with CAS and Internal Revenue Code rules. The funded status under ERISA is calculated on a different basis than under GAAP. Our goal has been to fund each of our plans to a level of at least 80% as determined in accordance with ERISA; which may require the use of different assumptions, such as the discount rate and longevity, than used under GAAP. All of our qualified defined benefit pension plans had an ERISA funded status of at least 80% as of both December 31, 2025 and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Contributions to our defined benefit pension plans are recovered over time through the pricing of our products and services on U.S. Government contracts, including FMS, and are recognized in our operating costs and expenses and sales. CAS rules govern the extent to which our pension costs are allocable to and recoverable under contracts with the U.S. Government, including FMS. Pension cost recoveries under CAS can occur in different periods from when pension contributions are made.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recovered $1.6 billion in 2025 and $1.7 billion in 2024 as CAS pension costs. Amounts contributed in excess of the CAS pension costs recovered under U.S. Government contracts are considered to be prepayment credits under the CAS rules. Our prepayment credits were approximately $1.9 billion and $2.2 billion at December 31, 2025 and 2024. The prepayment credit balance will increase or decrease based on our actual investment return on plan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and liabilities of acquired businesses are recorded under the acquisition method of accounting at their estimated fair values at the date of acquisition. Goodwill represents costs in excess of fair values assigned to the underlying identifiable net assets of acquired businesses.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goodwill balance was $11.3 billion and $11.1 billion at December 31, 2025 and 2024. We perform an impairment test of our goodwill at least annually in the fourth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U.S. Government budget restrictions or the disposal of all or a portion of a reporting unit. 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use both qualitative and quantitative approaches when testing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Otherwise, we perform a quantitative impairment test. We perform quantitative tests for most reporting units at least once every three years. However, for certain reporting units we may perform a quantitative impairment test every year.</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 Determining fair value requires the exercise of significant judgments, including the amount and timing of expected future cash flows, long-term growth rates, discount rates and relevant comparable public company earnings multiples and relevant transaction multiples. The cash flows employed in the DCF analysis are based on our best estimate of future sales, earnings and cash flows after considering factors such as general market conditions, U.S. Government budgets, existing firm orders, expected future orders, contracts with suppliers, labor agreements, changes in working capital, long term business plans and recent operating performance. The discount rates utilized in the DCF analysis are based on the respective reporting unit’s weighted average cost of capital, which takes into account the relative weights of each component of capital structure (equity and debt) and represents the expected cost of new capital, adjusted as appropriate to consider the risk inherent in future cash flows of the respective reporting unit. The carrying value of each reporting unit includes the assets and liabilities employed in its operations, goodwill and allocations of amounts held at the business segment and corporate levels.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 In the fourth quarter of 2025, we performed our annual goodwill impairment test for each of our reporting units and the results of those tests indicated no impairment existed.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 Organization and Significant Accounting Policies” included in our Notes to Consolidated Financial Statements (under the caption “Recent Accounting Pronouncements”).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active relationships with a broad and diverse group of U.S. and international financial institutions. We believe that they provide us with sufficient access to the general and trade credit we require to conduct our business. We closely monitor the financial market environment and actively manage counterparty exposure to minimize the potential impact from adverse developments with any single credit provider while ensuring availability of, and access to, sufficient credit resources.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main exposures to market risk relate to interest rates, foreign currency exchange rates and market prices on certain equity securities. Our financial instruments that are subject to interest rate risk principally include fixed-rate long-term debt and commercial paper, if issued. The estimated fair value of our outstanding debt was $22.0 billion at December 31, 2025 and the outstanding principal amount of debt, including short-term and long-term debt, was $22.9 billion, excluding unamortized discounts and issuance costs of $1.2 billion. A 10% change in the level of interest rates would not have a material impact on the fair value of our outstanding debt at December 31, 2025.</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derivative instruments principally to reduce our exposure to market risks from changes in foreign currency exchange rates and interest rates. We transact business globally and are subject to risks associated with changing foreign currency exchange rates. We do not enter into or hold derivative instruments for speculative trading purposes. These contracts hedge forecasted foreign currency transactions in order to minimize fluctuations in our earnings and cash flows associated with changes in foreign currency exchange rates. We designate foreign currency hedges as cash flow hedges.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 The aggregate notional amount of our outstanding interest rate swaps was $1.3 billion at both December 31, 2025 and 2024. The aggregate notional amount of our outstanding foreign currency hedges at December 31, 2025 and 2024 was $7.2 billion and $7.5 billion. At December 31, 2025 and 2024, the net fair value of our derivative instruments was not material (see “Note 15 – Fair Value Measurements” included in our Notes to Consolidated Financial Statements). A 10% unfavorable exchange rate movement of our foreign currency contracts would not have a material impact on the aggregate net fair value of such contracts or our consolidated financial statements. Additionally, as we enter into foreign currency contracts to hedge foreign currency exposure on underlying transactions, we believe that any movement on our foreign currency contracts would be offset by movement on the underlying transactions and, therefore, when taken together do not create material risk.</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the credit quality of potential counterparties to derivative transactions and only enter into agreements with those deemed to have acceptable credit risk at the time the agreements are executed. Our foreign currency exchange hedge portfolio is diversified across many banks. We regularly monitor changes to counterparty credit quality as well as our concentration of credit exposure to individual counterparties.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separate trust that includes investments to fund certain of our non-qualified deferred compensation plans. As of December 31, 2025, investments in the trust totaled $2.0 billion and are reflected at fair value on our consolidated balance sheet in other noncurrent assets. The trust holds investments in marketable equity securities and fixed-income securities that are exposed to price changes and changes in interest rates. A portion of the liabilities associated with the deferred compensation plans supported by the trust is also impacted by changes in the market price of our common stock and certain market indices. Changes in the value of the liabilities have the effect of partially offsetting the impact of changes in the value of the trust. Both the change in the fair value of the trust and the change in the value of the liabilities are recognized on our consolidated statements of earnings in other unallocated, net and were not material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Lockheed Martin Corporation (the Corporation) as of December 31, 2025 and 2024, the related consolidated statements of earnings, comprehensive income, cash flows and equity for each of the three years in the period ended December 31, 2025, and the related notes (collectively referred to as the “consolidated financial statements”). In our opinion, the consolidated financial statements present fairly, in all material respects, the financial position of the Corporation at December 31, 2025 and 2024, and the results of its operations and its cash flows for each of the three years in the period ended December 31, 2025, in conformity with U.S. generally accepted accounting principles.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Corporation’s internal control over financial reporting as of December 31, 2025, based on criteria established in Internal Control - Integrated Framework issued by the Committee of Sponsoring Organizations of the Treadway Commission (2013 framework) and our report dated January 29, 2026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Corporation’s management. Our responsibility is to express an opinion on the Corporation’s financial statements based on our audits.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i w:val="1"/>
          <w:iCs w:val="1"/>
          <w:color w:val="auto"/>
        </w:rPr>
        <w:t>Cost Estimates for Select Fixed Price Contracts</w:t>
      </w:r>
    </w:p>
    <w:p>
      <w:pPr>
        <w:spacing w:after="0" w:line="146"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more fully described in Note 1 to the consolidated financial statements, the Corporation generates the majority of its sales</w:t>
      </w:r>
    </w:p>
    <w:p>
      <w:pPr>
        <w:ind w:left="40"/>
        <w:spacing w:after="0"/>
        <w:tabs>
          <w:tab w:leader="none" w:pos="186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from long-term customer contracts whereby substantially all of the Corporation’s revenue is recognized over time using the</w:t>
      </w:r>
    </w:p>
    <w:p>
      <w:pPr>
        <w:jc w:val="right"/>
        <w:spacing w:after="0" w:line="219" w:lineRule="auto"/>
        <w:rPr>
          <w:sz w:val="20"/>
          <w:szCs w:val="20"/>
          <w:color w:val="auto"/>
        </w:rPr>
      </w:pPr>
      <w:r>
        <w:rPr>
          <w:rFonts w:ascii="Times New Roman" w:cs="Times New Roman" w:eastAsia="Times New Roman" w:hAnsi="Times New Roman"/>
          <w:sz w:val="18"/>
          <w:szCs w:val="18"/>
          <w:color w:val="auto"/>
        </w:rPr>
        <w:t>percentage-of-completion  cost-to-cost  measure  of  progress.  The  percentage-of-completion  cost-to-cost  method  requires</w:t>
      </w:r>
    </w:p>
    <w:p>
      <w:pPr>
        <w:ind w:left="1880"/>
        <w:spacing w:after="0" w:line="219" w:lineRule="auto"/>
        <w:rPr>
          <w:sz w:val="20"/>
          <w:szCs w:val="20"/>
          <w:color w:val="auto"/>
        </w:rPr>
      </w:pPr>
      <w:r>
        <w:rPr>
          <w:rFonts w:ascii="Times New Roman" w:cs="Times New Roman" w:eastAsia="Times New Roman" w:hAnsi="Times New Roman"/>
          <w:sz w:val="18"/>
          <w:szCs w:val="18"/>
          <w:color w:val="auto"/>
        </w:rPr>
        <w:t>management to make significant estimates and assumptions at the outset and throughout the contract to estimate total costs at</w:t>
      </w:r>
    </w:p>
    <w:p>
      <w:pPr>
        <w:ind w:left="1880"/>
        <w:spacing w:after="0" w:line="235" w:lineRule="auto"/>
        <w:rPr>
          <w:sz w:val="20"/>
          <w:szCs w:val="20"/>
          <w:color w:val="auto"/>
        </w:rPr>
      </w:pPr>
      <w:r>
        <w:rPr>
          <w:rFonts w:ascii="Times New Roman" w:cs="Times New Roman" w:eastAsia="Times New Roman" w:hAnsi="Times New Roman"/>
          <w:sz w:val="18"/>
          <w:szCs w:val="18"/>
          <w:color w:val="auto"/>
        </w:rPr>
        <w:t>completion. There are risks to the achievement of the technical, schedule and cost aspects of the Corporation’s contracts, and the</w:t>
      </w:r>
    </w:p>
    <w:p>
      <w:pPr>
        <w:ind w:left="1880"/>
        <w:spacing w:after="0" w:line="233" w:lineRule="auto"/>
        <w:rPr>
          <w:sz w:val="20"/>
          <w:szCs w:val="20"/>
          <w:color w:val="auto"/>
        </w:rPr>
      </w:pPr>
      <w:r>
        <w:rPr>
          <w:rFonts w:ascii="Times New Roman" w:cs="Times New Roman" w:eastAsia="Times New Roman" w:hAnsi="Times New Roman"/>
          <w:sz w:val="18"/>
          <w:szCs w:val="18"/>
          <w:color w:val="auto"/>
        </w:rPr>
        <w:t>assessment of the effects of those risks on the estimates of total costs to complete for select fixed price contracts is highly subjective.</w:t>
      </w:r>
    </w:p>
    <w:p>
      <w:pPr>
        <w:spacing w:after="0" w:line="19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Auditing the Corporation's measurement of the estimated costs to complete on certain contracts involved especially challenging</w:t>
      </w:r>
    </w:p>
    <w:p>
      <w:pPr>
        <w:spacing w:after="0" w:line="2" w:lineRule="exact"/>
        <w:rPr>
          <w:sz w:val="20"/>
          <w:szCs w:val="20"/>
          <w:color w:val="auto"/>
        </w:rPr>
      </w:pPr>
    </w:p>
    <w:p>
      <w:pPr>
        <w:jc w:val="both"/>
        <w:ind w:left="1880"/>
        <w:spacing w:after="0" w:line="218" w:lineRule="auto"/>
        <w:rPr>
          <w:sz w:val="20"/>
          <w:szCs w:val="20"/>
          <w:color w:val="auto"/>
        </w:rPr>
      </w:pPr>
      <w:r>
        <w:rPr>
          <w:rFonts w:ascii="Times New Roman" w:cs="Times New Roman" w:eastAsia="Times New Roman" w:hAnsi="Times New Roman"/>
          <w:sz w:val="18"/>
          <w:szCs w:val="18"/>
          <w:color w:val="auto"/>
        </w:rPr>
        <w:t>judgment due to the complexity of the technical, schedule and cost aspects of the program and the classified nature of the contracts. These assumptions require a high degree of auditor judgment when performing audit procedures and evaluating the results of those procedures.</w:t>
      </w:r>
    </w:p>
    <w:p>
      <w:pPr>
        <w:sectPr>
          <w:pgSz w:w="11900" w:h="16838" w:orient="portrait"/>
          <w:cols w:equalWidth="0" w:num="1">
            <w:col w:w="11200"/>
          </w:cols>
          <w:pgMar w:left="320" w:top="121" w:right="379" w:bottom="1440" w:gutter="0" w:footer="0" w:header="0"/>
        </w:sect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How We Addressed</w:t>
      </w:r>
    </w:p>
    <w:p>
      <w:pPr>
        <w:ind w:left="40"/>
        <w:spacing w:after="0" w:line="221" w:lineRule="auto"/>
        <w:rPr>
          <w:sz w:val="20"/>
          <w:szCs w:val="20"/>
          <w:color w:val="auto"/>
        </w:rPr>
      </w:pPr>
      <w:r>
        <w:rPr>
          <w:rFonts w:ascii="Times New Roman" w:cs="Times New Roman" w:eastAsia="Times New Roman" w:hAnsi="Times New Roman"/>
          <w:sz w:val="18"/>
          <w:szCs w:val="18"/>
          <w:i w:val="1"/>
          <w:iCs w:val="1"/>
          <w:color w:val="auto"/>
        </w:rPr>
        <w:t>the Matter in Our</w:t>
      </w:r>
    </w:p>
    <w:p>
      <w:pPr>
        <w:ind w:left="4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relevant internal controls over the Corporation’s revenue recognition process. For example, we tested internal controls over management’s review of the estimates used to recognize revenue and determine the loss position on certain contracts as well as the significant assumptions underlying the estimated total costs to complete. We also tested internal controls that management executes which are designed to validate the data in the estimates used to recognize revenue was complete and accurate.</w:t>
      </w:r>
    </w:p>
    <w:p>
      <w:pPr>
        <w:spacing w:after="0" w:line="21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To test the accuracy of the Corporation’s estimates to recognize revenue and determine the loss position for certain contracts, our audit procedures included, among others, evaluating the appropriateness and consistency of management’s methods used in developing its cost estimates, and inspecting and evaluating customer correspondence for consistency with management’s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estimates. We assessed the timeline of key events and knowledge points that led to changes in these cost estimates and observed the project work site to evaluate tangible or physical progress of the project against assumptions used by management in developing its cost and schedule estimates. Additionally, we inquired of those directly involved with the program to evaluate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project status and challenges which may affect total estimated costs. Further, we performed sensitivity analyses over these significant assumptions to evaluate the change in total cost estimates resulting from changes in the assumptions.</w:t>
      </w:r>
    </w:p>
    <w:p>
      <w:pPr>
        <w:spacing w:after="0" w:line="200" w:lineRule="exact"/>
        <w:rPr>
          <w:sz w:val="20"/>
          <w:szCs w:val="20"/>
          <w:color w:val="auto"/>
        </w:rPr>
      </w:pPr>
    </w:p>
    <w:p>
      <w:pPr>
        <w:sectPr>
          <w:pgSz w:w="11900" w:h="16838" w:orient="portrait"/>
          <w:cols w:equalWidth="0" w:num="2">
            <w:col w:w="1420" w:space="460"/>
            <w:col w:w="9320"/>
          </w:cols>
          <w:pgMar w:left="320" w:top="121" w:right="37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Corporation’s auditor since 1994.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4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Earnings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4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62,654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59,277</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56,265</w:t>
            </w:r>
          </w:p>
        </w:tc>
      </w:tr>
      <w:tr>
        <w:trPr>
          <w:trHeight w:val="230"/>
        </w:trPr>
        <w:tc>
          <w:tcPr>
            <w:tcW w:w="37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4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12,394</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11,766</w:t>
            </w: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r>
      <w:tr>
        <w:trPr>
          <w:trHeight w:val="223"/>
        </w:trPr>
        <w:tc>
          <w:tcPr>
            <w:tcW w:w="37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75,048</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71,043</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67,571</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(57,020)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(54,852)</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(50,206)</w:t>
            </w:r>
          </w:p>
        </w:tc>
      </w:tr>
      <w:tr>
        <w:trPr>
          <w:trHeight w:val="230"/>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r>
      <w:tr>
        <w:trPr>
          <w:trHeight w:val="22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37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unallocated, net</w:t>
            </w:r>
          </w:p>
        </w:tc>
        <w:tc>
          <w:tcPr>
            <w:tcW w:w="4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996</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1,043</w:t>
            </w: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3"/>
        </w:trPr>
        <w:tc>
          <w:tcPr>
            <w:tcW w:w="37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(67,429)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(64,113)</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(59,092)</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7,619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6,930</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w:t>
            </w:r>
          </w:p>
        </w:tc>
      </w:tr>
      <w:tr>
        <w:trPr>
          <w:trHeight w:val="230"/>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7,731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7,013</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FAS pension (expense) income</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6,220</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30"/>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23"/>
        </w:trPr>
        <w:tc>
          <w:tcPr>
            <w:tcW w:w="37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4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5,017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r>
      <w:tr>
        <w:trPr>
          <w:trHeight w:val="223"/>
        </w:trPr>
        <w:tc>
          <w:tcPr>
            <w:tcW w:w="1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22.39</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22.31</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5,017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5,336</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Retirement benefits</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actuarial gain (loss) recognized due to plan remeasurements, net of tax of $28 million in 2025,</w:t>
            </w:r>
          </w:p>
        </w:tc>
        <w:tc>
          <w:tcPr>
            <w:tcW w:w="36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$96 million in 2024 and $181 million in 2023</w:t>
            </w:r>
          </w:p>
        </w:tc>
        <w:tc>
          <w:tcPr>
            <w:tcW w:w="3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340</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75"/>
        </w:trPr>
        <w:tc>
          <w:tcPr>
            <w:tcW w:w="76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Amortization of actuarial losses and prior service credits, net of tax of $69 million in 2025, $21</w:t>
            </w:r>
          </w:p>
        </w:tc>
        <w:tc>
          <w:tcPr>
            <w:tcW w:w="3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w:t>
            </w: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million in 2024 and $40 million in 2023</w:t>
            </w:r>
          </w:p>
        </w:tc>
        <w:tc>
          <w:tcPr>
            <w:tcW w:w="36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Pension settlement charge, net of tax of $102 million</w:t>
            </w:r>
          </w:p>
        </w:tc>
        <w:tc>
          <w:tcPr>
            <w:tcW w:w="3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w:t>
            </w:r>
          </w:p>
        </w:tc>
        <w:tc>
          <w:tcPr>
            <w:tcW w:w="4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 of tax of $18 million in 2025, $4 million in 2024 and $6 million in 2023</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w:t>
            </w: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910</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351</w:t>
            </w: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5,687</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550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50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50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4,121</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29"/>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3,901</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29"/>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13,001</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w:t>
            </w:r>
          </w:p>
        </w:tc>
      </w:tr>
      <w:tr>
        <w:trPr>
          <w:trHeight w:val="230"/>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3,524</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29"/>
        </w:trPr>
        <w:tc>
          <w:tcPr>
            <w:tcW w:w="372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815</w:t>
            </w:r>
          </w:p>
        </w:tc>
        <w:tc>
          <w:tcPr>
            <w:tcW w:w="5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25,362</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r>
      <w:tr>
        <w:trPr>
          <w:trHeight w:val="22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8,875</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11,314</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w:t>
            </w:r>
          </w:p>
        </w:tc>
      </w:tr>
      <w:tr>
        <w:trPr>
          <w:trHeight w:val="22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1,887</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2,975</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2,417</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29"/>
        </w:trPr>
        <w:tc>
          <w:tcPr>
            <w:tcW w:w="3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7,010</w:t>
            </w: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w:t>
            </w:r>
          </w:p>
        </w:tc>
      </w:tr>
      <w:tr>
        <w:trPr>
          <w:trHeight w:val="223"/>
        </w:trPr>
        <w:tc>
          <w:tcPr>
            <w:tcW w:w="372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5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59,840</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55,617</w:t>
            </w:r>
          </w:p>
        </w:tc>
      </w:tr>
      <w:tr>
        <w:trPr>
          <w:trHeight w:val="22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3,630</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benefits and payroll taxes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3,184</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30"/>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11,440</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r>
      <w:tr>
        <w:trPr>
          <w:trHeight w:val="229"/>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1,168</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37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3,913</w:t>
            </w: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23"/>
        </w:trPr>
        <w:tc>
          <w:tcPr>
            <w:tcW w:w="3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23,335</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w:t>
            </w: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20,532</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w:t>
            </w: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liabilities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3,915</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r>
      <w:tr>
        <w:trPr>
          <w:trHeight w:val="229"/>
        </w:trPr>
        <w:tc>
          <w:tcPr>
            <w:tcW w:w="3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5,337</w:t>
            </w: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23"/>
        </w:trPr>
        <w:tc>
          <w:tcPr>
            <w:tcW w:w="3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53,119</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49,284</w:t>
            </w: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$1 par value per share</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229</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14,034</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r>
      <w:tr>
        <w:trPr>
          <w:trHeight w:val="229"/>
        </w:trPr>
        <w:tc>
          <w:tcPr>
            <w:tcW w:w="37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w:t>
            </w:r>
          </w:p>
        </w:tc>
      </w:tr>
      <w:tr>
        <w:trPr>
          <w:trHeight w:val="223"/>
        </w:trPr>
        <w:tc>
          <w:tcPr>
            <w:tcW w:w="372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6,721</w:t>
            </w:r>
          </w:p>
        </w:tc>
        <w:tc>
          <w:tcPr>
            <w:tcW w:w="5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30"/>
        </w:trPr>
        <w:tc>
          <w:tcPr>
            <w:tcW w:w="37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5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59,840</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5,017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5,336</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1,687</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1,559</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277</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Reach-forward losses on select programs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1,965</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Changes in:</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9"/>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30"/>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605</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7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768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8,557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6,972</w:t>
            </w: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30"/>
        </w:trPr>
        <w:tc>
          <w:tcPr>
            <w:tcW w:w="7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68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long-term debt, net of related costs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2,970</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30"/>
        </w:trPr>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76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w:t>
            </w:r>
          </w:p>
        </w:tc>
      </w:tr>
      <w:tr>
        <w:trPr>
          <w:trHeight w:val="223"/>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1,041</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30"/>
        </w:trPr>
        <w:tc>
          <w:tcPr>
            <w:tcW w:w="7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2,483</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1,442</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30"/>
        </w:trPr>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4,121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2,483</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Additional Paid-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vMerge w:val="restart"/>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700" w:type="dxa"/>
            <w:vAlign w:val="bottom"/>
            <w:vMerge w:val="restart"/>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78"/>
              <w:spacing w:after="0" w:line="176" w:lineRule="exact"/>
              <w:rPr>
                <w:sz w:val="20"/>
                <w:szCs w:val="20"/>
                <w:color w:val="auto"/>
              </w:rPr>
            </w:pPr>
            <w:r>
              <w:rPr>
                <w:rFonts w:ascii="Times New Roman" w:cs="Times New Roman" w:eastAsia="Times New Roman" w:hAnsi="Times New Roman"/>
                <w:sz w:val="18"/>
                <w:szCs w:val="18"/>
                <w:b w:val="1"/>
                <w:bCs w:val="1"/>
                <w:color w:val="auto"/>
              </w:rPr>
              <w:t>In</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color w:val="auto"/>
              </w:rPr>
              <w:t>(8,023)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color w:val="auto"/>
              </w:rPr>
              <w:t>(780)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8"/>
                <w:szCs w:val="18"/>
                <w:color w:val="auto"/>
              </w:rPr>
            </w:pP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(571)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($12.15 per share)</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Stock-based awards, ESOP activity and other</w:t>
            </w: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479</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color w:val="auto"/>
              </w:rPr>
              <w:t>(8,803)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color w:val="auto"/>
              </w:rPr>
              <w:t>351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8"/>
                <w:szCs w:val="18"/>
                <w:color w:val="auto"/>
              </w:rPr>
            </w:pP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(565)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($12.75 per share)</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Stock-based awards, ESOP activity and other</w:t>
            </w: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565</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color w:val="auto"/>
              </w:rPr>
              <w:t>(8,452)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0" w:type="dxa"/>
            <w:vAlign w:val="bottom"/>
          </w:tcPr>
          <w:p>
            <w:pPr>
              <w:spacing w:after="0"/>
              <w:rPr>
                <w:sz w:val="1"/>
                <w:szCs w:val="1"/>
                <w:color w:val="auto"/>
              </w:rPr>
            </w:pPr>
          </w:p>
        </w:tc>
      </w:tr>
      <w:tr>
        <w:trPr>
          <w:trHeight w:val="211"/>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5,017</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5,017</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910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w:t>
            </w:r>
          </w:p>
        </w:tc>
        <w:tc>
          <w:tcPr>
            <w:tcW w:w="0" w:type="dxa"/>
            <w:vAlign w:val="bottom"/>
          </w:tcPr>
          <w:p>
            <w:pPr>
              <w:spacing w:after="0"/>
              <w:rPr>
                <w:sz w:val="1"/>
                <w:szCs w:val="1"/>
                <w:color w:val="auto"/>
              </w:rPr>
            </w:pP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40" w:type="dxa"/>
            <w:vAlign w:val="bottom"/>
          </w:tcPr>
          <w:p>
            <w:pPr>
              <w:spacing w:after="0"/>
              <w:rPr>
                <w:sz w:val="18"/>
                <w:szCs w:val="18"/>
                <w:color w:val="auto"/>
              </w:rPr>
            </w:pP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(585)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(2,408)</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(3,000)</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($13.35 per share)</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(3,126)</w:t>
            </w: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Stock-based awards, ESOP activity and other</w:t>
            </w: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585</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587</w:t>
            </w:r>
          </w:p>
        </w:tc>
        <w:tc>
          <w:tcPr>
            <w:tcW w:w="0" w:type="dxa"/>
            <w:vAlign w:val="bottom"/>
          </w:tcPr>
          <w:p>
            <w:pPr>
              <w:spacing w:after="0"/>
              <w:rPr>
                <w:sz w:val="1"/>
                <w:szCs w:val="1"/>
                <w:color w:val="auto"/>
              </w:rPr>
            </w:pPr>
          </w:p>
        </w:tc>
      </w:tr>
      <w:tr>
        <w:trPr>
          <w:trHeight w:val="218"/>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(7,542)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6,721</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Significant Accounting Policies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 We are a global aerospace and defense technology company that builds and sustains the solutions America and its allies need to deter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and advance national security and scientific exploration objectives. Our four business areas – Aeronautics, Missiles and Fire Control (MFC), Rotary and Mission Systems (RMS), and Space – work as one company offering integrated solutions, at scale, across all warfighting domains. Our defense, space, intelligence, homeland security, information technology, and cybersecurity capabilities serve U.S. and international customers in defense, civil and commercial applications. Our principal customers are agencies of the U.S. Government and allies. See “Note 3 – Information on Business Segments” for more details on discussions of our business areas.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These consolidated financial statements include the accounts of subsidiaries we control and variable interest entities if we 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beneficiary. We eliminate intercompany balances and transactions in consolidation. We classify certain assets and liabilities as current utilizing the duration of the related contract or program as our operating cycle, which is generally longer than one year. This primarily impacts receivables, contract assets, inventories, and contract liabilities. We classify all other assets and liabilities based on whether the asset will be realized or the liability will be paid within one year. Additionally, certain prior year amounts in the consolidated statements of cash flows have been reclassified within operating activities to conform to the current year’s presentation. These reclassifications were not material and had no impact on total net cash provided by operating activities as previously reported.</w:t>
      </w:r>
    </w:p>
    <w:p>
      <w:pPr>
        <w:spacing w:after="0" w:line="1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second quarter of 2025, we paid $360 million, in cash, for the acquisition of Amentum’s Rapid Solutions business (Rapid Solutions). The acquisition of Rapid Solutions is expected to enhance our Space business segment′s capabilities, particularly in radar and payload technology, and support our customers′ evolving needs for domain awareness and real- time missions. The purchase price was allocated to the estimated fair value of net tangible and intangible assets acquired, with any excess purchase price recorded as goodwill. As a result, we recorded goodwill of $195 million at our Space business segment. The final determination of the fair values of certain assets and liabilities will be completed within the measurement period of up to one year from the acquisition date. Rapid Solutions operates within our Space business segment and the financial results of Rapid Solutions had been included within our operating results in the period post-acquisition.</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We prepare our consolidated financial statements in conformity with U.S. generally accepted accounting principles (GAAP). In doing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we are required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Estimates inherent in the preparation of our consolidated financial statements include, but are not limited to, accounting for sales and cost recognition; retirement benefits; environmental liabilities and assets for the portion of environmental costs that are probable of future recovery; evaluation of goodwill, intangible assets, investments and other assets for impairment; income taxes including deferred income taxes; fair value measurements; and contingencies.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majority of our sales are generated from long-term contracts with the U.S. Government and international customers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military sales (FMS) contracted through the U.S. Government) for the research, design, development, manufacture, integration and sustainment of advanced technology systems, products and services. 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international direct commercial sale contracts, we are required to obtain certain regulatory approvals. In these cases, we recognize revenue when it is probable that we will receive regulatory approvals based upon all known facts and circumstances. We provide our products and services under fixed-price and cost-reimbursable contracts.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fixed-price contracts, we agree to perform the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Cost-reimbursable contracts provide for the payment of allowable costs incurred during performance of the contract plus a fee up to a ceiling based on the amount that has been funded. Typically, we enter into three types of cost-reimbursable contracts: cost-plus-award-fee, cost-plus-incentive-fee, and cost-plus-fixed-fee. Cost-plus-award-fee contracts provide for 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award fee that varies within specified limits based on the customer’s assessment of our performance against a predetermined set of criteria, such as targets based on cost, quality, technical and schedule criteria. Cost-plus-incentive-fee contracts provide for reimbursement of costs plus a fee, which is adjusted by a formula based on the relationship of total allowable costs to total target costs (i.e., incentive based on cost) or reimbursement of costs plus an incentive to exceed stated performance targets (i.e., incentive based on performance). Cost-plus-fixed-fee contracts provide a fixed fee that is negotiated at the inception of the contract and does not vary with actual costs.</w:t>
      </w:r>
    </w:p>
    <w:p>
      <w:pPr>
        <w:spacing w:after="0" w:line="1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assess each contract at its inception to determine whether it should be combined with other contracts. When making this determination, we consider factors such as whether two or more contracts were negotiated and executed at or near the same time or were negotiated with an overall profit objective. If combined, we treat the combined contracts as a single contract for revenue recognition purposes.</w:t>
      </w:r>
    </w:p>
    <w:p>
      <w:pPr>
        <w:spacing w:after="0" w:line="13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evaluate the products or services promised in each contract at inception to determine whether the contract should be accounted for as having one or more performance obligations. The products and services in our contracts are typically not distinct from one another due to their complex relationships and the significant contract management functions required to perform under the contract. Accordingly, our contracts are typically accounted for as one performance obligation. In limited cases, our contracts have more than one distinct performance obligation, which occurs when we perform activities that are not highly complex or interrelated or involve different product lifecycles. Judgment is required in determining performance obligations, and these decisions could change the amount of revenue and profit recorded in a given period. We classify sales as products or services on our consolidated statements of earnings based on the predominant attributes of the performance obligations.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determine the transaction price for each contract based on the consideration we expect to receive for the products or services being provided under the contract. For contracts where a portion of the price may vary (e.g., awards, incentive fees and claims),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1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At the inception of a contract, we estimate the transaction price based on our current rights and do not contemplate future modifications (including unexercised options) or follow-on contracts until they become legally enforceable. Contracts are often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modifications to our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contracts with multiple performance obligations, we allocate the transaction price to each performance obligation based on the estimated standalone selling price of the product or service underlying each performance obligation. The standalone selling price represents the amount we would sell the product or service to a customer on a standalone basis (i.e., not bundled with any other products or services). Our contracts with the U.S. Government, including FMS contracts, are subject to the FAR and the price is typically based on estimated or actual costs plus a reasonable profit margin. As a result of these regulations, the standalone selling price of products or services in our contracts with the U.S. Government and FMS contracts are typically equal to the selling price stated in the contract.</w:t>
      </w:r>
    </w:p>
    <w:p>
      <w:pPr>
        <w:spacing w:after="0" w:line="14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non-U.S. government contracts with multiple performance obligations, we evaluate whether the stated selling prices for the products or services represent their standalone selling prices. We primarily sell customized solutions unique to a customer’s specifications. When it is necessary to allocate the transaction price to multiple performance obligations, we typically use the expected cost plus a reasonable profit margin to estimate the standalone selling price of each product or service. We occasionally sell standard products or services with observable standalone sales transactions. In these situations, the observable standalone sales transactions are used to determine the standalone selling price.</w:t>
      </w:r>
    </w:p>
    <w:p>
      <w:pPr>
        <w:spacing w:after="0" w:line="1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recognize revenue as performance obligations are satisfied and the customer obtains control of the products and services. In determining when performance obligations are satisfied, we consider factors such as contract terms, payment terms and whether there is an alternative future use of the product or service. Substantially all of our revenue is recognized over time as we perform under the contract because control of the work in process transfers continuously to the customer. For most contracts with the U.S. Government and FMS contracts, this continuous transfer of control of the work in process to the customer is supported by clauses in the contract that give the customer ownership of work in process and allow the customer to unilaterally terminate the contract for convenience and pay us for costs incurred plus a reasonable profit. For most non-U.S. government contracts, primarily international direct commercial contracts, continuous transfer of control to our customer is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supported because we deliver products that do not have an alternative use to us and if our customer were to terminate the contract for reasons other than our non-performance we would have the right to recover damages which would include, among other potential damages, the right to payment for our work performed to date plus a reasonable profit.</w:t>
      </w:r>
    </w:p>
    <w:p>
      <w:pPr>
        <w:spacing w:after="0" w:line="14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Under the percentage-of-completion cost-to-cost measure of progress, the extent of progress towards completion is measured based on the ratio of costs incurred to date to the total estimated costs to complete the performance obligation(s). For performance obligations to provide services to the customer, revenue is recognized over time based on costs incurred or the right to invoice method (in situations where the value transferred matches our billing rights) as our customer receives and consumes the benefits.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It is converted into sales in future periods as work is performed or deliveries are made.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December 31, 2025, our ending backlog was $193.6 billion. We expect to recognize approximately 37% of our backlog over the next 12 months and a total of approximately 60% over the next 24 months as revenue, with the remainder recognized thereafter.</w:t>
      </w:r>
    </w:p>
    <w:p>
      <w:pPr>
        <w:spacing w:after="0" w:line="16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For arrangements with the U.S. Government and FMS contracts, we generally do not begin work on contracts until funding is appropriated by the customer. Billing timetables and payment terms on our contracts vary based on a number of factors, including the contract type. Typical payment terms under fixed-price contracts with the U.S. Government provide that the customer pays either performance-based payments (PBPs) based on the achievement of contract milestones or progress payments based on a percentage of costs we incur. Typical payment terms under cost-reimbursable contracts with the U.S Government provide for billing of allowable costs incurred plus applicable fee on a monthly or semi-monthly basis. For the majority of our international direct commercial contracts to deliver complex systems, we typically receive advance payments prior to commencement of work, as well as milestone payments that are paid in accordance with the terms of our contract as we perform. We recognize a liability for payments in excess of revenue recognized, which is presented as a contract liability on the balance sheet. The portion of payments retained by the customer until final contract settlement is not considered a significant financing component because the intent is to protect the customer from our failure to adequately complete some or all of the obligations under the contract. Payments received from customers in advance of revenue recognition are not considered to be significant financing components because they are used to meet working capital demands that can be higher in the early stages of a contract.</w:t>
      </w:r>
    </w:p>
    <w:p>
      <w:pPr>
        <w:spacing w:after="0" w:line="15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fixed-price and cost-reimbursable contracts, we present revenues recognized in excess of billings as contract assets on the balance sheet. Amounts billed and due from our customers under both contract types are classified as receivables on the balance sheet.</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Significant estimates and assumptions are made in estimating contract sales, costs, and profit. We estimate profit as the difference between estimated sales and total estimated costs to complete the contract. At the outset of a long-term contract, we identify and monitor risks to the achievement of the technical, schedule and cost aspects of the contract, as well as our ability to earn variable consideration, and assess the effects of those risks on our estimates of sales and total costs to complete the contract. The estimates consider the technical requirements (e.g., a newly developed product versus a mature product), the schedule and associated tasks (e.g., the number and type of milestone events) and costs (e.g., material, labor, subcontractor, overhead, general and administrative expenses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related to earning variable consideration and/or the technical,</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which we refer to as unfavorable profit booking rate adjustments. All of the estimates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evident, which we refer to as a reach-forward loss.</w:t>
      </w:r>
    </w:p>
    <w:p>
      <w:pPr>
        <w:spacing w:after="0" w:line="16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Comparability of our segment sales, operating profit and operating margin may be impacted favorably or unfavorably by changes in profit booking rates on our contracts. Increases in the profit booking rates, typically referred to as favorable profit booking rate adjustments,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and are typically referred to as unfavorable profit booking rate adjustments. Increases or decreases in profit booking rates are recognized in the period they are determined and reflect the inception-to-date effect of such changes. Segment operating profit and margin can be impacted favorably or unfavorably by, for example, certain items listed below, which may or may not impact sales. Favorable items include the positive resolution of contractual matters, cost recoveries on severance and restructuring, insurance recoveries and gains on sales of assets. Unfavorable items include the adverse resolution of contractual matters, supply chain disruptions, restructuring charges (except for significant severance actions, which are excluded from segment operating results), reserves for disputes, certain asset impairments, and losses on sales of certain assets.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effect of profit booking rate adjustments on our financial results (in millions,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2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954</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1,173</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1,559</w:t>
            </w:r>
          </w:p>
        </w:tc>
      </w:tr>
      <w:tr>
        <w:trPr>
          <w:trHeight w:val="229"/>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profit (loss)</w:t>
            </w:r>
          </w:p>
        </w:tc>
        <w:tc>
          <w:tcPr>
            <w:tcW w:w="25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75</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1,585</w:t>
            </w:r>
          </w:p>
        </w:tc>
      </w:tr>
      <w:tr>
        <w:trPr>
          <w:trHeight w:val="230"/>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of segment operating profit (loss)</w:t>
            </w:r>
          </w:p>
        </w:tc>
        <w:tc>
          <w:tcPr>
            <w:tcW w:w="2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(loss)</w:t>
            </w:r>
          </w:p>
        </w:tc>
        <w:tc>
          <w:tcPr>
            <w:tcW w:w="25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59</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5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1,252</w:t>
            </w:r>
          </w:p>
        </w:tc>
      </w:tr>
      <w:tr>
        <w:trPr>
          <w:trHeight w:val="237"/>
        </w:trPr>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0.25</w:t>
            </w: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(0.59)</w:t>
            </w: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4.98</w:t>
            </w:r>
          </w:p>
        </w:tc>
      </w:tr>
    </w:tbl>
    <w:p>
      <w:pPr>
        <w:spacing w:after="0" w:line="25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we recorded reach-forward losses of $950 million on an ongoing classified program at our Aeronautics business segment, $570 million on Canadian Maritime Helicopter Program (CMHP) and $95 million on Türkish Utility Helicopter Program (TUHP) at our RMS business segment (see discussions that follows within this footnote), and $140 million of unfavorable profit adjustments on C-130 program at our Aeronautics business segment. In addition to these losses and unfavorable profit adjustments, we also recorded $130 million of favorable adjustments upon completion on certain commercial civil space programs at Space, and $90 million favorable adjustments upon completion of a classified program at Aeronautics.</w:t>
      </w:r>
    </w:p>
    <w:p>
      <w:pPr>
        <w:spacing w:after="0" w:line="16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losses of $555 million on a classified program at our Aeronautics business segment, reach-forward losses of $1.4 billion recognized on a classified program at our MFC business segment and $155 million of favorable profit rate adjustments following the resolution of a long-standing claim associated with a completed C-5 Galaxy aircraft contract at our Aeronautics business segment.</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recorded a reach-forward loss of $100 million on CMHP as a result of increased costs and lower than planned revenues and a favorable profit adjustment of $65 million on an international surveillance and control program due to the positive resolution of a contractual matter at our RMS business segment.</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various development programs for new and upgraded products, services, and related technologies which have complex design and technical challenges. This development work is inherently uncertain and subject to significant variability in estimates of the cost and time required to complete the work by us and our suppliers. Many of these programs have cost-type contracting arrangements (e.g., cost-reimbursable or cost-plus-fee). In such cases, the associated financial risks are primarily in reduced fees, lower profit rates, or program cancellation if cost, schedule, or technical performance issues arise.</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However, some of our existing development programs are contracted on a fixed-price basis or include cost-type contracting for the development phase with fixed-price production options and our customers continue to implement procurement strategies such as these that shift risk to contractors. Competitively bid programs with fixed-price development work or fixed-price production options increase the risk of a reach-forward loss upon contract award and during the period of</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performance. Due to the complex and often experimental nature of development programs, we may experience (and have experienced in the past) technical and quality issues during the development of new products or technologies for a variety of reasons. Our development programs are ongoing, and while we believe the cost and fee estimates incorporated in the financial statements are appropriate, the technical complexity of these programs and fixed-price contract structure creates financial risk as estimated completion costs may exceed the current contract value, which could trigger earnings charges, termination provisions, or other financially significant exposures. These programs have risk for reach-forward losses if our estimated costs exceed our estimated contract revenues, and such losses could be significant to our financial results in any period that they are recognized. Any such losses are recognized in the period in which the loss is evident.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Aeronautics Classified Program</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significant performance issues on an existing classified program at our Aeronautics business segment. The initial phase is on a fixed-price incentive fee contract with fixed-price incentive fee options for additional phases. Phases within the program involve highly complex design and systems integration. Challenges and performance issues continued into 2025 and had a greater impact on schedule and costs than previously estimated. There were also new, unanticipated events that occurred in 2025 that impacted the program’s performance, as described below. As a result of performance issues with the program, Aeronautics performed a comprehensive review of its design, integration, test, and other processes to achieve the technical requirements of the program, which was completed in the second quarter of 2025. The events that occurred in 2025, and the comprehensive review completed in the second quarter of 2025, resulted in significant changes in the program’s processes and testing approach and led to an extension of the program’s schedule, which drove a substantial increase in cost estimates. As a result, during the second quarter of 2025, we recognized additional reach-forward losses of $950 million across both phases of the program. The primary drivers of the additional reach-forward losses recognized in the second quarter of 2025 included: (1) software development performance degradation and integration findings observed over a continued period; (2) learnings in recent software and build experience on another program specifically relevant to the program; (3) significant changes in test plan resulting from customer discussions and changes in test execution strategy; (4) safety-critical and other necessary design and engineering changes in response to certain observed performance degradation and a discrete event; and (5) complete schedule realignment, including as a result of items (1) through (4).</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cumulative losses recognized to date on this program remained at approximately $1.8 billion across both phases. As of December 31, 2025, $495 million of the losses remained accrued in other current liabilities in our consolidated balance sheet. We continue to proactively manage the technical requirements and our performance, the remaining work and any future changes in scope or schedule, and estimated costs to complete the program, including future phases. Due to the nature of the highly complex design and systems integration on this program, we may need to record additional losses in future periods if performance issues, increases in scope, or increases in cost from prior estimates indicate that further losses are evident. Our estimates may change, in particular, as we conduct further development and testing on the program, which may lead to new findings or cause us to modify our expectations or understandings of the risks inherent in the program. Any such losses could be material to our financial results in any period that they are recognized. We and our industry team will continue to incur advanced procurement costs (also referred to as pre-contract costs) to enhance our ability to achieve the schedule and certain milestones which could be significant. We will monitor the recoverability of pre-contract costs, which could be impacted by our assessment of the customer’s decision regarding the funding of future phases of the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MFC Classified Program</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MFC business segment has been performing under a competitively bid classified contract, which includes a cost-reimbursable base contract for the initial phase of the program and multiple fixed-price options for additional phases. We previously disclosed that the options may be exercised over the next several years and if performed expect they would each be at a loss. During the first quarter of 2024, we concluded it was probable that the first option would be exercised and recognized a reach-forward loss of approximately $100 million. During the fourth quarter of 2024, we again assessed the likelihood that additional options may be exercised and concluded then that it is probable that all options will be exercised based on performance to date, future requirements of the program, discussions with the customer and suppliers, and anticipated customer funding, among other factors, resulting in the recognition of additional reach-forward losses of approximately $1.31 billion. As of December 31, 2025, cumulative losses recognized on the program remained at approximately $1.46 billion in total, of which, $1.19 billion remained accrued in other current liabilities in our consolidated balance sheet.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Maritime Helicopter Program</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RMS business segment has been performing the Canadian Maritime Helicopter Program (CMHP) under contracts with the Canadian government. The program provides for design, development, and production of CH-148 aircraft (the Original Equipment contract), which is a military variant of the S-92 helicopter, and for logistical support to the fleet (the In Service Support contract) over an extended time period. The program has experienced performance issues and we have been in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discussions with the Canadian government to potentially restructure certain contractual terms and conditions that may be beneficial to both parties. We entered into a contract modification in 2024 to better align contract scope with the Canadian government’s need, which resulted in a reduction in our contract assets in the fourth quarter of 2024 and first quarter of 2025. Communications with the customer during the second quarter of 2025 led to subsequent decisions made by us to focus on providing additional mission capabilities, enhanced logistical support, fleet life extension, and revised expectations regarding flight hours. Based on these discussions with the customer and decisions made by management, we revised our cost and sales estimates for this program and recognized additional losses of $570 million on the program during the second quarter of 2025. As of December 31, 2025, cumulative losses recognized on the program remained at approximately $670 million and approximately $625 million of contract assets remained on the balance sheet. The final aircraft under the program was delivered to Canada during the third quarter of 2025 and has been subsequently accepted. Any restructuring discussions may be prolonged or unsuccessful, and could result in a contract termination, and are dependent upon Canadian government resources and priorities and other factors outside of our control, such as trade relations with the United States. These items in addition to future performance issues or changes in our estimates may affect our ability to recover our costs, including recovery of the contract assets recognized on the balance sheet and our assessment of the reach-forward loss, and potential damages, which could be material to our financial results in any period that they are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Türkish Utility Helicopter Program</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we have a number of contracts with Türkish industry for the Türkish Utility Helicopter Program (TUHP), which anticipates co-production with Türkish industry for production of T70 helicopters for use in Türkiye, as well as the related provision of Türkish goods and services under buy-back or offset obligations. Sanctions imposed in 2020 by the U.S. Government on Turkey’s defense procurement agency (SSB) and certain persons have affected our ability to perform under the TUHP contracts. During the second quarter of 2025, we recognized a loss of $95 million in light of the status of restructuring discussions with our prime customer and the status of the TUHP. As of December 31, 2025, cumulative losses recognized to date on the program remained at approximately $130 million and the program remains in a contract liability position on the balance sheet. In the fourth quarter of 2025, we finalized an agreement with our prime contract customer to terminate the existing TUHP contracts and establish new contracts for a reduced scope of work, which became effective in January 2026. Our performance under the new contracts is subject to the receipt of U.S. export authorizations. However, if our future licensing applications are denied, our customer could drawdown on letters of credit, which could negatively affect our cash flows and our ability to recover our costs, and we could incur additional losses of up to approximately $115 million.</w:t>
      </w:r>
    </w:p>
    <w:p>
      <w:pPr>
        <w:spacing w:after="0" w:line="15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and similar costs </w:t>
      </w:r>
      <w:r>
        <w:rPr>
          <w:rFonts w:ascii="Times New Roman" w:cs="Times New Roman" w:eastAsia="Times New Roman" w:hAnsi="Times New Roman"/>
          <w:sz w:val="18"/>
          <w:szCs w:val="18"/>
          <w:color w:val="auto"/>
        </w:rPr>
        <w:t>– We conduct research and development (R&amp;D) activities using our own funds (referred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company-funded or independent R&amp;D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Company-funded R&amp;D costs are allocated to customer contracts as part of the general and administrative overhead costs and are generally recoverable to the extent allocable to our cost-reimbursable customer contracts with the U.S. Government. These costs also may be recoverable to the extent allocable to certain fixed-price incentive contracts with the U.S. Government. Customer-funded R&amp;D costs are charged directly to the related customer contracts. Substantially all R&amp;D costs are charged to operating costs as incurred. Company-funded R&amp;D costs charged to operating costs totaled $2.0 billion, $1.6 billion and $1.5 billion in 2025, 2024 and 2023.</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We issue stock-based compensation awards in the form of restricted stock units (RSUs) and performance stock units (PSUs)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generally vest three years from the grant date and are settled in shares. Compensation cost related to all stock-based awards is measured at the grant date based on the estimated fair value of the award. The grant date fair value of RSUs is equal to the closing market price of our common stock on the grant date less a discount to reflect the delay in payment of dividend-equivalent cash payments that are made only upon vesting. The grant date fair value of PSUs is measured in a manner similar to RSUs for awards that vest based on service and performance conditions or using a Monte Carlo model for awards that vest based on service and market conditions.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all RSUs, we recognize the grant date fair value, less estimated forfeitures, as compensation expense ratably over the requisite service period, which is shorter than the vesting period if the employee is retirement eligible on the date of grant or will become retirement eligible before the end of the vesting period. For PSUs that vest based on service and performance conditions, we recognize the grant date fair value, less estimated forfeitures, as compensation expense ratably over the vesting period based on the number of awards expected to ultimately vest. For PSUs that vest based on service and market conditions, we recognize the grant date fair value, less estimated forfeitures, as compensation expense ratably over the vesting period. At each reporting date, estimated forfeitures for all stock-based compensation awards and the number of PSUs expected to vest based on service and performance conditions is adjusted.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We calculate our provision for income taxes using the asset and liability method, under which deferred tax assets and liabilities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based on the future tax consequences attributable to temporary differences that exist between the financial statement carrying amount of assets and liabilities and their respective tax bases, as well as from operating loss and tax credit carry-forwards. The provision for income taxes differs from the amounts currently receivable or payable because certain items of income and expense are recognized in different periods for financial reporting purposes than for income tax purposes. We measure deferred tax assets and liabilities using enacted tax rates that will apply in the years in which we expect the temporary differences to be recovered or paid.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our tax exposures related to periods that are open to examination. Based on the latest available information, we evaluate our tax positions to determine whether the position will more likely than not be sustained upon examination by the Internal Revenue Service (IRS) or other taxing authorities. If we cannot reach a more-likely-than-not determination, no benefit is recorded. If we determine that the tax position is more likely than not to be sustained, we record the largest amount of benefit that is more likely than not to be realized when the tax position is settled. We record interest and penalties related to income taxes as a component of income tax expense on our consolidated statements of earnings.</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accordance with the regulations that govern cost accounting requirements for government contracts, current state and local income and franchise taxes are generally considered allowable and allocable costs and, consistent with industry practice, are recorded in operating costs and expenses. We generally recognize changes in deferred state taxes and unrecognized state tax benefits in unallocated corporate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Cash equivalents include highly liquid instruments with original maturities of 90 days or less.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Receivables </w:t>
      </w:r>
      <w:r>
        <w:rPr>
          <w:rFonts w:ascii="Times New Roman" w:cs="Times New Roman" w:eastAsia="Times New Roman" w:hAnsi="Times New Roman"/>
          <w:sz w:val="18"/>
          <w:szCs w:val="18"/>
          <w:color w:val="auto"/>
        </w:rPr>
        <w:t>– Receivables, net represent our unconditional right to consideration under the contract and include amounts billed and currently due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Receivables, net are recorded at the net amount expected to be collected. There were no significant impairment losses related to our receivables in 2025, 2024 or 2023.</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Contract assets include unbilled amounts typically resulting from sales under contracts when the percentage-of-completion cost-to-cost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of revenue recognition is utilized and revenue recognized exceeds the amount billed to the customer. Contract assets are recorded at the net amount expected to be billed and collected. Contract assets are classified as current based on our contract operating cycle and include amounts that may be billed and collected beyond one year due to the long-cycle nature of our contracts.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Contract liabilities include advance payments and billings in excess of revenue recognized. Contract liabilities are classified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based on our contract operating cycle and reported on a contract-by-contract basis, net of revenue recognized, at the end of each reporting period.</w:t>
      </w:r>
    </w:p>
    <w:p>
      <w:pPr>
        <w:spacing w:after="0" w:line="1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We record inventories at the lower of cost or estimated net realizable value. The majority of our inventory represents work-in-process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where control has not yet passed to the customer. Work-in-process primarily consists of labor, material, subcontractor, and overhead costs. In addition, costs incurred to fulfill a contract in advance of the contract being awarded are recorded in inventories as work-in-process if we determine that those costs relate directly to a contract or to an anticipated contract that we can specifically identify and contract award is probable, the costs generate or enhance resources that will be used in satisfying performance obligations, and the costs are recoverable (referred to as pre-contract costs). Pre-contract costs that are initially capitalized in inventory are generally recognized as operating cost consistent with the transfer of products and services to the customer upon the receipt of the anticipated contract. All other pre-contract costs, including start-up costs, are expensed as incurred. We determine the costs of other inventories such as materials, spares and supplies by using the first-in first-out or average cost methods. If events or changes in circumstances indicate that pre-contract costs are no longer recoverable or the utility of our inventories have diminished through damage, deterioration, obsolescence, changes in price or other causes, a loss is recognized in the period in which it occurs.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Property, plant and equipment are initially recorded at cost. The cost of plant and equipment are depreciated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accelerated methods during the first half of the estimated useful lives of the assets and the straight-line method thereafter. The estimated useful lives of our plant and equipment generally range from 10 to 40 years for buildings and five to 15 years for machinery and equipment. No depreciation expense is recorded on construction in progress until such assets are placed into operation.</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carrying amounts of long-lived assets for impairment if events or changes in the facts and circumstances indicate that their carrying amounts may not be recoverable. We assess impairment by comparing the estimated undiscounted future cash flows of the related asset grouping to its carrying amount. If an asset is determined to be impaired, we recognize an impairment charge in the current period for the difference between the fair value of the asset and its carrying amount.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Capitalized software </w:t>
      </w:r>
      <w:r>
        <w:rPr>
          <w:rFonts w:ascii="Times New Roman" w:cs="Times New Roman" w:eastAsia="Times New Roman" w:hAnsi="Times New Roman"/>
          <w:sz w:val="18"/>
          <w:szCs w:val="18"/>
          <w:color w:val="auto"/>
        </w:rPr>
        <w:t>– We capitalize certain costs associated with the development or purchase of internal-use software. The amounts capitalized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other noncurrent assets on our consolidated balance sheets and are amortized on a straight-line basis over the estimated useful life of the resulting software, which ranges from two to 15 years. As of December 31, 2025 and 2024, capitalized software totaled $2.4 billion and $1.9 billion, net of accumulated amortization of $3.4 billion and $3.1 billion. No amortization expense is recorded until the software is ready for its intended use. Amortization expense related to capitalized software was $393 million in 2025, $346 million in 2024 and $263 million in 2023.</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We measure the fair value of our financial instruments using observable and unobservable inputs. Observable inputs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 market data obtained from independent sources, while unobservable inputs reflect internal market assumptions. The following hierarchy classifies the inputs used to determine fair value into three levels: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observable by a marketplace participant either directly or indirectly.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significant to the fair value measurement.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color w:val="auto"/>
        </w:rPr>
        <w:t>– We hold a portfolio of marketable securities to fund our non-qualified employee benefit plans. A portion of these securities are held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common/collective trust funds and are measured at fair value using Net Asset Value (NAV) per share as a practical expedient. Marketable securities accounted for as trading are recorded at fair value on a recurring basis and are included in other noncurrent assets on our consolidated balance sheets. Gains and losses on these investments are included in other unallocated, net within operating costs and expenses on our consolidated statements of earnings.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investments in companies that we believe are advancing or developing new technologies applicable to our business. These investments are primarily in early-stage companies and may be in the form of common or preferred stock, warrants, convertible debt securities, investments in funds or equity method investments. Most of these investments are in equity securities without readily determinable fair values (privately held securities), which are measured initially at cost and are then adjusted to fair value only if there is an observable price change or reduced for impairment, if applicable. The carrying amounts of the investments were $669 million and $600 million at December 31, 2025 and December 31, 2024 and are included on our consolidated balance sheets within other assets, both current and noncurrent. Changes in fair value and/or sales of investments are reflected in the other non-operating income, net account on our consolidated statements of earnings. We recorded net gains of $55 million ($41 million, or $0.18 per share, after tax) and $22 million ($17 million, or $0.07 per share, after-tax) during 2025 and 2024 and net losses of $64 million ($48 million, or $0.19 per share, after-tax) during 2023.</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 Investments where we have the ability to exercise significant influence, but do not control, are accounted for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method of accounting and are included in other noncurrent assets on our consolidated balance sheets.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 As of December 31, 2025 and December 31, 2024, our equity method investments totaled $653 million and $654 million, which was primarily composed of our investment in the United Launch Alliance (ULA) joint venture. Our share of net earnings related to our equity method investees was $28 million in 2025, $56 million in 2024 and $40 million in 2023, of which approximately $5 million, $45 million and $20 million was included in our Space business segment operating profit.</w:t>
      </w:r>
    </w:p>
    <w:p>
      <w:pPr>
        <w:spacing w:after="0" w:line="1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 We perform an impairment test of our goodwill at least annually in the fourth quarter or more frequently whenever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or changes in circumstances indicate the carrying value of goodwill may be impaired. We may use both a qualitative and quantitative approaches when testing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We perform quantitative tests for most reporting units at least once every three years. However, for certain reporting units we may perform a quantitative impairment test every year.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Finite-lived intangibles are amortized to expense over their applicable useful lives, ranging from three to 20 years, based on the nature of the asset and the underlying pattern of economic benefit as reflected by future net cash inflows. Acquired intangible assets deemed to have indefinite lives are not amortized, but are subject to annual impairment testing or more frequently if events or change in circumstance indicate that it is more likely than not that the asset is impaired. We perform an impairment test of finite-lived intangibles whenever events or changes in circumstances indicate their carrying value may be impaired.</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evaluate whether our contractual arrangements contain leases at the inception of such arrangements. Specifically, we consider whether we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the underlying asset and have the right to obtain substantially all of the economic benefits or outputs from the asset. Substantially all of our leases are long-term operating leases with fixed payment terms. We do not have significant financing leases. Our right-of-use (ROU) operating lease assets represent our right to use an underlying asset for the lease term, and our operating lease liabilities represent our obligation to make lease payments. ROU operating lease assets are recorded in other noncurrent assets in our consolidated balance sheet. Operating lease liabilities are recorded in other current liabilities or other noncurrent liabilities in our consolidated balance sheet based on their contractual due dates.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the ROU operating lease asset and liability are recognized as of the lease commencement date at the present value of the lease payments over the lease term. Most of our leases do not provide an implicit rate that can readily be determined. Therefore, we use a discount rate based on our incremental borrowing rate, which is determined using our credit rating and information available as of the commencement date. ROU operating lease assets include lease payments made at or before the lease commencement date, net of any lease incentives.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lease term and is included in operating costs and expenses on our consolidated statements of earnings.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operating lease arrangements with lease and non-lease components. The non-lease components in our arrangements are not significant when compared to the lease components. For all operating leases, we account for the lease and non-lease components as a single component. Additionally, for certain equipment leases, we apply a portfolio approach to recognize operating lease ROU assets and liabilities. We evaluate ROU assets for impairment consistent with our property, plant and equipment policy.</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 Many of our employees and retirees participate in various retirement benefit plans including defined benefit pension, retiree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life insurance, disability insurance, and defined contribution savings plans. Obligation amounts we record related to our defined benefit pension plans are computed based on service to date, using actuarial valuations that are based in part on certain key economic assumptions we make, including the discount rate, the expected long-term rate of return on plan assets and other actuarial assumptions including participant longevity (also known as mortality).</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market-related value of our plan assets, equal to the fair value adjusted for recognition of the difference between actual and expected asset returns over the prior three-year period, is used to develop the expected return on assets included in expense. Net outstanding gains or losses are amortized to expense using the corridor method, where they are recognized over a period of years to the extent they exceed 10% of the greater of market-related value of plan assets or benefit obligations.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on a plan-by-plan basis the funded status of our defined benefit pension plans as either an asset recorded within other noncurrent assets or a liability recorded within noncurrent liabilities on our consolidated balance sheets. The GAAP funded status is measured as the difference between the fair value of the plan’s assets and the benefit obligation of the plan. The funded status under the Employee Retirement Income Security Act of 1974 (ERISA), as amended, is calculated on a different basis than under GAAP.</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Postemployment benefits </w:t>
      </w:r>
      <w:r>
        <w:rPr>
          <w:rFonts w:ascii="Times New Roman" w:cs="Times New Roman" w:eastAsia="Times New Roman" w:hAnsi="Times New Roman"/>
          <w:sz w:val="18"/>
          <w:szCs w:val="18"/>
          <w:color w:val="auto"/>
        </w:rPr>
        <w:t>– We record a liability for postemployment benefits, such as severance or job training, typically when payment is probable,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is reasonably estimable, and the obligation relates to rights that have accumulated.</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Environmental matters </w:t>
      </w:r>
      <w:r>
        <w:rPr>
          <w:rFonts w:ascii="Times New Roman" w:cs="Times New Roman" w:eastAsia="Times New Roman" w:hAnsi="Times New Roman"/>
          <w:sz w:val="18"/>
          <w:szCs w:val="18"/>
          <w:color w:val="auto"/>
        </w:rPr>
        <w:t>– We record a liability for environmental matters when it is probable that a liability has been incurred and the amount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estimated. The amount of liability recorded is based on our estimate of the costs to be incurred for remediation at a particular site. We do not discount the recorded liabilities, as the amount and timing of future cash payments are not fixed or cannot be reliably determined. Our environmental liabilities are recorded on our consolidated balance sheets within other liabilities, both current and noncurrent. We expect to include a substantial portion of environmental costs in our sales and operating costs in future periods pursuant to U.S. Government regulation. At the time a liability is recorded for future environmental costs, we record assets for estimated future recovery considered probable through the pricing</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products and services to agencies of the U.S. Government,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 We include the portions of those environmental costs expected to be allocated to our non-U.S. government contracts, or determined not to be recoverable under U.S. Government contracts, in our operating costs at the time the liability is established or adjusted. Our assets for the portion of environmental costs that are probable of future recovery are recorded on our consolidated balance sheets within other assets, both current and noncurrent. We project costs and recovery of costs over approximately 20 years.</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 Derivatives are recorded at their fair value and included in other current and noncurrent assets and liabilities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balance sheets. 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Standards Update (ASU) No. 2025-10,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832): Accounting for Government Grants Received by Business Entities</w:t>
      </w:r>
      <w:r>
        <w:rPr>
          <w:rFonts w:ascii="Times New Roman" w:cs="Times New Roman" w:eastAsia="Times New Roman" w:hAnsi="Times New Roman"/>
          <w:sz w:val="18"/>
          <w:szCs w:val="18"/>
          <w:color w:val="auto"/>
        </w:rPr>
        <w:t>. The ASU establishes guidance for the recognition, measurement,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presentation of government grants received by business entities. Under the new standard, a government grant is recognized only when it is probable that (i) the entity will satisfy the grant’s conditions and (ii) the grant will be received. If those conditions are met, the grant is classified either as a grant related to income or as a grant related to an asset, and the classification determines the appropriate accounting treatment. ASU No. 2025-10 retains the existing disclosure requirements in FASB Accounting Standards Codification (ASC) Topic 832, </w:t>
      </w:r>
      <w:r>
        <w:rPr>
          <w:rFonts w:ascii="Times New Roman" w:cs="Times New Roman" w:eastAsia="Times New Roman" w:hAnsi="Times New Roman"/>
          <w:sz w:val="18"/>
          <w:szCs w:val="18"/>
          <w:i w:val="1"/>
          <w:iCs w:val="1"/>
          <w:color w:val="auto"/>
        </w:rPr>
        <w:t>Government Assistance</w:t>
      </w:r>
      <w:r>
        <w:rPr>
          <w:rFonts w:ascii="Times New Roman" w:cs="Times New Roman" w:eastAsia="Times New Roman" w:hAnsi="Times New Roman"/>
          <w:sz w:val="18"/>
          <w:szCs w:val="18"/>
          <w:color w:val="auto"/>
        </w:rPr>
        <w:t>. For public business entities, the amendments are effective for annual reporting periods beginning after December 15, 2028, and for interim reporting periods within those annual reporting periods, with early adoption permitted. Entities may adopt the amendments using a modified-prospective, modified-retrospective, or full-retrospective approach for all government grants. We are currently evaluating the impact of the ASU on our disclosures and financial statements, including the approach and the timing of adoption.</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guidance removes all references to project stages throughout ASC 350-40 and clarifies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threshold entities apply to begin capitalizing costs. Under the new standard, cost capitalization should only commence when an entity has committed to funding a software project and it is probable the project will be completed and the software will be used for its intended function. The amendments are effective for annual reporting periods beginning after December 15, 2027 and interim reporting periods within those annual reporting periods. Entities may apply the guidance using a prospective, retrospective or modified transition approach. Early adoption is permitted as of the beginning of an annual reporting period. We are currently determining the preferred transition approach and assessing the impact of the ASU on our disclosures and financial statements, including the timing of its adoption.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ASU requires entities to disclose certain expenses, including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employee compensation, depreciation, and intangible asset amortization, by caption. In addition, entities must provide a qualitative description of the amounts remaining in relevant expense captions that are not separately disaggregated quantitatively. The amendments are effective for annual reporting periods beginning after December 15, 2026, and for interim reporting periods beginning after December 15, 2027, with early adoption permitted. The ASU will affect only our disclosures and will not impact our results of operations or financial condition. We are currently evaluating the timing of its adoption.</w:t>
      </w:r>
    </w:p>
    <w:p>
      <w:pPr>
        <w:spacing w:after="0" w:line="15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the rate reconciliation and income taxes paid. ASU No. 2023-09 requires public business entities to disclose, on an annual basis, specific categories in the effective tax rate reconciliation and provide additional information for reconciling items that meet a quantitative threshold. In addition, ASU No. 2023-09 requires companies to disclose further information about income taxes paid. The standard is effective for annual periods beginning after December 15, 2024, and may be applied prospectively or retrospectively. We adopted the ASU prospectively for the period ending December 31, 2025, and it affects only our disclosures and does not impact our results of operations or financial condition.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tc>
        <w:tc>
          <w:tcPr>
            <w:tcW w:w="2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05"/>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 average number of shares outstanding used to compute earnings per common share were as follows (in millions):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688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for basic computations</w:t>
            </w:r>
          </w:p>
        </w:tc>
        <w:tc>
          <w:tcPr>
            <w:tcW w:w="2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232.7</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238.3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29"/>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dilutive effect of equity awards</w:t>
            </w:r>
          </w:p>
        </w:tc>
        <w:tc>
          <w:tcPr>
            <w:tcW w:w="2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for diluted computations</w:t>
            </w:r>
          </w:p>
        </w:tc>
        <w:tc>
          <w:tcPr>
            <w:tcW w:w="2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233.5</w:t>
            </w: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239.2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and performance stock units (PSUs) based on the treasury stock method. There were no significant anti-dilutive equity awards for the years ended December 31, 2025, 2024 and 2023. Basic and diluted weighted average common shares outstanding decreased in 2025 compared to 2024 due to share repurchases.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Information on Business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MFC, RMS and Space. We organize our business segments based on the nature of products and services offered. Following is a brief description of the activities of our business segments:</w:t>
      </w:r>
    </w:p>
    <w:p>
      <w:pPr>
        <w:spacing w:after="0" w:line="185" w:lineRule="exact"/>
        <w:rPr>
          <w:sz w:val="20"/>
          <w:szCs w:val="20"/>
          <w:color w:val="auto"/>
        </w:rPr>
      </w:pPr>
    </w:p>
    <w:p>
      <w:pPr>
        <w:ind w:left="340" w:hanging="332"/>
        <w:spacing w:after="0" w:line="28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Aeronautics </w:t>
      </w:r>
      <w:r>
        <w:rPr>
          <w:rFonts w:ascii="Times New Roman" w:cs="Times New Roman" w:eastAsia="Times New Roman" w:hAnsi="Times New Roman"/>
          <w:sz w:val="18"/>
          <w:szCs w:val="18"/>
          <w:color w:val="auto"/>
        </w:rPr>
        <w:t>– Engaged in the research, design, development, manufacture, integration, sustainment, support and upgrade of advanced military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aircraft, including combat and air mobility aircraft, unmanned air vehicles and related technologies.</w:t>
      </w:r>
    </w:p>
    <w:p>
      <w:pPr>
        <w:spacing w:after="0" w:line="114" w:lineRule="exact"/>
        <w:rPr>
          <w:rFonts w:ascii="Times New Roman" w:cs="Times New Roman" w:eastAsia="Times New Roman" w:hAnsi="Times New Roman"/>
          <w:sz w:val="18"/>
          <w:szCs w:val="18"/>
          <w:color w:val="auto"/>
        </w:rPr>
      </w:pPr>
    </w:p>
    <w:p>
      <w:pPr>
        <w:ind w:left="340" w:hanging="332"/>
        <w:spacing w:after="0" w:line="286" w:lineRule="auto"/>
        <w:tabs>
          <w:tab w:leader="none" w:pos="33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Missiles and Fire Control </w:t>
      </w:r>
      <w:r>
        <w:rPr>
          <w:rFonts w:ascii="Times New Roman" w:cs="Times New Roman" w:eastAsia="Times New Roman" w:hAnsi="Times New Roman"/>
          <w:sz w:val="18"/>
          <w:szCs w:val="18"/>
          <w:color w:val="auto"/>
        </w:rPr>
        <w:t>– Provides air and missile defense systems; tactical missiles and precision strike weapon systems; logistics; fire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and mission operations support, readiness, engineering support and integration services.</w:t>
      </w:r>
    </w:p>
    <w:p>
      <w:pPr>
        <w:spacing w:after="0" w:line="114"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8"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Rotary and Mission Systems </w:t>
      </w:r>
      <w:r>
        <w:rPr>
          <w:rFonts w:ascii="Times New Roman" w:cs="Times New Roman" w:eastAsia="Times New Roman" w:hAnsi="Times New Roman"/>
          <w:sz w:val="18"/>
          <w:szCs w:val="18"/>
          <w:color w:val="auto"/>
        </w:rPr>
        <w:t>– Designs, manufactures, services and supports various military and commercial helicopters, sea- and land-based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missile defense systems, radar systems, laser systems, sea- and air-based mission and combat systems, command and control mission solutions, cyber solutions, simulation and training solutions, and services and supports surface ships.</w:t>
      </w:r>
    </w:p>
    <w:p>
      <w:pPr>
        <w:spacing w:after="0" w:line="14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w:t>
      </w:r>
      <w:r>
        <w:rPr>
          <w:rFonts w:ascii="Times New Roman" w:cs="Times New Roman" w:eastAsia="Times New Roman" w:hAnsi="Times New Roman"/>
          <w:sz w:val="18"/>
          <w:szCs w:val="18"/>
          <w:color w:val="auto"/>
        </w:rPr>
        <w:t>– Engaged in the research and design, development, engineering and production of satellites, space transportation systems, and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Operating profit for our Space business segment also includes our share of earnings for our 50% ownership interest in ULA, which provides expendable launch services to the U.S. Government and commercial customers. Our investment in ULA totaled $551 million at both December 31, 2025 and 2024.</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 by Business Segment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operating profit of our business segments exclude intersegment sales, operating costs and expenses and profit as these activities are eliminated in consolidation and thus are not included in management’s evaluation of performance of each segment. Our Chief Executive Officer (CEO) and Chief Operating Officer (COO) serve as our Chief Operating Decision Makers (CODMs) and are responsible for reviewing segment performance and making decisions regarding resource allocation. Our CODMs evaluate each segment’s performance based on metrics such as sales, operating profit, and other key financial indicators, guiding strategic decisions to align with company-wide goals. Business segment operating profit includes our share of earnings or losses from equity method investees as the operating activities of the equity method investees are closely aligned with the operations of our business segments.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Operating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operating costs and expenses and operating profit for each of our business segments were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2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30,257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28,618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27,474</w:t>
            </w: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7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14,450</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12,682</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7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17,312</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17,264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16,239</w:t>
            </w:r>
          </w:p>
        </w:tc>
      </w:tr>
      <w:tr>
        <w:trPr>
          <w:trHeight w:val="229"/>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27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13,029</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12,479</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r>
      <w:tr>
        <w:trPr>
          <w:trHeight w:val="223"/>
        </w:trPr>
        <w:tc>
          <w:tcPr>
            <w:tcW w:w="5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2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75,048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71,043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67,571</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2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28,168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26,093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24,649</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7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12,461</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12,277</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7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16,041</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15,391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14,399</w:t>
            </w:r>
          </w:p>
        </w:tc>
      </w:tr>
      <w:tr>
        <w:trPr>
          <w:trHeight w:val="229"/>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27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11,689</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11,308</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r>
      <w:tr>
        <w:trPr>
          <w:trHeight w:val="22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68,359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65,069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60,233</w:t>
            </w:r>
          </w:p>
        </w:tc>
      </w:tr>
      <w:tr>
        <w:trPr>
          <w:trHeight w:val="230"/>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23"/>
                <w:szCs w:val="23"/>
                <w:color w:val="auto"/>
                <w:vertAlign w:val="superscript"/>
              </w:rPr>
              <w:t>(a)</w:t>
            </w:r>
          </w:p>
        </w:tc>
        <w:tc>
          <w:tcPr>
            <w:tcW w:w="2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2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7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1,989</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7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1,323</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30"/>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27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1,345</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3"/>
        </w:trPr>
        <w:tc>
          <w:tcPr>
            <w:tcW w:w="5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business segment operating profit</w:t>
            </w:r>
          </w:p>
        </w:tc>
        <w:tc>
          <w:tcPr>
            <w:tcW w:w="27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6,743</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6,083</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w:t>
            </w:r>
          </w:p>
        </w:tc>
      </w:tr>
      <w:tr>
        <w:trPr>
          <w:trHeight w:val="223"/>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items</w:t>
            </w:r>
          </w:p>
        </w:tc>
        <w:tc>
          <w:tcPr>
            <w:tcW w:w="2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FAS/CAS pension operating adjustment</w:t>
            </w:r>
          </w:p>
        </w:tc>
        <w:tc>
          <w:tcPr>
            <w:tcW w:w="27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1,518</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2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56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7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5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unallocated, net</w:t>
            </w:r>
          </w:p>
        </w:tc>
        <w:tc>
          <w:tcPr>
            <w:tcW w:w="27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988</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56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consolidated operating profit</w:t>
            </w:r>
          </w:p>
        </w:tc>
        <w:tc>
          <w:tcPr>
            <w:tcW w:w="2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7,731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r>
    </w:tbl>
    <w:p>
      <w:pPr>
        <w:spacing w:after="0" w:line="67" w:lineRule="exact"/>
        <w:rPr>
          <w:sz w:val="20"/>
          <w:szCs w:val="20"/>
          <w:color w:val="auto"/>
        </w:rPr>
      </w:pPr>
    </w:p>
    <w:p>
      <w:pPr>
        <w:ind w:left="340" w:right="20" w:hanging="332"/>
        <w:spacing w:after="0" w:line="232" w:lineRule="auto"/>
        <w:tabs>
          <w:tab w:leader="none" w:pos="335"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profit by segment includes certain immaterial items, such as other income (primarily equity earnings) that are not presented separately in the table. Accordingly, the difference between sales less operating costs and expenses may not equal operating profit by segment.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Items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 segment operating profit excludes the FAS/CAS pension operating adjustment discussed below,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a portion of management and administration costs, legal fees and settlements, stock-based compensation expense, changes in the fair value of assets and liabilities for deferred compensation plans, retirement benefits, significant severance charges, significant asset impairments, gains or losses from divestitures, intangible asset amortization expense, and other miscellaneous corporate activities. Collectively these items are included in “Unallocated items” to reconcile total segment operating profit to consolidated operating profit. See “Note 1 –</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Organization and Significant Accounting Policies” (under the caption “Use of Estimates”) for a discussion related to certain factors that may impact the comparability of sales and operating profit of our business segments.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FAS/CAS Pension Operating Adjustment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segments’ results of operations include pension expense only as calculated under CAS, which we refer to as CAS pension cost. We recover CAS pension cost through the pricing of our products and services on U.S. Government contracts and, therefore, recognize CAS pension cost in each of our business segments’ sales and operating costs and expenses. Our consolidated financial statements must present pension expense calculated in accordance with Financial Accounting Standards (FAS) requirements under U.S. GAAP. The operating portion of the total FAS/CAS pension adjustment represents the difference between the service cost component of FAS pension (expense) income and total CAS pension cost. The non-service FAS pension (expense) income components are included in non-service FAS pension (expense) income in our consolidated statements of earnings. As a result, to the extent that CAS pension cost exceeds the service cost component of FAS pension (expense) income, we have a favorable FAS/CAS pension operating adjustment.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FAS/CAS pension adjustments, including the service and non-service cost components of FAS pension (expense) income for our qualified defined benefit pension plans, were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FAS (expense) income and CAS cost</w:t>
            </w:r>
          </w:p>
        </w:tc>
        <w:tc>
          <w:tcPr>
            <w:tcW w:w="2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FAS pension (expense) income</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5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CAS pension cost</w:t>
            </w:r>
          </w:p>
        </w:tc>
        <w:tc>
          <w:tcPr>
            <w:tcW w:w="2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1,568</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1,684</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3"/>
        </w:trPr>
        <w:tc>
          <w:tcPr>
            <w:tcW w:w="5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FAS/CAS pension adjustment</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644</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37"/>
        </w:trPr>
        <w:tc>
          <w:tcPr>
            <w:tcW w:w="59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 and non-service cost reconciliation</w:t>
            </w:r>
          </w:p>
        </w:tc>
        <w:tc>
          <w:tcPr>
            <w:tcW w:w="2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FAS pension service cost</w:t>
            </w:r>
          </w:p>
        </w:tc>
        <w:tc>
          <w:tcPr>
            <w:tcW w:w="2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CAS pension cost</w:t>
            </w:r>
          </w:p>
        </w:tc>
        <w:tc>
          <w:tcPr>
            <w:tcW w:w="2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1,568</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1,684</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3"/>
        </w:trPr>
        <w:tc>
          <w:tcPr>
            <w:tcW w:w="5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FAS/CAS pension operating adjustment</w:t>
            </w:r>
          </w:p>
        </w:tc>
        <w:tc>
          <w:tcPr>
            <w:tcW w:w="24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1,518</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Non-service FAS pension (expense) income</w:t>
            </w:r>
          </w:p>
        </w:tc>
        <w:tc>
          <w:tcPr>
            <w:tcW w:w="2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5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FAS/CAS pension adjustment</w:t>
            </w:r>
          </w:p>
        </w:tc>
        <w:tc>
          <w:tcPr>
            <w:tcW w:w="2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r>
    </w:tbl>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the FAS/CAS pension adjustment in 2025 was principally driven by a noncash, non-operating pension settlement charge of $479 million ($377 million, or $1.63 per share, after-tax) in connection with the transfer of $943 million of our gross defined benefit pension obligations and related plan assets to insurance companies in December 2025. See “Note 11 – Retirement Benefits” for more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Intersegment Sales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between our business segments are excluded from our consolidated and segment operating results as these activities are eliminated in consolidation.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sales for each of our business segments were as follows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4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4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9"/>
                <w:szCs w:val="19"/>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4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868</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0" w:type="dxa"/>
            <w:vAlign w:val="bottom"/>
          </w:tcPr>
          <w:p>
            <w:pPr>
              <w:spacing w:after="0"/>
              <w:rPr>
                <w:sz w:val="19"/>
                <w:szCs w:val="19"/>
                <w:color w:val="auto"/>
              </w:rPr>
            </w:pPr>
          </w:p>
        </w:tc>
      </w:tr>
      <w:tr>
        <w:trPr>
          <w:trHeight w:val="23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44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2,371</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2,320</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40" w:type="dxa"/>
            <w:vAlign w:val="bottom"/>
          </w:tcPr>
          <w:p>
            <w:pPr>
              <w:spacing w:after="0"/>
              <w:rPr>
                <w:sz w:val="19"/>
                <w:szCs w:val="19"/>
                <w:color w:val="auto"/>
              </w:rPr>
            </w:pPr>
          </w:p>
        </w:tc>
      </w:tr>
      <w:tr>
        <w:trPr>
          <w:trHeight w:val="229"/>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4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tcPr>
          <w:p>
            <w:pPr>
              <w:spacing w:after="0"/>
              <w:rPr>
                <w:sz w:val="19"/>
                <w:szCs w:val="19"/>
                <w:color w:val="auto"/>
              </w:rPr>
            </w:pPr>
          </w:p>
        </w:tc>
      </w:tr>
      <w:tr>
        <w:trPr>
          <w:trHeight w:val="230"/>
        </w:trPr>
        <w:tc>
          <w:tcPr>
            <w:tcW w:w="3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intersegment sales</w:t>
            </w:r>
          </w:p>
        </w:tc>
        <w:tc>
          <w:tcPr>
            <w:tcW w:w="4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3,948</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3,893</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40" w:type="dxa"/>
            <w:vAlign w:val="bottom"/>
          </w:tcPr>
          <w:p>
            <w:pPr>
              <w:spacing w:after="0"/>
              <w:rPr>
                <w:sz w:val="20"/>
                <w:szCs w:val="20"/>
                <w:color w:val="auto"/>
              </w:rPr>
            </w:pPr>
          </w:p>
        </w:tc>
      </w:tr>
      <w:tr>
        <w:trPr>
          <w:trHeight w:val="621"/>
        </w:trPr>
        <w:tc>
          <w:tcPr>
            <w:tcW w:w="3860" w:type="dxa"/>
            <w:vAlign w:val="bottom"/>
          </w:tcPr>
          <w:p>
            <w:pPr>
              <w:spacing w:after="0"/>
              <w:rPr>
                <w:sz w:val="24"/>
                <w:szCs w:val="24"/>
                <w:color w:val="auto"/>
              </w:rPr>
            </w:pPr>
          </w:p>
        </w:tc>
        <w:tc>
          <w:tcPr>
            <w:tcW w:w="448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33"/>
        </w:trPr>
        <w:tc>
          <w:tcPr>
            <w:tcW w:w="38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Sales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by products and services, contract type, customer category and geographic region for each of our business segments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Aeronautics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MFC</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24,617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12,977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14,188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10,872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62,654</w:t>
            </w:r>
          </w:p>
        </w:tc>
        <w:tc>
          <w:tcPr>
            <w:tcW w:w="100" w:type="dxa"/>
            <w:vAlign w:val="bottom"/>
          </w:tcPr>
          <w:p>
            <w:pPr>
              <w:spacing w:after="0"/>
              <w:rPr>
                <w:sz w:val="19"/>
                <w:szCs w:val="19"/>
                <w:color w:val="auto"/>
              </w:rPr>
            </w:pPr>
          </w:p>
        </w:tc>
      </w:tr>
      <w:tr>
        <w:trPr>
          <w:trHeight w:val="230"/>
        </w:trPr>
        <w:tc>
          <w:tcPr>
            <w:tcW w:w="60" w:type="dxa"/>
            <w:vAlign w:val="bottom"/>
            <w:tcBorders>
              <w:bottom w:val="single" w:sz="8" w:color="auto"/>
            </w:tcBorders>
            <w:shd w:val="clear" w:color="auto" w:fill="CCEEFF"/>
          </w:tcPr>
          <w:p>
            <w:pPr>
              <w:spacing w:after="0"/>
              <w:rPr>
                <w:sz w:val="19"/>
                <w:szCs w:val="19"/>
                <w:color w:val="auto"/>
              </w:rPr>
            </w:pPr>
          </w:p>
        </w:tc>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5,640</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1,473</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3,124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2,157</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12,394</w:t>
            </w:r>
          </w:p>
        </w:tc>
        <w:tc>
          <w:tcPr>
            <w:tcW w:w="100" w:type="dxa"/>
            <w:vAlign w:val="bottom"/>
          </w:tcPr>
          <w:p>
            <w:pPr>
              <w:spacing w:after="0"/>
              <w:rPr>
                <w:sz w:val="19"/>
                <w:szCs w:val="19"/>
                <w:color w:val="auto"/>
              </w:rPr>
            </w:pPr>
          </w:p>
        </w:tc>
      </w:tr>
      <w:tr>
        <w:trPr>
          <w:trHeight w:val="223"/>
        </w:trPr>
        <w:tc>
          <w:tcPr>
            <w:tcW w:w="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sales</w:t>
            </w: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30,257</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14,450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17,312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13,029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75,048</w:t>
            </w:r>
          </w:p>
        </w:tc>
        <w:tc>
          <w:tcPr>
            <w:tcW w:w="100" w:type="dxa"/>
            <w:vAlign w:val="bottom"/>
          </w:tcPr>
          <w:p>
            <w:pPr>
              <w:spacing w:after="0"/>
              <w:rPr>
                <w:sz w:val="19"/>
                <w:szCs w:val="19"/>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by contract type</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Fixed-price</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20,393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10,523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10,766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45,200</w:t>
            </w:r>
          </w:p>
        </w:tc>
        <w:tc>
          <w:tcPr>
            <w:tcW w:w="100" w:type="dxa"/>
            <w:vAlign w:val="bottom"/>
          </w:tcPr>
          <w:p>
            <w:pPr>
              <w:spacing w:after="0"/>
              <w:rPr>
                <w:sz w:val="19"/>
                <w:szCs w:val="19"/>
                <w:color w:val="auto"/>
              </w:rPr>
            </w:pPr>
          </w:p>
        </w:tc>
      </w:tr>
      <w:tr>
        <w:trPr>
          <w:trHeight w:val="230"/>
        </w:trPr>
        <w:tc>
          <w:tcPr>
            <w:tcW w:w="60" w:type="dxa"/>
            <w:vAlign w:val="bottom"/>
            <w:tcBorders>
              <w:bottom w:val="single" w:sz="8" w:color="auto"/>
            </w:tcBorders>
            <w:shd w:val="clear" w:color="auto" w:fill="CCEEFF"/>
          </w:tcPr>
          <w:p>
            <w:pPr>
              <w:spacing w:after="0"/>
              <w:rPr>
                <w:sz w:val="19"/>
                <w:szCs w:val="19"/>
                <w:color w:val="auto"/>
              </w:rPr>
            </w:pPr>
          </w:p>
        </w:tc>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Cost-reimbursable</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9,864</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3,927</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6,546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9,511</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29,848</w:t>
            </w:r>
          </w:p>
        </w:tc>
        <w:tc>
          <w:tcPr>
            <w:tcW w:w="100" w:type="dxa"/>
            <w:vAlign w:val="bottom"/>
          </w:tcPr>
          <w:p>
            <w:pPr>
              <w:spacing w:after="0"/>
              <w:rPr>
                <w:sz w:val="19"/>
                <w:szCs w:val="19"/>
                <w:color w:val="auto"/>
              </w:rPr>
            </w:pPr>
          </w:p>
        </w:tc>
      </w:tr>
      <w:tr>
        <w:trPr>
          <w:trHeight w:val="223"/>
        </w:trPr>
        <w:tc>
          <w:tcPr>
            <w:tcW w:w="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sales</w:t>
            </w: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30,257</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14,450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17,312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13,029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75,048</w:t>
            </w:r>
          </w:p>
        </w:tc>
        <w:tc>
          <w:tcPr>
            <w:tcW w:w="100" w:type="dxa"/>
            <w:vAlign w:val="bottom"/>
          </w:tcPr>
          <w:p>
            <w:pPr>
              <w:spacing w:after="0"/>
              <w:rPr>
                <w:sz w:val="19"/>
                <w:szCs w:val="19"/>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by customer</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19,307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10,194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11,126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12,785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53,412</w:t>
            </w:r>
          </w:p>
        </w:tc>
        <w:tc>
          <w:tcPr>
            <w:tcW w:w="100" w:type="dxa"/>
            <w:vAlign w:val="bottom"/>
          </w:tcPr>
          <w:p>
            <w:pPr>
              <w:spacing w:after="0"/>
              <w:rPr>
                <w:sz w:val="19"/>
                <w:szCs w:val="19"/>
                <w:color w:val="auto"/>
              </w:rPr>
            </w:pPr>
          </w:p>
        </w:tc>
      </w:tr>
      <w:tr>
        <w:trPr>
          <w:trHeight w:val="230"/>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1"/>
                <w:szCs w:val="21"/>
                <w:color w:val="auto"/>
                <w:vertAlign w:val="superscript"/>
              </w:rPr>
              <w:t>(a)</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10,916</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4,245</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5,967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21,343</w:t>
            </w:r>
          </w:p>
        </w:tc>
        <w:tc>
          <w:tcPr>
            <w:tcW w:w="100" w:type="dxa"/>
            <w:vAlign w:val="bottom"/>
          </w:tcPr>
          <w:p>
            <w:pPr>
              <w:spacing w:after="0"/>
              <w:rPr>
                <w:sz w:val="19"/>
                <w:szCs w:val="19"/>
                <w:color w:val="auto"/>
              </w:rPr>
            </w:pPr>
          </w:p>
        </w:tc>
      </w:tr>
      <w:tr>
        <w:trPr>
          <w:trHeight w:val="229"/>
        </w:trPr>
        <w:tc>
          <w:tcPr>
            <w:tcW w:w="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commercial and other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tcPr>
          <w:p>
            <w:pPr>
              <w:spacing w:after="0"/>
              <w:rPr>
                <w:sz w:val="19"/>
                <w:szCs w:val="19"/>
                <w:color w:val="auto"/>
              </w:rPr>
            </w:pPr>
          </w:p>
        </w:tc>
      </w:tr>
      <w:tr>
        <w:trPr>
          <w:trHeight w:val="223"/>
        </w:trPr>
        <w:tc>
          <w:tcPr>
            <w:tcW w:w="60" w:type="dxa"/>
            <w:vAlign w:val="bottom"/>
            <w:tcBorders>
              <w:bottom w:val="single" w:sz="8" w:color="auto"/>
            </w:tcBorders>
            <w:shd w:val="clear" w:color="auto" w:fill="CCEEFF"/>
          </w:tcPr>
          <w:p>
            <w:pPr>
              <w:spacing w:after="0"/>
              <w:rPr>
                <w:sz w:val="19"/>
                <w:szCs w:val="19"/>
                <w:color w:val="auto"/>
              </w:rPr>
            </w:pPr>
          </w:p>
        </w:tc>
        <w:tc>
          <w:tcPr>
            <w:tcW w:w="4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sales</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30,257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14,450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17,312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13,029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75,048</w:t>
            </w:r>
          </w:p>
        </w:tc>
        <w:tc>
          <w:tcPr>
            <w:tcW w:w="100" w:type="dxa"/>
            <w:vAlign w:val="bottom"/>
          </w:tcPr>
          <w:p>
            <w:pPr>
              <w:spacing w:after="0"/>
              <w:rPr>
                <w:sz w:val="19"/>
                <w:szCs w:val="19"/>
                <w:color w:val="auto"/>
              </w:rPr>
            </w:pPr>
          </w:p>
        </w:tc>
      </w:tr>
      <w:tr>
        <w:trPr>
          <w:trHeight w:val="22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Sales by geographic region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19,341</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10,205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11,345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12,814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53,705</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Europe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5,567</w:t>
            </w:r>
          </w:p>
        </w:tc>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1,728</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1,411</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100" w:type="dxa"/>
            <w:vAlign w:val="bottom"/>
          </w:tcPr>
          <w:p>
            <w:pPr>
              <w:spacing w:after="0"/>
              <w:rPr>
                <w:sz w:val="19"/>
                <w:szCs w:val="19"/>
                <w:color w:val="auto"/>
              </w:rPr>
            </w:pPr>
          </w:p>
        </w:tc>
      </w:tr>
      <w:tr>
        <w:trPr>
          <w:trHeight w:val="229"/>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3,825</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1,065</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2,816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7,815</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Middle East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589</w:t>
            </w:r>
          </w:p>
        </w:tc>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1,383</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885</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2,864</w:t>
            </w:r>
          </w:p>
        </w:tc>
        <w:tc>
          <w:tcPr>
            <w:tcW w:w="100" w:type="dxa"/>
            <w:vAlign w:val="bottom"/>
          </w:tcPr>
          <w:p>
            <w:pPr>
              <w:spacing w:after="0"/>
              <w:rPr>
                <w:sz w:val="19"/>
                <w:szCs w:val="19"/>
                <w:color w:val="auto"/>
              </w:rPr>
            </w:pPr>
          </w:p>
        </w:tc>
      </w:tr>
      <w:tr>
        <w:trPr>
          <w:trHeight w:val="229"/>
        </w:trPr>
        <w:tc>
          <w:tcPr>
            <w:tcW w:w="60" w:type="dxa"/>
            <w:vAlign w:val="bottom"/>
            <w:tcBorders>
              <w:bottom w:val="single" w:sz="8" w:color="auto"/>
            </w:tcBorders>
            <w:shd w:val="clear" w:color="auto" w:fill="CCEEFF"/>
          </w:tcPr>
          <w:p>
            <w:pPr>
              <w:spacing w:after="0"/>
              <w:rPr>
                <w:sz w:val="19"/>
                <w:szCs w:val="19"/>
                <w:color w:val="auto"/>
              </w:rPr>
            </w:pPr>
          </w:p>
        </w:tc>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935</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100" w:type="dxa"/>
            <w:vAlign w:val="bottom"/>
          </w:tcPr>
          <w:p>
            <w:pPr>
              <w:spacing w:after="0"/>
              <w:rPr>
                <w:sz w:val="19"/>
                <w:szCs w:val="19"/>
                <w:color w:val="auto"/>
              </w:rPr>
            </w:pPr>
          </w:p>
        </w:tc>
      </w:tr>
      <w:tr>
        <w:trPr>
          <w:trHeight w:val="230"/>
        </w:trPr>
        <w:tc>
          <w:tcPr>
            <w:tcW w:w="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sales</w:t>
            </w: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30,257</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14,450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17,312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13,029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75,048</w:t>
            </w:r>
          </w:p>
        </w:tc>
        <w:tc>
          <w:tcPr>
            <w:tcW w:w="100" w:type="dxa"/>
            <w:vAlign w:val="bottom"/>
          </w:tcPr>
          <w:p>
            <w:pPr>
              <w:spacing w:after="0"/>
              <w:rPr>
                <w:sz w:val="20"/>
                <w:szCs w:val="20"/>
                <w:color w:val="auto"/>
              </w:rPr>
            </w:pPr>
          </w:p>
        </w:tc>
      </w:tr>
      <w:tr>
        <w:trPr>
          <w:trHeight w:val="513"/>
        </w:trPr>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MFC</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23,598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59,277</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5,020</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00" w:type="dxa"/>
            <w:vAlign w:val="bottom"/>
            <w:tcBorders>
              <w:left w:val="single" w:sz="8" w:color="CCEEFF"/>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28,618</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71,043</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by contract type</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19,603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42,728</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Cost-reimbursable</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9,015</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100" w:type="dxa"/>
            <w:vAlign w:val="bottom"/>
            <w:tcBorders>
              <w:left w:val="single" w:sz="8" w:color="CCEEFF"/>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28,618</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71,043</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by customer</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19,314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(a)</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18,515</w:t>
            </w: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commercial and other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28,618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71,043</w:t>
            </w:r>
          </w:p>
        </w:tc>
        <w:tc>
          <w:tcPr>
            <w:tcW w:w="100" w:type="dxa"/>
            <w:vAlign w:val="bottom"/>
            <w:tcBorders>
              <w:left w:val="single" w:sz="8" w:color="CCEEFF"/>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 by geographic region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19,436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52,528</w:t>
            </w: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tcBorders>
              <w:left w:val="single" w:sz="8" w:color="CCEEFF"/>
            </w:tcBorders>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4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28,618</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71,043</w:t>
            </w:r>
          </w:p>
        </w:tc>
        <w:tc>
          <w:tcPr>
            <w:tcW w:w="100" w:type="dxa"/>
            <w:vAlign w:val="bottom"/>
          </w:tcPr>
          <w:p>
            <w:pPr>
              <w:spacing w:after="0"/>
              <w:rPr>
                <w:sz w:val="20"/>
                <w:szCs w:val="20"/>
                <w:color w:val="auto"/>
              </w:rPr>
            </w:pPr>
          </w:p>
        </w:tc>
      </w:tr>
      <w:tr>
        <w:trPr>
          <w:trHeight w:val="783"/>
        </w:trPr>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4"/>
        </w:trPr>
        <w:tc>
          <w:tcPr>
            <w:tcW w:w="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MFC</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22,758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10,675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56,265</w:t>
            </w:r>
          </w:p>
        </w:tc>
      </w:tr>
      <w:tr>
        <w:trPr>
          <w:trHeight w:val="230"/>
        </w:trPr>
        <w:tc>
          <w:tcPr>
            <w:tcW w:w="4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1,930</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r>
      <w:tr>
        <w:trPr>
          <w:trHeight w:val="223"/>
        </w:trPr>
        <w:tc>
          <w:tcPr>
            <w:tcW w:w="4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27,474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16,239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12,605</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67,571</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by contract type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40,004</w:t>
            </w:r>
          </w:p>
        </w:tc>
      </w:tr>
      <w:tr>
        <w:trPr>
          <w:trHeight w:val="230"/>
        </w:trPr>
        <w:tc>
          <w:tcPr>
            <w:tcW w:w="4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Cost-reimbursable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8,810</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3,592</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9,329</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27,567</w:t>
            </w:r>
          </w:p>
        </w:tc>
      </w:tr>
      <w:tr>
        <w:trPr>
          <w:trHeight w:val="223"/>
        </w:trPr>
        <w:tc>
          <w:tcPr>
            <w:tcW w:w="4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27,474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16,239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12,605</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67,571</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by customer</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18,311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12,382</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49,423</w:t>
            </w:r>
          </w:p>
        </w:tc>
      </w:tr>
      <w:tr>
        <w:trPr>
          <w:trHeight w:val="230"/>
        </w:trPr>
        <w:tc>
          <w:tcPr>
            <w:tcW w:w="4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w:t>
            </w:r>
          </w:p>
        </w:tc>
      </w:tr>
      <w:tr>
        <w:trPr>
          <w:trHeight w:val="229"/>
        </w:trPr>
        <w:tc>
          <w:tcPr>
            <w:tcW w:w="4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commercial and other</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3"/>
        </w:trPr>
        <w:tc>
          <w:tcPr>
            <w:tcW w:w="45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27,474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67,571</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 by geographic region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w:t>
            </w: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4,898</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1,265</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1,844</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29"/>
        </w:trPr>
        <w:tc>
          <w:tcPr>
            <w:tcW w:w="4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30"/>
        </w:trPr>
        <w:tc>
          <w:tcPr>
            <w:tcW w:w="4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27,474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16,239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12,605</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67,571</w:t>
            </w:r>
          </w:p>
        </w:tc>
      </w:tr>
    </w:tbl>
    <w:p>
      <w:pPr>
        <w:spacing w:after="0" w:line="135" w:lineRule="exact"/>
        <w:rPr>
          <w:sz w:val="20"/>
          <w:szCs w:val="20"/>
          <w:color w:val="auto"/>
        </w:rPr>
      </w:pPr>
    </w:p>
    <w:p>
      <w:pPr>
        <w:ind w:left="340" w:hanging="332"/>
        <w:spacing w:after="0" w:line="225" w:lineRule="auto"/>
        <w:tabs>
          <w:tab w:leader="none" w:pos="335"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FMS contracted through the U.S. Government, direct commercial sales with international governments and commercial and other sales to international customers.</w:t>
      </w:r>
    </w:p>
    <w:p>
      <w:pPr>
        <w:spacing w:after="0" w:line="164"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Our Aeronautics business segment includes our largest program, the F-35 Lightning II Joint Strike Fighter, an international multi-role, multi-variant, stealth fighter aircraft. Sales for the F-35 program represented approximately 27% of our consolidated sales during 2025 and 26% during both 2024 and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PP&amp;E Depreciation and Software Amortization</w:t>
            </w: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45"/>
        </w:trPr>
        <w:tc>
          <w:tcPr>
            <w:tcW w:w="67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15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6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342</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business segment capital expenditures</w:t>
            </w:r>
          </w:p>
        </w:tc>
        <w:tc>
          <w:tcPr>
            <w:tcW w:w="15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1,323</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1,454</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30"/>
        </w:trPr>
        <w:tc>
          <w:tcPr>
            <w:tcW w:w="6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activities</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326</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6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1,685</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PP&amp;E depreciation and software amortization</w:t>
            </w: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15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6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business segment depreciation and amortization</w:t>
            </w:r>
          </w:p>
        </w:tc>
        <w:tc>
          <w:tcPr>
            <w:tcW w:w="15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1,212</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1,132</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30"/>
        </w:trPr>
        <w:tc>
          <w:tcPr>
            <w:tcW w:w="67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activities </w:t>
            </w:r>
            <w:r>
              <w:rPr>
                <w:rFonts w:ascii="Times New Roman" w:cs="Times New Roman" w:eastAsia="Times New Roman" w:hAnsi="Times New Roman"/>
                <w:sz w:val="23"/>
                <w:szCs w:val="23"/>
                <w:color w:val="auto"/>
                <w:vertAlign w:val="superscript"/>
              </w:rPr>
              <w:t>(a)</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475</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3"/>
        </w:trPr>
        <w:tc>
          <w:tcPr>
            <w:tcW w:w="6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1,687</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r>
    </w:tbl>
    <w:p>
      <w:pPr>
        <w:spacing w:after="0" w:line="6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of purchased intangibles.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966"/>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6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for each of our business segments were as follows (in millions):</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7"/>
        </w:trPr>
        <w:tc>
          <w:tcPr>
            <w:tcW w:w="1280" w:type="dxa"/>
            <w:vAlign w:val="bottom"/>
            <w:tcBorders>
              <w:bottom w:val="single" w:sz="8" w:color="auto"/>
            </w:tcBorders>
          </w:tcPr>
          <w:p>
            <w:pPr>
              <w:spacing w:after="0"/>
              <w:rPr>
                <w:sz w:val="22"/>
                <w:szCs w:val="22"/>
                <w:color w:val="auto"/>
              </w:rPr>
            </w:pPr>
          </w:p>
        </w:tc>
        <w:tc>
          <w:tcPr>
            <w:tcW w:w="60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2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14,673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w:t>
            </w:r>
          </w:p>
        </w:tc>
      </w:tr>
      <w:tr>
        <w:trPr>
          <w:trHeight w:val="229"/>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0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6,304</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r>
      <w:tr>
        <w:trPr>
          <w:trHeight w:val="23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0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16,576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w:t>
            </w:r>
          </w:p>
        </w:tc>
      </w:tr>
      <w:tr>
        <w:trPr>
          <w:trHeight w:val="229"/>
        </w:trPr>
        <w:tc>
          <w:tcPr>
            <w:tcW w:w="732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20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7,755</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2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business segment assets</w:t>
            </w:r>
          </w:p>
        </w:tc>
        <w:tc>
          <w:tcPr>
            <w:tcW w:w="20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45,308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43,588</w:t>
            </w:r>
          </w:p>
        </w:tc>
      </w:tr>
      <w:tr>
        <w:trPr>
          <w:trHeight w:val="229"/>
        </w:trPr>
        <w:tc>
          <w:tcPr>
            <w:tcW w:w="7320" w:type="dxa"/>
            <w:vAlign w:val="bottom"/>
            <w:tcBorders>
              <w:bottom w:val="single" w:sz="8" w:color="auto"/>
            </w:tcBorders>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assets </w:t>
            </w:r>
            <w:r>
              <w:rPr>
                <w:rFonts w:ascii="Times New Roman" w:cs="Times New Roman" w:eastAsia="Times New Roman" w:hAnsi="Times New Roman"/>
                <w:sz w:val="21"/>
                <w:szCs w:val="21"/>
                <w:color w:val="auto"/>
                <w:vertAlign w:val="superscript"/>
              </w:rPr>
              <w:t>(a)</w:t>
            </w:r>
          </w:p>
        </w:tc>
        <w:tc>
          <w:tcPr>
            <w:tcW w:w="20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14,532</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r>
      <w:tr>
        <w:trPr>
          <w:trHeight w:val="230"/>
        </w:trPr>
        <w:tc>
          <w:tcPr>
            <w:tcW w:w="7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59,840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55,617</w:t>
            </w:r>
          </w:p>
        </w:tc>
      </w:tr>
    </w:tbl>
    <w:p>
      <w:pPr>
        <w:spacing w:after="0" w:line="108" w:lineRule="exact"/>
        <w:rPr>
          <w:sz w:val="20"/>
          <w:szCs w:val="20"/>
          <w:color w:val="auto"/>
        </w:rPr>
      </w:pPr>
    </w:p>
    <w:p>
      <w:pPr>
        <w:ind w:left="340" w:right="20" w:hanging="332"/>
        <w:spacing w:after="0" w:line="225" w:lineRule="auto"/>
        <w:tabs>
          <w:tab w:leader="none" w:pos="335"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assets primarily include cash and cash equivalents, deferred income taxes, assets for the portion of environmental costs that are probable of future recovery, property, plant and equipment used in our corporate operations, assets held in a trust for deferred compensation plans, and other marketable investments.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Receivables, net, Contract Assets and Contract Liabilities</w:t>
            </w:r>
          </w:p>
        </w:tc>
        <w:tc>
          <w:tcPr>
            <w:tcW w:w="1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9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contract assets and contract liabilities were as follows (in millions):</w:t>
            </w: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7"/>
        </w:trPr>
        <w:tc>
          <w:tcPr>
            <w:tcW w:w="76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3,901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17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13,001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w:t>
            </w:r>
          </w:p>
        </w:tc>
      </w:tr>
      <w:tr>
        <w:trPr>
          <w:trHeight w:val="237"/>
        </w:trPr>
        <w:tc>
          <w:tcPr>
            <w:tcW w:w="7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7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11,440</w:t>
            </w: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net consist of approximately $3.0 billion from the U.S. Government and $877 million from other governments and commercial customers as of December 31, 2025. Substantially all accounts receivable at December 31, 2025 are expected to be collected in 2026. We do not believe we have significant exposure to credit risk as the majority of our accounts receivable are due from the U.S. Government either as the ultimate customer or in connection with foreign military sales.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are net of progress payments and performance based payments from our customers as well as advance payments from non-U.S. government customers totaling approximately $56.5 billion and $55.6 billion as of December 31, 2025 and 2024. Contract assets increased $44 million during 2025. There were no significant credit or impairment losses related to our contract assets during 2025 and 2024. We expect to bill our customers for the majority of the December 31, 2025 contract assets during 2026.</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increased $1.6 billion during 2025, primarily due to payments received in excess of revenue recognized on these performance obligations (primarily on the C-130 and F-35 programs at Aeronautics and Sikorsky at RMS). During 2025, we recognized $6.3 billion of our contract liabilities at December 31, 2024 as revenue. During 2024, we recognized $5.9 billion of our contract liabilities at December 31, 2023 as revenue. During 2023, we recognized $5.1 billion of our contract liabilities at December 31, 2022 as revenue.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tc>
        <w:tc>
          <w:tcPr>
            <w:tcW w:w="2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 (in millions):</w:t>
            </w:r>
          </w:p>
        </w:tc>
        <w:tc>
          <w:tcPr>
            <w:tcW w:w="2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64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spares and supplies</w:t>
            </w:r>
          </w:p>
        </w:tc>
        <w:tc>
          <w:tcPr>
            <w:tcW w:w="2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9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2,667</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9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3,524</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to fulfill a contract in advance of the contract being awarded are included in inventories as work-in-process if we determine that those costs relate directly to a contract or to an anticipated contract that we can specifically identify and determine that the contract award is probable, the costs generate or enhance resources that will be used in satisfying performance obligations, and the costs are recoverable (referred to as pre-contract costs). These advanced procurement costs are generally incurred in order to enhance our ability to achieve schedule and certain customer milestones. Pre-contract costs that are initially capitalized in inventory are generally recognized as operating costs consistent with the transfer of products and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to the customer upon the receipt of the anticipated contract. All other pre-contract costs, including start-up costs, are expensed as incurred. As of both December 31, 2025 and 2024, $1.5 billion of pre-contract costs (primarily F-35 and classified contracts at our Aeronautics business segment and Sikorsky programs at our RMS business segment) were included in work-in-process inventories.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tc>
        <w:tc>
          <w:tcPr>
            <w:tcW w:w="2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millions):</w:t>
            </w: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71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0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10,209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10,941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r>
      <w:tr>
        <w:trPr>
          <w:trHeight w:val="229"/>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1,806</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0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23,103</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22,219</w:t>
            </w:r>
          </w:p>
        </w:tc>
      </w:tr>
      <w:tr>
        <w:trPr>
          <w:trHeight w:val="223"/>
        </w:trPr>
        <w:tc>
          <w:tcPr>
            <w:tcW w:w="7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(14,228)</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(13,493)</w:t>
            </w:r>
          </w:p>
        </w:tc>
      </w:tr>
      <w:tr>
        <w:trPr>
          <w:trHeight w:val="230"/>
        </w:trPr>
        <w:tc>
          <w:tcPr>
            <w:tcW w:w="7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8,875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r>
    </w:tbl>
    <w:p>
      <w:pPr>
        <w:spacing w:after="0" w:line="252" w:lineRule="exact"/>
        <w:rPr>
          <w:sz w:val="20"/>
          <w:szCs w:val="20"/>
          <w:color w:val="auto"/>
        </w:rPr>
      </w:pPr>
    </w:p>
    <w:p>
      <w:pPr>
        <w:ind w:right="2140"/>
        <w:spacing w:after="0" w:line="461" w:lineRule="auto"/>
        <w:rPr>
          <w:sz w:val="20"/>
          <w:szCs w:val="20"/>
          <w:color w:val="auto"/>
        </w:rPr>
      </w:pPr>
      <w:r>
        <w:rPr>
          <w:rFonts w:ascii="Times New Roman" w:cs="Times New Roman" w:eastAsia="Times New Roman" w:hAnsi="Times New Roman"/>
          <w:sz w:val="18"/>
          <w:szCs w:val="18"/>
          <w:color w:val="auto"/>
        </w:rPr>
        <w:t xml:space="preserve">Depreciation expense related to plant and equipment was $1.0 billion in 2025, $967 million in 2024 and $920 million in 2023. </w:t>
      </w:r>
      <w:r>
        <w:rPr>
          <w:rFonts w:ascii="Times New Roman" w:cs="Times New Roman" w:eastAsia="Times New Roman" w:hAnsi="Times New Roman"/>
          <w:sz w:val="18"/>
          <w:szCs w:val="18"/>
          <w:b w:val="1"/>
          <w:bCs w:val="1"/>
          <w:color w:val="auto"/>
        </w:rPr>
        <w:t>Note 7 – Goodwill and Acquired Intangibles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business segment were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MFC</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30"/>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2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3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6,712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2,074</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11,067</w:t>
            </w:r>
          </w:p>
        </w:tc>
      </w:tr>
      <w:tr>
        <w:trPr>
          <w:trHeight w:val="22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217</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r>
      <w:tr>
        <w:trPr>
          <w:trHeight w:val="229"/>
        </w:trPr>
        <w:tc>
          <w:tcPr>
            <w:tcW w:w="3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6,737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2,292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11,314</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our acquired intangible assets consisted of the following (useful life in years, $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1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Pr>
          <w:p>
            <w:pPr>
              <w:spacing w:after="0"/>
              <w:rPr>
                <w:sz w:val="14"/>
                <w:szCs w:val="14"/>
                <w:color w:val="auto"/>
              </w:rPr>
            </w:pPr>
          </w:p>
        </w:tc>
        <w:tc>
          <w:tcPr>
            <w:tcW w:w="9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2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4"/>
                <w:szCs w:val="14"/>
                <w:color w:val="auto"/>
              </w:rPr>
            </w:pPr>
          </w:p>
        </w:tc>
        <w:tc>
          <w:tcPr>
            <w:tcW w:w="12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9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right w:val="single" w:sz="8" w:color="auto"/>
            </w:tcBorders>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programs</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3 - 20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3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5 - 10</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w:t>
            </w:r>
          </w:p>
        </w:tc>
        <w:tc>
          <w:tcPr>
            <w:tcW w:w="24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5 - 10</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3,561</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(2,511)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(2,258)</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w:t>
            </w:r>
          </w:p>
        </w:tc>
        <w:tc>
          <w:tcPr>
            <w:tcW w:w="1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837</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acquired intangibles</w:t>
            </w: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(2,511)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w:t>
            </w:r>
          </w:p>
        </w:tc>
        <w:tc>
          <w:tcPr>
            <w:tcW w:w="1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finite-lived intangible assets are amortized to expense primarily on a straight-line basis over their estimated useful lives.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finite-lived intangible assets was $254 million for 2025 and $247 million for both 2024 and 2023. Estimated future amortization expense is as follows: $199 million in 2026; $198 million in 2027; $193 million in 2028; $184 million in 2029; and $121 million in 2030.</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enter into operating lease agreements for facilities, land and equipment. Our ROU operating lease assets were $976 million at December 31, 2025. Operating lease liabilities were $1.1 billion, of which $825 million were classified as noncurrent, at December 31, 2025. New ROU operating lease assets and liabilities entered into during 2025 were $133 million. The weighted average remaining lease term and discount rate for our operating leases were approximately 6.6 years and 3.8% at December 31,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operating lease expense of $258 million, $260 million and $273 million in 2025, 2024 and 2023. In addition, we made cash payments of $256 million, $258 million and $267 million for operating leases in 2025, 2024 and 2023, which are included in cash flows from operating activities in our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Future minimum lease commitments at December 31, 2025 were as follows (in millions):</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1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5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2029</w:t>
            </w:r>
          </w:p>
        </w:tc>
        <w:tc>
          <w:tcPr>
            <w:tcW w:w="6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2030</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2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1,212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279</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215</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177</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shd w:val="clear" w:color="auto" w:fill="CCEEFF"/>
          </w:tcPr>
          <w:p>
            <w:pPr>
              <w:spacing w:after="0"/>
              <w:rPr>
                <w:sz w:val="19"/>
                <w:szCs w:val="19"/>
                <w:color w:val="auto"/>
              </w:rPr>
            </w:pPr>
          </w:p>
        </w:tc>
      </w:tr>
      <w:tr>
        <w:trPr>
          <w:trHeight w:val="230"/>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230"/>
        </w:trPr>
        <w:tc>
          <w:tcPr>
            <w:tcW w:w="1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1,071</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r>
      <w:tr>
        <w:trPr>
          <w:trHeight w:val="486"/>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5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U.S. and foreign income before income tax expense are as follows (in millions):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1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22"/>
                <w:szCs w:val="22"/>
                <w:color w:val="auto"/>
              </w:rPr>
            </w:pPr>
          </w:p>
        </w:tc>
      </w:tr>
      <w:tr>
        <w:trPr>
          <w:trHeight w:val="223"/>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5,531</w:t>
            </w:r>
          </w:p>
        </w:tc>
        <w:tc>
          <w:tcPr>
            <w:tcW w:w="40" w:type="dxa"/>
            <w:vAlign w:val="bottom"/>
          </w:tcPr>
          <w:p>
            <w:pPr>
              <w:spacing w:after="0"/>
              <w:rPr>
                <w:sz w:val="19"/>
                <w:szCs w:val="19"/>
                <w:color w:val="auto"/>
              </w:rPr>
            </w:pPr>
          </w:p>
        </w:tc>
      </w:tr>
      <w:tr>
        <w:trPr>
          <w:trHeight w:val="230"/>
        </w:trPr>
        <w:tc>
          <w:tcPr>
            <w:tcW w:w="1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391</w:t>
            </w:r>
          </w:p>
        </w:tc>
        <w:tc>
          <w:tcPr>
            <w:tcW w:w="40" w:type="dxa"/>
            <w:vAlign w:val="bottom"/>
            <w:tcBorders>
              <w:bottom w:val="single" w:sz="8" w:color="auto"/>
            </w:tcBorders>
            <w:shd w:val="clear" w:color="auto" w:fill="CCEEFF"/>
          </w:tcPr>
          <w:p>
            <w:pPr>
              <w:spacing w:after="0"/>
              <w:rPr>
                <w:sz w:val="19"/>
                <w:szCs w:val="19"/>
                <w:color w:val="auto"/>
              </w:rPr>
            </w:pPr>
          </w:p>
        </w:tc>
      </w:tr>
      <w:tr>
        <w:trPr>
          <w:trHeight w:val="230"/>
        </w:trPr>
        <w:tc>
          <w:tcPr>
            <w:tcW w:w="3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 expense</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5,922</w:t>
            </w:r>
          </w:p>
        </w:tc>
        <w:tc>
          <w:tcPr>
            <w:tcW w:w="40" w:type="dxa"/>
            <w:vAlign w:val="bottom"/>
            <w:tcBorders>
              <w:bottom w:val="single" w:sz="8" w:color="auto"/>
            </w:tcBorders>
          </w:tcPr>
          <w:p>
            <w:pPr>
              <w:spacing w:after="0"/>
              <w:rPr>
                <w:sz w:val="20"/>
                <w:szCs w:val="20"/>
                <w:color w:val="auto"/>
              </w:rPr>
            </w:pPr>
          </w:p>
        </w:tc>
      </w:tr>
      <w:tr>
        <w:trPr>
          <w:trHeight w:val="554"/>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Provisions</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5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Federal and foreign income tax expense consisted of the following (in millions):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1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2"/>
                <w:szCs w:val="22"/>
                <w:color w:val="auto"/>
              </w:rPr>
            </w:pPr>
          </w:p>
        </w:tc>
      </w:tr>
      <w:tr>
        <w:trPr>
          <w:trHeight w:val="223"/>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 (benefit):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1,352</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40" w:type="dxa"/>
            <w:vAlign w:val="bottom"/>
          </w:tcPr>
          <w:p>
            <w:pPr>
              <w:spacing w:after="0"/>
              <w:rPr>
                <w:sz w:val="19"/>
                <w:szCs w:val="19"/>
                <w:color w:val="auto"/>
              </w:rPr>
            </w:pPr>
          </w:p>
        </w:tc>
      </w:tr>
      <w:tr>
        <w:trPr>
          <w:trHeight w:val="230"/>
        </w:trPr>
        <w:tc>
          <w:tcPr>
            <w:tcW w:w="1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374</w:t>
            </w:r>
          </w:p>
        </w:tc>
        <w:tc>
          <w:tcPr>
            <w:tcW w:w="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0" w:type="dxa"/>
            <w:vAlign w:val="bottom"/>
          </w:tcPr>
          <w:p>
            <w:pPr>
              <w:spacing w:after="0"/>
              <w:rPr>
                <w:sz w:val="19"/>
                <w:szCs w:val="19"/>
                <w:color w:val="auto"/>
              </w:rPr>
            </w:pPr>
          </w:p>
        </w:tc>
      </w:tr>
      <w:tr>
        <w:trPr>
          <w:trHeight w:val="22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federal income tax expense</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785</w:t>
            </w: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40" w:type="dxa"/>
            <w:vAlign w:val="bottom"/>
          </w:tcPr>
          <w:p>
            <w:pPr>
              <w:spacing w:after="0"/>
              <w:rPr>
                <w:sz w:val="19"/>
                <w:szCs w:val="19"/>
                <w:color w:val="auto"/>
              </w:rPr>
            </w:pPr>
          </w:p>
        </w:tc>
      </w:tr>
      <w:tr>
        <w:trPr>
          <w:trHeight w:val="229"/>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expense (benefit):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w:t>
            </w: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9"/>
                <w:szCs w:val="19"/>
                <w:color w:val="auto"/>
              </w:rPr>
            </w:pPr>
          </w:p>
        </w:tc>
      </w:tr>
      <w:tr>
        <w:trPr>
          <w:trHeight w:val="230"/>
        </w:trPr>
        <w:tc>
          <w:tcPr>
            <w:tcW w:w="1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r>
      <w:tr>
        <w:trPr>
          <w:trHeight w:val="223"/>
        </w:trPr>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foreign income tax expense</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w:t>
            </w: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9"/>
                <w:szCs w:val="19"/>
                <w:color w:val="auto"/>
              </w:rPr>
            </w:pPr>
          </w:p>
        </w:tc>
      </w:tr>
      <w:tr>
        <w:trPr>
          <w:trHeight w:val="230"/>
        </w:trPr>
        <w:tc>
          <w:tcPr>
            <w:tcW w:w="334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 expense</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905</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0" w:type="dxa"/>
            <w:vAlign w:val="bottom"/>
          </w:tcPr>
          <w:p>
            <w:pPr>
              <w:spacing w:after="0"/>
              <w:rPr>
                <w:sz w:val="20"/>
                <w:szCs w:val="20"/>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net state income tax expense was $84 million for 2025, $121 million for 2024, and $115 million for 2023. State income taxes are allowable costs in establishing prices for the products and services we sell to the U.S. Government. Therefore, state income tax expenses are included in operating costs and expenses. As a result, the impact of certain transactions on our operating profit and of other matters presented in these consolidated financial statements is disclosed net of state income taxes.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expense to actual income tax expense is as follows (in millions):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7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Borders>
              <w:bottom w:val="single" w:sz="8" w:color="auto"/>
            </w:tcBorders>
          </w:tcPr>
          <w:p>
            <w:pPr>
              <w:spacing w:after="0"/>
              <w:rPr>
                <w:sz w:val="19"/>
                <w:szCs w:val="19"/>
                <w:color w:val="auto"/>
              </w:rPr>
            </w:pPr>
          </w:p>
        </w:tc>
      </w:tr>
      <w:tr>
        <w:trPr>
          <w:trHeight w:val="223"/>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the U.S. federal statutory tax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1,244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shd w:val="clear" w:color="auto" w:fill="CCEEFF"/>
          </w:tcPr>
          <w:p>
            <w:pPr>
              <w:spacing w:after="0"/>
              <w:rPr>
                <w:sz w:val="19"/>
                <w:szCs w:val="19"/>
                <w:color w:val="auto"/>
              </w:rPr>
            </w:pPr>
          </w:p>
        </w:tc>
      </w:tr>
      <w:tr>
        <w:trPr>
          <w:trHeight w:val="230"/>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2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(187)</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9"/>
                <w:szCs w:val="19"/>
                <w:color w:val="auto"/>
              </w:rPr>
            </w:pPr>
          </w:p>
        </w:tc>
      </w:tr>
      <w:tr>
        <w:trPr>
          <w:trHeight w:val="229"/>
        </w:trPr>
        <w:tc>
          <w:tcPr>
            <w:tcW w:w="8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(97)</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r>
      <w:tr>
        <w:trPr>
          <w:trHeight w:val="229"/>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(142)</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r>
      <w:tr>
        <w:trPr>
          <w:trHeight w:val="229"/>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with tax authorities</w:t>
            </w:r>
          </w:p>
        </w:tc>
        <w:tc>
          <w:tcPr>
            <w:tcW w:w="12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110</w:t>
            </w: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r>
      <w:tr>
        <w:trPr>
          <w:trHeight w:val="229"/>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(48)</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shd w:val="clear" w:color="auto" w:fill="CCEEFF"/>
          </w:tcPr>
          <w:p>
            <w:pPr>
              <w:spacing w:after="0"/>
              <w:rPr>
                <w:sz w:val="19"/>
                <w:szCs w:val="19"/>
                <w:color w:val="auto"/>
              </w:rPr>
            </w:pPr>
          </w:p>
        </w:tc>
      </w:tr>
      <w:tr>
        <w:trPr>
          <w:trHeight w:val="230"/>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tax effects</w:t>
            </w:r>
          </w:p>
        </w:tc>
        <w:tc>
          <w:tcPr>
            <w:tcW w:w="12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72</w:t>
            </w: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r>
      <w:tr>
        <w:trPr>
          <w:trHeight w:val="229"/>
        </w:trPr>
        <w:tc>
          <w:tcPr>
            <w:tcW w:w="8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deductible dividends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(68)</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r>
      <w:tr>
        <w:trPr>
          <w:trHeight w:val="230"/>
        </w:trPr>
        <w:tc>
          <w:tcPr>
            <w:tcW w:w="8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21</w:t>
            </w: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auto"/>
            </w:tcBorders>
          </w:tcPr>
          <w:p>
            <w:pPr>
              <w:spacing w:after="0"/>
              <w:rPr>
                <w:sz w:val="19"/>
                <w:szCs w:val="19"/>
                <w:color w:val="auto"/>
              </w:rPr>
            </w:pPr>
          </w:p>
        </w:tc>
      </w:tr>
      <w:tr>
        <w:trPr>
          <w:trHeight w:val="230"/>
        </w:trPr>
        <w:tc>
          <w:tcPr>
            <w:tcW w:w="89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905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15.3 %</w:t>
            </w:r>
          </w:p>
        </w:tc>
        <w:tc>
          <w:tcPr>
            <w:tcW w:w="100" w:type="dxa"/>
            <w:vAlign w:val="bottom"/>
            <w:tcBorders>
              <w:bottom w:val="single" w:sz="8" w:color="auto"/>
            </w:tcBorders>
            <w:shd w:val="clear" w:color="auto" w:fill="CCEEFF"/>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expense to actual income tax expense is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the U.S. federal statutory tax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1,306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1,701</w:t>
            </w: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14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(210)</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(185)</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(207)</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(227)</w:t>
            </w:r>
          </w:p>
        </w:tc>
        <w:tc>
          <w:tcPr>
            <w:tcW w:w="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deductible dividends</w:t>
            </w:r>
          </w:p>
        </w:tc>
        <w:tc>
          <w:tcPr>
            <w:tcW w:w="14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tax benefits for stock-based payment awards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c>
          <w:tcPr>
            <w:tcW w:w="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90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84</w:t>
            </w: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1,178</w:t>
            </w:r>
          </w:p>
        </w:tc>
        <w:tc>
          <w:tcPr>
            <w:tcW w:w="8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14.5 %</w:t>
            </w:r>
          </w:p>
        </w:tc>
      </w:tr>
    </w:tbl>
    <w:p>
      <w:pPr>
        <w:spacing w:after="0" w:line="7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net includes foreign income tax expenses for all years.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higher effective income tax rate in 2025 was attributable to the One Big Beautiful Bill Act (the Tax Act) primarily driven by lower tax deductions for foreign derived intangible income partially offset by the favorable resolution of certain federal income tax audit items with the Internal Revenue Service (IRS). The rates for all periods benefited from research and development tax credits, dividends paid to our defined contribution plans with an employee stock ownership plan feature, tax deductions for foreign derived intangible income and employee equity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Payments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taxes paid by jurisdiction consisted of the following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644</w:t>
            </w:r>
          </w:p>
        </w:tc>
      </w:tr>
      <w:tr>
        <w:trPr>
          <w:trHeight w:val="230"/>
        </w:trPr>
        <w:tc>
          <w:tcPr>
            <w:tcW w:w="5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144</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paid</w:t>
            </w:r>
          </w:p>
        </w:tc>
        <w:tc>
          <w:tcPr>
            <w:tcW w:w="45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788</w:t>
            </w:r>
          </w:p>
        </w:tc>
      </w:tr>
    </w:tbl>
    <w:p>
      <w:pPr>
        <w:spacing w:after="0" w:line="252" w:lineRule="exact"/>
        <w:rPr>
          <w:sz w:val="20"/>
          <w:szCs w:val="20"/>
          <w:color w:val="auto"/>
        </w:rPr>
      </w:pPr>
    </w:p>
    <w:p>
      <w:pPr>
        <w:ind w:left="5540" w:right="1560" w:hanging="5525"/>
        <w:spacing w:after="0" w:line="423" w:lineRule="auto"/>
        <w:rPr>
          <w:sz w:val="20"/>
          <w:szCs w:val="20"/>
          <w:color w:val="auto"/>
        </w:rPr>
      </w:pPr>
      <w:r>
        <w:rPr>
          <w:rFonts w:ascii="Times New Roman" w:cs="Times New Roman" w:eastAsia="Times New Roman" w:hAnsi="Times New Roman"/>
          <w:sz w:val="18"/>
          <w:szCs w:val="18"/>
          <w:color w:val="auto"/>
        </w:rPr>
        <w:t>Our federal and foreign income tax payments, net of refunds, were $788 million in 2025, $1.3 billion in 2024 and $1.8 billion in 2023.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96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 in unrecognized tax benefits were as follows (in millions):</w:t>
            </w: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7"/>
        </w:trPr>
        <w:tc>
          <w:tcPr>
            <w:tcW w:w="1280" w:type="dxa"/>
            <w:vAlign w:val="bottom"/>
            <w:tcBorders>
              <w:bottom w:val="single" w:sz="8" w:color="auto"/>
            </w:tcBorders>
          </w:tcPr>
          <w:p>
            <w:pPr>
              <w:spacing w:after="0"/>
              <w:rPr>
                <w:sz w:val="22"/>
                <w:szCs w:val="22"/>
                <w:color w:val="auto"/>
              </w:rPr>
            </w:pPr>
          </w:p>
        </w:tc>
        <w:tc>
          <w:tcPr>
            <w:tcW w:w="5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29"/>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8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4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8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9"/>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1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6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5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our liabilities associated with uncertain tax positions were $52 million compared to $229 million as of December 31, 2024. The decrease was primarily attributable to the favorable resolution of certain federal income tax audit items with the IRS as discussed below. This uncertain tax position, if recognized, would have an immaterial impact to our effective tax rate.</w:t>
      </w:r>
    </w:p>
    <w:p>
      <w:pPr>
        <w:spacing w:after="0" w:line="9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During the second quarter of 2025, the IRS issued a Notice of Proposed Adjustment (NOPA) dated May 20, 2025 for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2020. The proposed adjustments stemmed from a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accounting method change that was adopted in 2018 in connection with our ASC 606 implementation and the 2017 Tax Cuts and Jobs Act. This matter was resolved in the fourth quarter of 2025, and the corresponding uncertain tax position, along with any accrued interest and penalties, recorded in the second and third quarters of 2025 was removed from our December 31, 2025 balance. Also during the fourth quarter of 2025, we entered into an agreed Revenue Agent Report (RAR) for the 2018-2022 federal income tax returns, resolving the remaining open federal income tax audit issues for those years.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recognize accrued interest and penalties related to unrecognized tax benefits as part of our income tax expense. For the years ended December 31, 2025, 2024 and 2023, our accrued interest and penalties related to unrecognized tax benefits were not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components of our federal and foreign deferred income tax assets and liabilities at December 31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related to:</w:t>
            </w:r>
          </w:p>
        </w:tc>
        <w:tc>
          <w:tcPr>
            <w:tcW w:w="2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Pensions</w:t>
            </w: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999</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9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764</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accounting methods</w:t>
            </w:r>
          </w:p>
        </w:tc>
        <w:tc>
          <w:tcPr>
            <w:tcW w:w="29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1,217</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expenditures</w:t>
            </w:r>
          </w:p>
        </w:tc>
        <w:tc>
          <w:tcPr>
            <w:tcW w:w="29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1,200</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30"/>
        </w:trPr>
        <w:tc>
          <w:tcPr>
            <w:tcW w:w="6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Domestic company operating losses and credits </w:t>
            </w:r>
            <w:r>
              <w:rPr>
                <w:rFonts w:ascii="Times New Roman" w:cs="Times New Roman" w:eastAsia="Times New Roman" w:hAnsi="Times New Roman"/>
                <w:sz w:val="23"/>
                <w:szCs w:val="23"/>
                <w:color w:val="auto"/>
                <w:vertAlign w:val="superscript"/>
              </w:rPr>
              <w:t>(a)</w:t>
            </w:r>
          </w:p>
        </w:tc>
        <w:tc>
          <w:tcPr>
            <w:tcW w:w="29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63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29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6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9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4,732</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related to:</w:t>
            </w:r>
          </w:p>
        </w:tc>
        <w:tc>
          <w:tcPr>
            <w:tcW w:w="2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9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580</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512</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63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29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3"/>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1,775</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r>
    </w:tbl>
    <w:p>
      <w:pPr>
        <w:spacing w:after="0" w:line="8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Federal net operating losses do not expire. Includes foreign tax credit carryforward for 2025.</w:t>
      </w:r>
    </w:p>
    <w:p>
      <w:pPr>
        <w:ind w:left="320" w:hanging="312"/>
        <w:spacing w:after="0" w:line="191" w:lineRule="auto"/>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deferred tax assets and liabilities related to lease liabilities and ROU assets.</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and our subsidiaries file federal income tax returns in the U.S. and income tax returns in various foreign jurisdictions. With few exceptions, the statute of limitations for these jurisdictions is no longer open for audit or examination for the years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2018 with respect to various foreign jurisdictions and federal income taxes in the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subject to taxation in various states and foreign jurisdictions including Australia, Canada, India, Italy, Japan, Poland, and the United Kingdom.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or may be subject to, audit or examination and additional assessments by the relevant authorities.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2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9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Our total debt consisted of the following (in millions):</w:t>
            </w: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7"/>
        </w:trPr>
        <w:tc>
          <w:tcPr>
            <w:tcW w:w="69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4.95% due 2025</w:t>
            </w:r>
          </w:p>
        </w:tc>
        <w:tc>
          <w:tcPr>
            <w:tcW w:w="2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3.55% due 2026</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5.10% due 2027</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4.45% and 4.15% due 2028</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4.50% due 2029</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1.85% and 4.40% due 2030</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4.70% due 2031</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3.90% due 2032</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5.25% due 2033</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4.75% and 4.80% due 2034</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3.60% and 5.00% due 2035</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 and 6.15% due 2036</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1,054</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4.07% due 2042</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1,336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3.80% due 2045</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4.70% due 2046</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2.80% due 2050</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4.09% due 2052</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4.15% due 2053</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5.70% due 2054</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5.20% due 2055</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4.30% due 2062</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5.90% due 2063</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5.20% due 2064</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6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notes with rates from 4.85% to 8.50%, due 2026 to 2041</w:t>
            </w:r>
          </w:p>
        </w:tc>
        <w:tc>
          <w:tcPr>
            <w:tcW w:w="2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1,169</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22,914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w:t>
            </w:r>
          </w:p>
        </w:tc>
      </w:tr>
      <w:tr>
        <w:trPr>
          <w:trHeight w:val="230"/>
        </w:trPr>
        <w:tc>
          <w:tcPr>
            <w:tcW w:w="6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discounts and issuance costs</w:t>
            </w:r>
          </w:p>
        </w:tc>
        <w:tc>
          <w:tcPr>
            <w:tcW w:w="2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21,700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r>
      <w:tr>
        <w:trPr>
          <w:trHeight w:val="230"/>
        </w:trPr>
        <w:tc>
          <w:tcPr>
            <w:tcW w:w="6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2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20,532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19,627</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Facilities</w:t>
      </w:r>
    </w:p>
    <w:p>
      <w:pPr>
        <w:spacing w:after="0" w:line="20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December 5, 2025, we entered into a new unsecured 364-Day Revolving Credit Agreement (the 364-Day Revolving Credit Agreement), which provides for a revolving credit facility of $3.0 billion. The 364-Day Revolving Credit Agreement matures on December 4, 2026, however, we may elect to convert the entire outstanding balance into a term loan for an additional one-year, payable on December 4, 2027. The 364-Day Revolving Credit Agreement is available for any of our lawful corporate purposes, including the support of commercial paper borrowings. There were no borrowings under the 364-Day Revolving Credit Agreement at December 31, 2025.</w:t>
      </w:r>
    </w:p>
    <w:p>
      <w:pPr>
        <w:spacing w:after="0" w:line="14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24, 2022, we entered into a Revolving Credit Agreement (the Revolving Credit Agreement) with various banks which provides for a $3.0 billion five-year unsecured revolving credit facility. Effective August 28, 2025, we amended the Revolving Credit Agreement to extend the expiration date of the Revolving Credit Agreement from August 24, 2029 to</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August 24, 2030. The Revolving Credit Agreement is available for any of our lawful corporate purposes, including supporting commercial paper borrowings. There were no borrowings under the Revolving Credit Agreement at December 31, 2025 and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agreements in place with financial institutions to provide for the issuance of commercial paper. The outstanding balance of commercial paper can fluctuate daily and the amount outstanding during the period may be greater or less than the amount reported at the end of the period. There were no commercial paper borrowings outstanding as of December 31, 2025. All of our commercial paper borrowings had maturities less than three months from the date of issuance. We may, as conditions warrant, issue commercial paper backed by our revolving credit agreements to manage the timing of cash flows.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Debt</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July 23, 2025, we issued a total of $2.0 billion of senior unsecured notes, consisting of $500 million aggregate principal amount of 4.15% Notes due 2028 (2028 Notes), $750 million aggregate principal amount of 4.40% Notes due 2030 (2030 Notes) and $750 million aggregate principal amount of 5.00% Notes due 2035 (2028 Notes and, together with the 2030 Notes and 2035 Notes, the Notes). Net proceeds of $1,985 million were received from the offering after deducting pricing discounts and debt issuance costs, which are being amortized and recorded as interest expense over the term of the Notes. We will pay interest on the Notes semi-annually in arrears on February 15 and August 15 of each year with the first payment to be made on February 15, 2026. We may, at our option, redeem the Notes of any series in whole or in part at any time and from time to time at a redemption price equal to the greater of 100% of the principal amount of the Notes to be redeemed or an applicable make-whole amount, plus accrued and unpaid interest to the date of redemption. The Notes rank equally in right of payment with all of our existing unsecured and unsubordinated indebtedness.</w:t>
      </w:r>
    </w:p>
    <w:p>
      <w:pPr>
        <w:spacing w:after="0" w:line="8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December 11, 2024, we issued a total of $1.0 billion of senior unsecured notes, consisting of $600 million aggregate principal amount of 4.70% Notes due December 15, 2031 (the 2031 Notes) and $400 million aggregate principal amount of 5.20% Notes due February 15, 2055 (the 2055 Notes together with 2031 Notes, the More Recent Notes). The 2055 Notes were issued as additional notes under the indenture pursuant to the initial 2055 Notes and have the same terms as the initial 2055 Notes other than the date of issuance and the issue price. With the issuance of the 2055 Notes, the aggregate principal amount of outstanding 5.20% Notes due February 15, 2055 is $1,050 million. Net proceeds of $990 million were received from the offering after deducting pricing discounts and debt issuance costs, excluding accrued interest on the 2055 Notes. The pricing discounts and debt issuance costs are being amortized and recorded as interest expense over the term of the More Recent Notes. We will pay interest on the 2031 Notes semi-annually in arrears on June 15 and December 15 of each year, with the first payment made on June 15, 2025. We will pay interest on the 2055 notes semi-annually in arrears on February 15 and August 15 of each year, with the first payment made on February 15, 2025. We may, at our option, redeem the More Recent Notes of any series in whole or in part at any time and from time to time at a redemption price equal to the greater of 100% of the principal amount of the More Recent Notes to be redeemed or an applicable make-whole amount, plus accrued and unpaid interest to the date of redemption. The More Recent Notes rank equally in right of payment with all of our existing unsecured and unsubordinated indebtedness.</w:t>
      </w:r>
    </w:p>
    <w:p>
      <w:pPr>
        <w:spacing w:after="0" w:line="8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January 29, 2024, we issued a total of $2.0 billion of senior unsecured notes, consisting of $650 million aggregate principal amount of 4.50% Notes due 2029 (the 2029 Notes), $600 million aggregate principal amount of 4.80% Notes due 2034 (the 2034 Notes) and $750 million aggregate principal amount of 5.20% Notes due 2064 (the 2064 Notes and, together with the 2029 Notes and 2034 Notes, the Recent Notes). Net proceeds of $1.98 billion were received from the offering after deducting pricing discounts and debt issuance costs, which are being amortized and recorded as interest expense over the term of the Recent Notes. We pay interest on the Recent Notes semi-annually in arrears on February 15 and August 15 of each year with the first payment made on August 15, 2024. We may, at our option, redeem the Recent Notes of any series in whole or in part at any time and from time to time at a redemption price equal to the greater of 100% of the principal amount of the Recent Notes to be redeemed or an applicable make-whole amount, plus accrued and unpaid interest to the date of redemption. The Recent Notes rank equally in right of payment with all of our existing unsecured and unsubordinated indebtedness.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interest payments of approximately $1.0 billion, $950 million and $832 million during the years ended December 31, 2025,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Retirement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employees and retirees participate in various retirement benefit plans including defined benefit pension, retiree medical and life insurance, disability insurance, and defined contribution retirement savings plans. Substantially all of our retirement benefit obligations relate to U.S. based defined benefit pension plans and retiree medical and life insurance plans.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our U.S. defined benefit pension plans provide for benefits within limits imposed by federal tax law (referred to as qualified plans). However, certain of our U.S. defined benefit pension plans provide for benefits in excess of qualified plan limits imposed by federal tax law (referred to as nonqualified plans).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Salaried employees hired after December 31, 2005 are not eligible to participate in our qualified defined benefit pension plans, but are eligible to participate in a qualified defined contribution plan and other retirement savings plans for which they may qualify. They also have the ability to participate in our retiree medical plans, but we do not subsidize the cost of their participation in those plans as we do with employees hired before January 1, 2006. Over the last few years, we have negotiated similar changes with various labor organizations such that new union represented employees do not participate in our defined benefit pension plans. Our defined benefit pension plans for salaried employees were fully frozen effective January 1, 2020, at which time such employees no longer earn additional benefits under the defined benefit pension plans.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we executed buy-out conversions of group annuity contracts previously purchased using assets from certain of our qualified defined benefit pension plans transferring the related pension obligations of $943 million and requiring recognition of a noncash, non-operating pretax settlement charge in earnings of $479 million.</w:t>
      </w:r>
    </w:p>
    <w:p>
      <w:pPr>
        <w:spacing w:after="0" w:line="145" w:lineRule="exact"/>
        <w:rPr>
          <w:sz w:val="20"/>
          <w:szCs w:val="20"/>
          <w:color w:val="auto"/>
        </w:rPr>
      </w:pPr>
    </w:p>
    <w:p>
      <w:pPr>
        <w:ind w:right="4600"/>
        <w:spacing w:after="0" w:line="448" w:lineRule="auto"/>
        <w:rPr>
          <w:sz w:val="20"/>
          <w:szCs w:val="20"/>
          <w:color w:val="auto"/>
        </w:rPr>
      </w:pPr>
      <w:r>
        <w:rPr>
          <w:rFonts w:ascii="Times New Roman" w:cs="Times New Roman" w:eastAsia="Times New Roman" w:hAnsi="Times New Roman"/>
          <w:sz w:val="18"/>
          <w:szCs w:val="18"/>
          <w:b w:val="1"/>
          <w:bCs w:val="1"/>
          <w:color w:val="auto"/>
        </w:rPr>
        <w:t xml:space="preserve">Qualified Defined Benefit Pension Plans and Retiree Medical and Life Insurance Plans </w:t>
      </w:r>
      <w:r>
        <w:rPr>
          <w:rFonts w:ascii="Times New Roman" w:cs="Times New Roman" w:eastAsia="Times New Roman" w:hAnsi="Times New Roman"/>
          <w:sz w:val="18"/>
          <w:szCs w:val="18"/>
          <w:b w:val="1"/>
          <w:bCs w:val="1"/>
          <w:i w:val="1"/>
          <w:iCs w:val="1"/>
          <w:color w:val="auto"/>
        </w:rPr>
        <w:t>FAS (Expense) Income</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pretax FAS (expense) income related to our qualified defined benefit pension plans and retiree medical and life insurance plans included the following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Qualified Defined</w:t>
            </w:r>
          </w:p>
        </w:tc>
        <w:tc>
          <w:tcPr>
            <w:tcW w:w="6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Retiree Medical and</w:t>
            </w:r>
          </w:p>
        </w:tc>
        <w:tc>
          <w:tcPr>
            <w:tcW w:w="580" w:type="dxa"/>
            <w:vAlign w:val="bottom"/>
          </w:tcPr>
          <w:p>
            <w:pPr>
              <w:spacing w:after="0"/>
              <w:rPr>
                <w:sz w:val="17"/>
                <w:szCs w:val="17"/>
                <w:color w:val="auto"/>
              </w:rPr>
            </w:pPr>
          </w:p>
        </w:tc>
      </w:tr>
      <w:tr>
        <w:trPr>
          <w:trHeight w:val="241"/>
        </w:trPr>
        <w:tc>
          <w:tcPr>
            <w:tcW w:w="4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660" w:type="dxa"/>
            <w:vAlign w:val="bottom"/>
            <w:tcBorders>
              <w:bottom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c>
          <w:tcPr>
            <w:tcW w:w="580" w:type="dxa"/>
            <w:vAlign w:val="bottom"/>
            <w:tcBorders>
              <w:bottom w:val="single" w:sz="8" w:color="auto"/>
            </w:tcBorders>
          </w:tcPr>
          <w:p>
            <w:pPr>
              <w:spacing w:after="0"/>
              <w:rPr>
                <w:sz w:val="20"/>
                <w:szCs w:val="20"/>
                <w:color w:val="auto"/>
              </w:rPr>
            </w:pPr>
          </w:p>
        </w:tc>
      </w:tr>
      <w:tr>
        <w:trPr>
          <w:trHeight w:val="225"/>
        </w:trPr>
        <w:tc>
          <w:tcPr>
            <w:tcW w:w="4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1,439</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1,572</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w:t>
            </w:r>
          </w:p>
        </w:tc>
        <w:tc>
          <w:tcPr>
            <w:tcW w:w="4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Settlement charge</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Non-service FAS (expense) income</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FAS (expense)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the service cost component of FAS (expense) income for our qualified defined benefit pension plans and retiree medical and life insurance plans in consolidated operating profit; the non-service components of our FAS (expense) income for our qualified defined benefit pension plans in the non-service FAS pension (expense) income account; and the non-service components of our FAS income (expense) for our retiree medical and life insurance plans as part of the other non-operating income (expense), net account on our consolidated statements of earnings.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Status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benefit obligations, plan assets and net (unfunded) funded status of our qualified defined benefit pension plans and our retiree medical and life insurance plans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Qualified Defined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Retiree Medical and</w:t>
            </w:r>
          </w:p>
        </w:tc>
      </w:t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r>
      <w:tr>
        <w:trPr>
          <w:trHeight w:val="223"/>
        </w:trPr>
        <w:tc>
          <w:tcPr>
            <w:tcW w:w="62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Beginning balance </w:t>
            </w:r>
            <w:r>
              <w:rPr>
                <w:rFonts w:ascii="Times New Roman" w:cs="Times New Roman" w:eastAsia="Times New Roman" w:hAnsi="Times New Roman"/>
                <w:sz w:val="10"/>
                <w:szCs w:val="10"/>
                <w:color w:val="auto"/>
              </w:rPr>
              <w: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27,199</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1,114</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1,472</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Actuarial losses (gains) </w:t>
            </w:r>
            <w:r>
              <w:rPr>
                <w:rFonts w:ascii="Times New Roman" w:cs="Times New Roman" w:eastAsia="Times New Roman" w:hAnsi="Times New Roman"/>
                <w:sz w:val="10"/>
                <w:szCs w:val="10"/>
                <w:color w:val="auto"/>
              </w:rPr>
              <w:t>(b)</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685</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Settlements </w:t>
            </w:r>
            <w:r>
              <w:rPr>
                <w:rFonts w:ascii="Times New Roman" w:cs="Times New Roman" w:eastAsia="Times New Roman" w:hAnsi="Times New Roman"/>
                <w:sz w:val="10"/>
                <w:szCs w:val="10"/>
                <w:color w:val="auto"/>
              </w:rPr>
              <w:t>(c)</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(943)</w:t>
            </w:r>
          </w:p>
        </w:tc>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amendments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(1,733)</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(176)</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 Part D subsidy</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6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Ending balance </w:t>
            </w:r>
            <w:r>
              <w:rPr>
                <w:rFonts w:ascii="Times New Roman" w:cs="Times New Roman" w:eastAsia="Times New Roman" w:hAnsi="Times New Roman"/>
                <w:sz w:val="10"/>
                <w:szCs w:val="10"/>
                <w:color w:val="auto"/>
              </w:rPr>
              <w:t>(a)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26,735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1,092</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at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22,414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1,678</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Actual return on plan assets </w:t>
            </w:r>
            <w:r>
              <w:rPr>
                <w:rFonts w:ascii="Times New Roman" w:cs="Times New Roman" w:eastAsia="Times New Roman" w:hAnsi="Times New Roman"/>
                <w:sz w:val="10"/>
                <w:szCs w:val="10"/>
                <w:color w:val="auto"/>
              </w:rPr>
              <w:t>(d)</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2,252</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205</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Settlements </w:t>
            </w:r>
            <w:r>
              <w:rPr>
                <w:rFonts w:ascii="Times New Roman" w:cs="Times New Roman" w:eastAsia="Times New Roman" w:hAnsi="Times New Roman"/>
                <w:sz w:val="10"/>
                <w:szCs w:val="10"/>
                <w:color w:val="auto"/>
              </w:rPr>
              <w:t>(c)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(943)</w:t>
            </w:r>
          </w:p>
        </w:tc>
        <w:tc>
          <w:tcPr>
            <w:tcW w:w="38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(1,733)</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(176)</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contributions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860</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Medicare Part D subsidy</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w:t>
            </w: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6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Ending balance at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22,850</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1,758</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30"/>
        </w:trPr>
        <w:tc>
          <w:tcPr>
            <w:tcW w:w="6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(Unfunded) funded status of the plans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(3,885)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60" w:type="dxa"/>
            <w:vAlign w:val="bottom"/>
            <w:tcBorders>
              <w:bottom w:val="single" w:sz="8" w:color="auto"/>
              <w:right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666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bl>
    <w:p>
      <w:pPr>
        <w:spacing w:after="0" w:line="81" w:lineRule="exact"/>
        <w:rPr>
          <w:sz w:val="20"/>
          <w:szCs w:val="20"/>
          <w:color w:val="auto"/>
        </w:rPr>
      </w:pPr>
    </w:p>
    <w:p>
      <w:pPr>
        <w:ind w:left="340" w:hanging="332"/>
        <w:spacing w:after="0" w:line="225" w:lineRule="auto"/>
        <w:tabs>
          <w:tab w:leader="none" w:pos="335"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Benefit obligation balances represent the projected benefit obligation for our qualified defined benefit pension plans, which is approximately equal to accumulated benefit obligation, and accumulated benefit obligation for our retiree medical and life insurance plans.</w:t>
      </w:r>
    </w:p>
    <w:p>
      <w:pPr>
        <w:jc w:val="both"/>
        <w:ind w:left="340" w:hanging="332"/>
        <w:spacing w:after="0" w:line="254" w:lineRule="auto"/>
        <w:tabs>
          <w:tab w:leader="none" w:pos="328"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Actuarial losses for our qualified defined benefit pension plans in 2025 primarily reflect a decrease in the discount rate from 5.625% at December 31, 2024 to 5.375% at December 31, 2025, which increased benefit obligations by approximately $700 million. Actuarial losses for our retiree medical and life insurance plans in 2025 primarily reflect a decrease in the discount rate from 5.50% at December 31, 2024 to 5.25% at December 31, 2025. Actuarial gains for our qualified defined benefit pension plans in 2024 primarily reflect an increase in the discount rate from 5.00% at December 31, 2023 to 5.625% at December 31, 2024, which decreased benefit obligations by approximately $1.8 billion offset by net losses of approximately $250 million due to changes in demographic data and assumptions. Actuarial gains for our retiree medical and life insurance plans in 2024 primarily reflect an increase in the discount rate from 5.00% at December 31, 2023 to 5.50% at December 31, 2024 and gains due to changes in demographic data and assumptions.</w:t>
      </w:r>
    </w:p>
    <w:p>
      <w:pPr>
        <w:ind w:left="340" w:right="20" w:hanging="332"/>
        <w:spacing w:after="0" w:line="218" w:lineRule="auto"/>
        <w:tabs>
          <w:tab w:leader="none" w:pos="335"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Qualified defined benefit pension plan settlements in 2025 represent the transfer of gross defined benefit pension obligations and related plan assets to insurance companies as described above.</w:t>
      </w:r>
    </w:p>
    <w:p>
      <w:pPr>
        <w:spacing w:after="0" w:line="1" w:lineRule="exact"/>
        <w:rPr>
          <w:rFonts w:ascii="Times New Roman" w:cs="Times New Roman" w:eastAsia="Times New Roman" w:hAnsi="Times New Roman"/>
          <w:sz w:val="21"/>
          <w:szCs w:val="21"/>
          <w:color w:val="auto"/>
          <w:vertAlign w:val="superscript"/>
        </w:rPr>
      </w:pPr>
    </w:p>
    <w:p>
      <w:pPr>
        <w:ind w:left="340" w:right="20" w:hanging="332"/>
        <w:spacing w:after="0" w:line="222" w:lineRule="auto"/>
        <w:tabs>
          <w:tab w:leader="none" w:pos="32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Actual return on plan assets for our qualified defined benefit pension plans was approximately 10.5% in 2025 and 1% in 2024 versus the 6.50% long-term rate of return assumption.</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recognize the net funded status of each retirement plan on a standalone basis as either an asset or a liability on our consolidated balance sheet. The funded status is measured as the difference between the fair value of each plan’s assets and the benefit obligation. Each year we measure the fair value of each plan’s assets and benefit obligation on December 31, consistent with our fiscal year end. Each plan’s benefit obligation reflects assumptions in effect as of the measurement date as described below. For certain of our qualified defined benefit pension plans and retiree medical and life insurance plans the plan assets may exceed the benefit obligation, for which we recognize the net amount as an asset on our consolidated balance sheet. Conversely, for most of our qualified defined benefit pension plans the benefit obligation exceeds plan assets, for which we recognize the net amount as a liability on our consolidated balance sheet.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amounts recognized on our consolidated balance sheets related to our qualified defined benefit pension plans and our retiree medical and life insurance plans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Qualified Defined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Retiree Medical and</w:t>
            </w:r>
          </w:p>
        </w:tc>
      </w:t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r>
      <w:tr>
        <w:trPr>
          <w:trHeight w:val="223"/>
        </w:trPr>
        <w:tc>
          <w:tcPr>
            <w:tcW w:w="62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666</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pension liabilities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(3,915)</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(unfunded) funded status of the plans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(3,885)</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60" w:type="dxa"/>
            <w:vAlign w:val="bottom"/>
            <w:tcBorders>
              <w:bottom w:val="single" w:sz="8" w:color="auto"/>
              <w:right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666</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Differences between the actual return and expected return on plan assets during the year, and changes in the benefit obligation for our qualified defined benefit pension plans and retiree medical and life insurance plans due to changes in the annual valuation assumptions, generate actuarial losses or gains. Additionally, the benefit obligation for our qualified defined benefit pension plans and retiree medical and life insurance plans may increase or decrease as a result of plan amendments that affect the benefits to plan participants related to service for periods prior to the effective date of the amendment, which generates prior service costs or credits. Actuarial losses or gains, and prior service costs or credits, are initially deferred in accumulated other comprehensive loss and subsequently amortized for each plan into (expense) or income on a straight-line basis either over the average remaining life expectancy or over the average remaining service period of plan participants, subject to certain thresholds.</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amount of actuarial losses or gains, and prior service costs or credits, recognized in accumulated other comprehensive loss related to qualified defined benefit pension plans and retiree medical and life insurance plans at December 31 (in millions):</w:t>
      </w:r>
    </w:p>
    <w:tbl>
      <w:tblPr>
        <w:tblLayout w:type="fixed"/>
        <w:tblInd w:w="0" w:type="dxa"/>
        <w:tblCellMar>
          <w:top w:w="0" w:type="dxa"/>
          <w:left w:w="0" w:type="dxa"/>
          <w:bottom w:w="0" w:type="dxa"/>
          <w:right w:w="0" w:type="dxa"/>
        </w:tblCellMar>
      </w:tblPr>
      <w:tr>
        <w:trPr>
          <w:trHeight w:val="181"/>
        </w:trPr>
        <w:tc>
          <w:tcPr>
            <w:tcW w:w="5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tcBorders>
              <w:right w:val="single" w:sz="8" w:color="auto"/>
            </w:tcBorders>
            <w:gridSpan w:val="4"/>
          </w:tcPr>
          <w:p>
            <w:pPr>
              <w:ind w:left="220"/>
              <w:spacing w:after="0" w:line="181" w:lineRule="exact"/>
              <w:rPr>
                <w:sz w:val="20"/>
                <w:szCs w:val="20"/>
                <w:color w:val="auto"/>
              </w:rPr>
            </w:pPr>
            <w:r>
              <w:rPr>
                <w:rFonts w:ascii="Times New Roman" w:cs="Times New Roman" w:eastAsia="Times New Roman" w:hAnsi="Times New Roman"/>
                <w:sz w:val="18"/>
                <w:szCs w:val="18"/>
                <w:b w:val="1"/>
                <w:bCs w:val="1"/>
                <w:color w:val="auto"/>
              </w:rPr>
              <w:t>Qualified Defined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8"/>
                <w:szCs w:val="18"/>
                <w:b w:val="1"/>
                <w:bCs w:val="1"/>
                <w:color w:val="auto"/>
              </w:rPr>
              <w:t>Retiree Medical and</w:t>
            </w:r>
          </w:p>
        </w:tc>
      </w:tr>
      <w:tr>
        <w:trPr>
          <w:trHeight w:val="241"/>
        </w:trPr>
        <w:tc>
          <w:tcPr>
            <w:tcW w:w="5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r>
      <w:tr>
        <w:trPr>
          <w:trHeight w:val="225"/>
        </w:trPr>
        <w:tc>
          <w:tcPr>
            <w:tcW w:w="5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pre-tax related to:</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(losses) gains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(9,549)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526</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Pr>
          <w:p>
            <w:pPr>
              <w:spacing w:after="0"/>
              <w:rPr>
                <w:sz w:val="19"/>
                <w:szCs w:val="19"/>
                <w:color w:val="auto"/>
              </w:rPr>
            </w:pPr>
          </w:p>
        </w:tc>
      </w:tr>
      <w:tr>
        <w:trPr>
          <w:trHeight w:val="229"/>
        </w:trPr>
        <w:tc>
          <w:tcPr>
            <w:tcW w:w="51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1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(120)</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23"/>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(9,669)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528</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tcPr>
          <w:p>
            <w:pPr>
              <w:spacing w:after="0"/>
              <w:rPr>
                <w:sz w:val="19"/>
                <w:szCs w:val="19"/>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tax</w:t>
            </w:r>
          </w:p>
        </w:tc>
        <w:tc>
          <w:tcPr>
            <w:tcW w:w="1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2,048</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(112)</w:t>
            </w: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9"/>
                <w:szCs w:val="19"/>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amount recognized in accumulated other comprehensive (loss)</w:t>
            </w: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(7,621)</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2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416</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20"/>
                <w:szCs w:val="20"/>
                <w:color w:val="auto"/>
              </w:rPr>
            </w:pPr>
          </w:p>
        </w:tc>
      </w:tr>
      <w:tr>
        <w:trPr>
          <w:trHeight w:val="675"/>
        </w:trPr>
        <w:tc>
          <w:tcPr>
            <w:tcW w:w="518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5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the changes recognized in accumulated other comprehensive loss, net of tax, for actuarial losses or gains and prior service costs or credits due to differences between the actual return and expected return on plan assets and changes in the fair value of the benefit obligation recognized in connection with our annual remeasurement and the amortization during the year for our qualified defined benefit pension plans, retiree medical and life insurance plans, and certain other plans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Incurred but Not Yet</w:t>
            </w:r>
          </w:p>
        </w:tc>
        <w:tc>
          <w:tcPr>
            <w:tcW w:w="6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Recognition of</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76"/>
        </w:trPr>
        <w:tc>
          <w:tcPr>
            <w:tcW w:w="4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Recognized in</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Previously</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1"/>
        </w:trPr>
        <w:tc>
          <w:tcPr>
            <w:tcW w:w="4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FAS Expense</w:t>
            </w: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Deferred Amounts</w:t>
            </w:r>
          </w:p>
        </w:tc>
        <w:tc>
          <w:tcPr>
            <w:tcW w:w="640" w:type="dxa"/>
            <w:vAlign w:val="bottom"/>
            <w:tcBorders>
              <w:bottom w:val="single" w:sz="8" w:color="auto"/>
            </w:tcBorders>
          </w:tcPr>
          <w:p>
            <w:pPr>
              <w:spacing w:after="0"/>
              <w:rPr>
                <w:sz w:val="20"/>
                <w:szCs w:val="20"/>
                <w:color w:val="auto"/>
              </w:rPr>
            </w:pPr>
          </w:p>
        </w:tc>
      </w:tr>
      <w:tr>
        <w:trPr>
          <w:trHeight w:val="225"/>
        </w:trPr>
        <w:tc>
          <w:tcPr>
            <w:tcW w:w="4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Actuarial (losses) and gains</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Retiree medical and life insurance plans</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plans</w:t>
            </w: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4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342</w:t>
            </w: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Prior service (costs) and credits</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medical and life insurance plans</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plans</w:t>
            </w: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340</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 Used to Determine Benefit Obligations and FAS (Expense) Income</w:t>
      </w:r>
    </w:p>
    <w:p>
      <w:pPr>
        <w:spacing w:after="0" w:line="25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measure the fair value of each plan’s assets and benefit obligation on December 31, consistent with our fiscal year end. Benefit obligations as of the end of each year reflect assumptions in effect as of those dates. Expense is based on assumptions in effect at the end of the preceding year or from the most recent interim remeasurement. The assumptions used to determine the benefit obligations at December 31 of each year and FAS expense for each subsequent year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Qualified Defined Benefit</w:t>
            </w: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Retiree Medical and</w:t>
            </w:r>
          </w:p>
        </w:tc>
        <w:tc>
          <w:tcPr>
            <w:tcW w:w="780" w:type="dxa"/>
            <w:vAlign w:val="bottom"/>
          </w:tcPr>
          <w:p>
            <w:pPr>
              <w:spacing w:after="0"/>
              <w:rPr>
                <w:sz w:val="18"/>
                <w:szCs w:val="18"/>
                <w:color w:val="auto"/>
              </w:rPr>
            </w:pPr>
          </w:p>
        </w:tc>
      </w:tr>
      <w:tr>
        <w:trPr>
          <w:trHeight w:val="241"/>
        </w:trPr>
        <w:tc>
          <w:tcPr>
            <w:tcW w:w="38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680" w:type="dxa"/>
            <w:vAlign w:val="bottom"/>
            <w:tcBorders>
              <w:bottom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c>
          <w:tcPr>
            <w:tcW w:w="780" w:type="dxa"/>
            <w:vAlign w:val="bottom"/>
            <w:tcBorders>
              <w:bottom w:val="single" w:sz="8" w:color="auto"/>
            </w:tcBorders>
          </w:tcPr>
          <w:p>
            <w:pPr>
              <w:spacing w:after="0"/>
              <w:rPr>
                <w:sz w:val="20"/>
                <w:szCs w:val="20"/>
                <w:color w:val="auto"/>
              </w:rPr>
            </w:pPr>
          </w:p>
        </w:tc>
      </w:tr>
      <w:tr>
        <w:trPr>
          <w:trHeight w:val="225"/>
        </w:trPr>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5.375 %</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5.625 %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5.250 %</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5.500 %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5.000 %</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6.50 %</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6.50 %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6.50 %</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6.50 %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trend rate assumed for next year</w:t>
            </w:r>
          </w:p>
        </w:tc>
        <w:tc>
          <w:tcPr>
            <w:tcW w:w="1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8.25 %</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8.50 %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Ultimate health care trend rate</w:t>
            </w: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4.50 %</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4.50 %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37"/>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ultimate health care trend rate is reached</w:t>
            </w:r>
          </w:p>
        </w:tc>
        <w:tc>
          <w:tcPr>
            <w:tcW w:w="1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2041</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2041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long-term rate of return assumption represents the expected long-term rate of earnings on the funds invested, or to be invested, to provide for the benefits included in the benefit obligations. That assumption is based on several factors including historical market index returns, the anticipated long-term allocation of plan assets, the historical return data for the trust funds, plan expenses and the potential to outperform market index returns. The actual investment return for our qualified defined benefit pension plans during 2025 was approximately 10.5%.</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Assets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wholly owned subsidiary, Lockheed Martin Investment Management Company (LMIMCo), has the fiduciary responsibility for making investment decisions related to the assets of our retirement benefit plans. LMIMCo’s investment objectives for the assets of these plans are (1) to minimize the net present value of expected funding contributions; (2) to ensure there is a high probability that each plan meets or exceeds our actuarial long-term rate of return assumptions; and (3) to diversify assets to minimize the risk of large losses. The nature and duration of benefit obligations, along with assumptions concerning asset class returns and return correlations, are considered when determining an appropriate asset allocation to achieve the investment objectives. Investment policies and strategies governing the assets of the plans are designed to achieve investment objectives within prudent risk parameters. Risk management practices include the use of external investment managers; the maintenance of a portfolio diversified by asset class, investment approach and security holdings; and the maintenance of sufficient liquidity to meet benefit obligations as they come due.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LMIMCo’s investment policies require that asset allocations be maintained within the following approximate ranges: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7460" w:type="dxa"/>
            <w:vAlign w:val="bottom"/>
            <w:gridSpan w:val="2"/>
          </w:tcPr>
          <w:p>
            <w:pPr>
              <w:jc w:val="center"/>
              <w:ind w:left="5350"/>
              <w:spacing w:after="0"/>
              <w:rPr>
                <w:sz w:val="20"/>
                <w:szCs w:val="20"/>
                <w:color w:val="auto"/>
              </w:rPr>
            </w:pPr>
            <w:r>
              <w:rPr>
                <w:rFonts w:ascii="Times New Roman" w:cs="Times New Roman" w:eastAsia="Times New Roman" w:hAnsi="Times New Roman"/>
                <w:sz w:val="18"/>
                <w:szCs w:val="18"/>
                <w:b w:val="1"/>
                <w:bCs w:val="1"/>
                <w:color w:val="auto"/>
                <w:w w:val="97"/>
              </w:rPr>
              <w:t>Asset Allocation</w:t>
            </w: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7460" w:type="dxa"/>
            <w:vAlign w:val="bottom"/>
            <w:gridSpan w:val="2"/>
          </w:tcPr>
          <w:p>
            <w:pPr>
              <w:jc w:val="center"/>
              <w:ind w:left="5330"/>
              <w:spacing w:after="0"/>
              <w:rPr>
                <w:sz w:val="20"/>
                <w:szCs w:val="20"/>
                <w:color w:val="auto"/>
              </w:rPr>
            </w:pPr>
            <w:r>
              <w:rPr>
                <w:rFonts w:ascii="Times New Roman" w:cs="Times New Roman" w:eastAsia="Times New Roman" w:hAnsi="Times New Roman"/>
                <w:sz w:val="18"/>
                <w:szCs w:val="18"/>
                <w:b w:val="1"/>
                <w:bCs w:val="1"/>
                <w:color w:val="auto"/>
                <w:w w:val="99"/>
              </w:rPr>
              <w:t>Ranges</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40" w:type="dxa"/>
            <w:vAlign w:val="bottom"/>
            <w:tcBorders>
              <w:top w:val="single" w:sz="8" w:color="auto"/>
            </w:tcBorders>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9"/>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Equity</w:t>
            </w:r>
          </w:p>
        </w:tc>
        <w:tc>
          <w:tcPr>
            <w:tcW w:w="7440" w:type="dxa"/>
            <w:vAlign w:val="bottom"/>
          </w:tcPr>
          <w:p>
            <w:pPr>
              <w:jc w:val="center"/>
              <w:ind w:left="5370"/>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7440" w:type="dxa"/>
            <w:vAlign w:val="bottom"/>
            <w:shd w:val="clear" w:color="auto" w:fill="CCEEFF"/>
          </w:tcPr>
          <w:p>
            <w:pPr>
              <w:jc w:val="center"/>
              <w:ind w:left="537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Alternative investments:</w:t>
            </w:r>
          </w:p>
        </w:tc>
        <w:tc>
          <w:tcPr>
            <w:tcW w:w="7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 funds</w:t>
            </w:r>
          </w:p>
        </w:tc>
        <w:tc>
          <w:tcPr>
            <w:tcW w:w="7440" w:type="dxa"/>
            <w:vAlign w:val="bottom"/>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9"/>
              </w:rPr>
              <w:t>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funds</w:t>
            </w:r>
          </w:p>
        </w:tc>
        <w:tc>
          <w:tcPr>
            <w:tcW w:w="7440" w:type="dxa"/>
            <w:vAlign w:val="bottom"/>
          </w:tcPr>
          <w:p>
            <w:pPr>
              <w:jc w:val="center"/>
              <w:ind w:left="5350"/>
              <w:spacing w:after="0"/>
              <w:rPr>
                <w:sz w:val="20"/>
                <w:szCs w:val="20"/>
                <w:color w:val="auto"/>
              </w:rPr>
            </w:pPr>
            <w:r>
              <w:rPr>
                <w:rFonts w:ascii="Times New Roman" w:cs="Times New Roman" w:eastAsia="Times New Roman" w:hAnsi="Times New Roman"/>
                <w:sz w:val="18"/>
                <w:szCs w:val="18"/>
                <w:color w:val="auto"/>
                <w:w w:val="99"/>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 funds</w:t>
            </w:r>
          </w:p>
        </w:tc>
        <w:tc>
          <w:tcPr>
            <w:tcW w:w="7440" w:type="dxa"/>
            <w:vAlign w:val="bottom"/>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9"/>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Commodities</w:t>
            </w:r>
          </w:p>
        </w:tc>
        <w:tc>
          <w:tcPr>
            <w:tcW w:w="7440" w:type="dxa"/>
            <w:vAlign w:val="bottom"/>
            <w:tcBorders>
              <w:bottom w:val="single" w:sz="8" w:color="auto"/>
            </w:tcBorders>
          </w:tcPr>
          <w:p>
            <w:pPr>
              <w:jc w:val="center"/>
              <w:ind w:left="5350"/>
              <w:spacing w:after="0"/>
              <w:rPr>
                <w:sz w:val="20"/>
                <w:szCs w:val="20"/>
                <w:color w:val="auto"/>
              </w:rPr>
            </w:pPr>
            <w:r>
              <w:rPr>
                <w:rFonts w:ascii="Times New Roman" w:cs="Times New Roman" w:eastAsia="Times New Roman" w:hAnsi="Times New Roman"/>
                <w:sz w:val="18"/>
                <w:szCs w:val="18"/>
                <w:color w:val="auto"/>
                <w:w w:val="99"/>
              </w:rPr>
              <w:t>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7440" w:type="dxa"/>
            <w:vAlign w:val="bottom"/>
          </w:tcPr>
          <w:p>
            <w:pPr>
              <w:jc w:val="right"/>
              <w:ind w:right="541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8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fair value of the assets of our qualified defined benefit pension plans and retiree medical and life insurance plans by asset category and their level within the fair value hierarchy (see “Note 1 – Organization and Significant Accounting Policies - Investments” for definition of these levels), which we are required to disclose even though these assets are not separately recorded on our consolidated balance sheet. Certain investments are measured at their Net Asset Value (NAV) per share because such investments do not have readily determinable fair values and, therefore, are not required to be categorized in the fair value hierarchy. Assets measured at NAV have been included in the table below to permit reconciliation of the fair value hierarchy to amounts presented in the funded status table above.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measured at fair value</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10"/>
                <w:szCs w:val="10"/>
                <w:color w:val="auto"/>
              </w:rPr>
              <w:t>(a)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10"/>
                <w:szCs w:val="10"/>
                <w:color w:val="auto"/>
              </w:rPr>
              <w:t>(a)</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equity securities</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3,363</w:t>
            </w:r>
          </w:p>
        </w:tc>
        <w:tc>
          <w:tcPr>
            <w:tcW w:w="2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3,309</w:t>
            </w:r>
          </w:p>
        </w:tc>
        <w:tc>
          <w:tcPr>
            <w:tcW w:w="2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3,158</w:t>
            </w:r>
          </w:p>
        </w:tc>
        <w:tc>
          <w:tcPr>
            <w:tcW w:w="2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2,551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2,538</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1,827</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Commingled equity funds</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w:t>
            </w:r>
          </w:p>
        </w:tc>
        <w:tc>
          <w:tcPr>
            <w:tcW w:w="2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w:t>
            </w:r>
          </w:p>
        </w:tc>
        <w:tc>
          <w:tcPr>
            <w:tcW w:w="2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w:t>
            </w:r>
          </w:p>
        </w:tc>
        <w:tc>
          <w:tcPr>
            <w:tcW w:w="2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10"/>
                <w:szCs w:val="10"/>
                <w:color w:val="auto"/>
              </w:rPr>
              <w:t>(b)</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3,913</w:t>
            </w:r>
          </w:p>
        </w:tc>
        <w:tc>
          <w:tcPr>
            <w:tcW w:w="2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3,771</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4,159</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4,099</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2,267</w:t>
            </w:r>
          </w:p>
        </w:tc>
        <w:tc>
          <w:tcPr>
            <w:tcW w:w="26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28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U.S. Government-sponsored enterprise</w:t>
            </w:r>
          </w:p>
        </w:tc>
        <w:tc>
          <w:tcPr>
            <w:tcW w:w="240" w:type="dxa"/>
            <w:vAlign w:val="bottom"/>
          </w:tcPr>
          <w:p>
            <w:pPr>
              <w:spacing w:after="0"/>
              <w:rPr>
                <w:sz w:val="16"/>
                <w:szCs w:val="16"/>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1,903</w:t>
            </w:r>
          </w:p>
        </w:tc>
        <w:tc>
          <w:tcPr>
            <w:tcW w:w="2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1,903</w:t>
            </w:r>
          </w:p>
        </w:tc>
        <w:tc>
          <w:tcPr>
            <w:tcW w:w="260" w:type="dxa"/>
            <w:vAlign w:val="bottom"/>
          </w:tcPr>
          <w:p>
            <w:pPr>
              <w:spacing w:after="0"/>
              <w:rPr>
                <w:sz w:val="16"/>
                <w:szCs w:val="16"/>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1,134</w:t>
            </w: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1,134</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 net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c>
          <w:tcPr>
            <w:tcW w:w="26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fixed income investments </w:t>
            </w:r>
            <w:r>
              <w:rPr>
                <w:rFonts w:ascii="Times New Roman" w:cs="Times New Roman" w:eastAsia="Times New Roman" w:hAnsi="Times New Roman"/>
                <w:sz w:val="23"/>
                <w:szCs w:val="23"/>
                <w:color w:val="auto"/>
                <w:vertAlign w:val="superscript"/>
              </w:rPr>
              <w:t>(c)</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469</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296</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7,279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8,469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measured at NAV</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fixed income investments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 funds</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funds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2,707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3,088</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funds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1,223</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1,028</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measured at NAV</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9,483</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9,531</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Loan, net </w:t>
            </w:r>
            <w:r>
              <w:rPr>
                <w:rFonts w:ascii="Times New Roman" w:cs="Times New Roman" w:eastAsia="Times New Roman" w:hAnsi="Times New Roman"/>
                <w:sz w:val="23"/>
                <w:szCs w:val="23"/>
                <w:color w:val="auto"/>
                <w:vertAlign w:val="superscript"/>
              </w:rPr>
              <w:t>(d)</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(372)</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Receivables, net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(569)</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24,608</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24,092</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40" w:hanging="332"/>
        <w:spacing w:after="0" w:line="235" w:lineRule="auto"/>
        <w:tabs>
          <w:tab w:leader="none" w:pos="335"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and cash equivalents and equity securities include derivative assets and liabilities with fair values that were not material as of December 31, 2025 and 2024. LMIMCo’s investment policies restrict the use of derivatives to either establish long or short exposures for purposes consistent with applicable investment mandate guidelines or to hedge risks to the extent of a plan’s current exposure to such risks. Most derivative transactions are settled on a daily basis.</w:t>
      </w:r>
    </w:p>
    <w:p>
      <w:pPr>
        <w:spacing w:after="0" w:line="1" w:lineRule="exact"/>
        <w:rPr>
          <w:rFonts w:ascii="Times New Roman" w:cs="Times New Roman" w:eastAsia="Times New Roman" w:hAnsi="Times New Roman"/>
          <w:sz w:val="21"/>
          <w:szCs w:val="21"/>
          <w:color w:val="auto"/>
          <w:vertAlign w:val="superscript"/>
        </w:rPr>
      </w:pPr>
    </w:p>
    <w:p>
      <w:pPr>
        <w:jc w:val="both"/>
        <w:ind w:left="340" w:hanging="332"/>
        <w:spacing w:after="0" w:line="223" w:lineRule="auto"/>
        <w:tabs>
          <w:tab w:leader="none" w:pos="3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Fixed income securities include (i) derivative exposure for the liability hedge, which constitutes the value in interest rate swaps, and (ii) other derivative exposure with fair values that were not material as of December 31, 2025 and 2024. Interest rate swaps were refreshed to market levels and cumulative loss was realized. In 2025, $1.9 billion of cash was used to settle market-to-market loss.</w:t>
      </w:r>
    </w:p>
    <w:p>
      <w:pPr>
        <w:ind w:left="340" w:right="480" w:hanging="332"/>
        <w:spacing w:after="0" w:line="213" w:lineRule="auto"/>
        <w:tabs>
          <w:tab w:leader="none" w:pos="335"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Level 3 investments include $0 at December 31, 2025 and $1.0 billion at December 31, 2024 related to buy-in contracts. The decrease in fair value of plan assets categorized as Level 3 in 2025 compared to 2024 was primarily due to the conversion of buy-in contracts to buy-out.</w:t>
      </w:r>
    </w:p>
    <w:p>
      <w:pPr>
        <w:ind w:left="340" w:hanging="332"/>
        <w:spacing w:after="0" w:line="222" w:lineRule="auto"/>
        <w:tabs>
          <w:tab w:leader="none" w:pos="3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Lockheed Martin Corporation Master Retirement Trust (MRT) obtained a loan from a third-party financial institution, collateralized by private equity investments, to invest in fixed income securities.</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are mostly comprised of short-term money-market instruments or short-term investment funds and are valued at cost, which approximates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equity securities and international equity securities categorized as Level 1 are traded on active national and international exchanges and are valued at their closing prices on the last trading day of the year. For U.S. equity securities and international equity securities not traded on an active exchange, or if the closing price is not available, the trustee obtains indicative quotes from a pricing vendor, broker or investment manager. These securities are categorized as Level 2 if the custodian obtains corroborated quotes from a pricing vendor or categorized as Level 3 if the custodian obtains uncorroborated quotes from a broker or investment manager.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Commingled equity funds categorized as Level 1 are traded on active national and international exchanges and are valued at their closing prices on the last trading day of the year. For commingled equity funds not traded on an active exchange, or if the closing price is not available, the trustee obtains indicative quotes from a pricing vendor, broker or investment manager. These securities are categorized as Level 2 if the custodian obtains corroborated quotes from a pricing vendor.</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Fixed income investments categorized as Level 1 are publicly exchange-traded. Fixed income investments, including interest rate swaps, categorized as Level 2 are valued by the trustee using pricing models that use verifiable observable market data (e.g., interest rates and yield curves observable at commonly quoted intervals and credit spreads), bids provided by brokers or dealers or quoted prices of securities with similar characteristics. Fixed income investments are categorized as Level 3 when valuations using observable inputs are unavailable. The trustee typically obtains pricing based on indicative quotes or bid evaluations from vendors, brokers or the investment manager. In addition, certain other fixed income investments categorized as Level 3 are valued using a discounted cash flow approach. Significant inputs include projected annuity payments and the discount rate applied to those payments.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fixed income funds are recorded using the NAV practical expedient. The NAV valuations are based on the underlying investments and typically redeemable within 90 days. The NAV is the total value of the fund divided by the number of the fund’s shares outstanding.</w:t>
      </w:r>
    </w:p>
    <w:p>
      <w:pPr>
        <w:spacing w:after="0" w:line="108"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Private equity funds consist of partnerships and similar vehicles and are recorded using the NAV practical expedient. The NAV valuations are based on valuation models of the underlying securities, which includes unobservable inputs that cannot be corroborated using verifiable observable market data. These funds typically have terms between eight and 12 years.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funds consist of partnerships and similar vehicles and are recorded using the NAV practical expedient. The NAV valuations are based on valuation models and periodic appraisals. These funds typically have terms between eight and 12 years.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Hedge funds generally consist of separate accounts and commingled funds and are recorded using the NAV practical expedient. The NAV valuations are based on the valuation of the underlying investments. Redemptions in hedge funds generally range from a minimum of one month to several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Expected Benefit Payments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required funding of our qualified defined benefit pension plans is determined in accordance with ERISA, as amended, and in a manner consistent with CAS and Internal Revenue Code rules. We made $860 million of cash contributions to our qualified defined benefit pension plans in 2025. There are no expected required contributions to our qualified defined benefit pension plans in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estimated future benefit payments as of December 31, 2025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 – 2035</w:t>
            </w: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r>
      <w:tr>
        <w:trPr>
          <w:trHeight w:val="23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Retiree medical and life insurance plans</w:t>
            </w: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various trusts to fund the obligations of our qualified defined benefit pension plans and retiree medical and life insurance plans. We expect the estimated future benefit payments will be paid using assets in the trusts established for the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Defined Benefit Pension Plans and Other Postemployment Plans</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sponsor nonqualified defined benefit pension plans to provide benefits in excess of qualified plan limits imposed by federal tax law. The gross benefit obligation for these plans was $903 million and $905 million as of December 31, 2025 and 2024, most of which was recorded in the other noncurrent liabilities account on our consolidated balance sheet. We have set aside certain assets totaling $739 million and $658 million as of December 31, 2025 and 2024 in a separate trust that we expect to use to pay the benefit obligations under our nonqualified defined benefit pension plans, most of which were recorded in the other noncurrent assets account on our consolidated balance sheet. We record the gross assets on our consolidated balance sheet, rather than netting such assets with the benefit obligation for our nonqualified defined benefit pension plans, because the assets held are diversified and legally the assets may be used to settle other obligations or claims (although that is not our intent). Actuarial losses and unrecognized prior service credits related to our nonqualified defined benefit pension plans that were recorded in accumulated other comprehensive loss, pretax, totaled $324 million and $303 million at December 31, 2025 and 2024. We recognized pretax pension expense of $62 million in 2025, $62 million in 2024 and $64 million in 2023 related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nonqualified defined benefit pension plans. The assumptions used to determine the benefit obligations and FAS expense for our nonqualified defined benefit pension plans are similar to the assumptions for our qualified defined benefit pension plans described above.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sponsor other postemployment and foreign benefit plans, which are accounted for similar to defined benefit pension plans. The benefit obligations, assets, expense, and amounts recorded in accumulated other comprehensive loss for other postemployment and foreign benefit plans were not material to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Savings Plans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number of defined contribution retirement savings plans, most with 401(k) features, that cover substantially all of our U.S. employees. Under the provisions of these plans, employees can make contributions on a before-tax and after-tax basis to investment funds to save for retirement. For most plans, we make employer contributions to the employee accounts that comprise of a company non-elective contribution and a matching contribution. Company matching contributions are automatically invested in an Employee Stock Ownership Plan (ESOP) fund, which primarily invests in shares of our common stock. Plan participants can transfer from the ESOP fund into any investment option provided by the respective plan. Our contributions to defined contribution retirement savings plans were $1.3 billion and $1.2 billion in 2025 and 2024. Our defined contribution retirement savings plans held 23.5 million and 24.9 million shares of our common stock at December 31, 2025 and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and 2024, our authorized capital was composed of 1.5 billion shares of common stock and 50 million shares of series preferred stock. Of the 230 million and 235 million shares of common stock issued and outstanding as of December 31, 2025 and December 31, 2024, 229 million and 234 million shares were considered outstanding for consolidated balance sheet presentation purposes; the remaining shares were held in a separate trust. No shares of preferred stock were issued and outstanding at December 31, 2025 or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2025, we repurchased 6.6 million shares of our common stock in open market purchases for $3.0 billion. During 2024, we repurchased 7.5 million shares of our common stock for $3.7 billion in open market purchases.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total remaining authorization for future common stock repurchases under our share repurchase program was $8.3 billion as of December 31, 2025, which includes the $2.0 billion increase to our share repurchase program authorized by our Board of Directors in October </w:t>
      </w:r>
      <w:r>
        <w:rPr>
          <w:rFonts w:ascii="Times New Roman" w:cs="Times New Roman" w:eastAsia="Times New Roman" w:hAnsi="Times New Roman"/>
          <w:sz w:val="16"/>
          <w:szCs w:val="16"/>
          <w:color w:val="auto"/>
        </w:rPr>
        <w:t>2025</w:t>
      </w:r>
      <w:r>
        <w:rPr>
          <w:rFonts w:ascii="Times New Roman" w:cs="Times New Roman" w:eastAsia="Times New Roman" w:hAnsi="Times New Roman"/>
          <w:sz w:val="18"/>
          <w:szCs w:val="18"/>
          <w:color w:val="auto"/>
        </w:rPr>
        <w:t>. As we repurchase our common shares, we reduce common stock for the $1 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paid dividends totaling $3.1 billion ($13.35 per share) in 2025, $3.1 billion ($12.75 per share) in 2024 and $3.1 billion ($12.15 per share) in 2023. We paid quarterly dividends of $3.30 per share during each of the first three quarters of 2025 and $3.45 per share during the fourth quarter of 2025; $3.15 per share during each of the first three quarters of 2024 and $3.30 per share during the fourth quarter of 2024; and $3.00 per share during each of the first three quarters of 2023 and $3.15 per share during the fourth quarter of 2023.</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balance of AOCL, net of taxes, consisted of the following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52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6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AOCL</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0"/>
                <w:szCs w:val="10"/>
                <w:color w:val="auto"/>
              </w:rPr>
              <w:t>(a)</w:t>
            </w:r>
          </w:p>
        </w:tc>
        <w:tc>
          <w:tcPr>
            <w:tcW w:w="5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(7,866)</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5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Recognition of net actuarial losses</w:t>
            </w:r>
          </w:p>
        </w:tc>
        <w:tc>
          <w:tcPr>
            <w:tcW w:w="12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net prior service credits</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reclassified from AOCL</w:t>
            </w:r>
          </w:p>
        </w:tc>
        <w:tc>
          <w:tcPr>
            <w:tcW w:w="1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(8,704)</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340</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Recognition of net actuarial losses</w:t>
            </w:r>
          </w:p>
        </w:tc>
        <w:tc>
          <w:tcPr>
            <w:tcW w:w="12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w:t>
            </w:r>
          </w:p>
        </w:tc>
        <w:tc>
          <w:tcPr>
            <w:tcW w:w="5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net prior service credits</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reclassified from AOCL</w:t>
            </w:r>
          </w:p>
        </w:tc>
        <w:tc>
          <w:tcPr>
            <w:tcW w:w="1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416</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(8,288)</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w:t>
            </w:r>
          </w:p>
        </w:tc>
        <w:tc>
          <w:tcPr>
            <w:tcW w:w="5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charge </w:t>
            </w:r>
            <w:r>
              <w:rPr>
                <w:rFonts w:ascii="Times New Roman" w:cs="Times New Roman" w:eastAsia="Times New Roman" w:hAnsi="Times New Roman"/>
                <w:sz w:val="23"/>
                <w:szCs w:val="23"/>
                <w:color w:val="auto"/>
                <w:vertAlign w:val="superscript"/>
              </w:rPr>
              <w:t>(b)</w:t>
            </w:r>
          </w:p>
        </w:tc>
        <w:tc>
          <w:tcPr>
            <w:tcW w:w="12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377</w:t>
            </w:r>
          </w:p>
        </w:tc>
        <w:tc>
          <w:tcPr>
            <w:tcW w:w="5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Recognition of net actuarial losses</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218</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0" w:type="dxa"/>
            <w:vAlign w:val="bottom"/>
          </w:tcPr>
          <w:p>
            <w:pPr>
              <w:spacing w:after="0"/>
              <w:rPr>
                <w:sz w:val="1"/>
                <w:szCs w:val="1"/>
                <w:color w:val="auto"/>
              </w:rPr>
            </w:pPr>
          </w:p>
        </w:tc>
      </w:tr>
      <w:tr>
        <w:trPr>
          <w:trHeight w:val="229"/>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net prior service costs</w:t>
            </w:r>
          </w:p>
        </w:tc>
        <w:tc>
          <w:tcPr>
            <w:tcW w:w="12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w:t>
            </w:r>
          </w:p>
        </w:tc>
        <w:tc>
          <w:tcPr>
            <w:tcW w:w="5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w:t>
            </w: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reclassified from AOCL</w:t>
            </w:r>
          </w:p>
        </w:tc>
        <w:tc>
          <w:tcPr>
            <w:tcW w:w="1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634</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733</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w:t>
            </w: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(7,555)</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340" w:right="20" w:hanging="332"/>
        <w:spacing w:after="0" w:line="235" w:lineRule="auto"/>
        <w:tabs>
          <w:tab w:leader="none" w:pos="335"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AOCL related to retirement benefits is shown net of tax benefits of $2.0 billion at December 31, 2025, $2.2 billion at December 31, 2024 and $2.3 billion at December 31, 2023. These tax benefits include amounts recognized on our income tax returns as current deductions and deferred income taxes, which will be recognized on our tax returns in future years. See “Note 9 – Income Taxes” and “Note 11 – Retirement Benefits” for more information.</w:t>
      </w:r>
    </w:p>
    <w:p>
      <w:pPr>
        <w:spacing w:after="0" w:line="1" w:lineRule="exact"/>
        <w:rPr>
          <w:rFonts w:ascii="Times New Roman" w:cs="Times New Roman" w:eastAsia="Times New Roman" w:hAnsi="Times New Roman"/>
          <w:sz w:val="21"/>
          <w:szCs w:val="21"/>
          <w:color w:val="auto"/>
          <w:vertAlign w:val="superscript"/>
        </w:rPr>
      </w:pPr>
    </w:p>
    <w:p>
      <w:pPr>
        <w:ind w:left="340" w:hanging="332"/>
        <w:spacing w:after="0" w:line="222"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2025, we recognized a noncash, non-operating pension settlement charge of $479 million ($377 million, or $1.63 per share, after-tax) related to buy-out conversions of group annuity contracts (see “Note 11 – Retirement Benefits”).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plans approved by our stockholders, we are authorized to grant key employees stock-based incentive awards, including options to purchase common stock, stock appreciation rights, RSUs, PSUs or other stock units.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2025, inclusive of the shares reserved for outstanding RSUs and PSUs, we had approximately 7.1 million shares reserved for issuance under the plans. At December 31, 2025, we had no outstanding options to purchase common stock and have not issued stock options to employees since 2012. At December 31, 2025, approximately 4.3 million of the shares reserved for issuance remained available for grant under our stock-based compensation plans. We issue new shares when restrictions on RSUs and PSUs have been satisfied. The minimum vesting period under our equity compensation plan for employees generally is one year, although most RSUs granted annually to executives and other key employees vest over three years. Award agreements may provide for vesting periods between one and three years and in certain circumstances less than one year, pro-rated vesting periods or vesting following termination of employment in the case of death, disability, divestiture, retirement, change of control or layoff. The maximum term of any award is 10 years.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2024 and 2023, we recorded noncash stock-based compensation expense totaling $304 million, $277 million and $265 million, which is included as a component of other unallocated, net on our consolidated statements of earnings. The net impact to earnings for the respective years was $240 million, $219 million and $209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$349 million of unrecognized compensation cost related to nonvested awards, which is expected to be recognized over a weighted average period of 1.8 years. We had no stock options outstanding or exercised during 2025, 2024, or 2023, and accordingly received zero cash from option exercises in those three years. In addition, our income tax liabilities for 2025, 2024 and 2023 were reduced by $70 million, $67 million and $78 million due to recognized tax benefits on stock-based compensation arrangements.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1"/>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nonvested RSUs:</w:t>
            </w: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7"/>
        </w:trPr>
        <w:tc>
          <w:tcPr>
            <w:tcW w:w="6920" w:type="dxa"/>
            <w:vAlign w:val="bottom"/>
          </w:tcPr>
          <w:p>
            <w:pPr>
              <w:spacing w:after="0"/>
              <w:rPr>
                <w:sz w:val="18"/>
                <w:szCs w:val="18"/>
                <w:color w:val="auto"/>
              </w:rPr>
            </w:pPr>
          </w:p>
        </w:tc>
        <w:tc>
          <w:tcPr>
            <w:tcW w:w="19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184"/>
        </w:trPr>
        <w:tc>
          <w:tcPr>
            <w:tcW w:w="6920" w:type="dxa"/>
            <w:vAlign w:val="bottom"/>
          </w:tcPr>
          <w:p>
            <w:pPr>
              <w:spacing w:after="0"/>
              <w:rPr>
                <w:sz w:val="16"/>
                <w:szCs w:val="16"/>
                <w:color w:val="auto"/>
              </w:rPr>
            </w:pPr>
          </w:p>
        </w:tc>
        <w:tc>
          <w:tcPr>
            <w:tcW w:w="1980" w:type="dxa"/>
            <w:vAlign w:val="bottom"/>
          </w:tcPr>
          <w:p>
            <w:pPr>
              <w:jc w:val="center"/>
              <w:ind w:lef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RSUs</w:t>
            </w:r>
          </w:p>
        </w:tc>
        <w:tc>
          <w:tcPr>
            <w:tcW w:w="460" w:type="dxa"/>
            <w:vAlign w:val="bottom"/>
          </w:tcPr>
          <w:p>
            <w:pPr>
              <w:spacing w:after="0"/>
              <w:rPr>
                <w:sz w:val="16"/>
                <w:szCs w:val="16"/>
                <w:color w:val="auto"/>
              </w:rPr>
            </w:pPr>
          </w:p>
        </w:tc>
        <w:tc>
          <w:tcPr>
            <w:tcW w:w="184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Grant-Date Fair</w:t>
            </w:r>
          </w:p>
        </w:tc>
      </w:tr>
      <w:tr>
        <w:trPr>
          <w:trHeight w:val="230"/>
        </w:trPr>
        <w:tc>
          <w:tcPr>
            <w:tcW w:w="692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982</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434.01</w:t>
            </w:r>
          </w:p>
        </w:tc>
      </w:tr>
      <w:tr>
        <w:trPr>
          <w:trHeight w:val="229"/>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982</w:t>
            </w:r>
          </w:p>
        </w:tc>
        <w:tc>
          <w:tcPr>
            <w:tcW w:w="46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437.95</w:t>
            </w:r>
          </w:p>
        </w:tc>
      </w:tr>
      <w:tr>
        <w:trPr>
          <w:trHeight w:val="230"/>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(516)</w:t>
            </w: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415.73</w:t>
            </w:r>
          </w:p>
        </w:tc>
      </w:tr>
      <w:tr>
        <w:trPr>
          <w:trHeight w:val="230"/>
        </w:trPr>
        <w:tc>
          <w:tcPr>
            <w:tcW w:w="6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(83)</w:t>
            </w: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442.15</w:t>
            </w:r>
          </w:p>
        </w:tc>
      </w:tr>
      <w:tr>
        <w:trPr>
          <w:trHeight w:val="230"/>
        </w:trPr>
        <w:tc>
          <w:tcPr>
            <w:tcW w:w="6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9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1,365</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443.26</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we granted certain employees approximately 0.9 million RSUs with a weighted average grant-date fair value of $437.95 per RSU. The grant-date fair value of these RSUs is equal to the closing market price of our common stock on the grant date less a discount to reflect the delay in payment of dividend-equivalent cash payments that are made only upon vesting, which occurs at least one year from the grant date and most often occurs three years from the grant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2025, we granted certain employees PSUs with an aggregate target award of approximately 0.1 million shares of our common stock. The PSUs generally vest three years from the grant date based on continuous service, with the number of shares earned (0% to 200% of the target award) depending upon the extent to which we achieve certain financial and market performance targets measured over the period from January 1, 2025 through December 31, 2027. About half of the PSUs were valued at a weighted average grant-date fair value of $439.42 per PSU in a manner similar to RSUs mentioned above as the financial targets are based on our operating results. The remaining PSUs were valued at a weighted-average grant-date fair value of $453.06 per PSU using a Monte Carlo model as the performance target is related to our total shareholder return relative to our peer group. We recognize the grant-date fair value of these awards, less estimated forfeitures, as compensation expense ratably over the vesting period.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Legal Proceedings,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including the legal proceedings described below, will have a material adverse effect on the company as a whole, notwithstanding that the unfavorable resolution of any matter may have a material effect on our net earnings and cash flows in the period in which it is recognized. Among the factors that we consider in this assessment are the nature of existing legal proceedings and claims, the asserted or possible damages or loss contingency (if estimable), the progress of the case, existing law and precedent, the opinions or views of legal counsel and other advisers, our experience in similar cases and the experience of other companies, the facts available to us at the time of assessment and how we intend to respond to the proceeding or claim. Our assessment of these factors may change over time as individual proceedings or claims progress.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cannot predict the outcome of legal or other proceedings with certainty, where there is at least a reasonable possibility that a loss may be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a reasonably possible loss or range of loss associated with any individual legal proceeding cannot be estimated.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Securities-Related Actions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28, 2025, a putative class action was filed—and subsequently amended on January 12, 2026—in United States District Court for the Southern District of New York against us and certain current and former members of our senior management. The shareholder plaintiffs assert claims under Sections 10(b) and 20(a) of the Securities Exchange Act of 1934 (Exchange Act), on behalf of persons and entities that purchased or otherwise acquired our securities between January 23, 2024 and July 21, 2025. Plaintiffs seek unspecified losses allegedly caused by alleged misstatements about certain classified programs in the Aeronautics and MFC business segments and F-35 program, which were allegedly revealed to be false when we announced estimated losses relating to certain of those programs. In addition, based on allegations substantially similar to the above-described securities class action, on September 11, 2025, a shareholder derivative complaint was filed in the United States District Court for the District of Maryland against current and former members of our Board of Directors and senior management. We are named as a nominal defendant. The derivative complaint asserts claims under Sections 14(a), 20(a), and 10(b) of the Exchange Act, as well as claims for breach of fiduciary duty, abuse of control, gross mismanagement, corporate waste, unjust enrichment, and contribution. Based on the information available to date, we do not believe that these matters will have a material adverse effect on our results of operations, financial condition, or liquidity.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Lockheed Martin v. Metropolitan Transportation Authority</w:t>
      </w:r>
    </w:p>
    <w:p>
      <w:pPr>
        <w:spacing w:after="0" w:line="173"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five-week bench trial and the filing of post-trial pleadings by the parties. We continue to await a decision from the District Court. Although this matter relates to our former Information Systems &amp; Global Solutions business (IS&amp;GS), we retained responsibility for the litigation when we divested IS&amp;GS in 2016.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involved in proceedings and potential proceedings relating to soil, sediment, surface water, and groundwater contamination, disposal of hazardous substances, and other environmental matters at several of our current or former facilities, other facilities for which we may have contractual responsibility, and at third-party sites where we have been designated as a potentially responsible party (PRP). These proceedings could result in fines, penalties, cost reimbursements or contributions, compensatory or treble damages or non-monetary sanctions or relief.</w:t>
      </w:r>
    </w:p>
    <w:p>
      <w:pPr>
        <w:spacing w:after="0" w:line="13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At December 31, 2025 and 2024, the aggregate amount of liabilities recorded relative to environmental remediation matters was $659 million and $677 million, most of which are recorded in other noncurrent liabilities on our consolidated balance sheets. We have recorded assets for the portion of environmental costs that are probable of future recovery totaling $605 million and $619 million at December 31, 2025 and 2024, most of which are recorded in other noncurrent assets on our consolidated balance sheets. See “Note 1 – Organization and Significant Accounting Policies” for more information.</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monitoring or investigating a number of former and presently operating facilities for potential future remediation. We perform quarterly reviews of the status of our environmental remediation sites and the related liabilities and receivables. Additionally, in our quarterly reviews, we consider various factors in estimating the timing and amount of any future costs that may be required for remediation activities, as we cannot reasonably determine the extent of our financial exposure in all cases. We project costs and recovery of costs over approximately 20 years.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pursue claims for recovery of costs incurred or for contribution to site remediation costs against other PRPs, including the U.S. Government, and are conducting remediation activities under various consent decrees, orders, and agreements relating to soil, groundwater, sediment, or surface water contamination at certain sites of former or current operations. Under agreements related to certain sites in California, New York, United States Virgin Islands and Washington, the U.S. Government and/or a private party reimburses us an amount equal to a percentage, specific to each site, of expenditures for certain remediation activities in their capacity as PRPs under the Comprehensive Environmental Response, Compensation and Liability Act (CERCLA).</w:t>
      </w:r>
    </w:p>
    <w:p>
      <w:pPr>
        <w:spacing w:after="0" w:line="14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to the proceedings and potential proceedings discussed above, potential new regulations concerning perchlorate and hexavalent chromium at the federal and state level could increase our cleanup costs. We also are evaluating the potential impact of new, existing, and contemplated requirements addressing a class of chemicals known generally as per- and polyfluoroalkyl substances (PFAS). PFAS are common and appear in products such as fire-fighting foams and stain- and stick-resistant products (e.g., Teflon, stain-resistant fabrics) and have been used in manufacturing processes. Regulations requiring very low PFAS contaminant levels in drinking water could eventually lead to increased cleanup costs at a number of our environmental remediation sites. If regulations require substantially more stringent clean-up levels of perchlorate or hexavalent chromium or increased cleanup costs at our sites associated with PFAS, we expect a corresponding increase in both our estimates for environmental liabilities and the related assets for the portion of costs that are probable of future recovery. The portion of those costs that is not expected to be recoverable under U.S. Government contracts would be expensed in the quarter in which the liability becomes probable.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 and Surety Bonds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We had total outstanding letters of credit and surety bonds aggregating $3.5 billion and $2.7 billion at December 31, 2025 and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w:t>
      </w:r>
    </w:p>
    <w:p>
      <w:pPr>
        <w:spacing w:after="0" w:line="20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us, whether relating to U.S. Government contracts or conducted for other reasons, could result in civil or criminal penalties and administrative sanctions, including reductions of the value of contracts, contract modifications or terminations, forfeiture of profits, suspension of payments, repayments, fines or penalties being imposed upon us, suspension, proposed debarment, debarment from eligibility for future U.S. Government contracting, or suspension of export privileges. Reductions of the value of contracts, contract modifications or terminations, forfeiture of profits, suspension of payments, repayments, fines and penalties could have a material impact on financial condition and results of operations in any particular reporting period, and suspension or debarment could have a material adverse effect on us because of our dependence on contracts with the U.S. Government. U.S. Government investigations often take years to complete and many result in no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4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Additionally, in the normal course of business, we provide warranties to our customers associated with certain product sales. We record estimated warranty costs in the period in which the related products are delivered. The warranty liability is generally based on the number of months of warranty coverage remaining for the products delivered and the average historical monthly warranty payments. Warranty obligations incurred in connection with long-term production contracts are accounted for within the contract estimates at completion.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consisted of the following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20" w:type="dxa"/>
            <w:vAlign w:val="bottom"/>
            <w:tcBorders>
              <w:bottom w:val="single" w:sz="8" w:color="auto"/>
            </w:tcBorders>
          </w:tcPr>
          <w:p>
            <w:pPr>
              <w:spacing w:after="0"/>
              <w:rPr>
                <w:sz w:val="20"/>
                <w:szCs w:val="20"/>
                <w:color w:val="auto"/>
              </w:rPr>
            </w:pPr>
          </w:p>
        </w:tc>
      </w:tr>
      <w:tr>
        <w:trPr>
          <w:trHeight w:val="223"/>
        </w:trPr>
        <w:tc>
          <w:tcPr>
            <w:tcW w:w="2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116</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3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711</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372</w:t>
            </w:r>
          </w:p>
        </w:tc>
        <w:tc>
          <w:tcPr>
            <w:tcW w:w="30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339</w:t>
            </w: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303</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47</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113</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196</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Substantially all assets measured at fair value, other than derivatives, represent assets held in a trust to fund certain of our non-qualified deferred compensation plan and are recorded in other noncurrent assets on our consolidated balance sheets. As of December 31, 2025 and 2024, the fair value of our assets held in the trust totaled $2.0 billion and $1.8 billion. Net gains on these securities were $253 million and $170 million in 2025 and 2024. Gains and losses on these investments are included in other unallocated, net within operating costs and expenses on our consolidated statements of earnings in order to align the classification of changes in the market value of investments held for the plan with changes in the value of the corresponding plan liabilities.</w:t>
      </w:r>
    </w:p>
    <w:p>
      <w:pPr>
        <w:spacing w:after="0" w:line="154"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The fair values of mutual funds and certain other securities are determined by reference to the quoted market price per unit in active markets multiplied by the number of units held without consideration of transaction costs. The fair values of U.S. Government and certain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spacing w:after="0" w:line="155"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We use derivative instruments principally to reduce our exposure to market risks from changes in foreign currency exchange rates and interest rates. We transact business globally and are subject to risks associated with changing foreign currency exchange rates. We do not enter into or hold derivative instruments for speculative trading purposes. These contracts hedge forecasted foreign currency transactions in order to minimize fluctuations in our earnings and cash flows associated with changes in foreign currency exchange rates. We designate foreign currency hedges as cash flow hedges.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aggregate notional amount of our outstanding interest rate swaps was $1.3 billion at both December 31, 2025 and 2024. The aggregate notional amount of our outstanding foreign currency hedges at December 31, 2025 and 2024 was $7.2 billion and $7.5 billion. The fair values of our outstanding interest rate swaps and foreign currency hedges at December 31, 2025 and 2024 were not significant. Derivative instruments did not have a material impact on net earnings and comprehensive income during the years ended December 31, 2025 and 2024. The impact of derivative instruments on our consolidated statements of cash flows is included in net cash provided by operating activities. Substantially all of our derivatives are designated for hedge accounting. See “Note 1 – Organization and Significant Accounting Policies - Derivative financial instruments.”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make investments in early-stage companies that we believe are advancing or developing new technologies applicable to our business. Investments that have quoted market prices in active markets (Level 1) are recorded at fair value and reflected in other securities while certain investments are categorized as Level 3 when valuations using observable inputs are unavailable. See “Note 1 – Organization and Significant Accounting Policies - Investments.”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financial instruments listed in the table above, we hold other financial instruments, including cash and cash equivalents, receivables, accounts payable and debt. The carrying amounts for cash and cash equivalents, receivables and accounts payable approximated their fair values. The estimated fair value of our outstanding debt was $22.0 billion and $20.2 billion at December 31, 2025 and 2024. The outstanding principal amount of debt, including short-term and long-term debt, was $22.9 billion and $21.6 billion at December 31, 2025 and 2024, excluding $1.2 billion and $1.3 billion of unamortized discounts and issuance costs at December 31, 2025 and 2024. The estimated fair values of our outstanding debt were determined based on the present value of future cash flows using model-derived valuations that use observable inputs such as interest rates and credit spreads (Level 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Impairment and Other Charges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2025, we recorded charges totaling $66 million ($52 million, or $0.22 per share, after-tax) primarily for the write-off of fixed assets resulting from the U.S. Air Force’s Next Generation Air Dominance (NGAD) competition and down-select decision.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we recorded charges totaling $87 million ($69 million, or $0.29 per share, after-tax) for trademark and fixed asset impairments as well as severance costs resulting from the strategic review of our Sikorsky business during the second quarter of 2024 due, in part, to the impacts of the U.S. Army announcement to cancel the Future Attack Reconnaissance Aircraft (FARA) program at the conclusion of fiscal year 2024, for which our Sikorsky business was competing.</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we recorded severance and other charges of $92 million ($73 million, or $0.30 per share, after-tax) associated with severance costs for the planned reduction of certain positions across the corporation and asset impairment charges. Upon separation, terminated employees received lump-sum severance payments primarily based on years of service, the majority of which have been paid. This action resulted from a review of our business segments and corporate functions and is intended to improve the efficiency of our operations.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can recover a portion of severance costs through the pricing of our products and services to the U.S. Government and other customers in future periods, which will be included in our operating results.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performed an evaluation of the effectiveness of our disclosure controls and procedures as of December 31, 2025.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effective as of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system is designed to provide reasonable assurance to our management and Board of Directors regarding the reliability of financial reporting and the preparation of consolidated financial statements for external purposes.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as of December 31, 2025. This assessment was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2025.</w:t>
      </w:r>
    </w:p>
    <w:p>
      <w:pPr>
        <w:spacing w:after="0" w:line="139" w:lineRule="exact"/>
        <w:rPr>
          <w:sz w:val="20"/>
          <w:szCs w:val="20"/>
          <w:color w:val="auto"/>
        </w:rPr>
      </w:pPr>
    </w:p>
    <w:p>
      <w:pPr>
        <w:ind w:right="160"/>
        <w:spacing w:after="0" w:line="461"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has issued a report on the effectiveness of our internal control over financial reporting, which is below. </w:t>
      </w:r>
      <w:r>
        <w:rPr>
          <w:rFonts w:ascii="Times New Roman" w:cs="Times New Roman" w:eastAsia="Times New Roman" w:hAnsi="Times New Roman"/>
          <w:sz w:val="18"/>
          <w:szCs w:val="18"/>
          <w:b w:val="1"/>
          <w:bCs w:val="1"/>
          <w:color w:val="auto"/>
        </w:rPr>
        <w:t>Changes in Internal Control Over Financial Reporting</w:t>
      </w:r>
    </w:p>
    <w:p>
      <w:pPr>
        <w:spacing w:after="0" w:line="1"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that occurred during the quarter ended December 31, 2025 that materially affected, or are reasonably likely to materially affect, our internal control over financial reporting.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Lockheed Martin Corporation’s internal control over financial reporting as of December 31, 2025, based on criteria established in Internal Control-Integrated Framework issued by the Committee of Sponsoring Organizations of the Treadway Commission (2013 framework) (the COSO criteria). In our opinion, Lockheed Martin Corporation (the Corporation) maintained, in all material respects, effective internal control over financial reporting as of December 31, 2025, based on the COSO criteria.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Corporation as of December 31, 2025 and 2024, the related consolidated statements of earnings, comprehensive income, equity and cash flows for each of the three years in the period ended December 31, 2025, and the related notes and our report dated January 29, 2026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Corporation’s internal control over financial reporting based on our audit.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adopted or terminated a non-Rule 10b5-1 trading arrangement (as defined in Item 408(c) of Regulation S-K) during the quarter ended December 31, 2025.</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concerning directors required by Item 401 of Regulation S-K is included under the section titled “Director Nominees” in our definitive Proxy Statement to be filed pursuant to Regulation 14A within 120 days after the end of the fiscal year to which this report relates (the 2026 Proxy Statement), and that information is incorporated by reference in this Annual Report on Form 10-K (Form 10-K). Information concerning executive officers required by Item 401 of Regulation S-K is located under Part I of this Form 10-K. The information required by Items 405, 407(d)(4) and 407(d)(5) of Regulation S-K is included in the sections titled “Delinquent Section 16(a) Reports”, “Corporate Governance” and “Audit Committee Report” in the 2026 Proxy Statement, and that information is incorporated by reference in this Form 10-K.</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had a written code of ethics in place since our formation in 1995. Setting the Standard, our Code of Ethics and Business Conduct, applies to all our employees, including our principal executive officer, principal financial officer, and principal accounting officer and controller, and to members of our Board of Directors. A copy of our Code of Ethics and Business Conduct is available on our investor relations website: www.lockheedmartin.com/investor. Printed copies of our Code of Ethics and Business Conduct may be obtained, without charge, by contacting Investor Relations, Lockheed Martin Corporation, 6801 Rockledge Drive, Bethesda, Maryland 20817. We are required to disclose any change to, or waiver from, our Code of Ethics and Business Conduct for our Chief Executive Officer and senior financial officers. We use our website to disseminate this disclosure as permitted by applicable SEC rules.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our securities by our directors, officers, and employees, and by the Company. We believe this policy is reasonably designed to promote compliance with insider trading laws, rules, and regulations and listing standards applicable to the Company. A copy of our insider trading policy is filed as Exhibit 19 to this Form 10-K.</w:t>
      </w:r>
    </w:p>
    <w:p>
      <w:pPr>
        <w:spacing w:after="0" w:line="1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402 of Regulation S-K is included in the sections titled “Executive Compensation” and “Director Compensation” in the 2026 Proxy Statement and that information is incorporated by reference in this Form 10-K. The information required by Item 407(e)(5) of Regulation S-K is included under the caption “Compensation Committee Report” in the 2026 Proxy Statement, and that information is incorporated by reference in this Form 10-K.</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related to the security ownership of management and certain beneficial owners is included in the section titled “Other Information” in the 2026 Proxy Statement, and that information is incorporated by reference in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that authorize the issuance of shares of Lockheed Martin common stock to employees and directors. The information is provided as of December 31, 2025.</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r>
      <w:tr>
        <w:trPr>
          <w:trHeight w:val="189"/>
        </w:trPr>
        <w:tc>
          <w:tcPr>
            <w:tcW w:w="2700" w:type="dxa"/>
            <w:vAlign w:val="bottom"/>
          </w:tcPr>
          <w:p>
            <w:pPr>
              <w:spacing w:after="0"/>
              <w:rPr>
                <w:sz w:val="16"/>
                <w:szCs w:val="16"/>
                <w:color w:val="auto"/>
              </w:rPr>
            </w:pPr>
          </w:p>
        </w:tc>
        <w:tc>
          <w:tcPr>
            <w:tcW w:w="3920" w:type="dxa"/>
            <w:vAlign w:val="bottom"/>
          </w:tcPr>
          <w:p>
            <w:pPr>
              <w:jc w:val="center"/>
              <w:ind w:left="1579"/>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16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 future issuance</w:t>
            </w:r>
          </w:p>
        </w:tc>
      </w:tr>
      <w:tr>
        <w:trPr>
          <w:trHeight w:val="189"/>
        </w:trPr>
        <w:tc>
          <w:tcPr>
            <w:tcW w:w="2700" w:type="dxa"/>
            <w:vAlign w:val="bottom"/>
          </w:tcPr>
          <w:p>
            <w:pPr>
              <w:spacing w:after="0"/>
              <w:rPr>
                <w:sz w:val="16"/>
                <w:szCs w:val="16"/>
                <w:color w:val="auto"/>
              </w:rPr>
            </w:pPr>
          </w:p>
        </w:tc>
        <w:tc>
          <w:tcPr>
            <w:tcW w:w="3920" w:type="dxa"/>
            <w:vAlign w:val="bottom"/>
          </w:tcPr>
          <w:p>
            <w:pPr>
              <w:jc w:val="center"/>
              <w:ind w:left="1579"/>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 compensation plans</w:t>
            </w:r>
          </w:p>
        </w:tc>
      </w:tr>
      <w:tr>
        <w:trPr>
          <w:trHeight w:val="189"/>
        </w:trPr>
        <w:tc>
          <w:tcPr>
            <w:tcW w:w="2700" w:type="dxa"/>
            <w:vAlign w:val="bottom"/>
          </w:tcPr>
          <w:p>
            <w:pPr>
              <w:spacing w:after="0"/>
              <w:rPr>
                <w:sz w:val="16"/>
                <w:szCs w:val="16"/>
                <w:color w:val="auto"/>
              </w:rPr>
            </w:pPr>
          </w:p>
        </w:tc>
        <w:tc>
          <w:tcPr>
            <w:tcW w:w="392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outstanding options, warrants</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 reflected in</w:t>
            </w:r>
          </w:p>
        </w:tc>
      </w:tr>
      <w:tr>
        <w:trPr>
          <w:trHeight w:val="189"/>
        </w:trPr>
        <w:tc>
          <w:tcPr>
            <w:tcW w:w="2700" w:type="dxa"/>
            <w:vAlign w:val="bottom"/>
          </w:tcPr>
          <w:p>
            <w:pPr>
              <w:spacing w:after="0"/>
              <w:rPr>
                <w:sz w:val="16"/>
                <w:szCs w:val="16"/>
                <w:color w:val="auto"/>
              </w:rPr>
            </w:pPr>
          </w:p>
        </w:tc>
        <w:tc>
          <w:tcPr>
            <w:tcW w:w="3920" w:type="dxa"/>
            <w:vAlign w:val="bottom"/>
          </w:tcPr>
          <w:p>
            <w:pPr>
              <w:jc w:val="center"/>
              <w:ind w:left="1579"/>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(a))</w:t>
            </w: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392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(a)</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Borders>
              <w:top w:val="single" w:sz="8" w:color="auto"/>
            </w:tcBorders>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r>
      <w:tr>
        <w:trPr>
          <w:trHeight w:val="155"/>
        </w:trPr>
        <w:tc>
          <w:tcPr>
            <w:tcW w:w="4740" w:type="dxa"/>
            <w:vAlign w:val="bottom"/>
            <w:tcBorders>
              <w:bottom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2"/>
                <w:szCs w:val="12"/>
                <w:color w:val="auto"/>
              </w:rPr>
              <w:t>(1)</w:t>
            </w:r>
          </w:p>
        </w:tc>
        <w:tc>
          <w:tcPr>
            <w:tcW w:w="1600" w:type="dxa"/>
            <w:vAlign w:val="bottom"/>
            <w:tcBorders>
              <w:bottom w:val="single" w:sz="8" w:color="CCEEFF"/>
            </w:tcBorders>
            <w:shd w:val="clear" w:color="auto" w:fill="CCEEFF"/>
          </w:tcPr>
          <w:p>
            <w:pPr>
              <w:jc w:val="right"/>
              <w:ind w:right="250"/>
              <w:spacing w:after="0" w:line="156" w:lineRule="exact"/>
              <w:rPr>
                <w:sz w:val="20"/>
                <w:szCs w:val="20"/>
                <w:color w:val="auto"/>
              </w:rPr>
            </w:pPr>
            <w:r>
              <w:rPr>
                <w:rFonts w:ascii="Times New Roman" w:cs="Times New Roman" w:eastAsia="Times New Roman" w:hAnsi="Times New Roman"/>
                <w:sz w:val="18"/>
                <w:szCs w:val="18"/>
                <w:color w:val="auto"/>
              </w:rPr>
              <w:t>2,744,621</w:t>
            </w:r>
          </w:p>
        </w:tc>
        <w:tc>
          <w:tcPr>
            <w:tcW w:w="1020" w:type="dxa"/>
            <w:vAlign w:val="bottom"/>
            <w:tcBorders>
              <w:bottom w:val="single" w:sz="8" w:color="CCEEFF"/>
            </w:tcBorders>
            <w:shd w:val="clear" w:color="auto" w:fill="CCEEFF"/>
          </w:tcPr>
          <w:p>
            <w:pPr>
              <w:jc w:val="right"/>
              <w:ind w:right="51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600"/>
              <w:spacing w:after="0" w:line="15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CCEEFF"/>
            </w:tcBorders>
            <w:shd w:val="clear" w:color="auto" w:fill="CCEEFF"/>
          </w:tcPr>
          <w:p>
            <w:pPr>
              <w:jc w:val="right"/>
              <w:ind w:right="570"/>
              <w:spacing w:after="0" w:line="156" w:lineRule="exact"/>
              <w:rPr>
                <w:sz w:val="20"/>
                <w:szCs w:val="20"/>
                <w:color w:val="auto"/>
              </w:rPr>
            </w:pPr>
            <w:r>
              <w:rPr>
                <w:rFonts w:ascii="Times New Roman" w:cs="Times New Roman" w:eastAsia="Times New Roman" w:hAnsi="Times New Roman"/>
                <w:sz w:val="18"/>
                <w:szCs w:val="18"/>
                <w:color w:val="auto"/>
              </w:rPr>
              <w:t>4,331,863</w:t>
            </w:r>
          </w:p>
        </w:tc>
      </w:tr>
      <w:tr>
        <w:trPr>
          <w:trHeight w:val="176"/>
        </w:trPr>
        <w:tc>
          <w:tcPr>
            <w:tcW w:w="47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43"/>
        </w:trPr>
        <w:tc>
          <w:tcPr>
            <w:tcW w:w="4740" w:type="dxa"/>
            <w:vAlign w:val="bottom"/>
            <w:tcBorders>
              <w:bottom w:val="single" w:sz="8" w:color="auto"/>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security holders </w:t>
            </w:r>
            <w:r>
              <w:rPr>
                <w:rFonts w:ascii="Times New Roman" w:cs="Times New Roman" w:eastAsia="Times New Roman" w:hAnsi="Times New Roman"/>
                <w:sz w:val="23"/>
                <w:szCs w:val="23"/>
                <w:color w:val="auto"/>
                <w:vertAlign w:val="superscript"/>
              </w:rPr>
              <w:t>(2)</w:t>
            </w: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351,614</w:t>
            </w:r>
          </w:p>
        </w:tc>
        <w:tc>
          <w:tcPr>
            <w:tcW w:w="10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2,508,812</w:t>
            </w:r>
          </w:p>
        </w:tc>
      </w:tr>
      <w:tr>
        <w:trPr>
          <w:trHeight w:val="230"/>
        </w:trPr>
        <w:tc>
          <w:tcPr>
            <w:tcW w:w="4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3,096,235</w:t>
            </w:r>
          </w:p>
        </w:tc>
        <w:tc>
          <w:tcPr>
            <w:tcW w:w="10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6,840,675</w:t>
            </w:r>
          </w:p>
        </w:tc>
      </w:tr>
    </w:tbl>
    <w:p>
      <w:pPr>
        <w:spacing w:after="0" w:line="297" w:lineRule="exact"/>
        <w:rPr>
          <w:sz w:val="20"/>
          <w:szCs w:val="20"/>
          <w:color w:val="auto"/>
        </w:rPr>
      </w:pPr>
    </w:p>
    <w:p>
      <w:pPr>
        <w:ind w:left="340" w:right="20" w:hanging="332"/>
        <w:spacing w:after="0" w:line="232"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Column (a) includes, as of December 31, 2025: 1,986,297 shares that have been granted as restricted stock units (RSUs) and 707,678 shares that could be earned pursuant to grants of performance stock units (PSUs) (assuming the maximum number of PSUs are earned and payable at the end of the three-year performance period) under the Lockheed Martin Corporation 2020 Incentive Performance Award Plan (2020 IPA Plan) or predecessor plans and 50,646 stock units payable in stock or cash under the Lockheed Martin Corporation Amended and Restated Directors Equity Plan (Directors Plan) or predecessor plans for non-employee directors. Column (c) includes, as of December 31, 2025, 3,974,274 shares available for future issuance under the 2020 IPA Plan as options, stock appreciation rights, restricted stock awards, RSUs or PSUs and 357,589 shares available for future issuance under the Directors Plan as stock options and stock units. Vested stock units are payable to directors upon their termination of service from our Board, except that directors who have satisfied the stock ownership guidelines may elect to have payment of awards made after January 1, 2018 (together with any dividend equivalents thereon) made on the first business day of April following the one-year anniversary of the grant.</w:t>
      </w:r>
    </w:p>
    <w:p>
      <w:pPr>
        <w:spacing w:after="0" w:line="47" w:lineRule="exact"/>
        <w:rPr>
          <w:rFonts w:ascii="Times New Roman" w:cs="Times New Roman" w:eastAsia="Times New Roman" w:hAnsi="Times New Roman"/>
          <w:sz w:val="21"/>
          <w:szCs w:val="21"/>
          <w:color w:val="auto"/>
          <w:vertAlign w:val="superscript"/>
        </w:rPr>
      </w:pPr>
    </w:p>
    <w:p>
      <w:pPr>
        <w:jc w:val="both"/>
        <w:ind w:left="340" w:hanging="332"/>
        <w:spacing w:after="0" w:line="232"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shares represent annual incentive bonuses and Long-Term Incentive Performance (LTIP) payments earned and voluntarily deferred by employees. The deferred amounts are payable under the Deferred Management Incentive Compensation Plan (DMICP). Deferred amounts are credited as phantom stock units at the closing price of our stock on the date the deferral is effective. Amounts equal to our dividend are credited as stock units at the time we pay a dividend. Following termination of employment, a number of shares of stock equal to the number of stock units credited to the employee’s DMICP account are distributed to the employee. There is no discount or value transfer on the stock distributed. Distributions may be made from newly issued shares or shares purchased on the open market. Historically, all distributions have come from shares held in a separate trust and, therefore, do not further dilute our common shares outstanding. Because the DMICP shares are outstanding, they should be included in the denominator (and not the numerator) of a dilution calculation.</w:t>
      </w:r>
    </w:p>
    <w:p>
      <w:pPr>
        <w:spacing w:after="0" w:line="2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404 and 407(a) of Regulation S-K is included in the section titled “Corporate Governance” in the 2026 Proxy Statement, and that information is incorporated by reference in this Form 10-K.</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included in the section titled “Audit Matters” in the 2026 Proxy Statement, and that information is incorporated by reference in this Form 10-K.</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financial statements filed as part of this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of Lockheed Martin Corporation and consolidated subsidiaries are included in Item 8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 (Form 10-K) at the page numbers referenced below:</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Earnings – Years ended December 31, 2025, 2024 and 2023</w:t>
            </w:r>
          </w:p>
        </w:tc>
        <w:tc>
          <w:tcPr>
            <w:tcW w:w="4220" w:type="dxa"/>
            <w:vAlign w:val="bottom"/>
            <w:gridSpan w:val="3"/>
            <w:vMerge w:val="restart"/>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340" w:type="dxa"/>
            <w:vAlign w:val="bottom"/>
            <w:tcBorders>
              <w:bottom w:val="single" w:sz="8" w:color="0000FF"/>
            </w:tcBorders>
            <w:gridSpan w:val="4"/>
            <w:vMerge w:val="continue"/>
          </w:tcPr>
          <w:p>
            <w:pPr>
              <w:spacing w:after="0"/>
              <w:rPr>
                <w:sz w:val="14"/>
                <w:szCs w:val="14"/>
                <w:color w:val="auto"/>
              </w:rPr>
            </w:pPr>
          </w:p>
        </w:tc>
        <w:tc>
          <w:tcPr>
            <w:tcW w:w="4220" w:type="dxa"/>
            <w:vAlign w:val="bottom"/>
            <w:gridSpan w:val="3"/>
            <w:vMerge w:val="continue"/>
          </w:tcPr>
          <w:p>
            <w:pPr>
              <w:spacing w:after="0"/>
              <w:rPr>
                <w:sz w:val="14"/>
                <w:szCs w:val="14"/>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 Years ended December 31, 2025, 2024 and 2023</w:t>
            </w:r>
          </w:p>
        </w:tc>
        <w:tc>
          <w:tcPr>
            <w:tcW w:w="3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 At December 31, 2025 and 2024</w:t>
            </w:r>
          </w:p>
        </w:tc>
        <w:tc>
          <w:tcPr>
            <w:tcW w:w="594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10"/>
        </w:trPr>
        <w:tc>
          <w:tcPr>
            <w:tcW w:w="10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 Years ended December 31, 2025,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0" w:type="dxa"/>
            <w:vAlign w:val="bottom"/>
          </w:tcPr>
          <w:p>
            <w:pPr>
              <w:spacing w:after="0"/>
              <w:rPr>
                <w:sz w:val="1"/>
                <w:szCs w:val="1"/>
                <w:color w:val="auto"/>
              </w:rPr>
            </w:pPr>
          </w:p>
        </w:tc>
      </w:tr>
      <w:tr>
        <w:trPr>
          <w:trHeight w:val="209"/>
        </w:trPr>
        <w:tc>
          <w:tcPr>
            <w:tcW w:w="61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 Years ended December 31, 2025, 2024 and 2023</w:t>
            </w:r>
          </w:p>
        </w:tc>
        <w:tc>
          <w:tcPr>
            <w:tcW w:w="360" w:type="dxa"/>
            <w:vAlign w:val="bottom"/>
            <w:tcBorders>
              <w:top w:val="single" w:sz="8" w:color="0000FF"/>
            </w:tcBorders>
            <w:gridSpan w:val="2"/>
          </w:tcPr>
          <w:p>
            <w:pPr>
              <w:spacing w:after="0"/>
              <w:rPr>
                <w:sz w:val="18"/>
                <w:szCs w:val="18"/>
                <w:color w:val="auto"/>
              </w:rPr>
            </w:pPr>
          </w:p>
        </w:tc>
        <w:tc>
          <w:tcPr>
            <w:tcW w:w="402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report of Lockheed Martin Corporation’s independent registered public accounting firm (PCAOB ID:42) with respect to the above-referenced financial statements and their report on internal control over financial reporting are included in Item 8 and Item 9A of this Form 10-K at the page numbers referenced below. Their consent appears as Exhibit 23 of this Form 10-K.</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on the Audited Consolidated Financial Statements</w:t>
            </w: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540" w:type="dxa"/>
            <w:vAlign w:val="bottom"/>
            <w:gridSpan w:val="3"/>
            <w:vMerge w:val="continue"/>
          </w:tcPr>
          <w:p>
            <w:pPr>
              <w:spacing w:after="0"/>
              <w:rPr>
                <w:sz w:val="14"/>
                <w:szCs w:val="14"/>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rPr>
              <w:t>50</w:t>
            </w:r>
          </w:p>
        </w:tc>
        <w:tc>
          <w:tcPr>
            <w:tcW w:w="0" w:type="dxa"/>
            <w:vAlign w:val="bottom"/>
          </w:tcPr>
          <w:p>
            <w:pPr>
              <w:spacing w:after="0"/>
              <w:rPr>
                <w:sz w:val="1"/>
                <w:szCs w:val="1"/>
                <w:color w:val="auto"/>
              </w:rPr>
            </w:pPr>
          </w:p>
        </w:tc>
      </w:tr>
      <w:tr>
        <w:trPr>
          <w:trHeight w:val="20"/>
        </w:trPr>
        <w:tc>
          <w:tcPr>
            <w:tcW w:w="78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Regarding Internal Control Over Financial Reporting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0" w:type="dxa"/>
            <w:vAlign w:val="bottom"/>
          </w:tcPr>
          <w:p>
            <w:pPr>
              <w:spacing w:after="0"/>
              <w:rPr>
                <w:sz w:val="1"/>
                <w:szCs w:val="1"/>
                <w:color w:val="auto"/>
              </w:rPr>
            </w:pPr>
          </w:p>
        </w:tc>
      </w:tr>
      <w:tr>
        <w:trPr>
          <w:trHeight w:val="20"/>
        </w:trPr>
        <w:tc>
          <w:tcPr>
            <w:tcW w:w="7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financial statement schedules filed as part of this Form 10-K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applicable, not required or the information has been otherwise supplied in the consolidated financial statements or notes to consolidated financial statements.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Charter of Lockheed Martin Corporation, as amended by Articles of Amendment dated April 23, 2009 (incorporated by reference to</w:t>
              </w:r>
            </w:hyperlink>
          </w:p>
        </w:tc>
      </w:tr>
      <w:tr>
        <w:trPr>
          <w:trHeight w:val="169"/>
        </w:trPr>
        <w:tc>
          <w:tcPr>
            <w:tcW w:w="1120" w:type="dxa"/>
            <w:vAlign w:val="bottom"/>
          </w:tcPr>
          <w:p>
            <w:pPr>
              <w:spacing w:after="0"/>
              <w:rPr>
                <w:sz w:val="14"/>
                <w:szCs w:val="14"/>
                <w:color w:val="auto"/>
              </w:rPr>
            </w:pPr>
          </w:p>
        </w:tc>
        <w:tc>
          <w:tcPr>
            <w:tcW w:w="100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Exhibit 3.1 to Lockheed Martin Corporation’s Annual Report on Form 10-K for the year ended December 31, 2010).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Bylaws of Lockheed Martin Corporation, as amended and restated effective February 22, 2023 (incorporated by reference to Exhibit 3.1 to</w:t>
              </w:r>
            </w:hyperlink>
          </w:p>
        </w:tc>
      </w:tr>
      <w:tr>
        <w:trPr>
          <w:trHeight w:val="169"/>
        </w:trPr>
        <w:tc>
          <w:tcPr>
            <w:tcW w:w="1120" w:type="dxa"/>
            <w:vAlign w:val="bottom"/>
          </w:tcPr>
          <w:p>
            <w:pPr>
              <w:spacing w:after="0"/>
              <w:rPr>
                <w:sz w:val="14"/>
                <w:szCs w:val="14"/>
                <w:color w:val="auto"/>
              </w:rPr>
            </w:pPr>
          </w:p>
        </w:tc>
        <w:tc>
          <w:tcPr>
            <w:tcW w:w="74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Lockheed Martin Corporation’s Current Report on Form 8-K filed with the SEC on February 23, 2023).</w:t>
              </w:r>
            </w:hyperlink>
          </w:p>
        </w:tc>
        <w:tc>
          <w:tcPr>
            <w:tcW w:w="26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Description of Lockheed Martin Corporation Common Stock (incorporated by reference to Exhibit 4.1 to Lockheed Martin Corporation’s</w:t>
              </w:r>
            </w:hyperlink>
          </w:p>
        </w:tc>
      </w:tr>
      <w:tr>
        <w:trPr>
          <w:trHeight w:val="169"/>
        </w:trPr>
        <w:tc>
          <w:tcPr>
            <w:tcW w:w="1120" w:type="dxa"/>
            <w:vAlign w:val="bottom"/>
          </w:tcPr>
          <w:p>
            <w:pPr>
              <w:spacing w:after="0"/>
              <w:rPr>
                <w:sz w:val="14"/>
                <w:szCs w:val="14"/>
                <w:color w:val="auto"/>
              </w:rPr>
            </w:pPr>
          </w:p>
        </w:tc>
        <w:tc>
          <w:tcPr>
            <w:tcW w:w="50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Annual Report on Form 10-K for the year ended December 31, 2021).</w:t>
              </w:r>
            </w:hyperlink>
          </w:p>
        </w:tc>
        <w:tc>
          <w:tcPr>
            <w:tcW w:w="4840" w:type="dxa"/>
            <w:vAlign w:val="bottom"/>
            <w:tcBorders>
              <w:top w:val="single" w:sz="8" w:color="0000FF"/>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Indenture, dated May 15, 1996, among Lockheed Martin Corporation, Lockheed Martin Tactical Systems, Inc. and First Trust of Illinois,</w:t>
              </w:r>
            </w:hyperlink>
          </w:p>
        </w:tc>
      </w:tr>
      <w:tr>
        <w:trPr>
          <w:trHeight w:val="169"/>
        </w:trPr>
        <w:tc>
          <w:tcPr>
            <w:tcW w:w="112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National Association as Trustee (incorporated by reference to Exhibit 4.1 to Lockheed Martin Corporation’s Annual Report on Form 10-K</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080" w:type="dxa"/>
            <w:vAlign w:val="bottom"/>
            <w:gridSpan w:val="15"/>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 the year ended December 31,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Indenture, dated as of August 30, 2006, between Lockheed Martin Corporation and The Bank of New York (incorporated by reference to</w:t>
              </w:r>
            </w:hyperlink>
          </w:p>
        </w:tc>
      </w:tr>
      <w:tr>
        <w:trPr>
          <w:trHeight w:val="169"/>
        </w:trPr>
        <w:tc>
          <w:tcPr>
            <w:tcW w:w="1120" w:type="dxa"/>
            <w:vAlign w:val="bottom"/>
          </w:tcPr>
          <w:p>
            <w:pPr>
              <w:spacing w:after="0"/>
              <w:rPr>
                <w:sz w:val="14"/>
                <w:szCs w:val="14"/>
                <w:color w:val="auto"/>
              </w:rPr>
            </w:pPr>
          </w:p>
        </w:tc>
        <w:tc>
          <w:tcPr>
            <w:tcW w:w="101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Exhibit 99.1 to Lockheed Martin Corporation’s Current Report on Form 8-K filed with the SEC on August 31, 2006).</w:t>
              </w:r>
            </w:hyperlink>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Indenture, dated as of March 11, 2008, between Lockheed Martin Corporation and The Bank of New York (incorporated by reference to</w:t>
              </w:r>
            </w:hyperlink>
          </w:p>
        </w:tc>
      </w:tr>
      <w:tr>
        <w:trPr>
          <w:trHeight w:val="169"/>
        </w:trPr>
        <w:tc>
          <w:tcPr>
            <w:tcW w:w="1120" w:type="dxa"/>
            <w:vAlign w:val="bottom"/>
          </w:tcPr>
          <w:p>
            <w:pPr>
              <w:spacing w:after="0"/>
              <w:rPr>
                <w:sz w:val="14"/>
                <w:szCs w:val="14"/>
                <w:color w:val="auto"/>
              </w:rPr>
            </w:pPr>
          </w:p>
        </w:tc>
        <w:tc>
          <w:tcPr>
            <w:tcW w:w="83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Exhibit 4.1 to Lockheed Martin Corporation’s Current Report on Form 8-K filed with the SEC on March 12, 2008).</w:t>
              </w:r>
            </w:hyperlink>
          </w:p>
        </w:tc>
        <w:tc>
          <w:tcPr>
            <w:tcW w:w="18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Indenture, dated as of May 25, 2010, between Lockheed Martin Corporation and U.S. Bank National Association (incorporated by</w:t>
              </w:r>
            </w:hyperlink>
          </w:p>
        </w:tc>
      </w:tr>
      <w:tr>
        <w:trPr>
          <w:trHeight w:val="169"/>
        </w:trPr>
        <w:tc>
          <w:tcPr>
            <w:tcW w:w="1120" w:type="dxa"/>
            <w:vAlign w:val="bottom"/>
          </w:tcPr>
          <w:p>
            <w:pPr>
              <w:spacing w:after="0"/>
              <w:rPr>
                <w:sz w:val="14"/>
                <w:szCs w:val="14"/>
                <w:color w:val="auto"/>
              </w:rPr>
            </w:pPr>
          </w:p>
        </w:tc>
        <w:tc>
          <w:tcPr>
            <w:tcW w:w="100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reference to Exhibit 99.1 to Lockheed Martin Corporation’s Current Report on Form 8-K filed with the SEC on May 25, 2010).</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4880" w:type="dxa"/>
            <w:vAlign w:val="bottom"/>
            <w:gridSpan w:val="6"/>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Indenture, dated as of September 6, 2011, between Lockheed Martin Corporation and U.S. Bank National Association (incorporated by</w:t>
              </w:r>
            </w:hyperlink>
          </w:p>
        </w:tc>
      </w:tr>
      <w:tr>
        <w:trPr>
          <w:trHeight w:val="169"/>
        </w:trPr>
        <w:tc>
          <w:tcPr>
            <w:tcW w:w="1120" w:type="dxa"/>
            <w:vAlign w:val="bottom"/>
          </w:tcPr>
          <w:p>
            <w:pPr>
              <w:spacing w:after="0"/>
              <w:rPr>
                <w:sz w:val="14"/>
                <w:szCs w:val="14"/>
                <w:color w:val="auto"/>
              </w:rPr>
            </w:pPr>
          </w:p>
        </w:tc>
        <w:tc>
          <w:tcPr>
            <w:tcW w:w="96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reference to Exhibit 4.1 to Lockheed Martin Corporation’s Registration Statement on Form S-3 filed with the SEC on April 24, 2020).</w:t>
              </w:r>
            </w:hyperlink>
          </w:p>
        </w:tc>
        <w:tc>
          <w:tcPr>
            <w:tcW w:w="50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Supplemental Indenture, dated as of April 21, 2022, between Lockheed Martin Corporation and U.S. Bank Trust Company, National</w:t>
              </w:r>
            </w:hyperlink>
          </w:p>
        </w:tc>
      </w:tr>
      <w:tr>
        <w:trPr>
          <w:trHeight w:val="169"/>
        </w:trPr>
        <w:tc>
          <w:tcPr>
            <w:tcW w:w="112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Association, to the Indenture dated September 6, 2011 (incorporated by reference to Exhibit 4.1 to Lockheed Martin Corporation’s Current</w:t>
              </w:r>
            </w:hyperlink>
          </w:p>
        </w:tc>
        <w:tc>
          <w:tcPr>
            <w:tcW w:w="80" w:type="dxa"/>
            <w:vAlign w:val="bottom"/>
            <w:tcBorders>
              <w:bottom w:val="single" w:sz="8" w:color="0000FF"/>
            </w:tcBorders>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120" w:type="dxa"/>
            <w:vAlign w:val="bottom"/>
            <w:gridSpan w:val="1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Report on Form 8-K filed with the SEC on April 21, 2022).</w:t>
              </w:r>
            </w:hyperlink>
          </w:p>
        </w:tc>
        <w:tc>
          <w:tcPr>
            <w:tcW w:w="80" w:type="dxa"/>
            <w:vAlign w:val="bottom"/>
            <w:gridSpan w:val="4"/>
          </w:tcPr>
          <w:p>
            <w:pPr>
              <w:spacing w:after="0"/>
              <w:rPr>
                <w:sz w:val="13"/>
                <w:szCs w:val="13"/>
                <w:color w:val="auto"/>
              </w:rPr>
            </w:pPr>
          </w:p>
        </w:tc>
      </w:tr>
      <w:tr>
        <w:trPr>
          <w:trHeight w:val="520"/>
        </w:trPr>
        <w:tc>
          <w:tcPr>
            <w:tcW w:w="1120" w:type="dxa"/>
            <w:vAlign w:val="bottom"/>
          </w:tcPr>
          <w:p>
            <w:pPr>
              <w:spacing w:after="0"/>
              <w:rPr>
                <w:sz w:val="24"/>
                <w:szCs w:val="24"/>
                <w:color w:val="auto"/>
              </w:rPr>
            </w:pPr>
          </w:p>
        </w:tc>
        <w:tc>
          <w:tcPr>
            <w:tcW w:w="4280" w:type="dxa"/>
            <w:vAlign w:val="bottom"/>
            <w:tcBorders>
              <w:top w:val="single" w:sz="8" w:color="0000FF"/>
            </w:tcBorders>
            <w:gridSpan w:val="2"/>
          </w:tcPr>
          <w:p>
            <w:pPr>
              <w:spacing w:after="0"/>
              <w:rPr>
                <w:sz w:val="24"/>
                <w:szCs w:val="24"/>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97</w:t>
            </w:r>
          </w:p>
        </w:tc>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11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Indenture, dated as of December 14, 2012, between Lockheed Martin Corporation and U.S. Bank National Association (incorporated by</w:t>
              </w:r>
            </w:hyperlink>
          </w:p>
        </w:tc>
      </w:tr>
      <w:tr>
        <w:trPr>
          <w:trHeight w:val="169"/>
        </w:trPr>
        <w:tc>
          <w:tcPr>
            <w:tcW w:w="1120" w:type="dxa"/>
            <w:vAlign w:val="bottom"/>
          </w:tcPr>
          <w:p>
            <w:pPr>
              <w:spacing w:after="0"/>
              <w:rPr>
                <w:sz w:val="14"/>
                <w:szCs w:val="14"/>
                <w:color w:val="auto"/>
              </w:rPr>
            </w:pPr>
          </w:p>
        </w:tc>
        <w:tc>
          <w:tcPr>
            <w:tcW w:w="958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reference to Exhibit 99.1 to Lockheed Martin Corporation’s Current Report on Form 8-K filed with the SEC on December 17, 2012).</w:t>
              </w:r>
            </w:hyperlink>
          </w:p>
        </w:tc>
        <w:tc>
          <w:tcPr>
            <w:tcW w:w="66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Indenture dated as of September 7, 2017, between Lockheed Martin Corporation and U.S. Bank National Association, as trustee</w:t>
              </w:r>
            </w:hyperlink>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10300" w:type="dxa"/>
            <w:vAlign w:val="bottom"/>
            <w:gridSpan w:val="38"/>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(incorporated by reference to Exhibit 99.1 to Lockheed Martin's Current Report on Form 8-K filed with the SEC on September 7, 2012).</w:t>
              </w:r>
            </w:hyperlink>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982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Indenture, dated as of April 18, 2023, between Lockheed Martin Corporation and U.S. Bank Trust Company, National Association, as</w:t>
              </w:r>
            </w:hyperlink>
          </w:p>
        </w:tc>
        <w:tc>
          <w:tcPr>
            <w:tcW w:w="480" w:type="dxa"/>
            <w:vAlign w:val="bottom"/>
            <w:gridSpan w:val="18"/>
          </w:tcPr>
          <w:p>
            <w:pPr>
              <w:spacing w:after="0"/>
              <w:rPr>
                <w:sz w:val="22"/>
                <w:szCs w:val="22"/>
                <w:color w:val="auto"/>
              </w:rPr>
            </w:pPr>
          </w:p>
        </w:tc>
      </w:tr>
      <w:tr>
        <w:trPr>
          <w:trHeight w:val="169"/>
        </w:trPr>
        <w:tc>
          <w:tcPr>
            <w:tcW w:w="1120" w:type="dxa"/>
            <w:vAlign w:val="bottom"/>
          </w:tcPr>
          <w:p>
            <w:pPr>
              <w:spacing w:after="0"/>
              <w:rPr>
                <w:sz w:val="14"/>
                <w:szCs w:val="14"/>
                <w:color w:val="auto"/>
              </w:rPr>
            </w:pPr>
          </w:p>
        </w:tc>
        <w:tc>
          <w:tcPr>
            <w:tcW w:w="96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trustee (incorporated by reference to Exhibit 4.1 to Lockheed Martin Corporation’s Registration Statement on Form S-3 filed with the</w:t>
              </w:r>
            </w:hyperlink>
          </w:p>
        </w:tc>
        <w:tc>
          <w:tcPr>
            <w:tcW w:w="660" w:type="dxa"/>
            <w:vAlign w:val="bottom"/>
            <w:gridSpan w:val="19"/>
          </w:tcPr>
          <w:p>
            <w:pPr>
              <w:ind w:left="20"/>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SEC</w:t>
              </w:r>
            </w:hyperlink>
          </w:p>
        </w:tc>
      </w:tr>
      <w:tr>
        <w:trPr>
          <w:trHeight w:val="156"/>
        </w:trPr>
        <w:tc>
          <w:tcPr>
            <w:tcW w:w="1120" w:type="dxa"/>
            <w:vAlign w:val="bottom"/>
          </w:tcPr>
          <w:p>
            <w:pPr>
              <w:spacing w:after="0"/>
              <w:rPr>
                <w:sz w:val="13"/>
                <w:szCs w:val="13"/>
                <w:color w:val="auto"/>
              </w:rPr>
            </w:pPr>
          </w:p>
        </w:tc>
        <w:tc>
          <w:tcPr>
            <w:tcW w:w="100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on April 18,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103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See also Exhibits 3.1 and 3.2.</w:t>
            </w:r>
          </w:p>
        </w:tc>
      </w:tr>
      <w:tr>
        <w:trPr>
          <w:trHeight w:val="279"/>
        </w:trPr>
        <w:tc>
          <w:tcPr>
            <w:tcW w:w="1120" w:type="dxa"/>
            <w:vAlign w:val="bottom"/>
          </w:tcPr>
          <w:p>
            <w:pPr>
              <w:spacing w:after="0"/>
              <w:rPr>
                <w:sz w:val="24"/>
                <w:szCs w:val="24"/>
                <w:color w:val="auto"/>
              </w:rPr>
            </w:pPr>
          </w:p>
        </w:tc>
        <w:tc>
          <w:tcPr>
            <w:tcW w:w="103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Pursuant to Item 601(b)(4)(iii) of Regulation S-K, copies of instruments defining the rights of certain holders of long-term debt are not</w:t>
            </w:r>
          </w:p>
        </w:tc>
      </w:tr>
      <w:tr>
        <w:trPr>
          <w:trHeight w:val="234"/>
        </w:trPr>
        <w:tc>
          <w:tcPr>
            <w:tcW w:w="1120" w:type="dxa"/>
            <w:vAlign w:val="bottom"/>
          </w:tcPr>
          <w:p>
            <w:pPr>
              <w:spacing w:after="0"/>
              <w:rPr>
                <w:sz w:val="20"/>
                <w:szCs w:val="20"/>
                <w:color w:val="auto"/>
              </w:rPr>
            </w:pPr>
          </w:p>
        </w:tc>
        <w:tc>
          <w:tcPr>
            <w:tcW w:w="103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filed. The Corporation will furnish copies thereof to the SEC upon request.</w:t>
            </w:r>
          </w:p>
        </w:tc>
      </w:tr>
      <w:tr>
        <w:trPr>
          <w:trHeight w:val="25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Revolving Credit Agreement dated as of August 24, 2022, among Lockheed Martin Corporation, the lenders listed therein, and Bank of</w:t>
              </w:r>
            </w:hyperlink>
          </w:p>
        </w:tc>
      </w:tr>
      <w:tr>
        <w:trPr>
          <w:trHeight w:val="169"/>
        </w:trPr>
        <w:tc>
          <w:tcPr>
            <w:tcW w:w="1120" w:type="dxa"/>
            <w:vAlign w:val="bottom"/>
          </w:tcPr>
          <w:p>
            <w:pPr>
              <w:spacing w:after="0"/>
              <w:rPr>
                <w:sz w:val="14"/>
                <w:szCs w:val="14"/>
                <w:color w:val="auto"/>
              </w:rPr>
            </w:pPr>
          </w:p>
        </w:tc>
        <w:tc>
          <w:tcPr>
            <w:tcW w:w="1016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America, N.A., as administrative agent (incorporated by reference to Exhibit 10.1 to Lockheed Martin Corporation’s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1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8-K filed with the SEC on August 24, 2022).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Extension Agreement dated as of August 24, 2023, among Lockheed Martin Corporation, the lenders listed therein, and Bank of America,</w:t>
              </w:r>
            </w:hyperlink>
          </w:p>
        </w:tc>
      </w:tr>
      <w:tr>
        <w:trPr>
          <w:trHeight w:val="169"/>
        </w:trPr>
        <w:tc>
          <w:tcPr>
            <w:tcW w:w="1120" w:type="dxa"/>
            <w:vAlign w:val="bottom"/>
          </w:tcPr>
          <w:p>
            <w:pPr>
              <w:spacing w:after="0"/>
              <w:rPr>
                <w:sz w:val="14"/>
                <w:szCs w:val="14"/>
                <w:color w:val="auto"/>
              </w:rPr>
            </w:pPr>
          </w:p>
        </w:tc>
        <w:tc>
          <w:tcPr>
            <w:tcW w:w="1010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N.A., as administrative agent (incorporated by reference to Exhibit 10.1 to Lockheed Martin Corporation’s Current Report on Form 8-K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0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filed with the SEC on August 24,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No.1 to Credit Agreement, by and among Lockheed Martin Corporation, the lenders listed therein, and Bank of America,</w:t>
              </w:r>
            </w:hyperlink>
          </w:p>
        </w:tc>
      </w:tr>
      <w:tr>
        <w:trPr>
          <w:trHeight w:val="169"/>
        </w:trPr>
        <w:tc>
          <w:tcPr>
            <w:tcW w:w="1120" w:type="dxa"/>
            <w:vAlign w:val="bottom"/>
          </w:tcPr>
          <w:p>
            <w:pPr>
              <w:spacing w:after="0"/>
              <w:rPr>
                <w:sz w:val="14"/>
                <w:szCs w:val="14"/>
                <w:color w:val="auto"/>
              </w:rPr>
            </w:pPr>
          </w:p>
        </w:tc>
        <w:tc>
          <w:tcPr>
            <w:tcW w:w="100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N.A., as administrative agent (incorporated by reference to Exhibit 10.1 to Lockheed Martin Corporation’s Current Report on Form 8-K</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0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filed with the SEC on August 23, 2024).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No.2 to Credit Agreement, by and among Lockheed Martin Corporation, the lenders listed therein, and Bank of America,</w:t>
              </w:r>
            </w:hyperlink>
          </w:p>
        </w:tc>
      </w:tr>
      <w:tr>
        <w:trPr>
          <w:trHeight w:val="169"/>
        </w:trPr>
        <w:tc>
          <w:tcPr>
            <w:tcW w:w="1120" w:type="dxa"/>
            <w:vAlign w:val="bottom"/>
          </w:tcPr>
          <w:p>
            <w:pPr>
              <w:spacing w:after="0"/>
              <w:rPr>
                <w:sz w:val="14"/>
                <w:szCs w:val="14"/>
                <w:color w:val="auto"/>
              </w:rPr>
            </w:pPr>
          </w:p>
        </w:tc>
        <w:tc>
          <w:tcPr>
            <w:tcW w:w="100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N.A., as administrative agent (incorporated by reference to Exhibit 10.1 to Lockheed Martin Corporation’s Current Report on Form 8-K</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0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filed with the SEC on August 29, 2025).</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364-Day Revolving Credit Agreement dated as of December 5, 2025, among Lockheed Martin Corporation, the lenders listed therein, and</w:t>
              </w:r>
            </w:hyperlink>
          </w:p>
        </w:tc>
      </w:tr>
      <w:tr>
        <w:trPr>
          <w:trHeight w:val="169"/>
        </w:trPr>
        <w:tc>
          <w:tcPr>
            <w:tcW w:w="1120" w:type="dxa"/>
            <w:vAlign w:val="bottom"/>
          </w:tcPr>
          <w:p>
            <w:pPr>
              <w:spacing w:after="0"/>
              <w:rPr>
                <w:sz w:val="14"/>
                <w:szCs w:val="14"/>
                <w:color w:val="auto"/>
              </w:rPr>
            </w:pPr>
          </w:p>
        </w:tc>
        <w:tc>
          <w:tcPr>
            <w:tcW w:w="99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Bank of America, N.A., as administrative agent (incorporated by reference to Exhibit 10.1 to Lockheed Martin Corporation’s Current</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96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Report on Form 8-K filed with the SEC on December 09, 2025).</w:t>
              </w:r>
            </w:hyperlink>
          </w:p>
        </w:tc>
        <w:tc>
          <w:tcPr>
            <w:tcW w:w="28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Non-Employee Director Compensation Summary (incorporated by reference to Exhibit 10.3 to Lockheed Martin Corporation’s Quarterly</w:t>
              </w:r>
            </w:hyperlink>
          </w:p>
        </w:tc>
      </w:tr>
      <w:tr>
        <w:trPr>
          <w:trHeight w:val="169"/>
        </w:trPr>
        <w:tc>
          <w:tcPr>
            <w:tcW w:w="1120" w:type="dxa"/>
            <w:vAlign w:val="bottom"/>
          </w:tcPr>
          <w:p>
            <w:pPr>
              <w:spacing w:after="0"/>
              <w:rPr>
                <w:sz w:val="14"/>
                <w:szCs w:val="14"/>
                <w:color w:val="auto"/>
              </w:rPr>
            </w:pPr>
          </w:p>
        </w:tc>
        <w:tc>
          <w:tcPr>
            <w:tcW w:w="98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Report on Form 10-Q for the quarter ended September 25, 2022).</w:t>
              </w:r>
            </w:hyperlink>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Lockheed Martin Corporation Directors Deferred Compensation Plan as amended and restated effective October 1, 2024.</w:t>
            </w:r>
          </w:p>
        </w:tc>
        <w:tc>
          <w:tcPr>
            <w:tcW w:w="1560" w:type="dxa"/>
            <w:vAlign w:val="bottom"/>
            <w:gridSpan w:val="24"/>
          </w:tcPr>
          <w:p>
            <w:pPr>
              <w:spacing w:after="0"/>
              <w:rPr>
                <w:sz w:val="22"/>
                <w:szCs w:val="22"/>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Lockheed Martin Corporation Directors Equity Plan, as amended (incorporated by reference to Exhibit 10.1 to Lockheed Martin</w:t>
              </w:r>
            </w:hyperlink>
          </w:p>
        </w:tc>
      </w:tr>
      <w:tr>
        <w:trPr>
          <w:trHeight w:val="169"/>
        </w:trPr>
        <w:tc>
          <w:tcPr>
            <w:tcW w:w="1120" w:type="dxa"/>
            <w:vAlign w:val="bottom"/>
          </w:tcPr>
          <w:p>
            <w:pPr>
              <w:spacing w:after="0"/>
              <w:rPr>
                <w:sz w:val="14"/>
                <w:szCs w:val="14"/>
                <w:color w:val="auto"/>
              </w:rPr>
            </w:pPr>
          </w:p>
        </w:tc>
        <w:tc>
          <w:tcPr>
            <w:tcW w:w="101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Corporation’s Current Report on Form 8-K filed with the SEC on November 2, 2006).</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Lockheed Martin Corporation Amended and Restated Directors Equity Plan (incorporated by reference to Exhibit 10.1 to Lockheed</w:t>
              </w:r>
            </w:hyperlink>
          </w:p>
        </w:tc>
      </w:tr>
      <w:tr>
        <w:trPr>
          <w:trHeight w:val="169"/>
        </w:trPr>
        <w:tc>
          <w:tcPr>
            <w:tcW w:w="1120" w:type="dxa"/>
            <w:vAlign w:val="bottom"/>
          </w:tcPr>
          <w:p>
            <w:pPr>
              <w:spacing w:after="0"/>
              <w:rPr>
                <w:sz w:val="14"/>
                <w:szCs w:val="14"/>
                <w:color w:val="auto"/>
              </w:rPr>
            </w:pPr>
          </w:p>
        </w:tc>
        <w:tc>
          <w:tcPr>
            <w:tcW w:w="94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Martin Corporation’s Current Report on Form 8-K filed with the SEC on April 26, 2018).</w:t>
              </w:r>
            </w:hyperlink>
          </w:p>
        </w:tc>
        <w:tc>
          <w:tcPr>
            <w:tcW w:w="5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30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2024 Amendment to the Lockheed Martin Corporation Amended and Restated Directors Equity Plan.</w:t>
            </w: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Indemnification Agreement (incorporated by reference to Exhibit 10.34 to Lockheed Martin Corporation’s Annual Report on</w:t>
              </w:r>
            </w:hyperlink>
          </w:p>
        </w:tc>
      </w:tr>
      <w:tr>
        <w:trPr>
          <w:trHeight w:val="169"/>
        </w:trPr>
        <w:tc>
          <w:tcPr>
            <w:tcW w:w="112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Form 10-K for the year ended December 31, 2009).</w:t>
              </w:r>
            </w:hyperlink>
          </w:p>
        </w:tc>
        <w:tc>
          <w:tcPr>
            <w:tcW w:w="654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Lockheed Martin Corporation Supplemental Savings Plan, as amended and restated effective January 1, 2015 (incorporated by reference</w:t>
              </w:r>
            </w:hyperlink>
          </w:p>
        </w:tc>
      </w:tr>
      <w:tr>
        <w:trPr>
          <w:trHeight w:val="169"/>
        </w:trPr>
        <w:tc>
          <w:tcPr>
            <w:tcW w:w="1120" w:type="dxa"/>
            <w:vAlign w:val="bottom"/>
          </w:tcPr>
          <w:p>
            <w:pPr>
              <w:spacing w:after="0"/>
              <w:rPr>
                <w:sz w:val="14"/>
                <w:szCs w:val="14"/>
                <w:color w:val="auto"/>
              </w:rPr>
            </w:pPr>
          </w:p>
        </w:tc>
        <w:tc>
          <w:tcPr>
            <w:tcW w:w="102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to Exhibit 10.4 to Lockheed Martin Corporation’s Quarterly Report on Form 10-Q for the quarter ended March 29, 2015)</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Amendment to Lockheed Martin Corporation Supplemental Savings Plan and Lockheed Martin Corporation Nonqualified Capital</w:t>
              </w:r>
            </w:hyperlink>
          </w:p>
        </w:tc>
      </w:tr>
      <w:tr>
        <w:trPr>
          <w:trHeight w:val="169"/>
        </w:trPr>
        <w:tc>
          <w:tcPr>
            <w:tcW w:w="1120" w:type="dxa"/>
            <w:vAlign w:val="bottom"/>
          </w:tcPr>
          <w:p>
            <w:pPr>
              <w:spacing w:after="0"/>
              <w:rPr>
                <w:sz w:val="14"/>
                <w:szCs w:val="14"/>
                <w:color w:val="auto"/>
              </w:rPr>
            </w:pPr>
          </w:p>
        </w:tc>
        <w:tc>
          <w:tcPr>
            <w:tcW w:w="1028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Accumulation Program, dated December 18, 2019 (incorporated by reference to Exhibit 10.31 to Lockheed Martin Corporation’s Annual</w:t>
              </w:r>
            </w:hyperlink>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Report on Form 10-K for the year ended December 31, 2019).</w:t>
              </w:r>
            </w:hyperlink>
          </w:p>
        </w:tc>
        <w:tc>
          <w:tcPr>
            <w:tcW w:w="57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Lockheed Martin Corporation Nonqualified Capital Accumulation Plan, as amended and restated generally effective as of December 18,</w:t>
              </w:r>
            </w:hyperlink>
          </w:p>
        </w:tc>
      </w:tr>
      <w:tr>
        <w:trPr>
          <w:trHeight w:val="169"/>
        </w:trPr>
        <w:tc>
          <w:tcPr>
            <w:tcW w:w="112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2015 (incorporated by reference to Exhibit 10.22 to Lockheed Martin Corporation’s Annual Report on Form 10-K for the year ended</w:t>
              </w:r>
            </w:hyperlink>
          </w:p>
        </w:tc>
        <w:tc>
          <w:tcPr>
            <w:tcW w:w="20" w:type="dxa"/>
            <w:vAlign w:val="bottom"/>
            <w:tcBorders>
              <w:bottom w:val="single" w:sz="8" w:color="0000FF"/>
            </w:tcBorders>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52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December 31, 2015).</w:t>
              </w:r>
            </w:hyperlink>
          </w:p>
        </w:tc>
        <w:tc>
          <w:tcPr>
            <w:tcW w:w="8520" w:type="dxa"/>
            <w:vAlign w:val="bottom"/>
            <w:gridSpan w:val="2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300" w:type="dxa"/>
            <w:vAlign w:val="bottom"/>
            <w:gridSpan w:val="38"/>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Lockheed Martin Corporation Deferred Management Incentive Compensation Plan, as amended and restated effective January 1, 2020</w:t>
              </w:r>
            </w:hyperlink>
          </w:p>
        </w:tc>
      </w:tr>
      <w:tr>
        <w:trPr>
          <w:trHeight w:val="169"/>
        </w:trPr>
        <w:tc>
          <w:tcPr>
            <w:tcW w:w="1120" w:type="dxa"/>
            <w:vAlign w:val="bottom"/>
          </w:tcPr>
          <w:p>
            <w:pPr>
              <w:spacing w:after="0"/>
              <w:rPr>
                <w:sz w:val="14"/>
                <w:szCs w:val="14"/>
                <w:color w:val="auto"/>
              </w:rPr>
            </w:pPr>
          </w:p>
        </w:tc>
        <w:tc>
          <w:tcPr>
            <w:tcW w:w="1022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by reference to Exhibit 10.8 to Lockheed Martin Corporation’s Annual Report on Form 10-K for the year ended December</w:t>
              </w:r>
            </w:hyperlink>
          </w:p>
        </w:tc>
        <w:tc>
          <w:tcPr>
            <w:tcW w:w="80" w:type="dxa"/>
            <w:vAlign w:val="bottom"/>
            <w:gridSpan w:val="4"/>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31, 2019).</w:t>
              </w:r>
            </w:hyperlink>
          </w:p>
        </w:tc>
        <w:tc>
          <w:tcPr>
            <w:tcW w:w="6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0"/>
        </w:trPr>
        <w:tc>
          <w:tcPr>
            <w:tcW w:w="1120" w:type="dxa"/>
            <w:vAlign w:val="bottom"/>
          </w:tcPr>
          <w:p>
            <w:pPr>
              <w:spacing w:after="0"/>
              <w:rPr>
                <w:sz w:val="24"/>
                <w:szCs w:val="24"/>
                <w:color w:val="auto"/>
              </w:rPr>
            </w:pPr>
          </w:p>
        </w:tc>
        <w:tc>
          <w:tcPr>
            <w:tcW w:w="4640" w:type="dxa"/>
            <w:vAlign w:val="bottom"/>
            <w:gridSpan w:val="8"/>
          </w:tcPr>
          <w:p>
            <w:pPr>
              <w:ind w:left="442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10.16</w:t>
            </w:r>
          </w:p>
        </w:tc>
        <w:tc>
          <w:tcPr>
            <w:tcW w:w="93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Amendment No.1 to Lockheed Martin Corporation Deferred Management Incentive Compensation Plan, as amended and restated</w:t>
              </w:r>
            </w:hyperlink>
          </w:p>
        </w:tc>
        <w:tc>
          <w:tcPr>
            <w:tcW w:w="940" w:type="dxa"/>
            <w:vAlign w:val="bottom"/>
            <w:gridSpan w:val="19"/>
          </w:tcPr>
          <w:p>
            <w:pPr>
              <w:spacing w:after="0"/>
              <w:rPr>
                <w:sz w:val="17"/>
                <w:szCs w:val="17"/>
                <w:color w:val="auto"/>
              </w:rPr>
            </w:pPr>
          </w:p>
        </w:tc>
      </w:tr>
      <w:tr>
        <w:trPr>
          <w:trHeight w:val="169"/>
        </w:trPr>
        <w:tc>
          <w:tcPr>
            <w:tcW w:w="1120" w:type="dxa"/>
            <w:vAlign w:val="bottom"/>
          </w:tcPr>
          <w:p>
            <w:pPr>
              <w:spacing w:after="0"/>
              <w:rPr>
                <w:sz w:val="14"/>
                <w:szCs w:val="14"/>
                <w:color w:val="auto"/>
              </w:rPr>
            </w:pPr>
          </w:p>
        </w:tc>
        <w:tc>
          <w:tcPr>
            <w:tcW w:w="10300" w:type="dxa"/>
            <w:vAlign w:val="bottom"/>
            <w:gridSpan w:val="32"/>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effective January 1, 2020 (incorporated by reference to Exhibit 10.12 to Lockheed Martin Corporation’s Annual Report on Form 10-K for</w:t>
              </w:r>
            </w:hyperlink>
          </w:p>
        </w:tc>
      </w:tr>
      <w:tr>
        <w:trPr>
          <w:trHeight w:val="156"/>
        </w:trPr>
        <w:tc>
          <w:tcPr>
            <w:tcW w:w="112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the year ended December 31, 2020).</w:t>
              </w:r>
            </w:hyperlink>
          </w:p>
        </w:tc>
        <w:tc>
          <w:tcPr>
            <w:tcW w:w="730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10.17</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Amendment No. 2 to Lockheed Martin Corporation Deferred Management Incentive Compensation Plan, as amended and restated</w:t>
              </w:r>
            </w:hyperlink>
          </w:p>
        </w:tc>
      </w:tr>
      <w:tr>
        <w:trPr>
          <w:trHeight w:val="169"/>
        </w:trPr>
        <w:tc>
          <w:tcPr>
            <w:tcW w:w="1120" w:type="dxa"/>
            <w:vAlign w:val="bottom"/>
          </w:tcPr>
          <w:p>
            <w:pPr>
              <w:spacing w:after="0"/>
              <w:rPr>
                <w:sz w:val="14"/>
                <w:szCs w:val="14"/>
                <w:color w:val="auto"/>
              </w:rPr>
            </w:pPr>
          </w:p>
        </w:tc>
        <w:tc>
          <w:tcPr>
            <w:tcW w:w="94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effective January 1, 2020 (incorporated by reference to Exhibit 10.8 to Lockheed Martin Corporation’s Quarterly Report on Form</w:t>
              </w:r>
            </w:hyperlink>
          </w:p>
        </w:tc>
        <w:tc>
          <w:tcPr>
            <w:tcW w:w="900" w:type="dxa"/>
            <w:vAlign w:val="bottom"/>
            <w:gridSpan w:val="18"/>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10-Q for</w:t>
              </w:r>
            </w:hyperlink>
          </w:p>
        </w:tc>
      </w:tr>
      <w:tr>
        <w:trPr>
          <w:trHeight w:val="155"/>
        </w:trPr>
        <w:tc>
          <w:tcPr>
            <w:tcW w:w="1120" w:type="dxa"/>
            <w:vAlign w:val="bottom"/>
          </w:tcPr>
          <w:p>
            <w:pPr>
              <w:spacing w:after="0"/>
              <w:rPr>
                <w:sz w:val="13"/>
                <w:szCs w:val="13"/>
                <w:color w:val="auto"/>
              </w:rPr>
            </w:pPr>
          </w:p>
        </w:tc>
        <w:tc>
          <w:tcPr>
            <w:tcW w:w="100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the quarter ended March 27,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10.18</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Amendment No. 3 to Lockheed Martin Corporation Deferred Management Incentive Compensation Plan, as amended and restated</w:t>
              </w:r>
            </w:hyperlink>
          </w:p>
        </w:tc>
      </w:tr>
      <w:tr>
        <w:trPr>
          <w:trHeight w:val="169"/>
        </w:trPr>
        <w:tc>
          <w:tcPr>
            <w:tcW w:w="1120" w:type="dxa"/>
            <w:vAlign w:val="bottom"/>
          </w:tcPr>
          <w:p>
            <w:pPr>
              <w:spacing w:after="0"/>
              <w:rPr>
                <w:sz w:val="14"/>
                <w:szCs w:val="14"/>
                <w:color w:val="auto"/>
              </w:rPr>
            </w:pPr>
          </w:p>
        </w:tc>
        <w:tc>
          <w:tcPr>
            <w:tcW w:w="10240" w:type="dxa"/>
            <w:vAlign w:val="bottom"/>
            <w:tcBorders>
              <w:top w:val="single" w:sz="8" w:color="0000FF"/>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generally effective January 1, 2020 (incorporated by reference to Exhibit 10.13 to Lockheed Martin Corporation's Annual Report on Form</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260" w:type="dxa"/>
            <w:vAlign w:val="bottom"/>
            <w:gridSpan w:val="30"/>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10-K for the year ended December 31,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10.19</w:t>
            </w:r>
          </w:p>
        </w:tc>
        <w:tc>
          <w:tcPr>
            <w:tcW w:w="103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Amendment No.4 to Lockheed Martin Corporation Deferred Management Incentive Compensation Plan, as amended and restated</w:t>
            </w:r>
          </w:p>
        </w:tc>
      </w:tr>
      <w:tr>
        <w:trPr>
          <w:trHeight w:val="169"/>
        </w:trPr>
        <w:tc>
          <w:tcPr>
            <w:tcW w:w="112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generally effective January 1, 2020.</w:t>
            </w:r>
          </w:p>
        </w:tc>
        <w:tc>
          <w:tcPr>
            <w:tcW w:w="6780" w:type="dxa"/>
            <w:vAlign w:val="bottom"/>
            <w:tcBorders>
              <w:top w:val="single" w:sz="8" w:color="0000FF"/>
            </w:tcBorders>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4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10.20</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Lockheed Martin Corporation Amended and Restated 2021 Management Incentive Compensation Plan (incorporated by reference to</w:t>
              </w:r>
            </w:hyperlink>
          </w:p>
        </w:tc>
      </w:tr>
      <w:tr>
        <w:trPr>
          <w:trHeight w:val="169"/>
        </w:trPr>
        <w:tc>
          <w:tcPr>
            <w:tcW w:w="1120" w:type="dxa"/>
            <w:vAlign w:val="bottom"/>
          </w:tcPr>
          <w:p>
            <w:pPr>
              <w:spacing w:after="0"/>
              <w:rPr>
                <w:sz w:val="14"/>
                <w:szCs w:val="14"/>
                <w:color w:val="auto"/>
              </w:rPr>
            </w:pPr>
          </w:p>
        </w:tc>
        <w:tc>
          <w:tcPr>
            <w:tcW w:w="95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Exhibit 10.5 to Lockheed Martin Corporation’s Quarterly Report on Form 10-Q for the quarter ended March 26, 2023).</w:t>
              </w:r>
            </w:hyperlink>
          </w:p>
        </w:tc>
        <w:tc>
          <w:tcPr>
            <w:tcW w:w="4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10.21</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Lockheed Martin Corporation 2020 Incentive Performance Award Plan (incorporated by reference to Exhibit 10.1 to Lockheed Martin</w:t>
              </w:r>
            </w:hyperlink>
          </w:p>
        </w:tc>
      </w:tr>
      <w:tr>
        <w:trPr>
          <w:trHeight w:val="169"/>
        </w:trPr>
        <w:tc>
          <w:tcPr>
            <w:tcW w:w="1120" w:type="dxa"/>
            <w:vAlign w:val="bottom"/>
          </w:tcPr>
          <w:p>
            <w:pPr>
              <w:spacing w:after="0"/>
              <w:rPr>
                <w:sz w:val="14"/>
                <w:szCs w:val="14"/>
                <w:color w:val="auto"/>
              </w:rPr>
            </w:pPr>
          </w:p>
        </w:tc>
        <w:tc>
          <w:tcPr>
            <w:tcW w:w="59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Corporation’s Current Report on Form 8-K filed with the SEC on April 23, 2020).</w:t>
              </w:r>
            </w:hyperlink>
          </w:p>
        </w:tc>
        <w:tc>
          <w:tcPr>
            <w:tcW w:w="41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10.22</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2023 Annual Restricted Stock Unit Award Agreement under the Lockheed Martin Corporation 2020 Incentive Performance</w:t>
              </w:r>
            </w:hyperlink>
          </w:p>
        </w:tc>
      </w:tr>
      <w:tr>
        <w:trPr>
          <w:trHeight w:val="169"/>
        </w:trPr>
        <w:tc>
          <w:tcPr>
            <w:tcW w:w="1120" w:type="dxa"/>
            <w:vAlign w:val="bottom"/>
          </w:tcPr>
          <w:p>
            <w:pPr>
              <w:spacing w:after="0"/>
              <w:rPr>
                <w:sz w:val="14"/>
                <w:szCs w:val="14"/>
                <w:color w:val="auto"/>
              </w:rPr>
            </w:pPr>
          </w:p>
        </w:tc>
        <w:tc>
          <w:tcPr>
            <w:tcW w:w="101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Award Plan (incorporated by reference to Exhibit 10.1 to Lockheed Martin Corporation’s Quarterly Report on Form 10-Q for the quarter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ended March 26,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10.23</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Performance Stock Unit Award Agreement (2023 - 2025 Performance Period) under the Lockheed Martin Corporation 2020</w:t>
              </w:r>
            </w:hyperlink>
          </w:p>
        </w:tc>
      </w:tr>
      <w:tr>
        <w:trPr>
          <w:trHeight w:val="169"/>
        </w:trPr>
        <w:tc>
          <w:tcPr>
            <w:tcW w:w="1120" w:type="dxa"/>
            <w:vAlign w:val="bottom"/>
          </w:tcPr>
          <w:p>
            <w:pPr>
              <w:spacing w:after="0"/>
              <w:rPr>
                <w:sz w:val="14"/>
                <w:szCs w:val="14"/>
                <w:color w:val="auto"/>
              </w:rPr>
            </w:pPr>
          </w:p>
        </w:tc>
        <w:tc>
          <w:tcPr>
            <w:tcW w:w="102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Incentive Performance Award Plan (incorporated by reference to Exhibit 10.2 to Lockheed Martin Corporation’s Quarterly Report on</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Form 10-Q for the quarter ended March 26, 2023).</w:t>
              </w:r>
            </w:hyperlink>
          </w:p>
        </w:tc>
        <w:tc>
          <w:tcPr>
            <w:tcW w:w="640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10.24</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Long Term Incentive Performance Award Agreement (2023 - 2025 Performance Period) under the Lockheed Martin Corporation</w:t>
              </w:r>
            </w:hyperlink>
          </w:p>
        </w:tc>
      </w:tr>
      <w:tr>
        <w:trPr>
          <w:trHeight w:val="169"/>
        </w:trPr>
        <w:tc>
          <w:tcPr>
            <w:tcW w:w="1120" w:type="dxa"/>
            <w:vAlign w:val="bottom"/>
          </w:tcPr>
          <w:p>
            <w:pPr>
              <w:spacing w:after="0"/>
              <w:rPr>
                <w:sz w:val="14"/>
                <w:szCs w:val="14"/>
                <w:color w:val="auto"/>
              </w:rPr>
            </w:pPr>
          </w:p>
        </w:tc>
        <w:tc>
          <w:tcPr>
            <w:tcW w:w="102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2020 Incentive Performance Award Plan (incorporated by reference to Exhibit 10.3 to Lockheed Martin Corporation’s Quarterly Report on</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0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10-Q for the quarter ended March 26, 2023).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10.25</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Amendment to Outstanding Long-Term Incentive Performance and Performance Stock Unit Award Agreements (effective December 13,</w:t>
              </w:r>
            </w:hyperlink>
          </w:p>
        </w:tc>
      </w:tr>
      <w:tr>
        <w:trPr>
          <w:trHeight w:val="169"/>
        </w:trPr>
        <w:tc>
          <w:tcPr>
            <w:tcW w:w="1120" w:type="dxa"/>
            <w:vAlign w:val="bottom"/>
          </w:tcPr>
          <w:p>
            <w:pPr>
              <w:spacing w:after="0"/>
              <w:rPr>
                <w:sz w:val="14"/>
                <w:szCs w:val="14"/>
                <w:color w:val="auto"/>
              </w:rPr>
            </w:pPr>
          </w:p>
        </w:tc>
        <w:tc>
          <w:tcPr>
            <w:tcW w:w="102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2024) (incorporated by reference to Exhibit 10.29 to Lockheed Martin Corporation’s Annual Report on Form 10-K for the year ended</w:t>
              </w:r>
            </w:hyperlink>
          </w:p>
        </w:tc>
        <w:tc>
          <w:tcPr>
            <w:tcW w:w="20"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December 31, 2024).</w:t>
              </w:r>
            </w:hyperlink>
          </w:p>
        </w:tc>
        <w:tc>
          <w:tcPr>
            <w:tcW w:w="8660" w:type="dxa"/>
            <w:vAlign w:val="bottom"/>
            <w:tcBorders>
              <w:top w:val="single" w:sz="8" w:color="0000FF"/>
            </w:tcBorders>
            <w:gridSpan w:val="2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10.26</w:t>
            </w:r>
          </w:p>
        </w:tc>
        <w:tc>
          <w:tcPr>
            <w:tcW w:w="103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Amendment to Long-Term Incentive Performance and Performance Stock Unit Award Agreements (2023 - 2025 Performance Period)</w:t>
            </w:r>
          </w:p>
        </w:tc>
      </w:tr>
      <w:tr>
        <w:trPr>
          <w:trHeight w:val="169"/>
        </w:trPr>
        <w:tc>
          <w:tcPr>
            <w:tcW w:w="1120" w:type="dxa"/>
            <w:vAlign w:val="bottom"/>
          </w:tcPr>
          <w:p>
            <w:pPr>
              <w:spacing w:after="0"/>
              <w:rPr>
                <w:sz w:val="14"/>
                <w:szCs w:val="14"/>
                <w:color w:val="auto"/>
              </w:rPr>
            </w:pPr>
          </w:p>
        </w:tc>
        <w:tc>
          <w:tcPr>
            <w:tcW w:w="1014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(effective December 12, 2025).</w:t>
            </w: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80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10.27</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2024 Annual Restricted Stock Unit Award Agreement under the Lockheed Martin Corporation 2020 Incentive Performance</w:t>
              </w:r>
            </w:hyperlink>
          </w:p>
        </w:tc>
      </w:tr>
      <w:tr>
        <w:trPr>
          <w:trHeight w:val="169"/>
        </w:trPr>
        <w:tc>
          <w:tcPr>
            <w:tcW w:w="1120" w:type="dxa"/>
            <w:vAlign w:val="bottom"/>
          </w:tcPr>
          <w:p>
            <w:pPr>
              <w:spacing w:after="0"/>
              <w:rPr>
                <w:sz w:val="14"/>
                <w:szCs w:val="14"/>
                <w:color w:val="auto"/>
              </w:rPr>
            </w:pPr>
          </w:p>
        </w:tc>
        <w:tc>
          <w:tcPr>
            <w:tcW w:w="101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Award Plan (incorporated by reference to Exhibit 10.1 to Lockheed Martin Corporation’s Quarterly Report on Form 10-Q for the quarter</w:t>
              </w:r>
            </w:hyperlink>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ended March 31, 2024).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32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10.28</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Performance Stock Unit Award Agreement (2024 - 2026 Performance Period) under the Lockheed Martin Corporation 2020</w:t>
              </w:r>
            </w:hyperlink>
          </w:p>
        </w:tc>
      </w:tr>
      <w:tr>
        <w:trPr>
          <w:trHeight w:val="169"/>
        </w:trPr>
        <w:tc>
          <w:tcPr>
            <w:tcW w:w="1120" w:type="dxa"/>
            <w:vAlign w:val="bottom"/>
          </w:tcPr>
          <w:p>
            <w:pPr>
              <w:spacing w:after="0"/>
              <w:rPr>
                <w:sz w:val="14"/>
                <w:szCs w:val="14"/>
                <w:color w:val="auto"/>
              </w:rPr>
            </w:pPr>
          </w:p>
        </w:tc>
        <w:tc>
          <w:tcPr>
            <w:tcW w:w="102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Incentive Performance Award Plan (incorporated by reference to Exhibit 10.2 to Lockheed Martin Corporation’s Quarterly Report on</w:t>
              </w:r>
            </w:hyperlink>
          </w:p>
        </w:tc>
        <w:tc>
          <w:tcPr>
            <w:tcW w:w="80" w:type="dxa"/>
            <w:vAlign w:val="bottom"/>
            <w:gridSpan w:val="4"/>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Form 10-Q for the quarter ended March 31, 2024).</w:t>
              </w:r>
            </w:hyperlink>
          </w:p>
        </w:tc>
        <w:tc>
          <w:tcPr>
            <w:tcW w:w="640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10.29</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Long Term Incentive Performance Award Agreement (2024 - 2026 Performance Period) under the Lockheed Martin Corporation</w:t>
              </w:r>
            </w:hyperlink>
          </w:p>
        </w:tc>
      </w:tr>
      <w:tr>
        <w:trPr>
          <w:trHeight w:val="169"/>
        </w:trPr>
        <w:tc>
          <w:tcPr>
            <w:tcW w:w="1120" w:type="dxa"/>
            <w:vAlign w:val="bottom"/>
          </w:tcPr>
          <w:p>
            <w:pPr>
              <w:spacing w:after="0"/>
              <w:rPr>
                <w:sz w:val="14"/>
                <w:szCs w:val="14"/>
                <w:color w:val="auto"/>
              </w:rPr>
            </w:pPr>
          </w:p>
        </w:tc>
        <w:tc>
          <w:tcPr>
            <w:tcW w:w="102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2020 Incentive Performance Award Plan (incorporated by reference to Exhibit 10.3 to Lockheed Martin Corporation’s Quarterly Report on</w:t>
              </w:r>
            </w:hyperlink>
          </w:p>
        </w:tc>
        <w:tc>
          <w:tcPr>
            <w:tcW w:w="100" w:type="dxa"/>
            <w:vAlign w:val="bottom"/>
            <w:gridSpan w:val="5"/>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Form 10-Q for the quarter ended March 31, 2024).</w:t>
              </w:r>
            </w:hyperlink>
          </w:p>
        </w:tc>
        <w:tc>
          <w:tcPr>
            <w:tcW w:w="640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10.30</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2025 Annual Restricted Stock Unit Award Agreement under the Lockheed Martin Corporation 2020 Incentive Performance</w:t>
              </w:r>
            </w:hyperlink>
          </w:p>
        </w:tc>
      </w:tr>
      <w:tr>
        <w:trPr>
          <w:trHeight w:val="169"/>
        </w:trPr>
        <w:tc>
          <w:tcPr>
            <w:tcW w:w="1120" w:type="dxa"/>
            <w:vAlign w:val="bottom"/>
          </w:tcPr>
          <w:p>
            <w:pPr>
              <w:spacing w:after="0"/>
              <w:rPr>
                <w:sz w:val="14"/>
                <w:szCs w:val="14"/>
                <w:color w:val="auto"/>
              </w:rPr>
            </w:pPr>
          </w:p>
        </w:tc>
        <w:tc>
          <w:tcPr>
            <w:tcW w:w="101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Award Plan (incorporated by reference to Exhibit 10.1 to Lockheed Martin Corporation’s Quarterly Report on Form 10-Q for the quarter</w:t>
              </w:r>
            </w:hyperlink>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ended March 30, 2025).</w:t>
              </w:r>
            </w:hyperlink>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320" w:type="dxa"/>
            <w:vAlign w:val="bottom"/>
            <w:gridSpan w:val="1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10.31</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Performance Stock Unit Award Agreement (2025 – 2027 Performance Period) under the Lockheed Martin Corporation 2020</w:t>
              </w:r>
            </w:hyperlink>
          </w:p>
        </w:tc>
      </w:tr>
      <w:tr>
        <w:trPr>
          <w:trHeight w:val="169"/>
        </w:trPr>
        <w:tc>
          <w:tcPr>
            <w:tcW w:w="1120" w:type="dxa"/>
            <w:vAlign w:val="bottom"/>
          </w:tcPr>
          <w:p>
            <w:pPr>
              <w:spacing w:after="0"/>
              <w:rPr>
                <w:sz w:val="14"/>
                <w:szCs w:val="14"/>
                <w:color w:val="auto"/>
              </w:rPr>
            </w:pPr>
          </w:p>
        </w:tc>
        <w:tc>
          <w:tcPr>
            <w:tcW w:w="102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Incentive Performance Award Plan (incorporated by reference to Exhibit 10.2 to Lockheed Martin Corporation’s Quarterly Report on</w:t>
              </w:r>
            </w:hyperlink>
          </w:p>
        </w:tc>
        <w:tc>
          <w:tcPr>
            <w:tcW w:w="20"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Form 10-Q for the quarter ended March 30, 2025).</w:t>
              </w:r>
            </w:hyperlink>
          </w:p>
        </w:tc>
        <w:tc>
          <w:tcPr>
            <w:tcW w:w="6400" w:type="dxa"/>
            <w:vAlign w:val="bottom"/>
            <w:tcBorders>
              <w:top w:val="single" w:sz="8" w:color="0000FF"/>
            </w:tcBorders>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10.32</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Long Term Incentive Performance Award Agreement (2025 – 2027 Performance Period) under the Lockheed Martin Corporation</w:t>
              </w:r>
            </w:hyperlink>
          </w:p>
        </w:tc>
      </w:tr>
      <w:tr>
        <w:trPr>
          <w:trHeight w:val="169"/>
        </w:trPr>
        <w:tc>
          <w:tcPr>
            <w:tcW w:w="1120" w:type="dxa"/>
            <w:vAlign w:val="bottom"/>
          </w:tcPr>
          <w:p>
            <w:pPr>
              <w:spacing w:after="0"/>
              <w:rPr>
                <w:sz w:val="14"/>
                <w:szCs w:val="14"/>
                <w:color w:val="auto"/>
              </w:rPr>
            </w:pPr>
          </w:p>
        </w:tc>
        <w:tc>
          <w:tcPr>
            <w:tcW w:w="1026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2020 Incentive Performance Award Plan (incorporated by reference to Exhibit 10.3 to Lockheed Martin Corporation’s Quarterly Report on</w:t>
              </w:r>
            </w:hyperlink>
          </w:p>
        </w:tc>
        <w:tc>
          <w:tcPr>
            <w:tcW w:w="40" w:type="dxa"/>
            <w:vAlign w:val="bottom"/>
            <w:gridSpan w:val="2"/>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Form 10-Q for the quarter ended March 30, 2025).</w:t>
              </w:r>
            </w:hyperlink>
          </w:p>
        </w:tc>
        <w:tc>
          <w:tcPr>
            <w:tcW w:w="6400" w:type="dxa"/>
            <w:vAlign w:val="bottom"/>
            <w:tcBorders>
              <w:top w:val="single" w:sz="8" w:color="0000FF"/>
            </w:tcBorders>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10.33</w:t>
            </w:r>
          </w:p>
        </w:tc>
        <w:tc>
          <w:tcPr>
            <w:tcW w:w="10300" w:type="dxa"/>
            <w:vAlign w:val="bottom"/>
            <w:gridSpan w:val="32"/>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Installment Restricted Stock Unit Award Agreement under the Lockheed Martin Corporation 2020 Incentive Performance Award</w:t>
              </w:r>
            </w:hyperlink>
          </w:p>
        </w:tc>
      </w:tr>
      <w:tr>
        <w:trPr>
          <w:trHeight w:val="169"/>
        </w:trPr>
        <w:tc>
          <w:tcPr>
            <w:tcW w:w="1120" w:type="dxa"/>
            <w:vAlign w:val="bottom"/>
          </w:tcPr>
          <w:p>
            <w:pPr>
              <w:spacing w:after="0"/>
              <w:rPr>
                <w:sz w:val="14"/>
                <w:szCs w:val="14"/>
                <w:color w:val="auto"/>
              </w:rPr>
            </w:pPr>
          </w:p>
        </w:tc>
        <w:tc>
          <w:tcPr>
            <w:tcW w:w="101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Plan (incorporated by reference to Exhibit 10.4 to Lockheed Martin Corporation’s Quarterly Report on Form 10-Q for the quarter ended</w:t>
              </w:r>
            </w:hyperlink>
          </w:p>
        </w:tc>
        <w:tc>
          <w:tcPr>
            <w:tcW w:w="140" w:type="dxa"/>
            <w:vAlign w:val="bottom"/>
            <w:gridSpan w:val="7"/>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0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March 30, 2025).</w:t>
              </w:r>
            </w:hyperlink>
          </w:p>
        </w:tc>
        <w:tc>
          <w:tcPr>
            <w:tcW w:w="260" w:type="dxa"/>
            <w:vAlign w:val="bottom"/>
            <w:gridSpan w:val="13"/>
          </w:tcPr>
          <w:p>
            <w:pPr>
              <w:spacing w:after="0"/>
              <w:rPr>
                <w:sz w:val="13"/>
                <w:szCs w:val="13"/>
                <w:color w:val="auto"/>
              </w:rPr>
            </w:pPr>
          </w:p>
        </w:tc>
      </w:tr>
      <w:tr>
        <w:trPr>
          <w:trHeight w:val="520"/>
        </w:trPr>
        <w:tc>
          <w:tcPr>
            <w:tcW w:w="1120" w:type="dxa"/>
            <w:vAlign w:val="bottom"/>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4680" w:type="dxa"/>
            <w:vAlign w:val="bottom"/>
            <w:gridSpan w:val="10"/>
          </w:tcPr>
          <w:p>
            <w:pPr>
              <w:jc w:val="right"/>
              <w:ind w:right="1320"/>
              <w:spacing w:after="0"/>
              <w:rPr>
                <w:sz w:val="20"/>
                <w:szCs w:val="20"/>
                <w:color w:val="auto"/>
              </w:rPr>
            </w:pPr>
            <w:r>
              <w:rPr>
                <w:rFonts w:ascii="Times New Roman" w:cs="Times New Roman" w:eastAsia="Times New Roman" w:hAnsi="Times New Roman"/>
                <w:sz w:val="18"/>
                <w:szCs w:val="18"/>
                <w:color w:val="auto"/>
              </w:rPr>
              <w:t>99</w:t>
            </w:r>
          </w:p>
        </w:tc>
        <w:tc>
          <w:tcPr>
            <w:tcW w:w="2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1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10.34</w:t>
            </w:r>
          </w:p>
        </w:tc>
        <w:tc>
          <w:tcPr>
            <w:tcW w:w="10120" w:type="dxa"/>
            <w:vAlign w:val="bottom"/>
            <w:gridSpan w:val="1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Lockheed Martin Corporation Consolidated Supplemental Retirement Benefit Plan, as amended and restated effective October 5, 2018</w:t>
              </w:r>
            </w:hyperlink>
          </w:p>
        </w:tc>
      </w:tr>
      <w:tr>
        <w:trPr>
          <w:trHeight w:val="169"/>
        </w:trPr>
        <w:tc>
          <w:tcPr>
            <w:tcW w:w="1100" w:type="dxa"/>
            <w:vAlign w:val="bottom"/>
          </w:tcPr>
          <w:p>
            <w:pPr>
              <w:spacing w:after="0"/>
              <w:rPr>
                <w:sz w:val="14"/>
                <w:szCs w:val="14"/>
                <w:color w:val="auto"/>
              </w:rPr>
            </w:pPr>
          </w:p>
        </w:tc>
        <w:tc>
          <w:tcPr>
            <w:tcW w:w="100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(incorporated by reference to Exhibit 10.26 to Lockheed Martin Corporation’s Annual Report on Form 10-K for the year ended December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31, 2018).</w:t>
              </w:r>
            </w:hyperlink>
          </w:p>
        </w:tc>
        <w:tc>
          <w:tcPr>
            <w:tcW w:w="8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4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10.35</w:t>
            </w:r>
          </w:p>
        </w:tc>
        <w:tc>
          <w:tcPr>
            <w:tcW w:w="10120" w:type="dxa"/>
            <w:vAlign w:val="bottom"/>
            <w:gridSpan w:val="1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to Lockheed Martin Corporation Consolidated Supplemental Retirement Benefit Plan, as amended and restated effective</w:t>
              </w:r>
            </w:hyperlink>
          </w:p>
        </w:tc>
      </w:tr>
      <w:tr>
        <w:trPr>
          <w:trHeight w:val="169"/>
        </w:trPr>
        <w:tc>
          <w:tcPr>
            <w:tcW w:w="110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October 5, 2018 (incorporated by reference to Exhibit 10.9 to Lockheed Martin Corporation’s Quarterly Report on Form 10-Q for the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228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quarter ended March 27, 2022).</w:t>
              </w:r>
            </w:hyperlink>
          </w:p>
        </w:tc>
        <w:tc>
          <w:tcPr>
            <w:tcW w:w="7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10.36</w:t>
            </w:r>
          </w:p>
        </w:tc>
        <w:tc>
          <w:tcPr>
            <w:tcW w:w="10120" w:type="dxa"/>
            <w:vAlign w:val="bottom"/>
            <w:gridSpan w:val="13"/>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Lockheed Martin Corporation Executive Severance Plan, as amended and restated effective December 1, 2016 (incorporated by reference</w:t>
              </w:r>
            </w:hyperlink>
          </w:p>
        </w:tc>
      </w:tr>
      <w:tr>
        <w:trPr>
          <w:trHeight w:val="169"/>
        </w:trPr>
        <w:tc>
          <w:tcPr>
            <w:tcW w:w="1100" w:type="dxa"/>
            <w:vAlign w:val="bottom"/>
          </w:tcPr>
          <w:p>
            <w:pPr>
              <w:spacing w:after="0"/>
              <w:rPr>
                <w:sz w:val="14"/>
                <w:szCs w:val="14"/>
                <w:color w:val="auto"/>
              </w:rPr>
            </w:pPr>
          </w:p>
        </w:tc>
        <w:tc>
          <w:tcPr>
            <w:tcW w:w="100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to Exhibit 10.26 to Lockheed Martin Corporation’s Annual Report on Form 10-K for the year ended December 31, 2016)</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1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10.37</w:t>
            </w:r>
          </w:p>
        </w:tc>
        <w:tc>
          <w:tcPr>
            <w:tcW w:w="10120" w:type="dxa"/>
            <w:vAlign w:val="bottom"/>
            <w:gridSpan w:val="13"/>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Amendment No. 1 to Lockheed Martin Corporation Executive Severance Plan, as amended and restated effective December 1, 2016</w:t>
              </w:r>
            </w:hyperlink>
          </w:p>
        </w:tc>
      </w:tr>
      <w:tr>
        <w:trPr>
          <w:trHeight w:val="169"/>
        </w:trPr>
        <w:tc>
          <w:tcPr>
            <w:tcW w:w="110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 to Exhibit 10.1 to Lockheed Martin Corporation’s Quarterly Report on Form 10-Q for the quarter ended June</w:t>
              </w:r>
            </w:hyperlink>
          </w:p>
        </w:tc>
        <w:tc>
          <w:tcPr>
            <w:tcW w:w="20" w:type="dxa"/>
            <w:vAlign w:val="bottom"/>
            <w:tcBorders>
              <w:bottom w:val="single" w:sz="8" w:color="0000FF"/>
            </w:tcBorders>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740" w:type="dxa"/>
            <w:vAlign w:val="bottom"/>
            <w:gridSpan w:val="2"/>
          </w:tcPr>
          <w:p>
            <w:pPr>
              <w:spacing w:after="0" w:line="156"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24, 2018)</w:t>
              </w:r>
              <w:r>
                <w:rPr>
                  <w:rFonts w:ascii="Times New Roman" w:cs="Times New Roman" w:eastAsia="Times New Roman" w:hAnsi="Times New Roman"/>
                  <w:sz w:val="18"/>
                  <w:szCs w:val="18"/>
                  <w:color w:val="000000"/>
                  <w:w w:val="97"/>
                </w:rPr>
                <w:t>.</w:t>
              </w:r>
            </w:hyperlink>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3"/>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10.38</w:t>
            </w:r>
          </w:p>
        </w:tc>
        <w:tc>
          <w:tcPr>
            <w:tcW w:w="10120" w:type="dxa"/>
            <w:vAlign w:val="bottom"/>
            <w:gridSpan w:val="13"/>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Amendment No. 2 to Lockheed Martin Corporation Executive Severance Plan, as amended and restated effective December 1, 2016</w:t>
              </w:r>
            </w:hyperlink>
          </w:p>
        </w:tc>
      </w:tr>
      <w:tr>
        <w:trPr>
          <w:trHeight w:val="169"/>
        </w:trPr>
        <w:tc>
          <w:tcPr>
            <w:tcW w:w="110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(incorporated by reference to Exhibit 10.6 to Lockheed Martin Corporation’s Quarterly Report on Form 10-Q for the quarter ended June</w:t>
              </w:r>
            </w:hyperlink>
          </w:p>
        </w:tc>
        <w:tc>
          <w:tcPr>
            <w:tcW w:w="20" w:type="dxa"/>
            <w:vAlign w:val="bottom"/>
            <w:tcBorders>
              <w:bottom w:val="single" w:sz="8" w:color="0000FF"/>
            </w:tcBorders>
          </w:tcPr>
          <w:p>
            <w:pPr>
              <w:spacing w:after="0"/>
              <w:rPr>
                <w:sz w:val="14"/>
                <w:szCs w:val="14"/>
                <w:color w:val="auto"/>
              </w:rPr>
            </w:pPr>
          </w:p>
        </w:tc>
      </w:tr>
      <w:tr>
        <w:trPr>
          <w:trHeight w:val="155"/>
        </w:trPr>
        <w:tc>
          <w:tcPr>
            <w:tcW w:w="1100" w:type="dxa"/>
            <w:vAlign w:val="bottom"/>
          </w:tcPr>
          <w:p>
            <w:pPr>
              <w:spacing w:after="0"/>
              <w:rPr>
                <w:sz w:val="13"/>
                <w:szCs w:val="13"/>
                <w:color w:val="auto"/>
              </w:rPr>
            </w:pPr>
          </w:p>
        </w:tc>
        <w:tc>
          <w:tcPr>
            <w:tcW w:w="7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28, 2020).</w:t>
              </w:r>
            </w:hyperlink>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10.39</w:t>
            </w:r>
          </w:p>
        </w:tc>
        <w:tc>
          <w:tcPr>
            <w:tcW w:w="10120" w:type="dxa"/>
            <w:vAlign w:val="bottom"/>
            <w:gridSpan w:val="13"/>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No. 3 to Lockheed Martin Corporation Executive Severance Plan, as amended and restated effective December 1, 2016</w:t>
              </w:r>
            </w:hyperlink>
          </w:p>
        </w:tc>
      </w:tr>
      <w:tr>
        <w:trPr>
          <w:trHeight w:val="169"/>
        </w:trPr>
        <w:tc>
          <w:tcPr>
            <w:tcW w:w="1100" w:type="dxa"/>
            <w:vAlign w:val="bottom"/>
          </w:tcPr>
          <w:p>
            <w:pPr>
              <w:spacing w:after="0"/>
              <w:rPr>
                <w:sz w:val="14"/>
                <w:szCs w:val="14"/>
                <w:color w:val="auto"/>
              </w:rPr>
            </w:pPr>
          </w:p>
        </w:tc>
        <w:tc>
          <w:tcPr>
            <w:tcW w:w="100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(incorporated by reference to Exhibit 10.1 to Lockheed Martin Corporation’s Quarterly Report on Form 10-Q for the quarter ended</w:t>
              </w:r>
            </w:hyperlink>
          </w:p>
        </w:tc>
        <w:tc>
          <w:tcPr>
            <w:tcW w:w="40" w:type="dxa"/>
            <w:vAlign w:val="bottom"/>
            <w:gridSpan w:val="2"/>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100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September 27, 2020).</w:t>
              </w:r>
            </w:hyperlink>
          </w:p>
        </w:tc>
        <w:tc>
          <w:tcPr>
            <w:tcW w:w="120" w:type="dxa"/>
            <w:vAlign w:val="bottom"/>
            <w:gridSpan w:val="6"/>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r>
      <w:tr>
        <w:trPr>
          <w:trHeight w:val="264"/>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10.40</w:t>
            </w:r>
          </w:p>
        </w:tc>
        <w:tc>
          <w:tcPr>
            <w:tcW w:w="10120" w:type="dxa"/>
            <w:vAlign w:val="bottom"/>
            <w:gridSpan w:val="13"/>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No. 4 to Lockheed Martin Corporation Executive Severance Plan, as amended and restated effective December 1, 2016</w:t>
              </w:r>
            </w:hyperlink>
          </w:p>
        </w:tc>
      </w:tr>
      <w:tr>
        <w:trPr>
          <w:trHeight w:val="169"/>
        </w:trPr>
        <w:tc>
          <w:tcPr>
            <w:tcW w:w="1100" w:type="dxa"/>
            <w:vAlign w:val="bottom"/>
          </w:tcPr>
          <w:p>
            <w:pPr>
              <w:spacing w:after="0"/>
              <w:rPr>
                <w:sz w:val="14"/>
                <w:szCs w:val="14"/>
                <w:color w:val="auto"/>
              </w:rPr>
            </w:pPr>
          </w:p>
        </w:tc>
        <w:tc>
          <w:tcPr>
            <w:tcW w:w="100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(incorporated by reference to Exhibit 10.1 to Lockheed Martin Corporation’s Quarterly Report on Form 10-Q for the quarter ended</w:t>
              </w:r>
            </w:hyperlink>
          </w:p>
        </w:tc>
        <w:tc>
          <w:tcPr>
            <w:tcW w:w="40" w:type="dxa"/>
            <w:vAlign w:val="bottom"/>
            <w:gridSpan w:val="2"/>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100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September 25, 2022).</w:t>
              </w:r>
            </w:hyperlink>
          </w:p>
        </w:tc>
        <w:tc>
          <w:tcPr>
            <w:tcW w:w="120" w:type="dxa"/>
            <w:vAlign w:val="bottom"/>
            <w:gridSpan w:val="6"/>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r>
      <w:tr>
        <w:trPr>
          <w:trHeight w:val="263"/>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10.41</w:t>
            </w:r>
          </w:p>
        </w:tc>
        <w:tc>
          <w:tcPr>
            <w:tcW w:w="10120" w:type="dxa"/>
            <w:vAlign w:val="bottom"/>
            <w:gridSpan w:val="1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Amendment No. 5 to Lockheed Martin Corporation Executive Severance Plan, as amended and restated effective December 1, 2016</w:t>
              </w:r>
            </w:hyperlink>
          </w:p>
        </w:tc>
      </w:tr>
      <w:tr>
        <w:trPr>
          <w:trHeight w:val="169"/>
        </w:trPr>
        <w:tc>
          <w:tcPr>
            <w:tcW w:w="1100" w:type="dxa"/>
            <w:vAlign w:val="bottom"/>
          </w:tcPr>
          <w:p>
            <w:pPr>
              <w:spacing w:after="0"/>
              <w:rPr>
                <w:sz w:val="14"/>
                <w:szCs w:val="14"/>
                <w:color w:val="auto"/>
              </w:rPr>
            </w:pPr>
          </w:p>
        </w:tc>
        <w:tc>
          <w:tcPr>
            <w:tcW w:w="100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(incorporated by reference to Exhibit 10.40 to Lockheed Martin Corporation’s Annual Report on Form 10-K for the year ended December</w:t>
              </w:r>
            </w:hyperlink>
          </w:p>
        </w:tc>
        <w:tc>
          <w:tcPr>
            <w:tcW w:w="40" w:type="dxa"/>
            <w:vAlign w:val="bottom"/>
            <w:gridSpan w:val="2"/>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31, 2022).</w:t>
              </w:r>
            </w:hyperlink>
          </w:p>
        </w:tc>
        <w:tc>
          <w:tcPr>
            <w:tcW w:w="8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4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10.42</w:t>
            </w:r>
          </w:p>
        </w:tc>
        <w:tc>
          <w:tcPr>
            <w:tcW w:w="10120" w:type="dxa"/>
            <w:vAlign w:val="bottom"/>
            <w:gridSpan w:val="1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Amendment No. 6 to Lockheed Martin Corporation Executive Severance Plan, as amended and restated effective December 1, 2016</w:t>
              </w:r>
            </w:hyperlink>
          </w:p>
        </w:tc>
      </w:tr>
      <w:tr>
        <w:trPr>
          <w:trHeight w:val="169"/>
        </w:trPr>
        <w:tc>
          <w:tcPr>
            <w:tcW w:w="110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by reference to Exhibit 10.1 to Lockheed Martin Corporation’s Quarterly Report on Form 10-Q for the quarter ended June</w:t>
              </w:r>
            </w:hyperlink>
          </w:p>
        </w:tc>
        <w:tc>
          <w:tcPr>
            <w:tcW w:w="20" w:type="dxa"/>
            <w:vAlign w:val="bottom"/>
            <w:tcBorders>
              <w:bottom w:val="single" w:sz="8" w:color="0000FF"/>
            </w:tcBorders>
          </w:tcPr>
          <w:p>
            <w:pPr>
              <w:spacing w:after="0"/>
              <w:rPr>
                <w:sz w:val="14"/>
                <w:szCs w:val="14"/>
                <w:color w:val="auto"/>
              </w:rPr>
            </w:pPr>
          </w:p>
        </w:tc>
      </w:tr>
      <w:tr>
        <w:trPr>
          <w:trHeight w:val="155"/>
        </w:trPr>
        <w:tc>
          <w:tcPr>
            <w:tcW w:w="1100" w:type="dxa"/>
            <w:vAlign w:val="bottom"/>
          </w:tcPr>
          <w:p>
            <w:pPr>
              <w:spacing w:after="0"/>
              <w:rPr>
                <w:sz w:val="13"/>
                <w:szCs w:val="13"/>
                <w:color w:val="auto"/>
              </w:rPr>
            </w:pPr>
          </w:p>
        </w:tc>
        <w:tc>
          <w:tcPr>
            <w:tcW w:w="7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9">
              <w:r>
                <w:rPr>
                  <w:rFonts w:ascii="Times New Roman" w:cs="Times New Roman" w:eastAsia="Times New Roman" w:hAnsi="Times New Roman"/>
                  <w:sz w:val="18"/>
                  <w:szCs w:val="18"/>
                  <w:color w:val="0000FF"/>
                  <w:w w:val="97"/>
                </w:rPr>
                <w:t>29, 2025).</w:t>
              </w:r>
            </w:hyperlink>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10.43</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Amendment No. 7 to Lockheed Martin Corporation Executive Severance Plan, as amended and restated effective December 1, 2016.</w:t>
            </w: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ind w:left="1120" w:right="520" w:hanging="1094"/>
        <w:spacing w:after="0" w:line="250" w:lineRule="auto"/>
        <w:tabs>
          <w:tab w:leader="none" w:pos="1120" w:val="left"/>
        </w:tabs>
        <w:numPr>
          <w:ilvl w:val="0"/>
          <w:numId w:val="24"/>
        </w:numPr>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Policy on Compliance with United States Securities Laws (incorporated by reference to Exhibit 19 to Lockheed Martin Corporation’s</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Annual Report on Form 10-K for the year ended December 31, 2024).</w:t>
        </w:r>
      </w:hyperlink>
    </w:p>
    <w:p>
      <w:pPr>
        <w:spacing w:after="0" w:line="41"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Lockheed Martin Corporation.</w:t>
      </w:r>
    </w:p>
    <w:p>
      <w:pPr>
        <w:spacing w:after="0" w:line="77"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76"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Powers of Attorney.</w:t>
      </w:r>
    </w:p>
    <w:p>
      <w:pPr>
        <w:spacing w:after="0" w:line="63"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31.1</w:t>
            </w:r>
          </w:p>
        </w:tc>
        <w:tc>
          <w:tcPr>
            <w:tcW w:w="6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James D. Taiclet pursuant to Section 302 of the Sarbanes-Oxley Act of 2002.</w:t>
            </w:r>
          </w:p>
        </w:tc>
      </w:tr>
      <w:tr>
        <w:trPr>
          <w:trHeight w:val="264"/>
        </w:trPr>
        <w:tc>
          <w:tcPr>
            <w:tcW w:w="11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31.2</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Evan Scott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6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76" w:lineRule="exact"/>
        <w:rPr>
          <w:rFonts w:ascii="Times New Roman" w:cs="Times New Roman" w:eastAsia="Times New Roman" w:hAnsi="Times New Roman"/>
          <w:sz w:val="18"/>
          <w:szCs w:val="18"/>
          <w:color w:val="auto"/>
        </w:rPr>
      </w:pPr>
    </w:p>
    <w:p>
      <w:pPr>
        <w:ind w:left="1120" w:right="120" w:hanging="1094"/>
        <w:spacing w:after="0" w:line="250"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James D. Taiclet and Evan Scott pursuant to 18 U.S.C. Section 1350, as adopted pursuant to Section 906 of the Sarbanes-Oxley Act of 2002.</w:t>
      </w:r>
    </w:p>
    <w:p>
      <w:pPr>
        <w:spacing w:after="0" w:line="41" w:lineRule="exact"/>
        <w:rPr>
          <w:rFonts w:ascii="Times New Roman" w:cs="Times New Roman" w:eastAsia="Times New Roman" w:hAnsi="Times New Roman"/>
          <w:sz w:val="18"/>
          <w:szCs w:val="18"/>
          <w:color w:val="auto"/>
        </w:rPr>
      </w:pPr>
    </w:p>
    <w:p>
      <w:pPr>
        <w:ind w:left="1120" w:right="340" w:hanging="1094"/>
        <w:spacing w:after="0" w:line="250" w:lineRule="auto"/>
        <w:tabs>
          <w:tab w:leader="none" w:pos="1120" w:val="left"/>
        </w:tabs>
        <w:numPr>
          <w:ilvl w:val="0"/>
          <w:numId w:val="28"/>
        </w:numPr>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Recovery of Incentive-Based Compensation from Executive Officers in Event of Accounting Restatement (incorporated by reference to</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Exhibit 97 to Lockheed Martin Corporation’s Annual Report on Form 10-K for the year ended December 31, 2023).</w:t>
        </w:r>
      </w:hyperlink>
    </w:p>
    <w:p>
      <w:pPr>
        <w:spacing w:after="0" w:line="23"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92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45"/>
        </w:trPr>
        <w:tc>
          <w:tcPr>
            <w:tcW w:w="920" w:type="dxa"/>
            <w:vAlign w:val="bottom"/>
          </w:tcPr>
          <w:p>
            <w:pPr>
              <w:spacing w:after="0"/>
              <w:rPr>
                <w:sz w:val="24"/>
                <w:szCs w:val="24"/>
                <w:color w:val="auto"/>
              </w:rPr>
            </w:pPr>
          </w:p>
        </w:tc>
        <w:tc>
          <w:tcPr>
            <w:tcW w:w="10320" w:type="dxa"/>
            <w:vAlign w:val="bottom"/>
          </w:tcPr>
          <w:p>
            <w:pPr>
              <w:ind w:left="4560"/>
              <w:spacing w:after="0"/>
              <w:rPr>
                <w:sz w:val="20"/>
                <w:szCs w:val="20"/>
                <w:color w:val="auto"/>
              </w:rPr>
            </w:pPr>
            <w:r>
              <w:rPr>
                <w:rFonts w:ascii="Times New Roman" w:cs="Times New Roman" w:eastAsia="Times New Roman" w:hAnsi="Times New Roman"/>
                <w:sz w:val="18"/>
                <w:szCs w:val="18"/>
                <w:color w:val="auto"/>
              </w:rPr>
              <w:t>100</w:t>
            </w:r>
          </w:p>
        </w:tc>
      </w:tr>
      <w:tr>
        <w:trPr>
          <w:trHeight w:val="534"/>
        </w:trPr>
        <w:tc>
          <w:tcPr>
            <w:tcW w:w="92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26"/>
        <w:spacing w:after="0" w:line="803" w:lineRule="auto"/>
        <w:tabs>
          <w:tab w:leader="none" w:pos="11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contained in Exhibit 101 * Exhibits 10.6 through 10.43 constitute management contracts or compensatory plans or arrangements.</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684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Lockheed Martin Corporation</w:t>
            </w:r>
          </w:p>
        </w:tc>
      </w:tr>
      <w:tr>
        <w:trPr>
          <w:trHeight w:val="234"/>
        </w:trPr>
        <w:tc>
          <w:tcPr>
            <w:tcW w:w="4380" w:type="dxa"/>
            <w:vAlign w:val="bottom"/>
          </w:tcPr>
          <w:p>
            <w:pPr>
              <w:spacing w:after="0"/>
              <w:rPr>
                <w:sz w:val="20"/>
                <w:szCs w:val="20"/>
                <w:color w:val="auto"/>
              </w:rPr>
            </w:pPr>
          </w:p>
        </w:tc>
        <w:tc>
          <w:tcPr>
            <w:tcW w:w="684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(Registrant)</w:t>
            </w:r>
          </w:p>
        </w:tc>
      </w:tr>
      <w:tr>
        <w:trPr>
          <w:trHeight w:val="28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2026</w:t>
            </w:r>
          </w:p>
        </w:tc>
        <w:tc>
          <w:tcPr>
            <w:tcW w:w="684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By:  /s/ H. Edward Paul III</w:t>
            </w:r>
          </w:p>
        </w:tc>
      </w:tr>
      <w:tr>
        <w:trPr>
          <w:trHeight w:val="218"/>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 Edward Paul III</w:t>
            </w:r>
          </w:p>
        </w:tc>
      </w:tr>
      <w:tr>
        <w:trPr>
          <w:trHeight w:val="234"/>
        </w:trPr>
        <w:tc>
          <w:tcPr>
            <w:tcW w:w="4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Controller</w:t>
            </w:r>
          </w:p>
        </w:tc>
      </w:tr>
    </w:tbl>
    <w:p>
      <w:pPr>
        <w:spacing w:after="0" w:line="13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10" w:type="dxa"/>
        <w:tblCellMar>
          <w:top w:w="0" w:type="dxa"/>
          <w:left w:w="0" w:type="dxa"/>
          <w:bottom w:w="0" w:type="dxa"/>
          <w:right w:w="0" w:type="dxa"/>
        </w:tblCellMar>
      </w:tblPr>
      <w:tr>
        <w:trPr>
          <w:trHeight w:val="199"/>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Titles</w:t>
            </w:r>
          </w:p>
        </w:tc>
        <w:tc>
          <w:tcPr>
            <w:tcW w:w="2080" w:type="dxa"/>
            <w:vAlign w:val="bottom"/>
            <w:gridSpan w:val="3"/>
          </w:tcPr>
          <w:p>
            <w:pPr>
              <w:ind w:left="240"/>
              <w:spacing w:after="0" w:line="199" w:lineRule="exact"/>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61"/>
        </w:trPr>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James D. Taiclet</w:t>
            </w:r>
          </w:p>
        </w:tc>
        <w:tc>
          <w:tcPr>
            <w:tcW w:w="4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4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Chairman, President and Chief Executive Officer (Principal</w:t>
            </w:r>
          </w:p>
        </w:tc>
        <w:tc>
          <w:tcPr>
            <w:tcW w:w="2080" w:type="dxa"/>
            <w:vAlign w:val="bottom"/>
            <w:tcBorders>
              <w:right w:val="single" w:sz="8" w:color="auto"/>
            </w:tcBorders>
            <w:gridSpan w:val="3"/>
          </w:tcPr>
          <w:p>
            <w:pPr>
              <w:ind w:left="240"/>
              <w:spacing w:after="0" w:line="169" w:lineRule="exact"/>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2"/>
            <w:vMerge w:val="continue"/>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D. Taiclet</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Evan T. Scott</w:t>
            </w: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2"/>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Evan T. Scott</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H. Edward Paul III</w:t>
            </w: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Vice President and Controller (Principal Accounting Officer)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2"/>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 Edward Paul III</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John C. Aquilino</w:t>
            </w:r>
          </w:p>
        </w:tc>
        <w:tc>
          <w:tcPr>
            <w:tcW w:w="4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Borders>
              <w:bottom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David B. Burritt</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23"/>
        </w:trPr>
        <w:tc>
          <w:tcPr>
            <w:tcW w:w="200" w:type="dxa"/>
            <w:vAlign w:val="bottom"/>
            <w:tcBorders>
              <w:left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John M. Donovan</w:t>
            </w:r>
          </w:p>
        </w:tc>
        <w:tc>
          <w:tcPr>
            <w:tcW w:w="4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23"/>
        </w:trPr>
        <w:tc>
          <w:tcPr>
            <w:tcW w:w="200" w:type="dxa"/>
            <w:vAlign w:val="bottom"/>
            <w:tcBorders>
              <w:left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Joseph F. Dunford, Jr.</w:t>
            </w:r>
          </w:p>
        </w:tc>
        <w:tc>
          <w:tcPr>
            <w:tcW w:w="4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Thomas J. Falk</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50"/>
        </w:trPr>
        <w:tc>
          <w:tcPr>
            <w:tcW w:w="200" w:type="dxa"/>
            <w:vAlign w:val="bottom"/>
            <w:tcBorders>
              <w:left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Vicki A. Hollub</w:t>
            </w:r>
          </w:p>
        </w:tc>
        <w:tc>
          <w:tcPr>
            <w:tcW w:w="42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2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32"/>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Debra L. Reed-Klages</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32"/>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Heather Wilson</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29, 2026</w:t>
            </w: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Patricia E. Yarrington</w:t>
            </w: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right="140" w:hanging="40"/>
        <w:spacing w:after="0" w:line="282" w:lineRule="auto"/>
        <w:rPr>
          <w:sz w:val="20"/>
          <w:szCs w:val="20"/>
          <w:color w:val="auto"/>
        </w:rPr>
      </w:pPr>
      <w:r>
        <w:rPr>
          <w:rFonts w:ascii="Times New Roman" w:cs="Times New Roman" w:eastAsia="Times New Roman" w:hAnsi="Times New Roman"/>
          <w:sz w:val="18"/>
          <w:szCs w:val="18"/>
          <w:color w:val="auto"/>
        </w:rPr>
        <w:t>*By Kevin O’Connor pursuant to a Power of Attorney executed by the Directors listed above, which has been filed with this Annual Report on Form 10-K.</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2026</w:t>
            </w:r>
          </w:p>
        </w:tc>
        <w:tc>
          <w:tcPr>
            <w:tcW w:w="76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Kevin O’Connor</w:t>
            </w:r>
          </w:p>
        </w:tc>
      </w:tr>
      <w:tr>
        <w:trPr>
          <w:trHeight w:val="218"/>
        </w:trPr>
        <w:tc>
          <w:tcPr>
            <w:tcW w:w="3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O’Connor</w:t>
            </w:r>
          </w:p>
        </w:tc>
      </w:tr>
      <w:tr>
        <w:trPr>
          <w:trHeight w:val="234"/>
        </w:trPr>
        <w:tc>
          <w:tcPr>
            <w:tcW w:w="3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32"/>
        </w:trPr>
        <w:tc>
          <w:tcPr>
            <w:tcW w:w="3580" w:type="dxa"/>
            <w:vAlign w:val="bottom"/>
          </w:tcPr>
          <w:p>
            <w:pPr>
              <w:spacing w:after="0"/>
              <w:rPr>
                <w:sz w:val="24"/>
                <w:szCs w:val="24"/>
                <w:color w:val="auto"/>
              </w:rPr>
            </w:pPr>
          </w:p>
        </w:tc>
        <w:tc>
          <w:tcPr>
            <w:tcW w:w="2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102</w:t>
            </w:r>
          </w:p>
        </w:tc>
        <w:tc>
          <w:tcPr>
            <w:tcW w:w="46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LOCKHEED MARTIN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DIRECTORS DEFERRED COMPENSATION PLAN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As Amended and Restated Effective October 1, 2024</w:t>
      </w:r>
    </w:p>
    <w:p>
      <w:pPr>
        <w:spacing w:after="0" w:line="2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24"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22"/>
          <w:szCs w:val="22"/>
          <w:color w:val="auto"/>
        </w:rPr>
        <w:t>The purpose of this Plan is to give each non-employee Director of Lockheed Martin Corporation the opportunity to be compensated for his or her service as a Director on a deferred basis. The Plan is also intended to establish a method of paying Director compensation which will aid the Corporation in attracting and retaining as members of the Board persons whose abilities, experience and judgment can contribute to the success of the Corporation. In addition, by providing Directors with the option of accruing earnings based on the performance of Lockheed Martin Common Stock, the Plan is intended to more closely align the economic interests of Directors with the interests of stockholders generally.</w:t>
      </w:r>
    </w:p>
    <w:p>
      <w:pPr>
        <w:spacing w:after="0" w:line="18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The Plan was amended and restated, effective January 1, 2005, in order to comply with the requirements of Internal Revenue Code section 409A. This amendment and restatement of the Plan applies only to the portion of a Participant’s Account balance that is earned or becomes vested on or after January 1, 2005 (and any earnings attributable to that portion). The portion of a Participant’s Account balance that was earned and vested prior to January 1, 2005 (and any earnings attributable to that portion) shall be governed by the terms of the Plan in effect on December 31, 2004, which is attached hereto as Appendix A.</w:t>
      </w:r>
    </w:p>
    <w:p>
      <w:pPr>
        <w:spacing w:after="0" w:line="164"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2"/>
          <w:szCs w:val="22"/>
          <w:color w:val="auto"/>
        </w:rPr>
        <w:t>The Plan and Appendix A were amended and restated, effective as soon as administratively practicable on or after February 1, 2009, to change the interest option for calculating earnings and to provide for new investment options in which Participants may invest their Account balances, whether earned and vested before or after January 1, 2005. The addition of the new investment options in Appendix A is not intended to constitute a material modification within the meaning of Code section 409A.</w:t>
      </w:r>
    </w:p>
    <w:p>
      <w:pPr>
        <w:spacing w:after="0" w:line="179" w:lineRule="exact"/>
        <w:rPr>
          <w:sz w:val="20"/>
          <w:szCs w:val="20"/>
          <w:color w:val="auto"/>
        </w:rPr>
      </w:pPr>
    </w:p>
    <w:p>
      <w:pPr>
        <w:ind w:right="460" w:firstLine="648"/>
        <w:spacing w:after="0" w:line="295" w:lineRule="auto"/>
        <w:rPr>
          <w:sz w:val="20"/>
          <w:szCs w:val="20"/>
          <w:color w:val="auto"/>
        </w:rPr>
      </w:pPr>
      <w:r>
        <w:rPr>
          <w:rFonts w:ascii="Times New Roman" w:cs="Times New Roman" w:eastAsia="Times New Roman" w:hAnsi="Times New Roman"/>
          <w:sz w:val="21"/>
          <w:szCs w:val="21"/>
          <w:color w:val="auto"/>
        </w:rPr>
        <w:t>The Plan was amended and restated effective January 1, 2024, to make certain clarifying changes. The Plan is hereby amended and restated effective October 1, 2024 to permit distributions upon a conflict of interest, as set forth herein.</w:t>
      </w:r>
    </w:p>
    <w:p>
      <w:pPr>
        <w:spacing w:after="0" w:line="1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22"/>
          <w:szCs w:val="22"/>
          <w:color w:val="auto"/>
        </w:rPr>
        <w:t>Whenever the following terms are used in this Plan, they shall have the meaning specified below, unless the context clearly indicates to the contrary:</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27" w:lineRule="exact"/>
        <w:rPr>
          <w:sz w:val="20"/>
          <w:szCs w:val="20"/>
          <w:color w:val="auto"/>
        </w:rPr>
      </w:pPr>
    </w:p>
    <w:p>
      <w:pPr>
        <w:ind w:right="30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Account </w:t>
      </w:r>
      <w:r>
        <w:rPr>
          <w:rFonts w:ascii="Times New Roman" w:cs="Times New Roman" w:eastAsia="Times New Roman" w:hAnsi="Times New Roman"/>
          <w:sz w:val="22"/>
          <w:szCs w:val="22"/>
          <w:color w:val="auto"/>
        </w:rPr>
        <w:t>means the bookkeeping account maintained by the Corporation on behalf of a participating Director which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credited with the Director’s Deferred Compensation, including investment earnings credited under Section 4.2.</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Beneficiary </w:t>
      </w:r>
      <w:r>
        <w:rPr>
          <w:rFonts w:ascii="Times New Roman" w:cs="Times New Roman" w:eastAsia="Times New Roman" w:hAnsi="Times New Roman"/>
          <w:sz w:val="22"/>
          <w:szCs w:val="22"/>
          <w:color w:val="auto"/>
        </w:rPr>
        <w:t>shall have the meaning specified in Section 7.2(b).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Board of Directors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Board </w:t>
      </w:r>
      <w:r>
        <w:rPr>
          <w:rFonts w:ascii="Times New Roman" w:cs="Times New Roman" w:eastAsia="Times New Roman" w:hAnsi="Times New Roman"/>
          <w:sz w:val="22"/>
          <w:szCs w:val="22"/>
          <w:color w:val="auto"/>
        </w:rPr>
        <w:t>means the Board of Directors of the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Committee </w:t>
      </w:r>
      <w:r>
        <w:rPr>
          <w:rFonts w:ascii="Times New Roman" w:cs="Times New Roman" w:eastAsia="Times New Roman" w:hAnsi="Times New Roman"/>
          <w:sz w:val="22"/>
          <w:szCs w:val="22"/>
          <w:color w:val="auto"/>
        </w:rPr>
        <w:t>means the Committee appointed to administer this Plan, as provided in Section 6.1 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Corporation </w:t>
      </w:r>
      <w:r>
        <w:rPr>
          <w:rFonts w:ascii="Times New Roman" w:cs="Times New Roman" w:eastAsia="Times New Roman" w:hAnsi="Times New Roman"/>
          <w:sz w:val="22"/>
          <w:szCs w:val="22"/>
          <w:color w:val="auto"/>
        </w:rPr>
        <w:t>means Lockheed Martin Corporation, a Maryland corporation, and its successors.</w:t>
      </w:r>
    </w:p>
    <w:p>
      <w:pPr>
        <w:spacing w:after="0" w:line="220" w:lineRule="exact"/>
        <w:rPr>
          <w:sz w:val="20"/>
          <w:szCs w:val="20"/>
          <w:color w:val="auto"/>
        </w:rPr>
      </w:pPr>
    </w:p>
    <w:p>
      <w:pPr>
        <w:ind w:right="28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Deferred Compensation </w:t>
      </w:r>
      <w:r>
        <w:rPr>
          <w:rFonts w:ascii="Times New Roman" w:cs="Times New Roman" w:eastAsia="Times New Roman" w:hAnsi="Times New Roman"/>
          <w:sz w:val="22"/>
          <w:szCs w:val="22"/>
          <w:color w:val="auto"/>
        </w:rPr>
        <w:t>means Director’s Fees deferred pursuant to this Plan and investment earnings credited thereto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Section 4.2.</w:t>
      </w:r>
    </w:p>
    <w:p>
      <w:pPr>
        <w:spacing w:after="0" w:line="149"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Director </w:t>
      </w:r>
      <w:r>
        <w:rPr>
          <w:rFonts w:ascii="Times New Roman" w:cs="Times New Roman" w:eastAsia="Times New Roman" w:hAnsi="Times New Roman"/>
          <w:sz w:val="22"/>
          <w:szCs w:val="22"/>
          <w:color w:val="auto"/>
        </w:rPr>
        <w:t>means a member of the Board of Directors of the Corporation who is eligible to receive compensation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form of Director’s Fees and who is not an officer or employee of the Corporation or any of its subsidiaries.</w:t>
      </w:r>
    </w:p>
    <w:p>
      <w:pPr>
        <w:spacing w:after="0" w:line="16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Director’s Fees </w:t>
      </w:r>
      <w:r>
        <w:rPr>
          <w:rFonts w:ascii="Times New Roman" w:cs="Times New Roman" w:eastAsia="Times New Roman" w:hAnsi="Times New Roman"/>
          <w:sz w:val="22"/>
          <w:szCs w:val="22"/>
          <w:color w:val="auto"/>
        </w:rPr>
        <w:t>means the cash fees payable to a Director for services as a Director and for services on any Committee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Board, including the amount of any retainer paid to a non-employee for services as Chairman of the Board.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 the effective date referred to in Section 7.8.</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Election Form </w:t>
      </w:r>
      <w:r>
        <w:rPr>
          <w:rFonts w:ascii="Times New Roman" w:cs="Times New Roman" w:eastAsia="Times New Roman" w:hAnsi="Times New Roman"/>
          <w:sz w:val="22"/>
          <w:szCs w:val="22"/>
          <w:color w:val="auto"/>
        </w:rPr>
        <w:t>means the form by which a Director elects to participate in this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means the Lockheed Martin Corporation Directors Deferred Compensation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Qualified Savings Plan </w:t>
      </w:r>
      <w:r>
        <w:rPr>
          <w:rFonts w:ascii="Times New Roman" w:cs="Times New Roman" w:eastAsia="Times New Roman" w:hAnsi="Times New Roman"/>
          <w:sz w:val="22"/>
          <w:szCs w:val="22"/>
          <w:color w:val="auto"/>
        </w:rPr>
        <w:t>means the Lockheed Martin Corporation Salaried Savings Plan.</w:t>
      </w:r>
    </w:p>
    <w:p>
      <w:pPr>
        <w:spacing w:after="0" w:line="2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PARTICIPATION</w:t>
      </w:r>
    </w:p>
    <w:p>
      <w:pPr>
        <w:spacing w:after="0" w:line="220"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i w:val="1"/>
          <w:iCs w:val="1"/>
          <w:color w:val="auto"/>
        </w:rPr>
        <w:t>Timing of Deferral Elections</w:t>
      </w:r>
      <w:r>
        <w:rPr>
          <w:rFonts w:ascii="Times New Roman" w:cs="Times New Roman" w:eastAsia="Times New Roman" w:hAnsi="Times New Roman"/>
          <w:sz w:val="22"/>
          <w:szCs w:val="22"/>
          <w:color w:val="auto"/>
        </w:rPr>
        <w:t>. In order to defer Director’s Fees earned in any calendar year, a Director must make a deferral election by executing and filing an Election Form by December 31 of the year prior to the year in which the fees will be earned. In the case of a new Director, an election to defer Director’s Fees must be filed within 30 days after the commencement of the Director’s term of office and shall apply only to fees for services after the date of such election. The deferral election shall specify the manner in which earnings (or losses) on the deferred amount shall accrue in accordance with Section 4.2 below. To the extent that a Director elects that any portion of a deferred amount shall accrue earnings (or losses) based on the Lockheed Martin Common Stock Investment Option, such an election shall be given effect only if (i) the election is irrevocably made at least six (6) months prior to the effective date of the</w:t>
      </w:r>
    </w:p>
    <w:p>
      <w:pPr>
        <w:sectPr>
          <w:pgSz w:w="11900" w:h="16838" w:orient="portrait"/>
          <w:cols w:equalWidth="0" w:num="1">
            <w:col w:w="11140"/>
          </w:cols>
          <w:pgMar w:left="320" w:top="1440" w:right="439" w:bottom="1440" w:gutter="0" w:footer="0" w:header="0"/>
        </w:sectPr>
      </w:pPr>
    </w:p>
    <w:bookmarkStart w:id="104" w:name="page105"/>
    <w:bookmarkEnd w:id="104"/>
    <w:p>
      <w:pPr>
        <w:spacing w:after="0" w:line="1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allocation or (ii) the crediting of the deferred amount to the Lockheed Martin Common Stock Investment Option has been approved by the Board of Directors (or a committee thereof that is comprised of persons specified in Section 6.1). To the extent that a Director makes an election to have Deferred Compensation credited to the Lockheed Martin Common Stock Investment Option which is not in compliance with (i) or (ii) above, the amount elected to be deferred into the Lockheed Martin Common Stock Investment Option shall initially be allocated to the default investment option under the Qualified Savings Plan until such time as the allocation to the Lockheed Martin Common Stock Investment Option would be in compliance with (i) or (ii) above, at which time the deferred amount shall automatically be reallocated.</w:t>
      </w:r>
    </w:p>
    <w:p>
      <w:pPr>
        <w:spacing w:after="0" w:line="17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i w:val="1"/>
          <w:iCs w:val="1"/>
          <w:color w:val="auto"/>
        </w:rPr>
        <w:t>Terms of Deferral Elections</w:t>
      </w:r>
      <w:r>
        <w:rPr>
          <w:rFonts w:ascii="Times New Roman" w:cs="Times New Roman" w:eastAsia="Times New Roman" w:hAnsi="Times New Roman"/>
          <w:sz w:val="22"/>
          <w:szCs w:val="22"/>
          <w:color w:val="auto"/>
        </w:rPr>
        <w:t>. A Director’s deferral election for a calendar year shall specify the percentage (which may equal 100%) of the Director’s Fees to be earned by the Director for that year which are to be deferred under this Plan and, with respect to fees deferred pursuant to that election, the method for crediting earnings (or losses) selected by the Director in accordance with Article IV and the manner of distribution in accordance with Section 5.1(a). A Director’s deferral election shall be irrevocable during any calendar year in which it is in effect. A Director’s election shall remain in effect and shall be deemed to have been made for a subsequent calendar year unless the Director files a revised election form by December 31 of the year preceding the year in which the applicable Director’s Fees will be earned. If a Director files a change of election in accordance with Section 5.1(c), the manner of distribution elected under that Section will apply only to the Deferred Compensation for the calendar years listed on the Election Form.</w:t>
      </w:r>
    </w:p>
    <w:p>
      <w:pPr>
        <w:spacing w:after="0" w:line="19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CREDITING OF ACCOUNTS</w:t>
      </w:r>
    </w:p>
    <w:p>
      <w:pPr>
        <w:spacing w:after="0" w:line="220" w:lineRule="exact"/>
        <w:rPr>
          <w:sz w:val="20"/>
          <w:szCs w:val="20"/>
          <w:color w:val="auto"/>
        </w:rPr>
      </w:pPr>
    </w:p>
    <w:p>
      <w:pPr>
        <w:ind w:right="260" w:firstLine="648"/>
        <w:spacing w:after="0" w:line="277"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i w:val="1"/>
          <w:iCs w:val="1"/>
          <w:color w:val="auto"/>
        </w:rPr>
        <w:t>Crediting of Director’s Fees</w:t>
      </w:r>
      <w:r>
        <w:rPr>
          <w:rFonts w:ascii="Times New Roman" w:cs="Times New Roman" w:eastAsia="Times New Roman" w:hAnsi="Times New Roman"/>
          <w:sz w:val="21"/>
          <w:szCs w:val="21"/>
          <w:color w:val="auto"/>
        </w:rPr>
        <w:t>. Director’s Fees that a Director has elected to defer shall be credited to the Director’s Account as of the first business day of the month following the end of the calendar quarter in which the Director’s Fees are earned. The elected deferral percentage shall apply to all Director’s Fees earned by the Director during a calendar year.</w:t>
      </w:r>
    </w:p>
    <w:p>
      <w:pPr>
        <w:spacing w:after="0" w:line="16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i w:val="1"/>
          <w:iCs w:val="1"/>
          <w:color w:val="auto"/>
        </w:rPr>
        <w:t>Crediting of Investment Earnings</w:t>
      </w:r>
      <w:r>
        <w:rPr>
          <w:rFonts w:ascii="Times New Roman" w:cs="Times New Roman" w:eastAsia="Times New Roman" w:hAnsi="Times New Roman"/>
          <w:sz w:val="22"/>
          <w:szCs w:val="22"/>
          <w:color w:val="auto"/>
        </w:rPr>
        <w:t>. Subject to the provisions of Section 3.1 above, as of each trading day (each day on which the New York Stock Exchange is open), a Director’s Account shall be credited to reflect investment earnings (or losses) for each trading day, based on the Director’s investment selections under this Section 4.2. A Director may elect to have his or her Account credited with investment earnings (or losses) for each trading day as if the Director’s Account balance had been invested in the following:</w:t>
      </w:r>
    </w:p>
    <w:p>
      <w:pPr>
        <w:spacing w:after="0" w:line="189" w:lineRule="exact"/>
        <w:rPr>
          <w:sz w:val="20"/>
          <w:szCs w:val="20"/>
          <w:color w:val="auto"/>
        </w:rPr>
      </w:pPr>
    </w:p>
    <w:p>
      <w:pPr>
        <w:ind w:right="60" w:firstLine="1304"/>
        <w:spacing w:after="0" w:line="249" w:lineRule="auto"/>
        <w:tabs>
          <w:tab w:leader="none" w:pos="175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Option</w:t>
      </w:r>
      <w:r>
        <w:rPr>
          <w:rFonts w:ascii="Times New Roman" w:cs="Times New Roman" w:eastAsia="Times New Roman" w:hAnsi="Times New Roman"/>
          <w:sz w:val="22"/>
          <w:szCs w:val="22"/>
          <w:color w:val="auto"/>
        </w:rPr>
        <w:t>. Interest at a rate equivalent to (i) the then published rate for computing the present value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future benefits at the time cost is assignable under Cost Accounting Standard 415, Deferred Compensation, as determined by the Secretary of the Treasury on a semi-annual basis pursuant to Pub. L. 92-41, 85 Stat. 97, (ii) such other interest rate as is available to participants in the Lockheed Martin Corporation Deferred Management Incentive Compensation Plan as an interest option if the interest option under (i) is not an option under that plan, or (iii) if there is no rate under (i) or (ii) such other interest rate as is approved by</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3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the Board. Notwithstanding anything in the Plan to the contrary, Deferred Compensation credited to a Director’s Account on or after July 1, 2009 may not be invested in the Interest Option. Deferred Compensation credited to the Interest Option prior to July 1, 2009 may remain credited to the Interest Option, until such amounts are transferred to the Lockheed Martin Common Stock Investment Option or the Investment Fund Option on or after July 1, 2009. No Deferred Compensation may be credited or reallocated to the Interest Option on or after July 1, 2009.</w:t>
      </w:r>
    </w:p>
    <w:p>
      <w:pPr>
        <w:spacing w:after="0" w:line="190" w:lineRule="exact"/>
        <w:rPr>
          <w:sz w:val="20"/>
          <w:szCs w:val="20"/>
          <w:color w:val="auto"/>
        </w:rPr>
      </w:pPr>
    </w:p>
    <w:p>
      <w:pPr>
        <w:ind w:right="60" w:firstLine="1304"/>
        <w:spacing w:after="0" w:line="249" w:lineRule="auto"/>
        <w:tabs>
          <w:tab w:leader="none" w:pos="176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Fund Option</w:t>
      </w:r>
      <w:r>
        <w:rPr>
          <w:rFonts w:ascii="Times New Roman" w:cs="Times New Roman" w:eastAsia="Times New Roman" w:hAnsi="Times New Roman"/>
          <w:sz w:val="22"/>
          <w:szCs w:val="22"/>
          <w:color w:val="auto"/>
        </w:rPr>
        <w:t>. Earnings shall be credited to a Director’s Account based on the market value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investment return of the investment options (including the Target Date Funds and core mutual funds (and successor funds), and excluding the Company Stock Fund, ESOP Fund, and Self-Managed Account) that are available to participants pursuant to the terms of the Qualified Savings Plan, provided that the Committee retains the discretion to add certain funds to, or to exclude certain funds from, the Investment Fund Option. Earnings (or losses) shall be credited to a Director’s Account based on the investment option or options within the Investment Fund Option to which his or her Account has been allocated. The manner in which earnings (or losses) are credited under each of the investment options shall be determined in the same manner as under the Qualified Savings Plan.</w:t>
      </w:r>
    </w:p>
    <w:p>
      <w:pPr>
        <w:spacing w:after="0" w:line="181" w:lineRule="exact"/>
        <w:rPr>
          <w:rFonts w:ascii="Times New Roman" w:cs="Times New Roman" w:eastAsia="Times New Roman" w:hAnsi="Times New Roman"/>
          <w:sz w:val="22"/>
          <w:szCs w:val="22"/>
          <w:color w:val="auto"/>
        </w:rPr>
      </w:pPr>
    </w:p>
    <w:p>
      <w:pPr>
        <w:ind w:right="60" w:firstLine="1304"/>
        <w:spacing w:after="0" w:line="250" w:lineRule="auto"/>
        <w:tabs>
          <w:tab w:leader="none" w:pos="175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Lockheed Martin Common Stock Investment Option</w:t>
      </w:r>
      <w:r>
        <w:rPr>
          <w:rFonts w:ascii="Times New Roman" w:cs="Times New Roman" w:eastAsia="Times New Roman" w:hAnsi="Times New Roman"/>
          <w:sz w:val="22"/>
          <w:szCs w:val="22"/>
          <w:color w:val="auto"/>
        </w:rPr>
        <w:t>. Earnings (or losses) shall be credited as if such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had been invested in Lockheed Martin Common Stock at the published closing price of the Corporation’s Common Stock on the New York Stock Exchange on the last trading day preceding the day as to which such amount is deferred (or reallocated) into the Lockheed Martin Common Stock Investment Option; this portion of a Director’s Account shall reflect any subsequent appreciation or depreciation in the market value of Lockheed Martin Common Stock based on the published closing price of the stock on the New York Stock Exchange on each trading day of each month and shall reflect dividends on the stock as if such dividends were reinvested in shares of Lockheed Martin Common Stock.</w:t>
      </w:r>
    </w:p>
    <w:p>
      <w:pPr>
        <w:spacing w:after="0" w:line="18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combination of (a), (b) and (c).</w:t>
      </w:r>
    </w:p>
    <w:p>
      <w:pPr>
        <w:spacing w:after="0" w:line="23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A Director’s initial investment selections must be made by the date that the Director’s initial deferral election takes effect. A Director may change his or her investment selections for all amounts credited to the Plan or separately with respect to amounts to be deferred in future periods to the Director’s Account and amounts deferred in prior periods to the Director’s Account, provided that any such change to the investment of amounts deferred in prior periods to the Director’s Account that would result in an increase or decrease in the portion of the Director’s Account allocated to the Lockheed Martin Common Stock Investment Option shall only be effective if it is made pursuant to an irrevocable written election made at least six months following the date of the Director’s most recent “opposite way” election with respect to either the Plan or any other plan maintained by Lockheed Martin that provides for Discretionary Transactions (as defined in Rule 16b-3). Subject to the foregoing, a change of investment selections must be made by accessing the Qualified Savings Plan Web tool. Except as set forth above, the procedures (including restrictions) for directing the allocation and reallocation among the investment options shall be the same as the procedures (and restrictions) for making allocations and reallocations under the Qualified Savings Plan. Deferred Compensation credited</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31"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22"/>
          <w:szCs w:val="22"/>
          <w:color w:val="auto"/>
        </w:rPr>
        <w:t>to a Director’s Account prior to July 1, 2009 may be credited or reallocated to the Interest Option prior to July 1, 2009. No Deferred Compensation may be credited or reallocated to the Interest Option on or after July 1, 2009.</w:t>
      </w:r>
    </w:p>
    <w:p>
      <w:pPr>
        <w:spacing w:after="0" w:line="154"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i w:val="1"/>
          <w:iCs w:val="1"/>
          <w:color w:val="auto"/>
        </w:rPr>
        <w:t>Account Balance as Measure of Deferred Compensation</w:t>
      </w:r>
      <w:r>
        <w:rPr>
          <w:rFonts w:ascii="Times New Roman" w:cs="Times New Roman" w:eastAsia="Times New Roman" w:hAnsi="Times New Roman"/>
          <w:sz w:val="22"/>
          <w:szCs w:val="22"/>
          <w:color w:val="auto"/>
        </w:rPr>
        <w:t>. The Deferred Compensation payable to a Director (or the Director’s Beneficiary) shall be measured by, and shall in no event exceed, the sum of the amounts credited to the Director’s Account.</w:t>
      </w:r>
    </w:p>
    <w:p>
      <w:pPr>
        <w:spacing w:after="0" w:line="18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PAYMENT OF DEFERRED COMPENSATION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i w:val="1"/>
          <w:iCs w:val="1"/>
          <w:color w:val="auto"/>
        </w:rPr>
        <w:t>Manner of Distribution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Rules for Initial Elections and Subsequent Changes in Elections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right="20" w:firstLine="1952"/>
        <w:spacing w:after="0" w:line="263" w:lineRule="auto"/>
        <w:tabs>
          <w:tab w:leader="none" w:pos="236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for Commencement of Payment</w:t>
      </w:r>
      <w:r>
        <w:rPr>
          <w:rFonts w:ascii="Times New Roman" w:cs="Times New Roman" w:eastAsia="Times New Roman" w:hAnsi="Times New Roman"/>
          <w:sz w:val="22"/>
          <w:szCs w:val="22"/>
          <w:color w:val="auto"/>
        </w:rPr>
        <w:t>. At the time a Director completes an Election Form or files a change of election form, he or she shall elect from among the following options governing the date on which the payment of benefits shall commence:</w:t>
      </w:r>
    </w:p>
    <w:p>
      <w:pPr>
        <w:spacing w:after="0" w:line="167" w:lineRule="exact"/>
        <w:rPr>
          <w:rFonts w:ascii="Times New Roman" w:cs="Times New Roman" w:eastAsia="Times New Roman" w:hAnsi="Times New Roman"/>
          <w:sz w:val="22"/>
          <w:szCs w:val="22"/>
          <w:color w:val="auto"/>
        </w:rPr>
      </w:pPr>
    </w:p>
    <w:p>
      <w:pPr>
        <w:ind w:right="100" w:firstLine="2600"/>
        <w:spacing w:after="0" w:line="271" w:lineRule="auto"/>
        <w:tabs>
          <w:tab w:leader="none" w:pos="3108"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begin on the January 15th or July 15th next following the date of the termination of a Director’s status as a Director for any reason.</w:t>
      </w:r>
    </w:p>
    <w:p>
      <w:pPr>
        <w:spacing w:after="0" w:line="157" w:lineRule="exact"/>
        <w:rPr>
          <w:rFonts w:ascii="Times New Roman" w:cs="Times New Roman" w:eastAsia="Times New Roman" w:hAnsi="Times New Roman"/>
          <w:sz w:val="22"/>
          <w:szCs w:val="22"/>
          <w:color w:val="auto"/>
        </w:rPr>
      </w:pPr>
    </w:p>
    <w:p>
      <w:pPr>
        <w:ind w:right="80" w:firstLine="2600"/>
        <w:spacing w:after="0" w:line="271" w:lineRule="auto"/>
        <w:tabs>
          <w:tab w:leader="none" w:pos="3096"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begin on January 15th of the year next following the year in which the Director’s status as a Director terminates for any reason.</w:t>
      </w:r>
    </w:p>
    <w:p>
      <w:pPr>
        <w:spacing w:after="0" w:line="171" w:lineRule="exact"/>
        <w:rPr>
          <w:rFonts w:ascii="Times New Roman" w:cs="Times New Roman" w:eastAsia="Times New Roman" w:hAnsi="Times New Roman"/>
          <w:sz w:val="22"/>
          <w:szCs w:val="22"/>
          <w:color w:val="auto"/>
        </w:rPr>
      </w:pPr>
    </w:p>
    <w:p>
      <w:pPr>
        <w:ind w:right="80" w:firstLine="2600"/>
        <w:spacing w:after="0" w:line="271" w:lineRule="auto"/>
        <w:tabs>
          <w:tab w:leader="none" w:pos="3096"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begin on the January 15th next following the date on which the Director has both terminated Director status for any reason and attained the age designated by the Director in the Election Form.</w:t>
      </w:r>
    </w:p>
    <w:p>
      <w:pPr>
        <w:spacing w:after="0" w:line="157" w:lineRule="exact"/>
        <w:rPr>
          <w:rFonts w:ascii="Times New Roman" w:cs="Times New Roman" w:eastAsia="Times New Roman" w:hAnsi="Times New Roman"/>
          <w:sz w:val="22"/>
          <w:szCs w:val="22"/>
          <w:color w:val="auto"/>
        </w:rPr>
      </w:pPr>
    </w:p>
    <w:p>
      <w:pPr>
        <w:ind w:firstLine="1952"/>
        <w:spacing w:after="0" w:line="295" w:lineRule="auto"/>
        <w:tabs>
          <w:tab w:leader="none" w:pos="242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for Form of Payment</w:t>
      </w:r>
      <w:r>
        <w:rPr>
          <w:rFonts w:ascii="Times New Roman" w:cs="Times New Roman" w:eastAsia="Times New Roman" w:hAnsi="Times New Roman"/>
          <w:sz w:val="21"/>
          <w:szCs w:val="21"/>
          <w:color w:val="auto"/>
        </w:rPr>
        <w:t>. At the time a Director completes an Election Form or files a change of election form, he or she shall elect the form of payment of his or her Deferred Compensation from among the following options:</w:t>
      </w:r>
    </w:p>
    <w:p>
      <w:pPr>
        <w:spacing w:after="0" w:line="135" w:lineRule="exact"/>
        <w:rPr>
          <w:rFonts w:ascii="Times New Roman" w:cs="Times New Roman" w:eastAsia="Times New Roman" w:hAnsi="Times New Roman"/>
          <w:sz w:val="21"/>
          <w:szCs w:val="21"/>
          <w:color w:val="auto"/>
        </w:rPr>
      </w:pPr>
    </w:p>
    <w:p>
      <w:pPr>
        <w:ind w:left="3100" w:hanging="500"/>
        <w:spacing w:after="0"/>
        <w:tabs>
          <w:tab w:leader="none" w:pos="3100"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w:t>
      </w:r>
    </w:p>
    <w:p>
      <w:pPr>
        <w:spacing w:after="0" w:line="233" w:lineRule="exact"/>
        <w:rPr>
          <w:rFonts w:ascii="Times New Roman" w:cs="Times New Roman" w:eastAsia="Times New Roman" w:hAnsi="Times New Roman"/>
          <w:sz w:val="22"/>
          <w:szCs w:val="22"/>
          <w:color w:val="auto"/>
        </w:rPr>
      </w:pPr>
    </w:p>
    <w:p>
      <w:pPr>
        <w:ind w:right="100" w:firstLine="2600"/>
        <w:spacing w:after="0" w:line="257" w:lineRule="auto"/>
        <w:tabs>
          <w:tab w:leader="none" w:pos="3084"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payments for a period of years designated by the Director which shall not exceed fifteen (15). The amount of each annual payment shall be determined by dividing the Director’s Account at the end of the month prior to such payment by the number of years remaining in the elected installment period.</w:t>
      </w:r>
    </w:p>
    <w:p>
      <w:pPr>
        <w:spacing w:after="0" w:line="168" w:lineRule="exact"/>
        <w:rPr>
          <w:rFonts w:ascii="Times New Roman" w:cs="Times New Roman" w:eastAsia="Times New Roman" w:hAnsi="Times New Roman"/>
          <w:sz w:val="22"/>
          <w:szCs w:val="22"/>
          <w:color w:val="auto"/>
        </w:rPr>
      </w:pPr>
    </w:p>
    <w:p>
      <w:pPr>
        <w:ind w:right="160" w:firstLine="1304"/>
        <w:spacing w:after="0" w:line="254" w:lineRule="auto"/>
        <w:tabs>
          <w:tab w:leader="none" w:pos="176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Cash-out of Small Benefits</w:t>
      </w:r>
      <w:r>
        <w:rPr>
          <w:rFonts w:ascii="Times New Roman" w:cs="Times New Roman" w:eastAsia="Times New Roman" w:hAnsi="Times New Roman"/>
          <w:sz w:val="22"/>
          <w:szCs w:val="22"/>
          <w:color w:val="auto"/>
        </w:rPr>
        <w:t>. Notwithstanding the above, if the Account balance of a Director who is entitled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begin payment equals $10,000 or less, the Director’s Account balance shall be paid in a single lump sum payment in full discharge of all liabilities with respect to such benefits. In no event shall a distribution in accordance with the previous sentence be made after March 15th of the calendar year following the year in which the termination of the Director’s status as a Director occurs.</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27" w:lineRule="exact"/>
        <w:rPr>
          <w:sz w:val="20"/>
          <w:szCs w:val="20"/>
          <w:color w:val="auto"/>
        </w:rPr>
      </w:pPr>
    </w:p>
    <w:p>
      <w:pPr>
        <w:ind w:right="40" w:firstLine="1304"/>
        <w:spacing w:after="0" w:line="260" w:lineRule="auto"/>
        <w:tabs>
          <w:tab w:leader="none" w:pos="175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Subsequent Change of Elections</w:t>
      </w:r>
      <w:r>
        <w:rPr>
          <w:rFonts w:ascii="Times New Roman" w:cs="Times New Roman" w:eastAsia="Times New Roman" w:hAnsi="Times New Roman"/>
          <w:sz w:val="21"/>
          <w:szCs w:val="21"/>
          <w:color w:val="auto"/>
        </w:rPr>
        <w:t>. A Director may change any election as to the manner of distribution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file a new election choosing a lump sum or installment payments with respect to the payment of the Director’s entire Account, or with respect to fees deferred for specific calendar years, by executing an election (on a form prescribed by the Company) within the time periods described in this Section 5.1(c). Any election under this Section 5.1(c) shall specify a time on which commencement of distribution will begin and the number of installments to be paid if any, under the options specified in Section 5.1(c). An election must be made prior to the Director’s termination of service as a director. To constitute a valid election by a Director making a prospective change to a previous election, (i) the prospective election must be executed and delivered to the Company at least twelve (12) months before the date the first payment would be due under the Director’s previous election, and</w:t>
      </w:r>
    </w:p>
    <w:p>
      <w:pPr>
        <w:ind w:right="280" w:firstLine="8"/>
        <w:spacing w:after="0" w:line="270" w:lineRule="auto"/>
        <w:tabs>
          <w:tab w:leader="none" w:pos="31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payment must be delayed by at least sixty (60) months from the date the first payment would be due under the Director’s previous election. In the event an election fails to satisfy the terms of this Section 5.1(c), such election shall be void and payment shall commence under the Director’s previous valid election or, if none exists, shall be paid in a lump sum.</w:t>
      </w:r>
    </w:p>
    <w:p>
      <w:pPr>
        <w:spacing w:after="0" w:line="155" w:lineRule="exact"/>
        <w:rPr>
          <w:rFonts w:ascii="Times New Roman" w:cs="Times New Roman" w:eastAsia="Times New Roman" w:hAnsi="Times New Roman"/>
          <w:sz w:val="21"/>
          <w:szCs w:val="21"/>
          <w:color w:val="auto"/>
        </w:rPr>
      </w:pPr>
    </w:p>
    <w:p>
      <w:pPr>
        <w:ind w:right="100" w:firstLine="1304"/>
        <w:spacing w:after="0" w:line="275" w:lineRule="auto"/>
        <w:tabs>
          <w:tab w:leader="none" w:pos="176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Valuation of Distributions</w:t>
      </w:r>
      <w:r>
        <w:rPr>
          <w:rFonts w:ascii="Times New Roman" w:cs="Times New Roman" w:eastAsia="Times New Roman" w:hAnsi="Times New Roman"/>
          <w:sz w:val="22"/>
          <w:szCs w:val="22"/>
          <w:color w:val="auto"/>
        </w:rPr>
        <w:t>. Distributions shall be valued based on the closing price on the trading day that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four (4) business days prior to the date of the distribution.</w:t>
      </w:r>
    </w:p>
    <w:p>
      <w:pPr>
        <w:spacing w:after="0" w:line="14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i w:val="1"/>
          <w:iCs w:val="1"/>
          <w:color w:val="auto"/>
        </w:rPr>
        <w:t>Commencement of Payments</w:t>
      </w:r>
      <w:r>
        <w:rPr>
          <w:rFonts w:ascii="Times New Roman" w:cs="Times New Roman" w:eastAsia="Times New Roman" w:hAnsi="Times New Roman"/>
          <w:sz w:val="22"/>
          <w:szCs w:val="22"/>
          <w:color w:val="auto"/>
        </w:rPr>
        <w:t>. Subject to the provisions of Section 5.5 and except as provided in Sections 5.1(b), 5.4 and 5.7, the payment of Deferred Compensation to a Director shall be made following a Director’s termination as a Director in accordance with his or her deferral elections regardless of whether the Director’s termination is due to resignation, retirement, disability, death, or otherwise. Installment payments shall continue to be made in January of each succeeding year until all installments have been paid.</w:t>
      </w:r>
    </w:p>
    <w:p>
      <w:pPr>
        <w:spacing w:after="0" w:line="17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i w:val="1"/>
          <w:iCs w:val="1"/>
          <w:color w:val="auto"/>
        </w:rPr>
        <w:t>Death Benefits</w:t>
      </w:r>
      <w:r>
        <w:rPr>
          <w:rFonts w:ascii="Times New Roman" w:cs="Times New Roman" w:eastAsia="Times New Roman" w:hAnsi="Times New Roman"/>
          <w:sz w:val="22"/>
          <w:szCs w:val="22"/>
          <w:color w:val="auto"/>
        </w:rPr>
        <w:t>. Subject to the provisions of Section 5.5, in the event that a Director dies before payment of the Director’s Deferred Compensation has commenced or been completed, the balance of the Director’s Account shall be distributed to the Director’s Beneficiary commencing in the January following the date of the Director’s death in accordance with the manner of distribution (lump sum or annual installments as well as timing of commencement of distributions) elected by the Director for payments during the Director’s lifetime.</w:t>
      </w:r>
    </w:p>
    <w:p>
      <w:pPr>
        <w:spacing w:after="0" w:line="17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i w:val="1"/>
          <w:iCs w:val="1"/>
          <w:color w:val="auto"/>
        </w:rPr>
        <w:t>Emergency Withdrawals</w:t>
      </w:r>
      <w:r>
        <w:rPr>
          <w:rFonts w:ascii="Times New Roman" w:cs="Times New Roman" w:eastAsia="Times New Roman" w:hAnsi="Times New Roman"/>
          <w:sz w:val="22"/>
          <w:szCs w:val="22"/>
          <w:color w:val="auto"/>
        </w:rPr>
        <w:t>. In the event of an unforeseen financial emergency prior to the commencement of distributions or after the commencement of installment payments, the Committee may approve a distribution to a Director (or Beneficiary after the death of a Director) of the part of the Director’s Account balance an amount which does not exceed the amount necessary to satisfy such emergency plus the amount necessary to pay taxes reasonably anticipated as a result of the distribution. This emergency distribution amount must take into consideration any amounts by which the hardship is or may be relieved through reimbursement or compensation by insurance or by liquidation of the Director’s (or Beneficiary’s after the death of the Director) assets to the extent such liquidation would not cause a severe financial hardship. An emergency withdrawal will be approved only in a circumstance of severe financial hardship to the Director (or Beneficiary, as applicable) resulting from a sudden and unexpected illness or</w:t>
      </w:r>
    </w:p>
    <w:p>
      <w:pPr>
        <w:sectPr>
          <w:pgSz w:w="11900" w:h="16838" w:orient="portrait"/>
          <w:cols w:equalWidth="0" w:num="1">
            <w:col w:w="11200"/>
          </w:cols>
          <w:pgMar w:left="320" w:top="1440" w:right="379" w:bottom="1440" w:gutter="0" w:footer="0" w:header="0"/>
        </w:sectPr>
      </w:pPr>
    </w:p>
    <w:bookmarkStart w:id="108" w:name="page109"/>
    <w:bookmarkEnd w:id="108"/>
    <w:p>
      <w:pPr>
        <w:spacing w:after="0" w:line="1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accident of the Director (or Beneficiary, as applicable) or of a dependant of the Director (or Beneficiary, as applicable), loss of property due to casualty, or other similar extraordinary and unforeseeable circumstances arising as a result of events beyond the control of the Director (or Beneficiary, as applicable). The investment earnings shall be determined as if the withdrawal had been debited from the Director’s Account in the first day of the month in which the withdrawal occurs.</w:t>
      </w:r>
    </w:p>
    <w:p>
      <w:pPr>
        <w:spacing w:after="0" w:line="175" w:lineRule="exact"/>
        <w:rPr>
          <w:sz w:val="20"/>
          <w:szCs w:val="20"/>
          <w:color w:val="auto"/>
        </w:rPr>
      </w:pPr>
    </w:p>
    <w:p>
      <w:pPr>
        <w:ind w:right="180" w:firstLine="648"/>
        <w:spacing w:after="0" w:line="265"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i w:val="1"/>
          <w:iCs w:val="1"/>
          <w:color w:val="auto"/>
        </w:rPr>
        <w:t>Corporation’s Right to Withhold</w:t>
      </w:r>
      <w:r>
        <w:rPr>
          <w:rFonts w:ascii="Times New Roman" w:cs="Times New Roman" w:eastAsia="Times New Roman" w:hAnsi="Times New Roman"/>
          <w:sz w:val="22"/>
          <w:szCs w:val="22"/>
          <w:color w:val="auto"/>
        </w:rPr>
        <w:t>. There shall be deducted from all payments under this Plan the amount of taxes, if any, required to be withheld under applicable federal or state tax laws. The Directors and their Beneficiaries will be liable for payment of any and all income or other taxes imposed on Deferred Compensation payable under this Plan.</w:t>
      </w:r>
    </w:p>
    <w:p>
      <w:pPr>
        <w:spacing w:after="0" w:line="16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i w:val="1"/>
          <w:iCs w:val="1"/>
          <w:color w:val="auto"/>
        </w:rPr>
        <w:t>Section 16 Limitations on Distributions</w:t>
      </w:r>
      <w:r>
        <w:rPr>
          <w:rFonts w:ascii="Times New Roman" w:cs="Times New Roman" w:eastAsia="Times New Roman" w:hAnsi="Times New Roman"/>
          <w:sz w:val="21"/>
          <w:szCs w:val="21"/>
          <w:color w:val="auto"/>
        </w:rPr>
        <w:t>. Notwithstanding anything contained herein to the contrary, no distribution of any portion of a Director’s Account credited to the Lockheed Martin Common Stock Investment Option shall be made unless</w:t>
      </w:r>
    </w:p>
    <w:p>
      <w:pPr>
        <w:spacing w:after="0" w:line="2" w:lineRule="exact"/>
        <w:rPr>
          <w:sz w:val="20"/>
          <w:szCs w:val="20"/>
          <w:color w:val="auto"/>
        </w:rPr>
      </w:pPr>
    </w:p>
    <w:p>
      <w:pPr>
        <w:ind w:right="400" w:firstLine="8"/>
        <w:spacing w:after="0" w:line="261" w:lineRule="auto"/>
        <w:tabs>
          <w:tab w:leader="none" w:pos="25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or Committee has approved the distribution or (ii) at least six months have passed from the date the Director’s service on the Board has terminated.</w:t>
      </w:r>
    </w:p>
    <w:p>
      <w:pPr>
        <w:spacing w:after="0" w:line="16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i w:val="1"/>
          <w:iCs w:val="1"/>
          <w:color w:val="auto"/>
        </w:rPr>
        <w:t>Acceleration Upon Conflict of Interest</w:t>
      </w:r>
      <w:r>
        <w:rPr>
          <w:rFonts w:ascii="Times New Roman" w:cs="Times New Roman" w:eastAsia="Times New Roman" w:hAnsi="Times New Roman"/>
          <w:sz w:val="22"/>
          <w:szCs w:val="22"/>
          <w:color w:val="auto"/>
        </w:rPr>
        <w:t>. Notwithstanding a Director’s benefit payment elections under this Article V, if following the termination of a Director’s status as a Director, the Director takes a position (or accepts a position) with a governmental entity, agency, or instrumentality and that employer has determined that the Director’s continued participation in the Plan may constitute a conflict of interest precluding the Director from continuing in their position (or from accepting an offered position) with that employer or subjecting the Director to penalty, sanction, or otherwise limiting the Director’s responsibilities for that employer, then, to the extent reasonably necessary, the Director’s Account shall be distributed to them in a lump sum as soon as practical (but no later than 90 days) following the later of (i) the date on which the Director commences employment with the government employer; or (ii) the date on which it is determined or indicated that the conflict of interest may exist; provided, however, that if a distribution in accordance with the provisions of this Section 5.7 from the portion of the Director’s Account allocated to the Lockheed Martin Common Stock Investment Option would otherwise result in a nonexempt short-swing transaction under Section 16(b) of the Exchange Act, the date of distribution with respect to such portion to such Director shall be delayed until the earliest date upon which the Company reasonably anticipates that the distribution either would not result in a nonexempt short-swing transaction or would otherwise not result in liability under Section 16(b) of the Exchange Act. This Section 5.7 shall apply, however, only to the extent that the accelerated payment upon a conflict of interest determination conforms to Code section 409A.</w:t>
      </w:r>
    </w:p>
    <w:p>
      <w:pPr>
        <w:spacing w:after="0" w:line="19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ADMINISTRATION, AMENDMENT AND TERMINATION</w:t>
      </w:r>
    </w:p>
    <w:p>
      <w:pPr>
        <w:spacing w:after="0" w:line="220" w:lineRule="exact"/>
        <w:rPr>
          <w:sz w:val="20"/>
          <w:szCs w:val="20"/>
          <w:color w:val="auto"/>
        </w:rPr>
      </w:pPr>
    </w:p>
    <w:p>
      <w:pPr>
        <w:ind w:right="560" w:firstLine="648"/>
        <w:spacing w:after="0" w:line="259"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i w:val="1"/>
          <w:iCs w:val="1"/>
          <w:color w:val="auto"/>
        </w:rPr>
        <w:t>Administration by Committee</w:t>
      </w:r>
      <w:r>
        <w:rPr>
          <w:rFonts w:ascii="Times New Roman" w:cs="Times New Roman" w:eastAsia="Times New Roman" w:hAnsi="Times New Roman"/>
          <w:sz w:val="22"/>
          <w:szCs w:val="22"/>
          <w:color w:val="auto"/>
        </w:rPr>
        <w:t>. This Plan shall be administered by a Committee consisting of exclusively “non-employee directors” as that term is defined in Rule 16b-3 (“Rule 16b-3”) promulgated by the Securities and Exchange Commission under Section 16 of the</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2"/>
          <w:szCs w:val="22"/>
          <w:color w:val="auto"/>
        </w:rPr>
        <w:t>Securities Exchange Act of 1934 (the “Exchange Act”). The Committee shall act by vote of a majority or by unanimous written consent of its members. The Committee’s resolution of any question regarding the interpretation of this Plan shall be subject to review by the Board, and the Board’s determination shall be final and binding on all parties. Notwithstanding anything contained in the Plan or in any document issued under the Plan, it is intended that the Plan will at all times comply with the requirements of Internal Revenue Code section 409A and any regulations or other guidance issued thereunder, and that the provisions of the Plan will be interpreted to meet such requirements. If any provision of the Plan or any Deferral Agreement is determined not to conform to such requirements, the Plan and/or the Deferral Agreement, as applicable, shall be interpreted to omit such offending provision.</w:t>
      </w:r>
    </w:p>
    <w:p>
      <w:pPr>
        <w:spacing w:after="0" w:line="17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i w:val="1"/>
          <w:iCs w:val="1"/>
          <w:color w:val="auto"/>
        </w:rPr>
        <w:t>Amendment and Termination</w:t>
      </w:r>
      <w:r>
        <w:rPr>
          <w:rFonts w:ascii="Times New Roman" w:cs="Times New Roman" w:eastAsia="Times New Roman" w:hAnsi="Times New Roman"/>
          <w:sz w:val="22"/>
          <w:szCs w:val="22"/>
          <w:color w:val="auto"/>
        </w:rPr>
        <w:t>. This Plan may be amended, modified, or terminated by the Board at any time, except that no such action shall (without the consent of affected Directors or, if appropriate, their Beneficiaries or personal representatives) adversely affect the rights of Directors or Beneficiaries with respect to compensation earned and deferred under this Plan prior to the date of such amendment, modification, or termination, or result in the application of penalties under Code section 409A.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i w:val="1"/>
          <w:iCs w:val="1"/>
          <w:color w:val="auto"/>
        </w:rPr>
        <w:t>Limitation on Directors’ Rights</w:t>
      </w:r>
      <w:r>
        <w:rPr>
          <w:rFonts w:ascii="Times New Roman" w:cs="Times New Roman" w:eastAsia="Times New Roman" w:hAnsi="Times New Roman"/>
          <w:sz w:val="22"/>
          <w:szCs w:val="22"/>
          <w:color w:val="auto"/>
        </w:rPr>
        <w:t>. Participation in this Plan shall not give any Director the right to continue to serve as a member of the Board or any rights or interests other than as herein provided. No Director shall have any right to any payment or benefit hereunder except to the extent provided in this Plan. This Plan shall create only a contractual obligation on the part of the Corporation as to such amounts and shall not be construed as creating a trust. The Plan, in and of itself, has no assets. Directors shall have only the rights of general unsecured creditors of the Corporation with respect to amounts credited to or payable from their Accounts.</w:t>
      </w:r>
    </w:p>
    <w:p>
      <w:pPr>
        <w:spacing w:after="0" w:line="18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i w:val="1"/>
          <w:iCs w:val="1"/>
          <w:color w:val="auto"/>
        </w:rPr>
        <w:t>Beneficiaries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380" w:firstLine="1304"/>
        <w:spacing w:after="0" w:line="254" w:lineRule="auto"/>
        <w:tabs>
          <w:tab w:leader="none" w:pos="175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Beneficiary Designation</w:t>
      </w:r>
      <w:r>
        <w:rPr>
          <w:rFonts w:ascii="Times New Roman" w:cs="Times New Roman" w:eastAsia="Times New Roman" w:hAnsi="Times New Roman"/>
          <w:sz w:val="22"/>
          <w:szCs w:val="22"/>
          <w:color w:val="auto"/>
        </w:rPr>
        <w:t>. Subject to applicable laws (including any applicable community property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probate laws), each Director may designate in writing the Beneficiary that the Director chooses to receive any payments that become payable after the Director’s death, as provided in Section 5.3. A Director’s Beneficiary designation shall be made on forms provided and in accordance with procedures established by the Corporation and may be changed by the Director at any time before the Director’s death.</w:t>
      </w:r>
    </w:p>
    <w:p>
      <w:pPr>
        <w:spacing w:after="0" w:line="173" w:lineRule="exact"/>
        <w:rPr>
          <w:rFonts w:ascii="Times New Roman" w:cs="Times New Roman" w:eastAsia="Times New Roman" w:hAnsi="Times New Roman"/>
          <w:sz w:val="22"/>
          <w:szCs w:val="22"/>
          <w:color w:val="auto"/>
        </w:rPr>
      </w:pPr>
    </w:p>
    <w:p>
      <w:pPr>
        <w:ind w:right="80" w:firstLine="1304"/>
        <w:spacing w:after="0" w:line="253" w:lineRule="auto"/>
        <w:tabs>
          <w:tab w:leader="none" w:pos="17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 of Beneficiary</w:t>
      </w:r>
      <w:r>
        <w:rPr>
          <w:rFonts w:ascii="Times New Roman" w:cs="Times New Roman" w:eastAsia="Times New Roman" w:hAnsi="Times New Roman"/>
          <w:sz w:val="22"/>
          <w:szCs w:val="22"/>
          <w:color w:val="auto"/>
        </w:rPr>
        <w:t>. A Director’s “Beneficiary” or “Beneficiaries” shall be the person or persons,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 trust or trusts, validly designated by the Director or, in the absence of a valid designation, entitled by will or the laws of descent and distribution to receive the amounts otherwise payable to the Director under this Plan in the event of the Director’s death.</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i w:val="1"/>
          <w:iCs w:val="1"/>
          <w:color w:val="auto"/>
        </w:rPr>
        <w:t>Rights Not Assignable; Obligations Binding Upon Successors</w:t>
      </w:r>
      <w:r>
        <w:rPr>
          <w:rFonts w:ascii="Times New Roman" w:cs="Times New Roman" w:eastAsia="Times New Roman" w:hAnsi="Times New Roman"/>
          <w:sz w:val="22"/>
          <w:szCs w:val="22"/>
          <w:color w:val="auto"/>
        </w:rPr>
        <w:t>. A Director’s rights under this Plan shall not be assignable or transferable and any purported transfer, assignment, pledge or other encumbrance or attachment of any payments or benefits under this Plan, or any interest thereon, other than pursuant to Section 6.2, shall not be permitted or recognized. Obligations of the Corporation under this Plan shall be binding upon successors of the Corporation.</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i w:val="1"/>
          <w:iCs w:val="1"/>
          <w:color w:val="auto"/>
        </w:rPr>
        <w:t>Governing Law; Severability</w:t>
      </w:r>
      <w:r>
        <w:rPr>
          <w:rFonts w:ascii="Times New Roman" w:cs="Times New Roman" w:eastAsia="Times New Roman" w:hAnsi="Times New Roman"/>
          <w:sz w:val="22"/>
          <w:szCs w:val="22"/>
          <w:color w:val="auto"/>
        </w:rPr>
        <w:t>. The validity of this Plan or any of its provisions shall be construed, administered, and governed in all respects under and by the laws of the State of Maryland. If any provisions of this instrument shall be held by a court of competent jurisdiction to be invalid or unenforceable, the remaining provisions hereof shall continue to be fully effective.</w:t>
      </w:r>
    </w:p>
    <w:p>
      <w:pPr>
        <w:spacing w:after="0" w:line="168"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i w:val="1"/>
          <w:iCs w:val="1"/>
          <w:color w:val="auto"/>
        </w:rPr>
        <w:t>Annual Statements</w:t>
      </w:r>
      <w:r>
        <w:rPr>
          <w:rFonts w:ascii="Times New Roman" w:cs="Times New Roman" w:eastAsia="Times New Roman" w:hAnsi="Times New Roman"/>
          <w:sz w:val="22"/>
          <w:szCs w:val="22"/>
          <w:color w:val="auto"/>
        </w:rPr>
        <w:t>. The Corporation shall prepare and send a statement to the Director (or to the Director’s Beneficiary after the Director’s death) showing the balance credited to the Director’s Account as of December 31 of each year for which an Account is maintained with respect to the Director.</w:t>
      </w:r>
    </w:p>
    <w:p>
      <w:pPr>
        <w:spacing w:after="0" w:line="161"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i w:val="1"/>
          <w:iCs w:val="1"/>
          <w:color w:val="auto"/>
        </w:rPr>
        <w:t>Headings Not Part of Plan</w:t>
      </w:r>
      <w:r>
        <w:rPr>
          <w:rFonts w:ascii="Times New Roman" w:cs="Times New Roman" w:eastAsia="Times New Roman" w:hAnsi="Times New Roman"/>
          <w:sz w:val="22"/>
          <w:szCs w:val="22"/>
          <w:color w:val="auto"/>
        </w:rPr>
        <w:t>. Headings and subheadings in this Plan are inserted for reference only and are not to be considered in the construction of this Plan.</w:t>
      </w:r>
    </w:p>
    <w:p>
      <w:pPr>
        <w:spacing w:after="0" w:line="14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i w:val="1"/>
          <w:iCs w:val="1"/>
          <w:color w:val="auto"/>
        </w:rPr>
        <w:t>Consent to Plan Terms</w:t>
      </w:r>
      <w:r>
        <w:rPr>
          <w:rFonts w:ascii="Times New Roman" w:cs="Times New Roman" w:eastAsia="Times New Roman" w:hAnsi="Times New Roman"/>
          <w:sz w:val="22"/>
          <w:szCs w:val="22"/>
          <w:color w:val="auto"/>
        </w:rPr>
        <w:t>. By electing to participate in this Plan, a Director shall be deemed conclusively to have accepted and consented to all of the terms of this Plan and to all actions and decisions of the Corporation, Board, or Committee with regard to the Plan. Such terms and consent shall also apply to and be binding upon each Director’s Beneficiary or Beneficiaries, personal representatives, and other successors in interest.</w:t>
      </w:r>
    </w:p>
    <w:p>
      <w:pPr>
        <w:spacing w:after="0" w:line="16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 This Plan became effective on March 15, 1995.</w:t>
      </w:r>
    </w:p>
    <w:p>
      <w:pPr>
        <w:spacing w:after="0" w:line="22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i w:val="1"/>
          <w:iCs w:val="1"/>
          <w:color w:val="auto"/>
        </w:rPr>
        <w:t>Plan Construction</w:t>
      </w:r>
      <w:r>
        <w:rPr>
          <w:rFonts w:ascii="Times New Roman" w:cs="Times New Roman" w:eastAsia="Times New Roman" w:hAnsi="Times New Roman"/>
          <w:sz w:val="22"/>
          <w:szCs w:val="22"/>
          <w:color w:val="auto"/>
        </w:rPr>
        <w:t>. It is the intent of the Corporation that this Plan satisfy and be interpreted in a manner that satisfies the applicable requirements of Rule 16b-3 so that Directors will be entitled to the benefits of Rule 16b-3 or other exemptive rules under Section 16 of the Exchange Act and will not be subjected to avoidable liability thereunder. Any contrary interpretation shall be avoided.</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 * * *</w:t>
      </w:r>
    </w:p>
    <w:p>
      <w:pPr>
        <w:spacing w:after="0" w:line="22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This Plan has been amended and restated pursuant to resolution of the Board of Directors on October 1, 2024 effective as stated herein.</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8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LOCKHEED MARTIN CORPORATION</w:t>
      </w:r>
    </w:p>
    <w:p>
      <w:pPr>
        <w:spacing w:after="0" w:line="71" w:lineRule="exact"/>
        <w:rPr>
          <w:sz w:val="20"/>
          <w:szCs w:val="20"/>
          <w:color w:val="auto"/>
        </w:rPr>
      </w:pPr>
    </w:p>
    <w:p>
      <w:pPr>
        <w:ind w:left="5360"/>
        <w:spacing w:after="0"/>
        <w:tabs>
          <w:tab w:leader="none" w:pos="6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Maryanne R. Lavan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36830</wp:posOffset>
            </wp:positionV>
            <wp:extent cx="24428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Maryanne R. Lavan</w:t>
      </w:r>
    </w:p>
    <w:p>
      <w:pPr>
        <w:spacing w:after="0" w:line="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Senior Vice President, General Counsel and</w:t>
      </w:r>
    </w:p>
    <w:p>
      <w:pPr>
        <w:spacing w:after="0" w:line="8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Corporate Secretary</w:t>
      </w:r>
    </w:p>
    <w:p>
      <w:pPr>
        <w:spacing w:after="0" w:line="341" w:lineRule="exact"/>
        <w:rPr>
          <w:sz w:val="20"/>
          <w:szCs w:val="20"/>
          <w:color w:val="auto"/>
        </w:rPr>
      </w:pPr>
    </w:p>
    <w:p>
      <w:pPr>
        <w:ind w:left="536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tab/>
        <w:t>October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36830</wp:posOffset>
            </wp:positionV>
            <wp:extent cx="24428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ectPr>
          <w:pgSz w:w="11900" w:h="16838" w:orient="portrait"/>
          <w:cols w:equalWidth="0" w:num="1">
            <w:col w:w="9900"/>
          </w:cols>
          <w:pgMar w:left="1440" w:top="1440" w:right="559" w:bottom="1440" w:gutter="0" w:footer="0" w:header="0"/>
        </w:sectPr>
      </w:pPr>
    </w:p>
    <w:bookmarkStart w:id="112" w:name="page113"/>
    <w:bookmarkEnd w:id="112"/>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APPENDIX A</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DIRECTORS DEFERRED COMPENSATION PLAN</w:t>
      </w:r>
    </w:p>
    <w:p>
      <w:pPr>
        <w:spacing w:after="0" w:line="2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This Appendix A to the Directors Deferred Compensation Plan shall govern the portion of a Director’s Account that was earned and vested prior to January 1, 2005 (and any earnings attributable to that portion). This Appendix A shall not apply to the portion of a Director’s Account that is earned or becomes vested on or after January 1, 2005 (and any earnings attributable to that portion).</w:t>
      </w:r>
    </w:p>
    <w:p>
      <w:pPr>
        <w:spacing w:after="0" w:line="17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24"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The purpose of this Plan is to give each non-employee Director of Lockheed Martin Corporation the opportunity to be compensated for his or her service as a Director on a deferred basis. The Plan is also intended to establish a method of paying Director compensation which will aid the Corporation in attracting and retaining as members of the Board persons whose abilities, experience and judgment can contribute to the success of the Corporation. In addition, by providing Directors with the option of accruing earnings based on the performance of Lockheed Martin Common Stock, the Plan is intended to more closely align the economic interests of Directors with the interests of stockholders generally.</w:t>
      </w:r>
    </w:p>
    <w:p>
      <w:pPr>
        <w:spacing w:after="0" w:line="1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Whenever the following terms are used in this Plan, they shall have the meaning specified below, unless the context clearly indicates to the contrary:</w:t>
      </w:r>
    </w:p>
    <w:p>
      <w:pPr>
        <w:spacing w:after="0" w:line="154"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Account </w:t>
      </w:r>
      <w:r>
        <w:rPr>
          <w:rFonts w:ascii="Times New Roman" w:cs="Times New Roman" w:eastAsia="Times New Roman" w:hAnsi="Times New Roman"/>
          <w:sz w:val="22"/>
          <w:szCs w:val="22"/>
          <w:color w:val="auto"/>
        </w:rPr>
        <w:t>means the bookkeeping account maintained by the Corporation on behalf of a participating Director which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credited with the Director’s Deferred Compensation, including investment earnings credited under Section 4.2.</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Beneficiary </w:t>
      </w:r>
      <w:r>
        <w:rPr>
          <w:rFonts w:ascii="Times New Roman" w:cs="Times New Roman" w:eastAsia="Times New Roman" w:hAnsi="Times New Roman"/>
          <w:sz w:val="22"/>
          <w:szCs w:val="22"/>
          <w:color w:val="auto"/>
        </w:rPr>
        <w:t>shall have the meaning specified in Section 8.2(b).</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Board of Directors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Board </w:t>
      </w:r>
      <w:r>
        <w:rPr>
          <w:rFonts w:ascii="Times New Roman" w:cs="Times New Roman" w:eastAsia="Times New Roman" w:hAnsi="Times New Roman"/>
          <w:sz w:val="22"/>
          <w:szCs w:val="22"/>
          <w:color w:val="auto"/>
        </w:rPr>
        <w:t>means the Board of Directors of the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Committee </w:t>
      </w:r>
      <w:r>
        <w:rPr>
          <w:rFonts w:ascii="Times New Roman" w:cs="Times New Roman" w:eastAsia="Times New Roman" w:hAnsi="Times New Roman"/>
          <w:sz w:val="22"/>
          <w:szCs w:val="22"/>
          <w:color w:val="auto"/>
        </w:rPr>
        <w:t>means the Committee appointed to administer this Plan, as provided in Section 7.1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Corporation </w:t>
      </w:r>
      <w:r>
        <w:rPr>
          <w:rFonts w:ascii="Times New Roman" w:cs="Times New Roman" w:eastAsia="Times New Roman" w:hAnsi="Times New Roman"/>
          <w:sz w:val="22"/>
          <w:szCs w:val="22"/>
          <w:color w:val="auto"/>
        </w:rPr>
        <w:t>means Lockheed Martin Corporation, a Maryland corporation, and its successors.</w:t>
      </w:r>
    </w:p>
    <w:p>
      <w:pPr>
        <w:sectPr>
          <w:pgSz w:w="11900" w:h="16838" w:orient="portrait"/>
          <w:cols w:equalWidth="0" w:num="1">
            <w:col w:w="11180"/>
          </w:cols>
          <w:pgMar w:left="320" w:top="1440" w:right="399" w:bottom="1440" w:gutter="0" w:footer="0" w:header="0"/>
        </w:sectPr>
      </w:pPr>
    </w:p>
    <w:bookmarkStart w:id="113" w:name="page114"/>
    <w:bookmarkEnd w:id="113"/>
    <w:p>
      <w:pPr>
        <w:spacing w:after="0" w:line="127" w:lineRule="exact"/>
        <w:rPr>
          <w:sz w:val="20"/>
          <w:szCs w:val="20"/>
          <w:color w:val="auto"/>
        </w:rPr>
      </w:pPr>
    </w:p>
    <w:p>
      <w:pPr>
        <w:jc w:val="both"/>
        <w:ind w:right="34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Deferred Compensation </w:t>
      </w:r>
      <w:r>
        <w:rPr>
          <w:rFonts w:ascii="Times New Roman" w:cs="Times New Roman" w:eastAsia="Times New Roman" w:hAnsi="Times New Roman"/>
          <w:sz w:val="22"/>
          <w:szCs w:val="22"/>
          <w:color w:val="auto"/>
        </w:rPr>
        <w:t>means Director’s Fees deferred pursuant to this Plan and investment earnings credited thereto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Section 4.2. Deferred Compensation also includes the Lump Sum Retirement Benefit deferred pursuant to this Plan and investment earnings credited thereto under Section 4.2.</w:t>
      </w:r>
    </w:p>
    <w:p>
      <w:pPr>
        <w:spacing w:after="0" w:line="166"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Director </w:t>
      </w:r>
      <w:r>
        <w:rPr>
          <w:rFonts w:ascii="Times New Roman" w:cs="Times New Roman" w:eastAsia="Times New Roman" w:hAnsi="Times New Roman"/>
          <w:sz w:val="22"/>
          <w:szCs w:val="22"/>
          <w:color w:val="auto"/>
        </w:rPr>
        <w:t>means, except as provided in Section 5.5, a member of the Board of Directors of the Corporation who is eligible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receive compensation in the form of Director’s Fees and who is not an officer or employee of the Corporation or any of its subsidiaries.</w:t>
      </w:r>
    </w:p>
    <w:p>
      <w:pPr>
        <w:spacing w:after="0" w:line="161"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Director’s Fees </w:t>
      </w:r>
      <w:r>
        <w:rPr>
          <w:rFonts w:ascii="Times New Roman" w:cs="Times New Roman" w:eastAsia="Times New Roman" w:hAnsi="Times New Roman"/>
          <w:sz w:val="22"/>
          <w:szCs w:val="22"/>
          <w:color w:val="auto"/>
        </w:rPr>
        <w:t>means the cash fees payable to a Director for services as a Director and for services on any Committee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Board, including the amount of any retainer paid to a non-employee for services as Chairman of the Board.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 the effective date referred to in Section 8.8.</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Election Form </w:t>
      </w:r>
      <w:r>
        <w:rPr>
          <w:rFonts w:ascii="Times New Roman" w:cs="Times New Roman" w:eastAsia="Times New Roman" w:hAnsi="Times New Roman"/>
          <w:sz w:val="22"/>
          <w:szCs w:val="22"/>
          <w:color w:val="auto"/>
        </w:rPr>
        <w:t>means the form by which a Director elects to participate in this Plan.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Lump Sum Death Benefit </w:t>
      </w:r>
      <w:r>
        <w:rPr>
          <w:rFonts w:ascii="Times New Roman" w:cs="Times New Roman" w:eastAsia="Times New Roman" w:hAnsi="Times New Roman"/>
          <w:sz w:val="22"/>
          <w:szCs w:val="22"/>
          <w:color w:val="auto"/>
        </w:rPr>
        <w:t>means the actuarial value of the $100,000 death benefit provided to Directors prior to May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1999.</w:t>
      </w:r>
    </w:p>
    <w:p>
      <w:pPr>
        <w:spacing w:after="0" w:line="192"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Lump Sum Retirement Benefit </w:t>
      </w:r>
      <w:r>
        <w:rPr>
          <w:rFonts w:ascii="Times New Roman" w:cs="Times New Roman" w:eastAsia="Times New Roman" w:hAnsi="Times New Roman"/>
          <w:sz w:val="22"/>
          <w:szCs w:val="22"/>
          <w:color w:val="auto"/>
        </w:rPr>
        <w:t>means the value of the benefit earned under the Lockheed Martin Corporation Directors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Retirement Plan as determined upon termination of that plan effective May 1, 1999.</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means the Lockheed Martin Corporation Directors Deferred Compensation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Qualified Savings Plan </w:t>
      </w:r>
      <w:r>
        <w:rPr>
          <w:rFonts w:ascii="Times New Roman" w:cs="Times New Roman" w:eastAsia="Times New Roman" w:hAnsi="Times New Roman"/>
          <w:sz w:val="22"/>
          <w:szCs w:val="22"/>
          <w:color w:val="auto"/>
        </w:rPr>
        <w:t>means the Lockheed Martin Corporation Salaried Savings Plan or any successor plan.</w:t>
      </w:r>
    </w:p>
    <w:p>
      <w:pPr>
        <w:spacing w:after="0" w:line="2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PARTICIPATION</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i w:val="1"/>
          <w:iCs w:val="1"/>
          <w:color w:val="auto"/>
        </w:rPr>
        <w:t>Timing of Deferral Elections</w:t>
      </w:r>
      <w:r>
        <w:rPr>
          <w:rFonts w:ascii="Times New Roman" w:cs="Times New Roman" w:eastAsia="Times New Roman" w:hAnsi="Times New Roman"/>
          <w:sz w:val="22"/>
          <w:szCs w:val="22"/>
          <w:color w:val="auto"/>
        </w:rPr>
        <w:t>. In order to defer Director’s Fees earned in any calendar year, a Director must make a deferral election by executing and filing an Election Form before the commencement of that calendar year. In the case of a new Director, an election to defer Director’s Fees must be filed within 30 days after the commencement of the Director’s term of office and shall apply only to fees for services after the date of such election. The deferral election shall specify the manner in which earnings (or losses) on the deferred amount shall accrue in accordance with Section 4.2 below. To the extent that a Director elects that any portion of a deferred amount shall accrue earnings (or losses) based on the Lockheed Martin Common Stock Investment Option, such an election shall be given effect only if (i) the election is irrevocably made at least six (6) months prior to the effective date of the allocation or (ii) the crediting of the deferred amount to the Lockheed Martin Common Stock Investment Option has been approved by the Board of Directors (or a committee thereof that is comprised of persons specified in Section 7.1). To the extent that a Director makes an election to have Deferred Compensation credited to the Lockheed Martin Common Stock Investment Option which is not</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31"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22"/>
          <w:szCs w:val="22"/>
          <w:color w:val="auto"/>
        </w:rPr>
        <w:t>in compliance with (i) or (ii) above, the amount elected to be deferred into the Lockheed Martin Common Stock Investment Option shall initially be allocated to the default investment option under the Qualified Savings Plan until such time as the allocation to the Lockheed Martin Common Stock Investment Option would be in compliance with (i) or (ii) above, at which time the deferred amount shall automatically be reallocated.</w:t>
      </w:r>
    </w:p>
    <w:p>
      <w:pPr>
        <w:spacing w:after="0" w:line="17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i w:val="1"/>
          <w:iCs w:val="1"/>
          <w:color w:val="auto"/>
        </w:rPr>
        <w:t>Terms of Deferral Elections</w:t>
      </w:r>
      <w:r>
        <w:rPr>
          <w:rFonts w:ascii="Times New Roman" w:cs="Times New Roman" w:eastAsia="Times New Roman" w:hAnsi="Times New Roman"/>
          <w:sz w:val="22"/>
          <w:szCs w:val="22"/>
          <w:color w:val="auto"/>
        </w:rPr>
        <w:t>. A Director’s deferral election for a calendar year shall specify the percentage (which may equal 100%) of the Director’s Fees to be earned by the Director for that year which are to be deferred under this Plan and with respect to fees deferred pursuant to that election the method for crediting earnings (or losses) selected by the Director in accordance with Article IV and the manner of distribution in accordance with Section 5.1(b). A Director’s deferral election shall remain in effect for each subsequent calendar year, unless the Director duly files a revised Election Form or written revocation of the election before the beginning of the subsequent calendar year. A Director’s deferral election shall be irrevocable during any calendar year in which it is in effect. If a Director files a change of election in accordance with Section 5.1(d), the manner of distribution elected under that Section will remain in effect for deferrals in any subsequent year unless the Director duly files a revised Election Form.</w:t>
      </w:r>
    </w:p>
    <w:p>
      <w:pPr>
        <w:spacing w:after="0" w:line="18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CREDITING OF ACCOUNTS</w:t>
      </w:r>
    </w:p>
    <w:p>
      <w:pPr>
        <w:spacing w:after="0" w:line="22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i w:val="1"/>
          <w:iCs w:val="1"/>
          <w:color w:val="auto"/>
        </w:rPr>
        <w:t>Crediting of Director’s Fees</w:t>
      </w:r>
      <w:r>
        <w:rPr>
          <w:rFonts w:ascii="Times New Roman" w:cs="Times New Roman" w:eastAsia="Times New Roman" w:hAnsi="Times New Roman"/>
          <w:sz w:val="22"/>
          <w:szCs w:val="22"/>
          <w:color w:val="auto"/>
        </w:rPr>
        <w:t>. Director’s Fees that a Director has elected to defer shall be credited to the Director’s Account as of the first day of the month in which the Director’s Fees would have been payable to the Director if no deferral election had been made under this Plan. The elected deferral percentage shall apply to all Director’s Fees earned by the Director during a calendar year.</w:t>
      </w:r>
    </w:p>
    <w:p>
      <w:pPr>
        <w:spacing w:after="0" w:line="1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i w:val="1"/>
          <w:iCs w:val="1"/>
          <w:color w:val="auto"/>
        </w:rPr>
        <w:t>Crediting of Investment Earnings</w:t>
      </w:r>
      <w:r>
        <w:rPr>
          <w:rFonts w:ascii="Times New Roman" w:cs="Times New Roman" w:eastAsia="Times New Roman" w:hAnsi="Times New Roman"/>
          <w:sz w:val="22"/>
          <w:szCs w:val="22"/>
          <w:color w:val="auto"/>
        </w:rPr>
        <w:t>. Subject to the provisions of Section 3.1 above, as of each trading day (each day on which the New York Stock Exchange is open), a Director’s Account shall be credited to reflect investment earnings (or losses) for each trading day, based on the Director’s investment selections under this Section 4.2. A Director may elect to have his or her Account credited with investment earnings (or losses) for each trading day as if the Director’s Account balance had been invested in the following:</w:t>
      </w:r>
    </w:p>
    <w:p>
      <w:pPr>
        <w:spacing w:after="0" w:line="173" w:lineRule="exact"/>
        <w:rPr>
          <w:sz w:val="20"/>
          <w:szCs w:val="20"/>
          <w:color w:val="auto"/>
        </w:rPr>
      </w:pPr>
    </w:p>
    <w:p>
      <w:pPr>
        <w:ind w:right="60" w:firstLine="1304"/>
        <w:spacing w:after="0" w:line="249" w:lineRule="auto"/>
        <w:tabs>
          <w:tab w:leader="none" w:pos="175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Option</w:t>
      </w:r>
      <w:r>
        <w:rPr>
          <w:rFonts w:ascii="Times New Roman" w:cs="Times New Roman" w:eastAsia="Times New Roman" w:hAnsi="Times New Roman"/>
          <w:sz w:val="22"/>
          <w:szCs w:val="22"/>
          <w:color w:val="auto"/>
        </w:rPr>
        <w:t>. Interest at a rate equivalent to (i) the then published rate for computing the present value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future benefits at the time cost is assignable under Cost Accounting Standard 415, Deferred Compensation, as determined by the Secretary of the Treasury on a semi-annual basis pursuant to Pub. L. 92-41, 85 Stat. 97, (ii) such other interest rate as is available to participants in the Lockheed Martin Corporation Deferred Management Incentive Compensation Plan as an interest option if the interest option under (i) is not an option under that plan, or (iii) if there is no rate under (i) or (ii), such other interest rate as is approved by the Board. No amounts may be credited or reallocated to the Interest Option on or after July 1, 2009. Deferred Compensation credited to a Director’s Account prior to January 1, 2005, may remain credited to, or may be reallocated to, the Interest Option until such amounts are</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transferred to the Company Stock Investment Option or the Investment Fund Option on or after July 1, 2009.</w:t>
      </w:r>
    </w:p>
    <w:p>
      <w:pPr>
        <w:spacing w:after="0" w:line="216" w:lineRule="exact"/>
        <w:rPr>
          <w:sz w:val="20"/>
          <w:szCs w:val="20"/>
          <w:color w:val="auto"/>
        </w:rPr>
      </w:pPr>
    </w:p>
    <w:p>
      <w:pPr>
        <w:ind w:firstLine="1304"/>
        <w:spacing w:after="0" w:line="249" w:lineRule="auto"/>
        <w:tabs>
          <w:tab w:leader="none" w:pos="176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Fund Option</w:t>
      </w:r>
      <w:r>
        <w:rPr>
          <w:rFonts w:ascii="Times New Roman" w:cs="Times New Roman" w:eastAsia="Times New Roman" w:hAnsi="Times New Roman"/>
          <w:sz w:val="22"/>
          <w:szCs w:val="22"/>
          <w:color w:val="auto"/>
        </w:rPr>
        <w:t>. Earnings shall be credited to a Director’s Account based on the market value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investment return of the investment options (including the Target Date Funds and core mutual funds (and successor funds), and excluding the Company Stock Fund, ESOP Fund, and Self-Managed Account) that are available to participants pursuant to the terms of the Qualified Savings Plan, provided that the Committee retains the discretion to add certain funds to, or to exclude certain funds from, the Investment Fund Option. Earnings shall be credited to a Director’s Account based on the investment option or options within the Investment Fund Option to which his or her Account has been allocated. The manner in which earnings are credited under each of the investment options shall be determined in the same manner as under the Qualified Savings Plan.</w:t>
      </w:r>
    </w:p>
    <w:p>
      <w:pPr>
        <w:spacing w:after="0" w:line="181" w:lineRule="exact"/>
        <w:rPr>
          <w:rFonts w:ascii="Times New Roman" w:cs="Times New Roman" w:eastAsia="Times New Roman" w:hAnsi="Times New Roman"/>
          <w:sz w:val="22"/>
          <w:szCs w:val="22"/>
          <w:color w:val="auto"/>
        </w:rPr>
      </w:pPr>
    </w:p>
    <w:p>
      <w:pPr>
        <w:ind w:right="80" w:firstLine="1304"/>
        <w:spacing w:after="0" w:line="250" w:lineRule="auto"/>
        <w:tabs>
          <w:tab w:leader="none" w:pos="175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Lockheed Martin Common Stock Investment Option</w:t>
      </w:r>
      <w:r>
        <w:rPr>
          <w:rFonts w:ascii="Times New Roman" w:cs="Times New Roman" w:eastAsia="Times New Roman" w:hAnsi="Times New Roman"/>
          <w:sz w:val="22"/>
          <w:szCs w:val="22"/>
          <w:color w:val="auto"/>
        </w:rPr>
        <w:t>. Earnings (or losses) shall be credited as if such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had been invested in Lockheed Martin Common Stock at the published closing price of the Corporation’s Common Stock on the New York Stock Exchange on the last trading day preceding the day as to which such amount is deferred (or reallocated) into the Lockheed Martin Common Stock Investment Option; this portion of a Director’s Account shall reflect any subsequent appreciation or depreciation in the market value of Lockheed Martin Common Stock based on the published closing price of the stock on the New York Stock Exchange on each trading day of each month and shall reflect dividends on the stock as if such dividends were reinvested in shares of Lockheed Martin Common Stock.</w:t>
      </w:r>
    </w:p>
    <w:p>
      <w:pPr>
        <w:spacing w:after="0" w:line="19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combination of (a), (b) and (c).</w:t>
      </w:r>
    </w:p>
    <w:p>
      <w:pPr>
        <w:spacing w:after="0" w:line="22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A Director’s initial investment selections must be made by the date that the Director’s initial deferral election takes effect. A Director may change his or her investment selections with respect to all amounts credited to the Director’s Account, including amounts deferred in prior periods, provided that any such change that would result in an increase or decrease in the portion of the Director’s Account allocated to the Lockheed Martin Common Stock Investment Option shall only be effective if it is made pursuant to an irrevocable written election made at least six months following the date of the Director’s most recent “opposite way” election with respect to either the Plan or any other plan maintained by Lockheed Martin that provides for Discretionary Transactions (as defined in Rule 16b-3). Subject to the foregoing, a change of investment selections must be made by accessing the Qualified Savings Plan Web tool. Except as set forth above, the procedures (including restrictions) for directing the allocation and reallocation among the investment options shall be the same as the procedures (and restrictions) for making allocations and reallocations under the Qualified Savings Plan. No amounts may be credited or reallocated to the Interest Option on or after July 1, 2009.</w:t>
      </w:r>
    </w:p>
    <w:p>
      <w:pPr>
        <w:spacing w:after="0" w:line="185"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i w:val="1"/>
          <w:iCs w:val="1"/>
          <w:color w:val="auto"/>
        </w:rPr>
        <w:t>Account Balance as Measure of Deferred Compensation</w:t>
      </w:r>
      <w:r>
        <w:rPr>
          <w:rFonts w:ascii="Times New Roman" w:cs="Times New Roman" w:eastAsia="Times New Roman" w:hAnsi="Times New Roman"/>
          <w:sz w:val="22"/>
          <w:szCs w:val="22"/>
          <w:color w:val="auto"/>
        </w:rPr>
        <w:t>. The Deferred Compensation payable to a Director (or the Director’s Beneficiary) shall be measured by, and shall in no event exceed, the sum of the amounts credited to the Director’s Account.</w:t>
      </w:r>
    </w:p>
    <w:p>
      <w:pPr>
        <w:spacing w:after="0" w:line="16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V</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 OF DEFERRED COMPENSATION</w:t>
      </w:r>
    </w:p>
    <w:p>
      <w:pPr>
        <w:spacing w:after="0" w:line="220"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i w:val="1"/>
          <w:iCs w:val="1"/>
          <w:color w:val="auto"/>
        </w:rPr>
        <w:t>Manner of Distribution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0" w:right="20" w:firstLine="1304"/>
        <w:spacing w:after="0" w:line="263" w:lineRule="auto"/>
        <w:tabs>
          <w:tab w:leader="none" w:pos="173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Amounts deferred prior to October 24, 2003</w:t>
      </w:r>
      <w:r>
        <w:rPr>
          <w:rFonts w:ascii="Times New Roman" w:cs="Times New Roman" w:eastAsia="Times New Roman" w:hAnsi="Times New Roman"/>
          <w:sz w:val="21"/>
          <w:szCs w:val="21"/>
          <w:color w:val="auto"/>
        </w:rPr>
        <w:t>. Subject to the provisions of Section 5.6 and 5.1(d), with respect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any fees deferred prior to October 24, 2003, a Director’s Deferred Compensation shall be paid as a lump sum cash payment equal to the balance credited to the Director’s Account on or about January 15th of the calendar year that next follows the date of the termination of the Director’s status as a Director. Notwithstanding the foregoing, with respect to any fees deferred prior to October 24, 2003, a Director may elect to have the Director’s Deferred Compensation distributed in annual installments commencing on or about January 15th of the calendar year that next follows the date of the termination of the Director’s status as a Director and continuing over a maximum period of ten (10) years. The amount of each annual installment shall be determined by dividing the Director’s Account balance (or the portion of the Account balance to which the installment election applies) on the December 31 preceding the payment date by the number of years remaining in the elected installment period.</w:t>
      </w:r>
    </w:p>
    <w:p>
      <w:pPr>
        <w:spacing w:after="0" w:line="169" w:lineRule="exact"/>
        <w:rPr>
          <w:rFonts w:ascii="Times New Roman" w:cs="Times New Roman" w:eastAsia="Times New Roman" w:hAnsi="Times New Roman"/>
          <w:sz w:val="21"/>
          <w:szCs w:val="21"/>
          <w:color w:val="auto"/>
        </w:rPr>
      </w:pPr>
    </w:p>
    <w:p>
      <w:pPr>
        <w:ind w:left="1760" w:hanging="476"/>
        <w:spacing w:after="0"/>
        <w:tabs>
          <w:tab w:leader="none" w:pos="1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Rules for Deferrals made (or changes in elections filed) on or after October 24, 2003</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20" w:right="20" w:firstLine="1952"/>
        <w:spacing w:after="0" w:line="257" w:lineRule="auto"/>
        <w:tabs>
          <w:tab w:leader="none" w:pos="234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for Commencement of Payment</w:t>
      </w:r>
      <w:r>
        <w:rPr>
          <w:rFonts w:ascii="Times New Roman" w:cs="Times New Roman" w:eastAsia="Times New Roman" w:hAnsi="Times New Roman"/>
          <w:sz w:val="22"/>
          <w:szCs w:val="22"/>
          <w:color w:val="auto"/>
        </w:rPr>
        <w:t>. At the time a Director completes an Election Form or files a change of election form, he or she shall elect from among the following options governing the date on which the payment of benefits shall commence:</w:t>
      </w:r>
    </w:p>
    <w:p>
      <w:pPr>
        <w:spacing w:after="0" w:line="172" w:lineRule="exact"/>
        <w:rPr>
          <w:rFonts w:ascii="Times New Roman" w:cs="Times New Roman" w:eastAsia="Times New Roman" w:hAnsi="Times New Roman"/>
          <w:sz w:val="22"/>
          <w:szCs w:val="22"/>
          <w:color w:val="auto"/>
        </w:rPr>
      </w:pPr>
    </w:p>
    <w:p>
      <w:pPr>
        <w:ind w:left="-20" w:right="380" w:firstLine="2600"/>
        <w:spacing w:after="0" w:line="284" w:lineRule="auto"/>
        <w:tabs>
          <w:tab w:leader="none" w:pos="3088"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begin on or about the January 15th or July 15th next following the date of the termination of a Director’s status as a Director for any reason.</w:t>
      </w:r>
    </w:p>
    <w:p>
      <w:pPr>
        <w:spacing w:after="0" w:line="143" w:lineRule="exact"/>
        <w:rPr>
          <w:rFonts w:ascii="Times New Roman" w:cs="Times New Roman" w:eastAsia="Times New Roman" w:hAnsi="Times New Roman"/>
          <w:sz w:val="22"/>
          <w:szCs w:val="22"/>
          <w:color w:val="auto"/>
        </w:rPr>
      </w:pPr>
    </w:p>
    <w:p>
      <w:pPr>
        <w:ind w:left="-20" w:right="240" w:firstLine="2600"/>
        <w:spacing w:after="0" w:line="271" w:lineRule="auto"/>
        <w:tabs>
          <w:tab w:leader="none" w:pos="3076"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begin on or about January 15th of the year next following the year in which the Director’s status as a Director terminates for any reason.</w:t>
      </w:r>
    </w:p>
    <w:p>
      <w:pPr>
        <w:spacing w:after="0" w:line="157" w:lineRule="exact"/>
        <w:rPr>
          <w:rFonts w:ascii="Times New Roman" w:cs="Times New Roman" w:eastAsia="Times New Roman" w:hAnsi="Times New Roman"/>
          <w:sz w:val="22"/>
          <w:szCs w:val="22"/>
          <w:color w:val="auto"/>
        </w:rPr>
      </w:pPr>
    </w:p>
    <w:p>
      <w:pPr>
        <w:ind w:left="-20" w:right="80" w:firstLine="2600"/>
        <w:spacing w:after="0" w:line="295" w:lineRule="auto"/>
        <w:tabs>
          <w:tab w:leader="none" w:pos="3076"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to begin on or about the January 15th next following the date on which the Director has both terminated Director status for any reason and attained the age designated by the Director in the Election Form.</w:t>
      </w:r>
    </w:p>
    <w:p>
      <w:pPr>
        <w:spacing w:after="0" w:line="148" w:lineRule="exact"/>
        <w:rPr>
          <w:rFonts w:ascii="Times New Roman" w:cs="Times New Roman" w:eastAsia="Times New Roman" w:hAnsi="Times New Roman"/>
          <w:sz w:val="21"/>
          <w:szCs w:val="21"/>
          <w:color w:val="auto"/>
        </w:rPr>
      </w:pPr>
    </w:p>
    <w:p>
      <w:pPr>
        <w:ind w:left="-20" w:firstLine="1952"/>
        <w:spacing w:after="0" w:line="295" w:lineRule="auto"/>
        <w:tabs>
          <w:tab w:leader="none" w:pos="2404"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for Form of Payment</w:t>
      </w:r>
      <w:r>
        <w:rPr>
          <w:rFonts w:ascii="Times New Roman" w:cs="Times New Roman" w:eastAsia="Times New Roman" w:hAnsi="Times New Roman"/>
          <w:sz w:val="21"/>
          <w:szCs w:val="21"/>
          <w:color w:val="auto"/>
        </w:rPr>
        <w:t>. At the time a Director completes an Election Form or files a change of election form, he or she shall elect the form of payment of his or her Deferred Compensation from among the following options:</w:t>
      </w:r>
    </w:p>
    <w:p>
      <w:pPr>
        <w:spacing w:after="0" w:line="135" w:lineRule="exact"/>
        <w:rPr>
          <w:rFonts w:ascii="Times New Roman" w:cs="Times New Roman" w:eastAsia="Times New Roman" w:hAnsi="Times New Roman"/>
          <w:sz w:val="21"/>
          <w:szCs w:val="21"/>
          <w:color w:val="auto"/>
        </w:rPr>
      </w:pPr>
    </w:p>
    <w:p>
      <w:pPr>
        <w:ind w:left="3080" w:hanging="500"/>
        <w:spacing w:after="0"/>
        <w:tabs>
          <w:tab w:leader="none" w:pos="308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w:t>
      </w:r>
    </w:p>
    <w:p>
      <w:pPr>
        <w:spacing w:after="0" w:line="219" w:lineRule="exact"/>
        <w:rPr>
          <w:rFonts w:ascii="Times New Roman" w:cs="Times New Roman" w:eastAsia="Times New Roman" w:hAnsi="Times New Roman"/>
          <w:sz w:val="22"/>
          <w:szCs w:val="22"/>
          <w:color w:val="auto"/>
        </w:rPr>
      </w:pPr>
    </w:p>
    <w:p>
      <w:pPr>
        <w:ind w:left="-20" w:right="100" w:firstLine="2600"/>
        <w:spacing w:after="0" w:line="253" w:lineRule="auto"/>
        <w:tabs>
          <w:tab w:leader="none" w:pos="3064"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payments for a period of years designated by the Director which shall not exceed fifteen (15). The amount of each annual payment shall be determined by dividing the Director’s Account at the end of the month prior to such payment by the number of years remaining in the elected installment period. The installment period may be shortened, in the sole discretion of the Committee, if the Committee at any time determines that the amount of the annual payments that would be made to the Director during the designated</w:t>
      </w:r>
    </w:p>
    <w:p>
      <w:pPr>
        <w:sectPr>
          <w:pgSz w:w="11900" w:h="16838" w:orient="portrait"/>
          <w:cols w:equalWidth="0" w:num="1">
            <w:col w:w="11200"/>
          </w:cols>
          <w:pgMar w:left="340" w:top="1440" w:right="359" w:bottom="1440" w:gutter="0" w:footer="0" w:header="0"/>
        </w:sectPr>
      </w:pPr>
    </w:p>
    <w:bookmarkStart w:id="117" w:name="page118"/>
    <w:bookmarkEnd w:id="117"/>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installment period would be too small to justify the maintenance of the Director’s Account and the processing of payments.</w:t>
      </w:r>
    </w:p>
    <w:p>
      <w:pPr>
        <w:spacing w:after="0" w:line="216" w:lineRule="exact"/>
        <w:rPr>
          <w:sz w:val="20"/>
          <w:szCs w:val="20"/>
          <w:color w:val="auto"/>
        </w:rPr>
      </w:pPr>
    </w:p>
    <w:p>
      <w:pPr>
        <w:ind w:right="240" w:firstLine="1304"/>
        <w:spacing w:after="0" w:line="253" w:lineRule="auto"/>
        <w:tabs>
          <w:tab w:leader="none" w:pos="175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Deferral For Director’s Fees Earned in 1996</w:t>
      </w:r>
      <w:r>
        <w:rPr>
          <w:rFonts w:ascii="Times New Roman" w:cs="Times New Roman" w:eastAsia="Times New Roman" w:hAnsi="Times New Roman"/>
          <w:sz w:val="22"/>
          <w:szCs w:val="22"/>
          <w:color w:val="auto"/>
        </w:rPr>
        <w:t>. A Director may elect to have the Director’s Deferred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earned during the 1996 calendar year credited and paid as a lump sum under (a) or annual installments under (b) except that payment (or installments, as the case may be) will be made (or commence) on January 1, 1998, or as soon as practicable thereafter regardless of whether the Director has terminated service as a Director.</w:t>
      </w:r>
    </w:p>
    <w:p>
      <w:pPr>
        <w:spacing w:after="0" w:line="188" w:lineRule="exact"/>
        <w:rPr>
          <w:rFonts w:ascii="Times New Roman" w:cs="Times New Roman" w:eastAsia="Times New Roman" w:hAnsi="Times New Roman"/>
          <w:sz w:val="22"/>
          <w:szCs w:val="22"/>
          <w:color w:val="auto"/>
        </w:rPr>
      </w:pPr>
    </w:p>
    <w:p>
      <w:pPr>
        <w:ind w:firstLine="1304"/>
        <w:spacing w:after="0" w:line="248" w:lineRule="auto"/>
        <w:tabs>
          <w:tab w:leader="none" w:pos="176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Timing and Change of Elections</w:t>
      </w:r>
      <w:r>
        <w:rPr>
          <w:rFonts w:ascii="Times New Roman" w:cs="Times New Roman" w:eastAsia="Times New Roman" w:hAnsi="Times New Roman"/>
          <w:sz w:val="22"/>
          <w:szCs w:val="22"/>
          <w:color w:val="auto"/>
        </w:rPr>
        <w:t>. A Director may change any election as to the manner of distribution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file a new election choosing a lump sum or installment payments with respect to the payment of the Director’s entire Account, or with respect to fees deferred for specific years or with respect to the specific benefits available under Article VI, by executing an election (on a form prescribed by the Corporation) within the time periods described in this Section 5.1(d). Any election under this Section 5.1(d) shall specify a time on which commencement of distribution will begin and the number of installments to be paid, if any, under the options specified in Section 5.1(b). An election must be made prior to the Director’s termination of service as a director. No election will be considered valid to the extent the election would (i) result in a payment being made within six months of the date of the election or (ii) result in a payment in the same calendar year as the election; in the event an election fails to satisfy the provisions set forth in this sentence, the first payment under the election will be delayed until the first January 15 or July 15 that is both (i) at least six months after the date of the election and (ii) in a calendar year after the date of the election. In addition, to constitute a valid election, an election made under this Section 5.1(d) must be made (i) at least six months before the date the first payment would be due under the Director’s previous election and (ii) in a different calendar year than the date the first payment would be due under the Director’s previous election.</w:t>
      </w:r>
    </w:p>
    <w:p>
      <w:pPr>
        <w:spacing w:after="0" w:line="183" w:lineRule="exact"/>
        <w:rPr>
          <w:sz w:val="20"/>
          <w:szCs w:val="20"/>
          <w:color w:val="auto"/>
        </w:rPr>
      </w:pPr>
    </w:p>
    <w:p>
      <w:pPr>
        <w:ind w:right="420" w:firstLine="2025"/>
        <w:spacing w:after="0" w:line="271" w:lineRule="auto"/>
        <w:rPr>
          <w:sz w:val="20"/>
          <w:szCs w:val="20"/>
          <w:color w:val="auto"/>
        </w:rPr>
      </w:pPr>
      <w:r>
        <w:rPr>
          <w:rFonts w:ascii="Times New Roman" w:cs="Times New Roman" w:eastAsia="Times New Roman" w:hAnsi="Times New Roman"/>
          <w:sz w:val="22"/>
          <w:szCs w:val="22"/>
          <w:color w:val="auto"/>
        </w:rPr>
        <w:t>In the event an election fails to satisfy the terms of this Section 5.1(d), such election shall be void and payment shall commence under the Director’s previous valid election or, if none exists, shall be paid in a lump sum.</w:t>
      </w:r>
    </w:p>
    <w:p>
      <w:pPr>
        <w:spacing w:after="0" w:line="154" w:lineRule="exact"/>
        <w:rPr>
          <w:sz w:val="20"/>
          <w:szCs w:val="20"/>
          <w:color w:val="auto"/>
        </w:rPr>
      </w:pPr>
    </w:p>
    <w:p>
      <w:pPr>
        <w:ind w:right="160" w:firstLine="1304"/>
        <w:spacing w:after="0" w:line="287" w:lineRule="auto"/>
        <w:tabs>
          <w:tab w:leader="none" w:pos="175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Valuation of Distributions</w:t>
      </w:r>
      <w:r>
        <w:rPr>
          <w:rFonts w:ascii="Times New Roman" w:cs="Times New Roman" w:eastAsia="Times New Roman" w:hAnsi="Times New Roman"/>
          <w:sz w:val="22"/>
          <w:szCs w:val="22"/>
          <w:color w:val="auto"/>
        </w:rPr>
        <w:t>. Distributions shall be valued based on the closing price on the trading day that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four (4) business days prior to the date of the distribution.</w:t>
      </w:r>
    </w:p>
    <w:p>
      <w:pPr>
        <w:spacing w:after="0" w:line="1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i w:val="1"/>
          <w:iCs w:val="1"/>
          <w:color w:val="auto"/>
        </w:rPr>
        <w:t>Commencement of Payments</w:t>
      </w:r>
      <w:r>
        <w:rPr>
          <w:rFonts w:ascii="Times New Roman" w:cs="Times New Roman" w:eastAsia="Times New Roman" w:hAnsi="Times New Roman"/>
          <w:sz w:val="21"/>
          <w:szCs w:val="21"/>
          <w:color w:val="auto"/>
        </w:rPr>
        <w:t>. Subject to the provisions of Section 5.6 and except as provided in Sections 5.1(a) and</w:t>
      </w:r>
    </w:p>
    <w:p>
      <w:pPr>
        <w:spacing w:after="0" w:line="32" w:lineRule="exact"/>
        <w:rPr>
          <w:sz w:val="20"/>
          <w:szCs w:val="20"/>
          <w:color w:val="auto"/>
        </w:rPr>
      </w:pPr>
    </w:p>
    <w:p>
      <w:pPr>
        <w:ind w:right="120" w:firstLine="8"/>
        <w:spacing w:after="0" w:line="249" w:lineRule="auto"/>
        <w:tabs>
          <w:tab w:leader="none" w:pos="29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5.4, the payment of Deferred Compensation to a Director shall be made following a Director’s termination as a Director in accordance with his or her deferral elections regardless of whether the Director’s termination is due to resignation, retirement, disability, death, or otherwise. Installment payments shall continue to be made in January of each succeeding year until all installments have been paid.</w:t>
      </w:r>
    </w:p>
    <w:p>
      <w:pPr>
        <w:spacing w:after="0" w:line="178"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i w:val="1"/>
          <w:iCs w:val="1"/>
          <w:color w:val="auto"/>
        </w:rPr>
        <w:t>Death Benefits</w:t>
      </w:r>
      <w:r>
        <w:rPr>
          <w:rFonts w:ascii="Times New Roman" w:cs="Times New Roman" w:eastAsia="Times New Roman" w:hAnsi="Times New Roman"/>
          <w:sz w:val="22"/>
          <w:szCs w:val="22"/>
          <w:color w:val="auto"/>
        </w:rPr>
        <w:t>. Subject to the provisions of Section 5.6, in the event that a Director dies before payment of the Director’s Deferred Compensation has commenced or been completed, the balance of the Director’s Account shall be distributed to the Director’s Beneficiary commencing in the January following the date of the Director’s death in accordance</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with the manner of distribution (lump sum or annual installments as well as timing of commencement of distributions) elected by the Director for payments during the Director’s lifetime. However, upon good cause shown by a Beneficiary or personal representative of the Director, the Committee, in its sole discretion, may reject a Director’s installment election and instead cause the Director’s death benefits to be paid in a lump sum.</w:t>
      </w:r>
    </w:p>
    <w:p>
      <w:pPr>
        <w:spacing w:after="0" w:line="17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i w:val="1"/>
          <w:iCs w:val="1"/>
          <w:color w:val="auto"/>
        </w:rPr>
        <w:t>Emergency Withdrawals</w:t>
      </w:r>
      <w:r>
        <w:rPr>
          <w:rFonts w:ascii="Times New Roman" w:cs="Times New Roman" w:eastAsia="Times New Roman" w:hAnsi="Times New Roman"/>
          <w:sz w:val="22"/>
          <w:szCs w:val="22"/>
          <w:color w:val="auto"/>
        </w:rPr>
        <w:t>. In the event of an unforeseeable emergency prior to the commencement of distributions or after the commencement of installment payments, the Committee may approve a distribution to a Director (or Beneficiary after the death of a Director) of the part of the Director’s Account balance that is reasonably needed to satisfy the emergency need. An Emergency withdrawal will be approved only in a circumstance of severe financial hardship to the Director (or Beneficiary after the death of the Director) resulting from a sudden and unexpected illness or accident of the Director (or Beneficiary, as applicable) or of a dependent of the Director (or Beneficiary, as applicable), loss of property due to casualty, or other similar extraordinary or unforeseeable circumstance arising from events beyond the control of the Director (or Beneficiary, as applicable). The investment earnings credited to the Director’s Account shall be determined as if the withdrawal had been debited from the Director’s Account on the first day of the month in which the withdrawal occurs.</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i w:val="1"/>
          <w:iCs w:val="1"/>
          <w:color w:val="auto"/>
        </w:rPr>
        <w:t>Status of Certain Directors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80" w:firstLine="1304"/>
        <w:spacing w:after="0" w:line="256" w:lineRule="auto"/>
        <w:tabs>
          <w:tab w:leader="none" w:pos="175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5.2, a retired Director who continues to advise the Board of Directors under an Advisory Services Agreement shall be treated as an active Director for the period that he or she continues to serve under such agreement, if the Director so elects on or before April 25, 1996. An election under this Section 5.5 shall not otherwise alter the Director’s rights under this Plan. Once made, an election under this Section 5.5 shall be irrevocable.</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76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Article VI, a member of the Board of Directors who is not eligible for Director’s Fees but who is eligible for a Lump Sum Retirement Benefit shall be eligible to defer such compensation pursuant to this Plan.</w:t>
      </w:r>
    </w:p>
    <w:p>
      <w:pPr>
        <w:spacing w:after="0" w:line="154" w:lineRule="exact"/>
        <w:rPr>
          <w:sz w:val="20"/>
          <w:szCs w:val="20"/>
          <w:color w:val="auto"/>
        </w:rPr>
      </w:pPr>
    </w:p>
    <w:p>
      <w:pPr>
        <w:ind w:right="180" w:firstLine="648"/>
        <w:spacing w:after="0" w:line="265"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i w:val="1"/>
          <w:iCs w:val="1"/>
          <w:color w:val="auto"/>
        </w:rPr>
        <w:t>Corporation’s Right to Withhold</w:t>
      </w:r>
      <w:r>
        <w:rPr>
          <w:rFonts w:ascii="Times New Roman" w:cs="Times New Roman" w:eastAsia="Times New Roman" w:hAnsi="Times New Roman"/>
          <w:sz w:val="22"/>
          <w:szCs w:val="22"/>
          <w:color w:val="auto"/>
        </w:rPr>
        <w:t>. There shall be deducted from all payments under this Plan the amount of taxes, if any, required to be withheld under applicable federal or state tax laws. The Directors and their Beneficiaries will be liable for payment of any and all income or other taxes imposed on Deferred Compensation payable under this Plan.</w:t>
      </w:r>
    </w:p>
    <w:p>
      <w:pPr>
        <w:spacing w:after="0" w:line="16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i w:val="1"/>
          <w:iCs w:val="1"/>
          <w:color w:val="auto"/>
        </w:rPr>
        <w:t>Section 16 Limitations on Distributions</w:t>
      </w:r>
      <w:r>
        <w:rPr>
          <w:rFonts w:ascii="Times New Roman" w:cs="Times New Roman" w:eastAsia="Times New Roman" w:hAnsi="Times New Roman"/>
          <w:sz w:val="21"/>
          <w:szCs w:val="21"/>
          <w:color w:val="auto"/>
        </w:rPr>
        <w:t>. Notwithstanding anything contained herein to the contrary, no distribution of any portion of a Director’s Account credited to the Lockheed Martin Common Stock Investment Option shall be made unless</w:t>
      </w:r>
    </w:p>
    <w:p>
      <w:pPr>
        <w:spacing w:after="0" w:line="2" w:lineRule="exact"/>
        <w:rPr>
          <w:sz w:val="20"/>
          <w:szCs w:val="20"/>
          <w:color w:val="auto"/>
        </w:rPr>
      </w:pPr>
    </w:p>
    <w:p>
      <w:pPr>
        <w:ind w:right="400" w:firstLine="8"/>
        <w:spacing w:after="0" w:line="261" w:lineRule="auto"/>
        <w:tabs>
          <w:tab w:leader="none" w:pos="25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or Committee has approved the distribution or (ii) at least six months have passed from the date the Director’s service on the Board has terminated.</w:t>
      </w:r>
    </w:p>
    <w:p>
      <w:pPr>
        <w:spacing w:after="0" w:line="16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ARTICLE VI</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 RULES FOR LUMP SUM RETIREMENT BENEFIT AND LUMP SUM DEATH BENEFIT</w:t>
      </w:r>
    </w:p>
    <w:p>
      <w:pPr>
        <w:spacing w:after="0" w:line="22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i w:val="1"/>
          <w:iCs w:val="1"/>
          <w:color w:val="auto"/>
        </w:rPr>
        <w:t>Deferral of Lump Sum Benefits</w:t>
      </w:r>
      <w:r>
        <w:rPr>
          <w:rFonts w:ascii="Times New Roman" w:cs="Times New Roman" w:eastAsia="Times New Roman" w:hAnsi="Times New Roman"/>
          <w:sz w:val="22"/>
          <w:szCs w:val="22"/>
          <w:color w:val="auto"/>
        </w:rPr>
        <w:t>. The Lump Sum Retirement Benefit and the Lump Sum Death Benefit for each Director shall be credited to that Director’s Account as of May 1, 1999. Subject to the provisions of Section 3.1 above, the Director’s investment selections for deferred Director’s Fees shall be the investment selection for a Director’s Lump Sum Retirement Benefit and Lump Sum Death Benefit and as of the last day of each month, a Director’s Account shall be credited to reflect investment earnings (or loss) for the month, based on the Director’s investment selections under Section 4.2.</w:t>
      </w:r>
    </w:p>
    <w:p>
      <w:pPr>
        <w:spacing w:after="0" w:line="173" w:lineRule="exact"/>
        <w:rPr>
          <w:sz w:val="20"/>
          <w:szCs w:val="20"/>
          <w:color w:val="auto"/>
        </w:rPr>
      </w:pPr>
    </w:p>
    <w:p>
      <w:pPr>
        <w:ind w:right="200" w:firstLine="648"/>
        <w:spacing w:after="0" w:line="264"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i w:val="1"/>
          <w:iCs w:val="1"/>
          <w:color w:val="auto"/>
        </w:rPr>
        <w:t>Payment of Lump Sum Benefits</w:t>
      </w:r>
      <w:r>
        <w:rPr>
          <w:rFonts w:ascii="Times New Roman" w:cs="Times New Roman" w:eastAsia="Times New Roman" w:hAnsi="Times New Roman"/>
          <w:sz w:val="21"/>
          <w:szCs w:val="21"/>
          <w:color w:val="auto"/>
        </w:rPr>
        <w:t>. The Lump Sum Retirement Benefit and the Lump Sum Death Benefit shall be distributed as part of a Director’s Deferred Compensation in accordance with Article V. Subject to Section 5.7, a Director may also elect to receive the Lump Sum Death Benefit and the Lump Sum Retirement Benefit in a single lump sum payable on or about May 1, 2000, so long as prior to May 1, 1999, the Director makes an irrevocable written election to receive the lump sum payment. Any lump sum payment made pursuant to this Section 6.2 shall include amounts credited as investment earnings with respect to the Lump Sum Retirement Benefit for the period from May 1, 1999 until April 30, 2000. Notwithstanding anything herein to the contrary, no portion of a Director’s Lump Sum Retirement Benefit may be paid prior to May 1, 2000.</w:t>
      </w:r>
    </w:p>
    <w:p>
      <w:pPr>
        <w:spacing w:after="0" w:line="16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ADMINISTRATION, AMENDMENT AND TERMINATION</w:t>
      </w:r>
    </w:p>
    <w:p>
      <w:pPr>
        <w:spacing w:after="0" w:line="22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i w:val="1"/>
          <w:iCs w:val="1"/>
          <w:color w:val="auto"/>
        </w:rPr>
        <w:t>Administration by Committee</w:t>
      </w:r>
      <w:r>
        <w:rPr>
          <w:rFonts w:ascii="Times New Roman" w:cs="Times New Roman" w:eastAsia="Times New Roman" w:hAnsi="Times New Roman"/>
          <w:sz w:val="22"/>
          <w:szCs w:val="22"/>
          <w:color w:val="auto"/>
        </w:rPr>
        <w:t>. This Plan shall be administered by a Committee consisting of exclusively non-employee directors as that term is defined in Rule 16b-3 (“Rule 16b-3”) promulgated by the Securities and Exchange Commission under Section 16 of the Securities Exchange Act of 1934 (the “Exchange Act”). The Committee shall act by vote of a majority or by unanimous written consent of its members. The Committee’s resolution of any question regarding the interpretation of this Plan shall be subject to review by the Board, and the Board’s determination shall be final and binding on all parties.</w:t>
      </w:r>
    </w:p>
    <w:p>
      <w:pPr>
        <w:spacing w:after="0" w:line="188"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i w:val="1"/>
          <w:iCs w:val="1"/>
          <w:color w:val="auto"/>
        </w:rPr>
        <w:t>Amendment and Termination</w:t>
      </w:r>
      <w:r>
        <w:rPr>
          <w:rFonts w:ascii="Times New Roman" w:cs="Times New Roman" w:eastAsia="Times New Roman" w:hAnsi="Times New Roman"/>
          <w:sz w:val="22"/>
          <w:szCs w:val="22"/>
          <w:color w:val="auto"/>
        </w:rPr>
        <w:t>. This Plan may be amended, modified, or terminated by the Board at any time, except that no such action shall (without the consent of affected Directors or, if appropriate, their Beneficiaries or personal representatives) adversely affect the rights of Directors or Beneficiaries with respect to compensation earned and deferred under this Plan prior to the date of such amendment, modification, or termination.</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i w:val="1"/>
          <w:iCs w:val="1"/>
          <w:color w:val="auto"/>
        </w:rPr>
        <w:t>Limitation on Directors’ Rights</w:t>
      </w:r>
      <w:r>
        <w:rPr>
          <w:rFonts w:ascii="Times New Roman" w:cs="Times New Roman" w:eastAsia="Times New Roman" w:hAnsi="Times New Roman"/>
          <w:sz w:val="22"/>
          <w:szCs w:val="22"/>
          <w:color w:val="auto"/>
        </w:rPr>
        <w:t>. Participation in this Plan shall not give any Director the right to continue to serve as a member of the Board or any rights or interests other</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31" w:lineRule="exact"/>
        <w:rPr>
          <w:sz w:val="20"/>
          <w:szCs w:val="20"/>
          <w:color w:val="auto"/>
        </w:rPr>
      </w:pPr>
    </w:p>
    <w:p>
      <w:pPr>
        <w:jc w:val="both"/>
        <w:ind w:right="240"/>
        <w:spacing w:after="0" w:line="252" w:lineRule="auto"/>
        <w:rPr>
          <w:sz w:val="20"/>
          <w:szCs w:val="20"/>
          <w:color w:val="auto"/>
        </w:rPr>
      </w:pPr>
      <w:r>
        <w:rPr>
          <w:rFonts w:ascii="Times New Roman" w:cs="Times New Roman" w:eastAsia="Times New Roman" w:hAnsi="Times New Roman"/>
          <w:sz w:val="22"/>
          <w:szCs w:val="22"/>
          <w:color w:val="auto"/>
        </w:rPr>
        <w:t>than as herein provided. No Director shall have any right to any payment or benefit hereunder except to the extent provided in this Plan. This Plan shall create only a contractual obligation on the part of the Corporation as to such amounts and shall not be construed as creating a trust. The Plan, in and of itself, has no assets. Directors shall have only the rights of general unsecured creditors of the Corporation with respect to amounts credited to or payable from their Accounts.</w:t>
      </w:r>
    </w:p>
    <w:p>
      <w:pPr>
        <w:spacing w:after="0" w:line="17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i w:val="1"/>
          <w:iCs w:val="1"/>
          <w:color w:val="auto"/>
        </w:rPr>
        <w:t>Beneficiaries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80" w:firstLine="1304"/>
        <w:spacing w:after="0" w:line="251" w:lineRule="auto"/>
        <w:tabs>
          <w:tab w:leader="none" w:pos="175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Beneficiary Designation</w:t>
      </w:r>
      <w:r>
        <w:rPr>
          <w:rFonts w:ascii="Times New Roman" w:cs="Times New Roman" w:eastAsia="Times New Roman" w:hAnsi="Times New Roman"/>
          <w:sz w:val="22"/>
          <w:szCs w:val="22"/>
          <w:color w:val="auto"/>
        </w:rPr>
        <w:t>. Subject to applicable laws (including any applicable community property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probate laws), each Director may designate in writing the Beneficiary that the Director chooses to receive any payments that become payable after the Director’s death, as provided in Section 5.3. A Director’s Beneficiary designation shall be made on forms provided and in accordance with procedures established by the Corporation and may be changed by the Director at any time before the Director’s death.</w:t>
      </w:r>
    </w:p>
    <w:p>
      <w:pPr>
        <w:spacing w:after="0" w:line="189" w:lineRule="exact"/>
        <w:rPr>
          <w:rFonts w:ascii="Times New Roman" w:cs="Times New Roman" w:eastAsia="Times New Roman" w:hAnsi="Times New Roman"/>
          <w:sz w:val="22"/>
          <w:szCs w:val="22"/>
          <w:color w:val="auto"/>
        </w:rPr>
      </w:pPr>
    </w:p>
    <w:p>
      <w:pPr>
        <w:ind w:right="80" w:firstLine="1304"/>
        <w:spacing w:after="0" w:line="253" w:lineRule="auto"/>
        <w:tabs>
          <w:tab w:leader="none" w:pos="176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 of Beneficiary</w:t>
      </w:r>
      <w:r>
        <w:rPr>
          <w:rFonts w:ascii="Times New Roman" w:cs="Times New Roman" w:eastAsia="Times New Roman" w:hAnsi="Times New Roman"/>
          <w:sz w:val="22"/>
          <w:szCs w:val="22"/>
          <w:color w:val="auto"/>
        </w:rPr>
        <w:t>. A Director’s “Beneficiary” or “Beneficiaries” shall be the person or persons,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 trust or trusts, validly designated by the Director or, in the absence of a valid designation, entitled by will or the laws of descent and distribution to receive the amounts otherwise payable to the Director under this Plan in the event of the Director’s death.</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i w:val="1"/>
          <w:iCs w:val="1"/>
          <w:color w:val="auto"/>
        </w:rPr>
        <w:t>Rights Not Assignable; Obligations Binding Upon Successors</w:t>
      </w:r>
      <w:r>
        <w:rPr>
          <w:rFonts w:ascii="Times New Roman" w:cs="Times New Roman" w:eastAsia="Times New Roman" w:hAnsi="Times New Roman"/>
          <w:sz w:val="22"/>
          <w:szCs w:val="22"/>
          <w:color w:val="auto"/>
        </w:rPr>
        <w:t>. A Director’s rights under this Plan shall not be assignable or transferable and any purported transfer, assignment, pledge or other encumbrance or attachment of any payments or benefits under this Plan, or any interest thereon, other than pursuant to Section 7.2, shall not be permitted or recognized. Obligations of the Corporation under this Plan shall be binding upon successors of the Corporation.</w:t>
      </w:r>
    </w:p>
    <w:p>
      <w:pPr>
        <w:spacing w:after="0" w:line="16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i w:val="1"/>
          <w:iCs w:val="1"/>
          <w:color w:val="auto"/>
        </w:rPr>
        <w:t>Governing Law; Severability</w:t>
      </w:r>
      <w:r>
        <w:rPr>
          <w:rFonts w:ascii="Times New Roman" w:cs="Times New Roman" w:eastAsia="Times New Roman" w:hAnsi="Times New Roman"/>
          <w:sz w:val="22"/>
          <w:szCs w:val="22"/>
          <w:color w:val="auto"/>
        </w:rPr>
        <w:t>. The validity of this Plan or any of its provisions shall be construed, administered, and governed in all respects under and by the laws of the State of Maryland. If any provisions of this instrument shall be held by a court of competent jurisdiction to be invalid or unenforceable, the remaining provisions hereof shall continue to be fully effective.</w:t>
      </w:r>
    </w:p>
    <w:p>
      <w:pPr>
        <w:spacing w:after="0" w:line="16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i w:val="1"/>
          <w:iCs w:val="1"/>
          <w:color w:val="auto"/>
        </w:rPr>
        <w:t>Annual Statements</w:t>
      </w:r>
      <w:r>
        <w:rPr>
          <w:rFonts w:ascii="Times New Roman" w:cs="Times New Roman" w:eastAsia="Times New Roman" w:hAnsi="Times New Roman"/>
          <w:sz w:val="22"/>
          <w:szCs w:val="22"/>
          <w:color w:val="auto"/>
        </w:rPr>
        <w:t>. The Corporation shall prepare and send a statement to the Director (or to the Director’s Beneficiary after the Director’s death) showing the balance credited to the Director’s Account as of December 31 of each year for which an Account is maintained with respect to the Director.</w:t>
      </w:r>
    </w:p>
    <w:p>
      <w:pPr>
        <w:spacing w:after="0" w:line="166" w:lineRule="exact"/>
        <w:rPr>
          <w:sz w:val="20"/>
          <w:szCs w:val="20"/>
          <w:color w:val="auto"/>
        </w:rPr>
      </w:pPr>
    </w:p>
    <w:p>
      <w:pPr>
        <w:ind w:right="180" w:firstLine="648"/>
        <w:spacing w:after="0" w:line="287"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i w:val="1"/>
          <w:iCs w:val="1"/>
          <w:color w:val="auto"/>
        </w:rPr>
        <w:t>Headings Not Part of Plan</w:t>
      </w:r>
      <w:r>
        <w:rPr>
          <w:rFonts w:ascii="Times New Roman" w:cs="Times New Roman" w:eastAsia="Times New Roman" w:hAnsi="Times New Roman"/>
          <w:sz w:val="22"/>
          <w:szCs w:val="22"/>
          <w:color w:val="auto"/>
        </w:rPr>
        <w:t>. Headings and subheadings in this Plan are inserted for reference only and are not to be considered in the construction of this Plan.</w:t>
      </w:r>
    </w:p>
    <w:p>
      <w:pPr>
        <w:spacing w:after="0" w:line="137"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i w:val="1"/>
          <w:iCs w:val="1"/>
          <w:color w:val="auto"/>
        </w:rPr>
        <w:t>Consent to Plan Terms</w:t>
      </w:r>
      <w:r>
        <w:rPr>
          <w:rFonts w:ascii="Times New Roman" w:cs="Times New Roman" w:eastAsia="Times New Roman" w:hAnsi="Times New Roman"/>
          <w:sz w:val="22"/>
          <w:szCs w:val="22"/>
          <w:color w:val="auto"/>
        </w:rPr>
        <w:t>. By electing to participate in this Plan, a Director shall be deemed conclusively to have accepted and consented to all of the terms of this Plan and to all actions and decisions of the Corporation, Board, or Committee with regard to the Plan. Such</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3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terms and consent shall also apply to and be binding upon each Director’s Beneficiary or Beneficiaries, personal representatives, and other successors in interest.</w:t>
      </w:r>
    </w:p>
    <w:p>
      <w:pPr>
        <w:spacing w:after="0" w:line="15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 This Plan shall become effective on March 15, 1995.</w:t>
      </w:r>
    </w:p>
    <w:p>
      <w:pPr>
        <w:spacing w:after="0" w:line="2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i w:val="1"/>
          <w:iCs w:val="1"/>
          <w:color w:val="auto"/>
        </w:rPr>
        <w:t>Plan Construction</w:t>
      </w:r>
      <w:r>
        <w:rPr>
          <w:rFonts w:ascii="Times New Roman" w:cs="Times New Roman" w:eastAsia="Times New Roman" w:hAnsi="Times New Roman"/>
          <w:sz w:val="22"/>
          <w:szCs w:val="22"/>
          <w:color w:val="auto"/>
        </w:rPr>
        <w:t>. It is the intent of the Corporation that this Plan satisfy and be interpreted in a manner that satisfies the applicable requirements of Rule 16b-3 so that Directors will be entitled to the benefits of Rule 16b-3 or other exemptive rules under Section 16 of the Exchange Act and will not be subjected to avoidable liability thereunder. Any contrary interpretation shall be avoided.</w:t>
      </w:r>
    </w:p>
    <w:p>
      <w:pPr>
        <w:sectPr>
          <w:pgSz w:w="11900" w:h="16838" w:orient="portrait"/>
          <w:cols w:equalWidth="0" w:num="1">
            <w:col w:w="11120"/>
          </w:cols>
          <w:pgMar w:left="320" w:top="1440" w:right="459" w:bottom="1440" w:gutter="0" w:footer="0" w:header="0"/>
        </w:sectPr>
      </w:pPr>
    </w:p>
    <w:bookmarkStart w:id="122" w:name="page123"/>
    <w:bookmarkEnd w:id="122"/>
    <w:p>
      <w:pPr>
        <w:spacing w:after="0" w:line="4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39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LOCKHEED MARTIN CORPORATION</w:t>
      </w:r>
    </w:p>
    <w:p>
      <w:pPr>
        <w:spacing w:after="0" w:line="7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AMENDED AND RESTATED DIRECTORS EQUITY PLAN</w:t>
      </w:r>
    </w:p>
    <w:p>
      <w:pPr>
        <w:spacing w:after="0" w:line="26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2024 Amendment</w:t>
      </w:r>
    </w:p>
    <w:p>
      <w:pPr>
        <w:spacing w:after="0" w:line="3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Conflict of Interest Distribution Changes</w:t>
      </w:r>
    </w:p>
    <w:p>
      <w:pPr>
        <w:spacing w:after="0" w:line="223" w:lineRule="exact"/>
        <w:rPr>
          <w:sz w:val="20"/>
          <w:szCs w:val="20"/>
          <w:color w:val="auto"/>
        </w:rPr>
      </w:pPr>
    </w:p>
    <w:p>
      <w:pPr>
        <w:ind w:right="720" w:firstLine="648"/>
        <w:spacing w:after="0" w:line="257" w:lineRule="auto"/>
        <w:rPr>
          <w:sz w:val="20"/>
          <w:szCs w:val="20"/>
          <w:color w:val="auto"/>
        </w:rPr>
      </w:pPr>
      <w:r>
        <w:rPr>
          <w:rFonts w:ascii="Times New Roman" w:cs="Times New Roman" w:eastAsia="Times New Roman" w:hAnsi="Times New Roman"/>
          <w:sz w:val="22"/>
          <w:szCs w:val="22"/>
          <w:color w:val="auto"/>
        </w:rPr>
        <w:t>The Board of Directors of Lockheed Martin Corporation (“Corporation”) wishes to amend the Lockheed Martin Corporation Amended and Restated Directors Equity Plan (“Plan”) to permit distributions upon a conflict of interest. Accordingly, the Plan is amended as follows, effective as of October 1, 2024.</w:t>
      </w:r>
    </w:p>
    <w:p>
      <w:pPr>
        <w:spacing w:after="0" w:line="186"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4.4 of the Plan is amended and restated to add a new subsection (g) to read as follows:</w:t>
      </w:r>
    </w:p>
    <w:p>
      <w:pPr>
        <w:spacing w:after="0" w:line="219" w:lineRule="exact"/>
        <w:rPr>
          <w:rFonts w:ascii="Times New Roman" w:cs="Times New Roman" w:eastAsia="Times New Roman" w:hAnsi="Times New Roman"/>
          <w:sz w:val="22"/>
          <w:szCs w:val="22"/>
          <w:color w:val="auto"/>
        </w:rPr>
      </w:pPr>
    </w:p>
    <w:p>
      <w:pPr>
        <w:ind w:left="660" w:firstLine="644"/>
        <w:spacing w:after="0" w:line="247" w:lineRule="auto"/>
        <w:tabs>
          <w:tab w:leader="none" w:pos="195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 Upon Conflict of Interest</w:t>
      </w:r>
      <w:r>
        <w:rPr>
          <w:rFonts w:ascii="Times New Roman" w:cs="Times New Roman" w:eastAsia="Times New Roman" w:hAnsi="Times New Roman"/>
          <w:sz w:val="22"/>
          <w:szCs w:val="22"/>
          <w:color w:val="auto"/>
        </w:rPr>
        <w:t>. Notwithstanding the benefits distribution rules under this Section 4.4 and a Director’s corresponding distribution elections, if following a Director’s termination as a Director, the Director takes a position (or accepts a position) with a governmental entity, agency, or instrumentality and that employer has determined that the Director’s continued participation in the Plan may constitute a conflict of interest precluding the Director from continuing in their position (or from accepting an offered position) with that employer or subjecting the Director to penalty, sanction, or otherwise limiting the Director’s responsibilities for that employer, then, to the extent reasonably necessary, the vested portion of the Director’s Accounts shall be distributed to them in a lump sum as soon as practical (but no later than 90 days) following the later of (i) the date on which the Director commences employment with the government employer; or (ii) the date on which it is determined or indicated that the conflict of interest may exist; provided, however, that if a distribution in accordance with the provisions of this Section 4.4(g) from the Director’s Stock Unit Account would otherwise result in a nonexempt short-swing transaction under Section 16(b) of the Exchange Act, the date of distribution with respect to such Stock Unit Account to such Director shall be delayed until the earliest date upon which the Corporation reasonably anticipates that the distribution either would not result in a nonexempt short-swing transaction or would otherwise not result in liability under Section 16(b) of the Exchange Act. This Section 4.4(g) shall apply, however, only to the extent that the accelerated payment upon a conflict of interest determination conforms to Section 409A of the Code. Nothing in this Section 4.4(g) is intended to accelerate the vesting of the unvested portion of a Director’s Accounts.</w:t>
      </w:r>
    </w:p>
    <w:p>
      <w:pPr>
        <w:spacing w:after="0" w:line="184"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 * * *</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Plan has been amended pursuant to resolution of the Board of Directors on October 1, 2024 effective as stated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w:t>
      </w:r>
    </w:p>
    <w:p>
      <w:pPr>
        <w:sectPr>
          <w:pgSz w:w="11900" w:h="16838" w:orient="portrait"/>
          <w:cols w:equalWidth="0" w:num="1">
            <w:col w:w="11060"/>
          </w:cols>
          <w:pgMar w:left="320" w:top="1440" w:right="519" w:bottom="1440" w:gutter="0" w:footer="0" w:header="0"/>
        </w:sectPr>
      </w:pPr>
    </w:p>
    <w:bookmarkStart w:id="123" w:name="page124"/>
    <w:bookmarkEnd w:id="123"/>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LOCKHEED MARTIN CORPORATION</w:t>
      </w:r>
    </w:p>
    <w:p>
      <w:pPr>
        <w:spacing w:after="0" w:line="395" w:lineRule="exact"/>
        <w:rPr>
          <w:sz w:val="20"/>
          <w:szCs w:val="20"/>
          <w:color w:val="auto"/>
        </w:rPr>
      </w:pPr>
    </w:p>
    <w:p>
      <w:pPr>
        <w:ind w:left="546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Maryanne R. Lavan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19685</wp:posOffset>
            </wp:positionV>
            <wp:extent cx="23914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6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Maryanne R. Lavan</w:t>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1"/>
          <w:szCs w:val="21"/>
          <w:color w:val="auto"/>
        </w:rPr>
        <w:t>Senior Vice President, General Counsel</w:t>
      </w:r>
    </w:p>
    <w:p>
      <w:pPr>
        <w:ind w:left="622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Corporate Secretary</w:t>
      </w:r>
    </w:p>
    <w:p>
      <w:pPr>
        <w:spacing w:after="0" w:line="275" w:lineRule="exact"/>
        <w:rPr>
          <w:sz w:val="20"/>
          <w:szCs w:val="20"/>
          <w:color w:val="auto"/>
        </w:rPr>
      </w:pPr>
    </w:p>
    <w:p>
      <w:pPr>
        <w:ind w:left="5460"/>
        <w:spacing w:after="0"/>
        <w:tabs>
          <w:tab w:leader="none" w:pos="6200" w:val="left"/>
        </w:tabs>
        <w:rPr>
          <w:sz w:val="20"/>
          <w:szCs w:val="20"/>
          <w:color w:val="auto"/>
        </w:rPr>
      </w:pPr>
      <w:r>
        <w:rPr>
          <w:rFonts w:ascii="Times New Roman" w:cs="Times New Roman" w:eastAsia="Times New Roman" w:hAnsi="Times New Roman"/>
          <w:sz w:val="22"/>
          <w:szCs w:val="22"/>
          <w:color w:val="auto"/>
        </w:rPr>
        <w:t>Date:</w:t>
        <w:tab/>
        <w:t>October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19685</wp:posOffset>
            </wp:positionV>
            <wp:extent cx="23914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ectPr>
          <w:pgSz w:w="11900" w:h="16838" w:orient="portrait"/>
          <w:cols w:equalWidth="0" w:num="1">
            <w:col w:w="9640"/>
          </w:cols>
          <w:pgMar w:left="1440" w:top="1440" w:right="8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47" w:lineRule="exact"/>
        <w:rPr>
          <w:sz w:val="20"/>
          <w:szCs w:val="20"/>
          <w:color w:val="auto"/>
        </w:rPr>
      </w:pPr>
    </w:p>
    <w:p>
      <w:pPr>
        <w:jc w:val="center"/>
        <w:ind w:right="780"/>
        <w:spacing w:after="0" w:line="265" w:lineRule="auto"/>
        <w:rPr>
          <w:sz w:val="20"/>
          <w:szCs w:val="20"/>
          <w:color w:val="auto"/>
        </w:rPr>
      </w:pPr>
      <w:r>
        <w:rPr>
          <w:rFonts w:ascii="Times New Roman" w:cs="Times New Roman" w:eastAsia="Times New Roman" w:hAnsi="Times New Roman"/>
          <w:sz w:val="22"/>
          <w:szCs w:val="22"/>
          <w:b w:val="1"/>
          <w:bCs w:val="1"/>
          <w:color w:val="auto"/>
        </w:rPr>
        <w:t>LOCKHEED MARTIN CORPORATION DEFERRED MANAGEMENT INCENTIVE COMPENSATION PLAN (As Amended and Restated Generally Effective January 1, 2020)</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Clarifying Changes</w:t>
      </w:r>
    </w:p>
    <w:p>
      <w:pPr>
        <w:spacing w:after="0" w:line="223"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1"/>
          <w:szCs w:val="21"/>
          <w:color w:val="auto"/>
        </w:rPr>
        <w:t>Lockheed Martin Corporation wishes to revise the Lockheed Martin Corporation Deferred Management Incentive Compensation Plan (the “Plan”) to make certain clarifications. Accordingly, the Plan is amended as follows, effective as of January 1, 2026.</w:t>
      </w:r>
    </w:p>
    <w:p>
      <w:pPr>
        <w:spacing w:after="0" w:line="14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27 of Article II is amended and restated in its entirety, as follows:</w:t>
      </w:r>
    </w:p>
    <w:p>
      <w:pPr>
        <w:spacing w:after="0" w:line="219" w:lineRule="exact"/>
        <w:rPr>
          <w:rFonts w:ascii="Times New Roman" w:cs="Times New Roman" w:eastAsia="Times New Roman" w:hAnsi="Times New Roman"/>
          <w:sz w:val="22"/>
          <w:szCs w:val="22"/>
          <w:color w:val="auto"/>
        </w:rPr>
      </w:pPr>
    </w:p>
    <w:p>
      <w:pPr>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DATE -- As to any Participant, the January 15 or July 15 on which payment to the Participant is to be made or to begin in accordance with Article V. If such January 15 or July 15 falls on a weekend or a holiday, the Payment Date shall be the first business day thereafter.</w:t>
      </w:r>
    </w:p>
    <w:p>
      <w:pPr>
        <w:spacing w:after="0" w:line="17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sentence of Section 2 of Article III is amended and restated in its entirety, as follows:</w:t>
      </w:r>
    </w:p>
    <w:p>
      <w:pPr>
        <w:spacing w:after="0" w:line="219" w:lineRule="exact"/>
        <w:rPr>
          <w:rFonts w:ascii="Times New Roman" w:cs="Times New Roman" w:eastAsia="Times New Roman" w:hAnsi="Times New Roman"/>
          <w:sz w:val="22"/>
          <w:szCs w:val="22"/>
          <w:color w:val="auto"/>
        </w:rPr>
      </w:pPr>
    </w:p>
    <w:p>
      <w:pPr>
        <w:ind w:left="660"/>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deferral election under paragraph (c) or (d) of this Section 2, an Eligible Employee’s deferral election shall be effective only if the resulting amount is at least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2"/>
          <w:szCs w:val="22"/>
          <w:color w:val="auto"/>
        </w:rPr>
        <w:t>LOCKHEED MARTIN CORPORATION</w:t>
      </w:r>
    </w:p>
    <w:p>
      <w:pPr>
        <w:spacing w:after="0" w:line="200" w:lineRule="exact"/>
        <w:rPr>
          <w:sz w:val="20"/>
          <w:szCs w:val="20"/>
          <w:color w:val="auto"/>
        </w:rPr>
      </w:pPr>
    </w:p>
    <w:p>
      <w:pPr>
        <w:spacing w:after="0" w:line="217" w:lineRule="exact"/>
        <w:rPr>
          <w:sz w:val="20"/>
          <w:szCs w:val="20"/>
          <w:color w:val="auto"/>
        </w:rPr>
      </w:pPr>
    </w:p>
    <w:p>
      <w:pPr>
        <w:ind w:left="7220"/>
        <w:spacing w:after="0"/>
        <w:tabs>
          <w:tab w:leader="none" w:pos="7720" w:val="left"/>
        </w:tabs>
        <w:rPr>
          <w:sz w:val="20"/>
          <w:szCs w:val="20"/>
          <w:color w:val="auto"/>
        </w:rPr>
      </w:pPr>
      <w:r>
        <w:rPr>
          <w:rFonts w:ascii="Times New Roman" w:cs="Times New Roman" w:eastAsia="Times New Roman" w:hAnsi="Times New Roman"/>
          <w:sz w:val="43"/>
          <w:szCs w:val="43"/>
          <w:color w:val="auto"/>
          <w:vertAlign w:val="subscript"/>
        </w:rPr>
        <w:t>By:</w:t>
      </w:r>
      <w:r>
        <w:rPr>
          <w:sz w:val="20"/>
          <w:szCs w:val="20"/>
          <w:color w:val="auto"/>
        </w:rPr>
        <w:tab/>
      </w:r>
      <w:r>
        <w:rPr>
          <w:rFonts w:ascii="Times New Roman" w:cs="Times New Roman" w:eastAsia="Times New Roman" w:hAnsi="Times New Roman"/>
          <w:sz w:val="21"/>
          <w:szCs w:val="21"/>
          <w:color w:val="auto"/>
        </w:rPr>
        <w:t>/s/ Chris Wronsky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66675</wp:posOffset>
            </wp:positionV>
            <wp:extent cx="19634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36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22"/>
          <w:szCs w:val="22"/>
          <w:color w:val="auto"/>
        </w:rPr>
        <w:t>Chris Wronsky</w:t>
      </w:r>
    </w:p>
    <w:p>
      <w:pPr>
        <w:spacing w:after="0" w:line="7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22"/>
          <w:szCs w:val="22"/>
          <w:color w:val="auto"/>
        </w:rPr>
        <w:t>Senior Vice President,</w:t>
      </w:r>
    </w:p>
    <w:p>
      <w:pPr>
        <w:spacing w:after="0" w:line="7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341" w:lineRule="exact"/>
        <w:rPr>
          <w:sz w:val="20"/>
          <w:szCs w:val="20"/>
          <w:color w:val="auto"/>
        </w:rPr>
      </w:pPr>
    </w:p>
    <w:p>
      <w:pPr>
        <w:ind w:left="7060"/>
        <w:spacing w:after="0"/>
        <w:tabs>
          <w:tab w:leader="none" w:pos="7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December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36830</wp:posOffset>
            </wp:positionV>
            <wp:extent cx="19634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10.26</w:t>
      </w:r>
    </w:p>
    <w:p>
      <w:pPr>
        <w:spacing w:after="0" w:line="200" w:lineRule="exact"/>
        <w:rPr>
          <w:sz w:val="20"/>
          <w:szCs w:val="20"/>
          <w:color w:val="auto"/>
        </w:rPr>
      </w:pPr>
    </w:p>
    <w:p>
      <w:pPr>
        <w:spacing w:after="0" w:line="299" w:lineRule="exact"/>
        <w:rPr>
          <w:sz w:val="20"/>
          <w:szCs w:val="20"/>
          <w:color w:val="auto"/>
        </w:rPr>
      </w:pPr>
    </w:p>
    <w:p>
      <w:pPr>
        <w:jc w:val="center"/>
        <w:ind w:left="340" w:right="200"/>
        <w:spacing w:after="0" w:line="256" w:lineRule="auto"/>
        <w:rPr>
          <w:sz w:val="20"/>
          <w:szCs w:val="20"/>
          <w:color w:val="auto"/>
        </w:rPr>
      </w:pPr>
      <w:r>
        <w:rPr>
          <w:rFonts w:ascii="Arial" w:cs="Arial" w:eastAsia="Arial" w:hAnsi="Arial"/>
          <w:sz w:val="20"/>
          <w:szCs w:val="20"/>
          <w:b w:val="1"/>
          <w:bCs w:val="1"/>
          <w:color w:val="auto"/>
        </w:rPr>
        <w:t>AMENDMENT TO CERTAIN OUTSTANDING LONG-TERM INCENTIVE PERFORMANCE AND PERFORMANCE STOCK UNIT AWARD AGREEMENTS UNDER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LOCKHEED MARTIN CORPORATION 2020 INCENTIVE PERFORMANCE AWARD PLAN</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Management Development and Compensation Committee (the “Committee”) of the Board of Directors of Lockheed Martin Corporation (the “Corporation”), as administrator of the Lockheed Martin Corporation 2020 Incentive Performance Award Plan (the “Plan”), approved an amendment to the terms of certain outstanding, unvested long-term incentive performance award agreements and performance stock unit award agreements granted to employees under the Plan as set forth in the table below (each, an “Affected Agreement”), in order to neutralize the impacts of unplanned debt issuances. Effective as of December 12, 2025, each of the Affected Agreements shall be amended as provided for herein (this Amendment,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81280</wp:posOffset>
            </wp:positionV>
            <wp:extent cx="5434965" cy="6000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5434965" cy="600075"/>
                    </a:xfrm>
                    <a:prstGeom prst="rect">
                      <a:avLst/>
                    </a:prstGeom>
                    <a:noFill/>
                  </pic:spPr>
                </pic:pic>
              </a:graphicData>
            </a:graphic>
          </wp:anchor>
        </w:drawing>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Affected Agreements</w:t>
      </w:r>
    </w:p>
    <w:p>
      <w:pPr>
        <w:spacing w:after="0" w:line="8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Long-Term Incentive Performance Award Agreement for the 2023 – 2025 Performance Period</w:t>
      </w:r>
    </w:p>
    <w:p>
      <w:pPr>
        <w:spacing w:after="0" w:line="8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Performance Stock Unit Award Agreement for the 2023 – 2025 Performance Period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Capitalized terms used in this Amendment are defined in the Plan or the Affected Agreements, as applicable.</w:t>
      </w:r>
    </w:p>
    <w:p>
      <w:pPr>
        <w:spacing w:after="0" w:line="162"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Section 2.2(b) of each Affected Agreement shall be restated in its entirety to read as follows:</w:t>
      </w:r>
    </w:p>
    <w:p>
      <w:pPr>
        <w:spacing w:after="0" w:line="162" w:lineRule="exact"/>
        <w:rPr>
          <w:sz w:val="20"/>
          <w:szCs w:val="20"/>
          <w:color w:val="auto"/>
        </w:rPr>
      </w:pPr>
    </w:p>
    <w:p>
      <w:pPr>
        <w:jc w:val="both"/>
        <w:ind w:left="660"/>
        <w:spacing w:after="0" w:line="263" w:lineRule="auto"/>
        <w:rPr>
          <w:sz w:val="20"/>
          <w:szCs w:val="20"/>
          <w:color w:val="auto"/>
        </w:rPr>
      </w:pPr>
      <w:r>
        <w:rPr>
          <w:rFonts w:ascii="Arial" w:cs="Arial" w:eastAsia="Arial" w:hAnsi="Arial"/>
          <w:sz w:val="20"/>
          <w:szCs w:val="20"/>
          <w:color w:val="auto"/>
        </w:rPr>
        <w:t>“(b) For any year in which the Committee determines that ROIC or Free Cash Flow is impacted by (I) unusual or non-recurring events affecting the Corporation, any Subsidiary or the financial statements of the Corporation or any Subsidiary, by items of gain, loss or expense that is extraordinary or unusual in nature or infrequent in occurrence, including but not limited to (i) the timing or recognition of a loss on a program, (ii) events or circumstances impacting a program that are outside of the Corporation’s control, or (iii) changes in applicable law or regulations; or (II) unplanned debt issuances, the Committee will adjust the Long Range Plan, actual financial results, or both, as appropriate, for the current and future periods to neutralize such impacts.”</w:t>
      </w:r>
    </w:p>
    <w:p>
      <w:pPr>
        <w:spacing w:after="0" w:line="112"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all other respects, the Affected Agreements will remain unchanged.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This Amendment is subject to the terms of the applicable Plan, and the applicable Plan is hereby incorporated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2" w:right="339" w:bottom="1440" w:gutter="0" w:footer="0" w:header="0"/>
        </w:sectPr>
      </w:pPr>
    </w:p>
    <w:bookmarkStart w:id="126" w:name="page127"/>
    <w:bookmarkEnd w:id="126"/>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10.43</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LOCKHEED MARTIN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PLAN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December 1, 2016)</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7</w:t>
      </w:r>
    </w:p>
    <w:p>
      <w:pPr>
        <w:spacing w:after="0" w:line="264"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1"/>
          <w:szCs w:val="21"/>
          <w:color w:val="auto"/>
        </w:rPr>
        <w:t>Lockheed Martin Corporation wishes to revise the Lockheed Martin Corporation Executive Severance Plan (the “Plan”) to reflect updated Post-Employment Conduct Agreements, effective as of the date this amendment is executed, as indicated below.</w:t>
      </w:r>
    </w:p>
    <w:p>
      <w:pPr>
        <w:spacing w:after="0" w:line="53" w:lineRule="exact"/>
        <w:rPr>
          <w:sz w:val="20"/>
          <w:szCs w:val="20"/>
          <w:color w:val="auto"/>
        </w:rPr>
      </w:pPr>
    </w:p>
    <w:p>
      <w:pPr>
        <w:ind w:left="660" w:right="280" w:hanging="328"/>
        <w:spacing w:after="0" w:line="284" w:lineRule="auto"/>
        <w:tabs>
          <w:tab w:leader="none" w:pos="71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A.1 of the Plan, Post-Employment Conduct Agreement for Elected Officers, and Exhibit A.2 of the Plan, Post-Employment Conduct Agreement for Non-Officers, are updated in their entirety in the forms attached hereto.</w:t>
      </w: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LOCKHEED MARTIN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80"/>
        <w:spacing w:after="0"/>
        <w:tabs>
          <w:tab w:leader="none" w:pos="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Chris Wronsky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53975</wp:posOffset>
            </wp:positionV>
            <wp:extent cx="16884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Chris Wronsky</w:t>
      </w:r>
    </w:p>
    <w:p>
      <w:pPr>
        <w:spacing w:after="0" w:line="16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Senior Vice President,</w:t>
      </w:r>
    </w:p>
    <w:p>
      <w:pPr>
        <w:spacing w:after="0" w:line="16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Chief Human Resources</w:t>
      </w:r>
    </w:p>
    <w:p>
      <w:pPr>
        <w:spacing w:after="0" w:line="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71" w:lineRule="exact"/>
        <w:rPr>
          <w:sz w:val="20"/>
          <w:szCs w:val="20"/>
          <w:color w:val="auto"/>
        </w:rPr>
      </w:pPr>
    </w:p>
    <w:p>
      <w:pPr>
        <w:jc w:val="center"/>
        <w:ind w:right="380"/>
        <w:spacing w:after="0"/>
        <w:tabs>
          <w:tab w:leader="none" w:pos="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December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53975</wp:posOffset>
            </wp:positionV>
            <wp:extent cx="16884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21"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Exhibit A.1</w:t>
      </w:r>
    </w:p>
    <w:p>
      <w:pPr>
        <w:spacing w:after="0" w:line="20"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Post-Employment Conduct Agreement for Elected Officers</w:t>
      </w:r>
    </w:p>
    <w:p>
      <w:pPr>
        <w:spacing w:after="0" w:line="236"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[PECA will vary by state law and current legal and</w:t>
      </w:r>
    </w:p>
    <w:p>
      <w:pPr>
        <w:spacing w:after="0" w:line="20"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professional requirements at time of termination]</w:t>
      </w:r>
    </w:p>
    <w:p>
      <w:pPr>
        <w:spacing w:after="0" w:line="236"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[Applicable provisions may be incorporated into the</w:t>
      </w:r>
    </w:p>
    <w:p>
      <w:pPr>
        <w:spacing w:after="0" w:line="33"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release of claims agreement in lieu of a separate PECA]</w:t>
      </w:r>
    </w:p>
    <w:p>
      <w:pPr>
        <w:spacing w:after="0" w:line="200" w:lineRule="exact"/>
        <w:rPr>
          <w:sz w:val="20"/>
          <w:szCs w:val="20"/>
          <w:color w:val="auto"/>
        </w:rPr>
      </w:pP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This Post Employment Conduct Agreement dated ____________ (this “PECA”), together with the</w:t>
      </w:r>
    </w:p>
    <w:p>
      <w:pPr>
        <w:spacing w:after="0" w:line="31" w:lineRule="exact"/>
        <w:rPr>
          <w:sz w:val="20"/>
          <w:szCs w:val="20"/>
          <w:color w:val="auto"/>
        </w:rPr>
      </w:pPr>
    </w:p>
    <w:p>
      <w:pPr>
        <w:ind w:right="1000"/>
        <w:spacing w:after="0" w:line="253" w:lineRule="auto"/>
        <w:rPr>
          <w:sz w:val="20"/>
          <w:szCs w:val="20"/>
          <w:color w:val="auto"/>
        </w:rPr>
      </w:pPr>
      <w:r>
        <w:rPr>
          <w:rFonts w:ascii="Arial" w:cs="Arial" w:eastAsia="Arial" w:hAnsi="Arial"/>
          <w:sz w:val="20"/>
          <w:szCs w:val="20"/>
          <w:color w:val="auto"/>
        </w:rPr>
        <w:t>Release of Claims being entered into contemporaneous with this PECA, is entered into in consideration of the payment (“Severance Payment”) to be made to me under the Lockheed Martin Corporation Executive Severance Plan (“Severance Plan”). By signing below, I agree as follows:</w:t>
      </w:r>
    </w:p>
    <w:p>
      <w:pPr>
        <w:spacing w:after="0" w:line="186" w:lineRule="exact"/>
        <w:rPr>
          <w:sz w:val="20"/>
          <w:szCs w:val="20"/>
          <w:color w:val="auto"/>
        </w:rPr>
      </w:pPr>
    </w:p>
    <w:p>
      <w:pPr>
        <w:ind w:left="1420" w:hanging="456"/>
        <w:spacing w:after="0"/>
        <w:tabs>
          <w:tab w:leader="none" w:pos="142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Restrictions Following Termination of Employment</w:t>
      </w:r>
      <w:r>
        <w:rPr>
          <w:rFonts w:ascii="Arial" w:cs="Arial" w:eastAsia="Arial" w:hAnsi="Arial"/>
          <w:sz w:val="20"/>
          <w:szCs w:val="20"/>
          <w:color w:val="auto"/>
        </w:rPr>
        <w:t>.</w:t>
      </w:r>
    </w:p>
    <w:p>
      <w:pPr>
        <w:spacing w:after="0" w:line="243" w:lineRule="exact"/>
        <w:rPr>
          <w:sz w:val="20"/>
          <w:szCs w:val="20"/>
          <w:color w:val="auto"/>
        </w:rPr>
      </w:pPr>
    </w:p>
    <w:p>
      <w:pPr>
        <w:ind w:right="680" w:firstLine="964"/>
        <w:spacing w:after="0" w:line="254" w:lineRule="auto"/>
        <w:tabs>
          <w:tab w:leader="none" w:pos="1434"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Covenant Not To Compete</w:t>
      </w:r>
      <w:r>
        <w:rPr>
          <w:rFonts w:ascii="Arial" w:cs="Arial" w:eastAsia="Arial" w:hAnsi="Arial"/>
          <w:sz w:val="20"/>
          <w:szCs w:val="20"/>
          <w:color w:val="auto"/>
        </w:rPr>
        <w:t xml:space="preserve"> – Without the express written consent of the Chief Executive Officer of the Company (or the Committee with respect to the Chief Executive Officer of the Company), during the two-year period following my last day of employment with the Company (“Termination Date”), I will not, directly or indirectly, be employed by, provide services to, or advise a “Restricted Company” (as defined in Section 6 below), whether as an employee, advisor, director, officer, partner or consultant, or in any other position, function or role that, in any such case,</w:t>
      </w:r>
    </w:p>
    <w:p>
      <w:pPr>
        <w:spacing w:after="0" w:line="213" w:lineRule="exact"/>
        <w:rPr>
          <w:rFonts w:ascii="Arial" w:cs="Arial" w:eastAsia="Arial" w:hAnsi="Arial"/>
          <w:sz w:val="20"/>
          <w:szCs w:val="20"/>
          <w:color w:val="auto"/>
        </w:rPr>
      </w:pPr>
    </w:p>
    <w:p>
      <w:pPr>
        <w:ind w:left="1820" w:right="700" w:hanging="208"/>
        <w:spacing w:after="0" w:line="262" w:lineRule="auto"/>
        <w:tabs>
          <w:tab w:leader="none" w:pos="20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oversees, controls or affects the design, operation, research, manufacture, marketing, sale or distribution of “Competitive Products or Services” (as defined in Section 6 below) of or by the Restricted Company, or</w:t>
      </w:r>
    </w:p>
    <w:p>
      <w:pPr>
        <w:spacing w:after="0" w:line="205" w:lineRule="exact"/>
        <w:rPr>
          <w:rFonts w:ascii="Arial" w:cs="Arial" w:eastAsia="Arial" w:hAnsi="Arial"/>
          <w:sz w:val="20"/>
          <w:szCs w:val="20"/>
          <w:color w:val="auto"/>
        </w:rPr>
      </w:pPr>
    </w:p>
    <w:p>
      <w:pPr>
        <w:ind w:left="1820" w:right="820" w:hanging="208"/>
        <w:spacing w:after="0" w:line="251" w:lineRule="auto"/>
        <w:tabs>
          <w:tab w:leader="none" w:pos="2044" w:val="left"/>
        </w:tabs>
        <w:numPr>
          <w:ilvl w:val="1"/>
          <w:numId w:val="52"/>
        </w:numPr>
        <w:rPr>
          <w:rFonts w:ascii="Arial" w:cs="Arial" w:eastAsia="Arial" w:hAnsi="Arial"/>
          <w:sz w:val="20"/>
          <w:szCs w:val="20"/>
          <w:color w:val="auto"/>
        </w:rPr>
      </w:pPr>
      <w:r>
        <w:rPr>
          <w:rFonts w:ascii="Arial" w:cs="Arial" w:eastAsia="Arial" w:hAnsi="Arial"/>
          <w:sz w:val="20"/>
          <w:szCs w:val="20"/>
          <w:color w:val="auto"/>
        </w:rPr>
        <w:t>would involve a substantial risk that the “Confidential or Proprietary Information” (as defined in Section 1(c) below) of the Company (including but not limited to technical information or intellectual property, strategic plans, information relating to pricing offered to the Company by vendors or suppliers or to prices charged or pricing contemplated to be charged by the Company, information relating to employee performance, promotions or identification for promotion, or information relating to the Company’s cost base) could be used to the disadvantage of the Company.</w:t>
      </w:r>
    </w:p>
    <w:p>
      <w:pPr>
        <w:spacing w:after="0" w:line="220" w:lineRule="exact"/>
        <w:rPr>
          <w:sz w:val="20"/>
          <w:szCs w:val="20"/>
          <w:color w:val="auto"/>
        </w:rPr>
      </w:pPr>
    </w:p>
    <w:p>
      <w:pPr>
        <w:ind w:left="320" w:firstLine="648"/>
        <w:spacing w:after="0" w:line="254" w:lineRule="auto"/>
        <w:rPr>
          <w:sz w:val="20"/>
          <w:szCs w:val="20"/>
          <w:color w:val="auto"/>
        </w:rPr>
      </w:pPr>
      <w:r>
        <w:rPr>
          <w:rFonts w:ascii="Arial" w:cs="Arial" w:eastAsia="Arial" w:hAnsi="Arial"/>
          <w:sz w:val="20"/>
          <w:szCs w:val="20"/>
          <w:color w:val="auto"/>
        </w:rPr>
        <w:t>I acknowledge and agree that: (A) the enforcement of this PECA pursuant to Sections 1(a)(i) and (ii) is necessary to protect, among other interests, the Company’s trade secrets and other Confidential or Proprietary Information, as defined by Section 1(c), and goodwill in its customers and employees; and (B) Sections 1(a)(i) and (ii) shall not apply to me if I am covered under an applicable state statute or local ordinance or rule prohibiting non-competition restrictions, including on the basis of my income or profession. In addition, Sections 1(a)(i) and (ii) shall only apply while I am employed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860"/>
          </w:cols>
          <w:pgMar w:left="660" w:top="1440" w:right="379" w:bottom="1440" w:gutter="0" w:footer="0" w:header="0"/>
        </w:sectPr>
      </w:pPr>
    </w:p>
    <w:bookmarkStart w:id="128" w:name="page129"/>
    <w:bookmarkEnd w:id="128"/>
    <w:p>
      <w:pPr>
        <w:spacing w:after="0" w:line="123" w:lineRule="exact"/>
        <w:rPr>
          <w:sz w:val="20"/>
          <w:szCs w:val="20"/>
          <w:color w:val="auto"/>
        </w:rPr>
      </w:pPr>
    </w:p>
    <w:p>
      <w:pPr>
        <w:ind w:left="320" w:right="500"/>
        <w:spacing w:after="0" w:line="271" w:lineRule="auto"/>
        <w:rPr>
          <w:sz w:val="20"/>
          <w:szCs w:val="20"/>
          <w:color w:val="auto"/>
        </w:rPr>
      </w:pPr>
      <w:r>
        <w:rPr>
          <w:rFonts w:ascii="Arial" w:cs="Arial" w:eastAsia="Arial" w:hAnsi="Arial"/>
          <w:sz w:val="20"/>
          <w:szCs w:val="20"/>
          <w:color w:val="auto"/>
        </w:rPr>
        <w:t>or otherwise working for the Company if I primarily work or reside in California, Virginia (but only if I am a “low-wage employee” under Virginia Code Section 40.1-28.7:8), Minnesota, North Dakota, or Oklahoma.</w:t>
      </w:r>
    </w:p>
    <w:p>
      <w:pPr>
        <w:spacing w:after="0" w:line="169" w:lineRule="exact"/>
        <w:rPr>
          <w:sz w:val="20"/>
          <w:szCs w:val="20"/>
          <w:color w:val="auto"/>
        </w:rPr>
      </w:pPr>
    </w:p>
    <w:p>
      <w:pPr>
        <w:ind w:left="320" w:right="100" w:firstLine="648"/>
        <w:spacing w:after="0" w:line="254" w:lineRule="auto"/>
        <w:rPr>
          <w:sz w:val="20"/>
          <w:szCs w:val="20"/>
          <w:color w:val="auto"/>
        </w:rPr>
      </w:pPr>
      <w:r>
        <w:rPr>
          <w:rFonts w:ascii="Arial" w:cs="Arial" w:eastAsia="Arial" w:hAnsi="Arial"/>
          <w:sz w:val="20"/>
          <w:szCs w:val="20"/>
          <w:color w:val="auto"/>
        </w:rPr>
        <w:t>To the extent permitted by applicable law, including but not limited to any applicable rules governing attorney conduct (such as the ABA Model Rules of Professional Conduct and state versions thereof), Sections 1(a)(i) and (ii) and Section 1(b) relating to non-solicitation, shall apply to individuals who are employed by the Company in an attorney position and whose occupation during the two-year period following employment with the Company does not include practicing law.</w:t>
      </w:r>
    </w:p>
    <w:p>
      <w:pPr>
        <w:spacing w:after="0" w:line="187" w:lineRule="exact"/>
        <w:rPr>
          <w:sz w:val="20"/>
          <w:szCs w:val="20"/>
          <w:color w:val="auto"/>
        </w:rPr>
      </w:pPr>
    </w:p>
    <w:p>
      <w:pPr>
        <w:jc w:val="both"/>
        <w:ind w:left="320" w:right="240" w:firstLine="648"/>
        <w:spacing w:after="0" w:line="262" w:lineRule="auto"/>
        <w:rPr>
          <w:sz w:val="20"/>
          <w:szCs w:val="20"/>
          <w:color w:val="auto"/>
        </w:rPr>
      </w:pPr>
      <w:r>
        <w:rPr>
          <w:rFonts w:ascii="Arial" w:cs="Arial" w:eastAsia="Arial" w:hAnsi="Arial"/>
          <w:sz w:val="20"/>
          <w:szCs w:val="20"/>
          <w:color w:val="auto"/>
        </w:rPr>
        <w:t>In lieu of Section 1(a)(i) and (ii), as well as Section 1(b) relating to non-solicitation, the following Section 1(a)(iii) shall apply to individuals who are employed by the Company in an attorney position, and whose occupation during the two-year period following employment with the Company includes practicing law.</w:t>
      </w:r>
    </w:p>
    <w:p>
      <w:pPr>
        <w:spacing w:after="0" w:line="178" w:lineRule="exact"/>
        <w:rPr>
          <w:sz w:val="20"/>
          <w:szCs w:val="20"/>
          <w:color w:val="auto"/>
        </w:rPr>
      </w:pPr>
    </w:p>
    <w:p>
      <w:pPr>
        <w:jc w:val="both"/>
        <w:ind w:left="2260" w:hanging="648"/>
        <w:spacing w:after="0" w:line="254" w:lineRule="auto"/>
        <w:tabs>
          <w:tab w:leader="none" w:pos="2209" w:val="left"/>
        </w:tabs>
        <w:numPr>
          <w:ilvl w:val="0"/>
          <w:numId w:val="53"/>
        </w:numPr>
        <w:rPr>
          <w:rFonts w:ascii="Arial" w:cs="Arial" w:eastAsia="Arial" w:hAnsi="Arial"/>
          <w:sz w:val="20"/>
          <w:szCs w:val="20"/>
          <w:color w:val="auto"/>
        </w:rPr>
      </w:pPr>
      <w:r>
        <w:rPr>
          <w:rFonts w:ascii="Arial" w:cs="Arial" w:eastAsia="Arial" w:hAnsi="Arial"/>
          <w:sz w:val="20"/>
          <w:szCs w:val="20"/>
          <w:color w:val="auto"/>
        </w:rPr>
        <w:t>Post-employment Activity As a Lawyer – I acknowledge that as counsel to the Company, I owe ethical and fiduciary obligations to the Company and that at least some of these obligations will continue even after my Termination Date with the Company. I agree that after my Termination Date I will comply fully with all applicable ethical and fiduciary obligations that I owe to the Company. To the extent permitted by applicable law, including but not limited to any applicable rules governing attorney conduct, I agree that I will not:</w:t>
      </w:r>
    </w:p>
    <w:p>
      <w:pPr>
        <w:spacing w:after="0" w:line="200" w:lineRule="exact"/>
        <w:rPr>
          <w:rFonts w:ascii="Arial" w:cs="Arial" w:eastAsia="Arial" w:hAnsi="Arial"/>
          <w:sz w:val="20"/>
          <w:szCs w:val="20"/>
          <w:color w:val="auto"/>
        </w:rPr>
      </w:pPr>
    </w:p>
    <w:p>
      <w:pPr>
        <w:ind w:left="2580" w:hanging="320"/>
        <w:spacing w:after="0" w:line="286" w:lineRule="auto"/>
        <w:tabs>
          <w:tab w:leader="none" w:pos="2689" w:val="left"/>
        </w:tabs>
        <w:numPr>
          <w:ilvl w:val="1"/>
          <w:numId w:val="53"/>
        </w:numPr>
        <w:rPr>
          <w:rFonts w:ascii="Arial" w:cs="Arial" w:eastAsia="Arial" w:hAnsi="Arial"/>
          <w:sz w:val="20"/>
          <w:szCs w:val="20"/>
          <w:color w:val="auto"/>
        </w:rPr>
      </w:pPr>
      <w:r>
        <w:rPr>
          <w:rFonts w:ascii="Arial" w:cs="Arial" w:eastAsia="Arial" w:hAnsi="Arial"/>
          <w:sz w:val="20"/>
          <w:szCs w:val="20"/>
          <w:color w:val="auto"/>
        </w:rPr>
        <w:t>Represent any client in the same or a substantially related matter in which I represented the Company where the client’s interests are materially adverse to the Company; or</w:t>
      </w:r>
    </w:p>
    <w:p>
      <w:pPr>
        <w:spacing w:after="0" w:line="315" w:lineRule="exact"/>
        <w:rPr>
          <w:rFonts w:ascii="Arial" w:cs="Arial" w:eastAsia="Arial" w:hAnsi="Arial"/>
          <w:sz w:val="20"/>
          <w:szCs w:val="20"/>
          <w:color w:val="auto"/>
        </w:rPr>
      </w:pPr>
    </w:p>
    <w:p>
      <w:pPr>
        <w:jc w:val="both"/>
        <w:ind w:left="2580" w:hanging="320"/>
        <w:spacing w:after="0" w:line="262" w:lineRule="auto"/>
        <w:tabs>
          <w:tab w:leader="none" w:pos="2691" w:val="left"/>
        </w:tabs>
        <w:numPr>
          <w:ilvl w:val="1"/>
          <w:numId w:val="53"/>
        </w:numPr>
        <w:rPr>
          <w:rFonts w:ascii="Arial" w:cs="Arial" w:eastAsia="Arial" w:hAnsi="Arial"/>
          <w:sz w:val="20"/>
          <w:szCs w:val="20"/>
          <w:color w:val="auto"/>
        </w:rPr>
      </w:pPr>
      <w:r>
        <w:rPr>
          <w:rFonts w:ascii="Arial" w:cs="Arial" w:eastAsia="Arial" w:hAnsi="Arial"/>
          <w:sz w:val="20"/>
          <w:szCs w:val="20"/>
          <w:color w:val="auto"/>
        </w:rPr>
        <w:t>Disclose confidential information relating to my representation of the Company, including the disclosure of information that is to the disadvantage of the Company, except for information that is or becomes generally known.</w:t>
      </w:r>
    </w:p>
    <w:p>
      <w:pPr>
        <w:spacing w:after="0" w:line="340" w:lineRule="exact"/>
        <w:rPr>
          <w:sz w:val="20"/>
          <w:szCs w:val="20"/>
          <w:color w:val="auto"/>
        </w:rPr>
      </w:pPr>
    </w:p>
    <w:p>
      <w:pPr>
        <w:ind w:left="320" w:right="720" w:firstLine="216"/>
        <w:spacing w:after="0" w:line="269" w:lineRule="auto"/>
        <w:rPr>
          <w:sz w:val="20"/>
          <w:szCs w:val="20"/>
          <w:color w:val="auto"/>
        </w:rPr>
      </w:pPr>
      <w:r>
        <w:rPr>
          <w:rFonts w:ascii="Arial" w:cs="Arial" w:eastAsia="Arial" w:hAnsi="Arial"/>
          <w:sz w:val="20"/>
          <w:szCs w:val="20"/>
          <w:color w:val="auto"/>
        </w:rPr>
        <w:t>The Company’s Senior Vice President, General Counsel, and Corporate Secretary or the General Tax Counsel, as applicable, will determine in their discretion whether an individual is employed by the Company in an attorney position.</w:t>
      </w:r>
    </w:p>
    <w:p>
      <w:pPr>
        <w:spacing w:after="0" w:line="185" w:lineRule="exact"/>
        <w:rPr>
          <w:sz w:val="20"/>
          <w:szCs w:val="20"/>
          <w:color w:val="auto"/>
        </w:rPr>
      </w:pPr>
    </w:p>
    <w:p>
      <w:pPr>
        <w:ind w:right="800" w:firstLine="964"/>
        <w:spacing w:after="0" w:line="254" w:lineRule="auto"/>
        <w:tabs>
          <w:tab w:leader="none" w:pos="1434"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Non-Solicit</w:t>
      </w:r>
      <w:r>
        <w:rPr>
          <w:rFonts w:ascii="Arial" w:cs="Arial" w:eastAsia="Arial" w:hAnsi="Arial"/>
          <w:sz w:val="20"/>
          <w:szCs w:val="20"/>
          <w:color w:val="auto"/>
        </w:rPr>
        <w:t xml:space="preserve"> – Without the express written consent of the Chief Executive Officer of the Company (or the Committee with respect to the Chief Executive Officer of the Company), during the two-year period following the Termination Date, I will not (i) cause or attempt to cause, directly or indirectly, the complete or partial loss of any contract in effect before the Termination Date between the Company and any customer, supplier, distributor or manufacturer of or to the Company with which I was responsible, in whole or in part, for soliciting, negotiating, implementing, managing, or overseeing or (ii) induce or attempt to induce, directly 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0"/>
          </w:cols>
          <w:pgMar w:left="660" w:top="1440" w:right="339" w:bottom="1440" w:gutter="0" w:footer="0" w:header="0"/>
        </w:sectPr>
      </w:pPr>
    </w:p>
    <w:bookmarkStart w:id="129" w:name="page130"/>
    <w:bookmarkEnd w:id="129"/>
    <w:p>
      <w:pPr>
        <w:spacing w:after="0" w:line="123" w:lineRule="exact"/>
        <w:rPr>
          <w:sz w:val="20"/>
          <w:szCs w:val="20"/>
          <w:color w:val="auto"/>
        </w:rPr>
      </w:pPr>
    </w:p>
    <w:p>
      <w:pPr>
        <w:jc w:val="both"/>
        <w:ind w:right="80"/>
        <w:spacing w:after="0" w:line="262" w:lineRule="auto"/>
        <w:rPr>
          <w:sz w:val="20"/>
          <w:szCs w:val="20"/>
          <w:color w:val="auto"/>
        </w:rPr>
      </w:pPr>
      <w:r>
        <w:rPr>
          <w:rFonts w:ascii="Arial" w:cs="Arial" w:eastAsia="Arial" w:hAnsi="Arial"/>
          <w:sz w:val="20"/>
          <w:szCs w:val="20"/>
          <w:color w:val="auto"/>
        </w:rPr>
        <w:t>indirectly, any person who is an employee of the Company with whom I worked or interacted within two years prior to the Termination Date to cease employment with the Company in order to perform work or services for any entity other than the Company.</w:t>
      </w:r>
    </w:p>
    <w:p>
      <w:pPr>
        <w:spacing w:after="0" w:line="192" w:lineRule="exact"/>
        <w:rPr>
          <w:sz w:val="20"/>
          <w:szCs w:val="20"/>
          <w:color w:val="auto"/>
        </w:rPr>
      </w:pPr>
    </w:p>
    <w:p>
      <w:pPr>
        <w:ind w:left="80" w:right="100" w:firstLine="891"/>
        <w:spacing w:after="0" w:line="254" w:lineRule="auto"/>
        <w:rPr>
          <w:sz w:val="20"/>
          <w:szCs w:val="20"/>
          <w:color w:val="auto"/>
        </w:rPr>
      </w:pPr>
      <w:r>
        <w:rPr>
          <w:rFonts w:ascii="Arial" w:cs="Arial" w:eastAsia="Arial" w:hAnsi="Arial"/>
          <w:sz w:val="20"/>
          <w:szCs w:val="20"/>
          <w:color w:val="auto"/>
        </w:rPr>
        <w:t>I acknowledge and agree that: (A) the enforcement of this PECA pursuant to Section 1(b)(i) is necessary to protect, among other interests, the Company’s trade secrets and other Confidential or Proprietary Information, as defined by Section 1(c), and goodwill in its customers and employees; and (B) Section 1(b)(i) shall not apply to me if I am a “low-wage employee” under Virginia Code Section 40.1-28.7:8 or am covered under an applicable state statute or local ordinance or rule prohibiting non-solicitation restrictions, including on the basis of my income or profession. In addition, if I primarily reside or work in California, Section 1(b) shall apply only while I am employed by or otherwise working for the Company.</w:t>
      </w:r>
    </w:p>
    <w:p>
      <w:pPr>
        <w:spacing w:after="0" w:line="213" w:lineRule="exact"/>
        <w:rPr>
          <w:sz w:val="20"/>
          <w:szCs w:val="20"/>
          <w:color w:val="auto"/>
        </w:rPr>
      </w:pPr>
    </w:p>
    <w:p>
      <w:pPr>
        <w:ind w:right="100" w:firstLine="964"/>
        <w:spacing w:after="0" w:line="248" w:lineRule="auto"/>
        <w:tabs>
          <w:tab w:leader="none" w:pos="1423"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Protection of Proprietary Information</w:t>
      </w:r>
      <w:r>
        <w:rPr>
          <w:rFonts w:ascii="Arial" w:cs="Arial" w:eastAsia="Arial" w:hAnsi="Arial"/>
          <w:sz w:val="20"/>
          <w:szCs w:val="20"/>
          <w:color w:val="auto"/>
        </w:rPr>
        <w:t xml:space="preserve"> – Except to the extent required by law, following my Termination Date, I will have a continuing obligation to comply with the terms of any non-disclosure or similar agreements that I signed while employed by the Company committing to hold confidential the “Confidential or Proprietary Information” (as defined below) of the Company or any of its affiliates, subsidiaries, related companies, joint ventures, partnerships, customers, suppliers, partners, contractors or agents, in each case in accordance with the terms of such agreements. I will not use or disclose or allow the use or disclosure by others to any person or entity of Confidential or Proprietary Information of the Company or others to which I had access or that I was responsible for creating or overseeing during my employment with the Company. In the event I become legally compelled (by deposition, interrogatory, request for documents, subpoena, civil investigative demand or otherwise) to disclose any proprietary or confidential information, I will immediately notify the Company’s Senior Vice President, General Counsel and Corporate Secretary as to the existence of the obligation and will cooperate with any reasonable request by the Company for assistance in seeking to protect the information. All materials to which I have had access, or which were furnished or otherwise made available to me in connection with my employment with the Company shall be and remain the property of the Company. For purposes of this PECA, “Confidential or Proprietary Information” means trade secrets, as defined by the federal Defend Trade Secrets Act of 2016 and/or applicable state trade secret law, and Sensitive Information within the meaning of CRX-015 (a copy of which has been made available to me), including but not limited to information that a person or entity desires to protect from unauthorized disclosure to third parties that can provide the person or entity with a business, technological, or economic advantage over its competitors, or which, if known or used by third parties or if used by the person’s or entity's employees or agents in an unauthorized manner, might be detrimental to the person’s or entity's interests. Confidential or Proprietary Information may include, but is not limited to:</w:t>
      </w:r>
    </w:p>
    <w:p>
      <w:pPr>
        <w:spacing w:after="0" w:line="233" w:lineRule="exact"/>
        <w:rPr>
          <w:rFonts w:ascii="Arial" w:cs="Arial" w:eastAsia="Arial" w:hAnsi="Arial"/>
          <w:sz w:val="20"/>
          <w:szCs w:val="20"/>
          <w:color w:val="auto"/>
        </w:rPr>
      </w:pPr>
    </w:p>
    <w:p>
      <w:pPr>
        <w:jc w:val="both"/>
        <w:ind w:left="640" w:hanging="324"/>
        <w:spacing w:after="0" w:line="262" w:lineRule="auto"/>
        <w:tabs>
          <w:tab w:leader="none" w:pos="712" w:val="left"/>
        </w:tabs>
        <w:numPr>
          <w:ilvl w:val="0"/>
          <w:numId w:val="56"/>
        </w:numPr>
        <w:rPr>
          <w:rFonts w:ascii="Arial" w:cs="Arial" w:eastAsia="Arial" w:hAnsi="Arial"/>
          <w:sz w:val="20"/>
          <w:szCs w:val="20"/>
          <w:color w:val="auto"/>
        </w:rPr>
      </w:pPr>
      <w:r>
        <w:rPr>
          <w:rFonts w:ascii="Arial" w:cs="Arial" w:eastAsia="Arial" w:hAnsi="Arial"/>
          <w:sz w:val="20"/>
          <w:szCs w:val="20"/>
          <w:color w:val="auto"/>
        </w:rPr>
        <w:t>existing and contemplated business, marketing and financial business information such as business plans and methods, marketing information, cost estimates, forecasts, financial data, cost or pricing data, bid and proposal information, customer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340"/>
          </w:cols>
          <w:pgMar w:left="660" w:top="1440" w:right="899" w:bottom="1440" w:gutter="0" w:footer="0" w:header="0"/>
        </w:sectPr>
      </w:pPr>
    </w:p>
    <w:bookmarkStart w:id="130" w:name="page131"/>
    <w:bookmarkEnd w:id="130"/>
    <w:p>
      <w:pPr>
        <w:spacing w:after="0" w:line="123" w:lineRule="exact"/>
        <w:rPr>
          <w:sz w:val="20"/>
          <w:szCs w:val="20"/>
          <w:color w:val="auto"/>
        </w:rPr>
      </w:pPr>
    </w:p>
    <w:p>
      <w:pPr>
        <w:ind w:left="640" w:right="420"/>
        <w:spacing w:after="0" w:line="271" w:lineRule="auto"/>
        <w:rPr>
          <w:sz w:val="20"/>
          <w:szCs w:val="20"/>
          <w:color w:val="auto"/>
        </w:rPr>
      </w:pPr>
      <w:r>
        <w:rPr>
          <w:rFonts w:ascii="Arial" w:cs="Arial" w:eastAsia="Arial" w:hAnsi="Arial"/>
          <w:sz w:val="20"/>
          <w:szCs w:val="20"/>
          <w:color w:val="auto"/>
        </w:rPr>
        <w:t>identification, sources of supply, contemplated product lines, proposed business alliances, and information about customers and competitors,</w:t>
      </w:r>
    </w:p>
    <w:p>
      <w:pPr>
        <w:spacing w:after="0" w:line="196" w:lineRule="exact"/>
        <w:rPr>
          <w:sz w:val="20"/>
          <w:szCs w:val="20"/>
          <w:color w:val="auto"/>
        </w:rPr>
      </w:pPr>
    </w:p>
    <w:p>
      <w:pPr>
        <w:ind w:left="640" w:hanging="324"/>
        <w:spacing w:after="0" w:line="277" w:lineRule="auto"/>
        <w:tabs>
          <w:tab w:leader="none" w:pos="756"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existing and contemplated technical information and documentation pertaining to technology, know how, equipment, machines, devices and systems, computer hardware and software, compositions, formulas, products, processes, methods, designs, specifications, mask works, testing or evaluation procedures, manufacturing processes, production techniques, research and development activities, inventions, discoveries, and improvements, and</w:t>
      </w:r>
    </w:p>
    <w:p>
      <w:pPr>
        <w:spacing w:after="0" w:line="179" w:lineRule="exact"/>
        <w:rPr>
          <w:rFonts w:ascii="Arial" w:cs="Arial" w:eastAsia="Arial" w:hAnsi="Arial"/>
          <w:sz w:val="19"/>
          <w:szCs w:val="19"/>
          <w:color w:val="auto"/>
        </w:rPr>
      </w:pPr>
    </w:p>
    <w:p>
      <w:pPr>
        <w:ind w:left="800" w:hanging="484"/>
        <w:spacing w:after="0"/>
        <w:tabs>
          <w:tab w:leader="none" w:pos="8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for supervisory employees only, human resources and personnel information.</w:t>
      </w:r>
    </w:p>
    <w:p>
      <w:pPr>
        <w:spacing w:after="0" w:line="256" w:lineRule="exact"/>
        <w:rPr>
          <w:sz w:val="20"/>
          <w:szCs w:val="20"/>
          <w:color w:val="auto"/>
        </w:rPr>
      </w:pPr>
    </w:p>
    <w:p>
      <w:pPr>
        <w:ind w:right="960" w:firstLine="964"/>
        <w:spacing w:after="0" w:line="259" w:lineRule="auto"/>
        <w:tabs>
          <w:tab w:leader="none" w:pos="143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 disparagement</w:t>
      </w:r>
      <w:r>
        <w:rPr>
          <w:rFonts w:ascii="Arial" w:cs="Arial" w:eastAsia="Arial" w:hAnsi="Arial"/>
          <w:sz w:val="20"/>
          <w:szCs w:val="20"/>
          <w:color w:val="auto"/>
        </w:rPr>
        <w:t xml:space="preserve"> – Following the Termination Date, for supervisory or management employees only, I will not make any statements, whether verbal or written, that disparage or reasonably may be interpreted to disparage the Company or its directors, officers, employees, technology, products or services with respect to any matter whatsoever.</w:t>
      </w:r>
    </w:p>
    <w:p>
      <w:pPr>
        <w:spacing w:after="0" w:line="195" w:lineRule="exact"/>
        <w:rPr>
          <w:rFonts w:ascii="Arial" w:cs="Arial" w:eastAsia="Arial" w:hAnsi="Arial"/>
          <w:sz w:val="20"/>
          <w:szCs w:val="20"/>
          <w:color w:val="auto"/>
        </w:rPr>
      </w:pPr>
    </w:p>
    <w:p>
      <w:pPr>
        <w:ind w:right="860" w:firstLine="964"/>
        <w:spacing w:after="0" w:line="254" w:lineRule="auto"/>
        <w:tabs>
          <w:tab w:leader="none" w:pos="143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Cooperation in Litigation and Investigations</w:t>
      </w:r>
      <w:r>
        <w:rPr>
          <w:rFonts w:ascii="Arial" w:cs="Arial" w:eastAsia="Arial" w:hAnsi="Arial"/>
          <w:sz w:val="20"/>
          <w:szCs w:val="20"/>
          <w:color w:val="auto"/>
        </w:rPr>
        <w:t xml:space="preserve"> - Following the Termination Date, I will, to the extent reasonably requested, cooperate with the Company in any pending or future litigation (including alternative dispute resolution proceedings) or investigations in which the Company or any of its subsidiaries or affiliates is a party or is required or requested to provide testimony and regarding which, as a result of my employment with the Company, I reasonably could be expected to have knowledge or information relevant to the litigation or investigation. Notwithstanding any other provision of this PECA, nothing in this PECA shall affect my obligation to cooperate with any governmental inquiry or investigation or to give truthful testimony in court.</w:t>
      </w:r>
    </w:p>
    <w:p>
      <w:pPr>
        <w:spacing w:after="0" w:line="172" w:lineRule="exact"/>
        <w:rPr>
          <w:rFonts w:ascii="Arial" w:cs="Arial" w:eastAsia="Arial" w:hAnsi="Arial"/>
          <w:sz w:val="20"/>
          <w:szCs w:val="20"/>
          <w:color w:val="auto"/>
        </w:rPr>
      </w:pPr>
    </w:p>
    <w:p>
      <w:pPr>
        <w:ind w:right="640" w:firstLine="964"/>
        <w:spacing w:after="0" w:line="259" w:lineRule="auto"/>
        <w:tabs>
          <w:tab w:leader="none" w:pos="1378"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Communications with Regulatory Authorities</w:t>
      </w:r>
      <w:r>
        <w:rPr>
          <w:rFonts w:ascii="Arial" w:cs="Arial" w:eastAsia="Arial" w:hAnsi="Arial"/>
          <w:sz w:val="20"/>
          <w:szCs w:val="20"/>
          <w:color w:val="auto"/>
        </w:rPr>
        <w:t xml:space="preserve"> – Nothing in this PECA prohibits or restricts me (or my attorney) from initiating communications directly with, responding to an inquiry from, or providing testimony before the Securities and Exchange Commission, Equal Employment Opportunity Commission, or any other federal or state regulatory authority.</w:t>
      </w:r>
    </w:p>
    <w:p>
      <w:pPr>
        <w:spacing w:after="0" w:line="181" w:lineRule="exact"/>
        <w:rPr>
          <w:rFonts w:ascii="Arial" w:cs="Arial" w:eastAsia="Arial" w:hAnsi="Arial"/>
          <w:sz w:val="20"/>
          <w:szCs w:val="20"/>
          <w:color w:val="auto"/>
        </w:rPr>
      </w:pPr>
    </w:p>
    <w:p>
      <w:pPr>
        <w:ind w:right="1500" w:firstLine="964"/>
        <w:spacing w:after="0" w:line="271" w:lineRule="auto"/>
        <w:tabs>
          <w:tab w:leader="none" w:pos="143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Notices (including under the Defend Trade Secrets Act and National Labor Relations Act)</w:t>
      </w:r>
      <w:r>
        <w:rPr>
          <w:rFonts w:ascii="Arial" w:cs="Arial" w:eastAsia="Arial" w:hAnsi="Arial"/>
          <w:sz w:val="20"/>
          <w:szCs w:val="20"/>
          <w:color w:val="auto"/>
        </w:rPr>
        <w:t xml:space="preserve"> – Notwithstanding anything in this PECA to the contrary:</w:t>
      </w:r>
    </w:p>
    <w:p>
      <w:pPr>
        <w:spacing w:after="0" w:line="182" w:lineRule="exact"/>
        <w:rPr>
          <w:rFonts w:ascii="Arial" w:cs="Arial" w:eastAsia="Arial" w:hAnsi="Arial"/>
          <w:sz w:val="20"/>
          <w:szCs w:val="20"/>
          <w:color w:val="auto"/>
        </w:rPr>
      </w:pPr>
    </w:p>
    <w:p>
      <w:pPr>
        <w:ind w:left="1940" w:right="280" w:hanging="328"/>
        <w:spacing w:after="0" w:line="265" w:lineRule="auto"/>
        <w:tabs>
          <w:tab w:leader="none" w:pos="2012" w:val="left"/>
        </w:tabs>
        <w:numPr>
          <w:ilvl w:val="1"/>
          <w:numId w:val="58"/>
        </w:numPr>
        <w:rPr>
          <w:rFonts w:ascii="Arial" w:cs="Arial" w:eastAsia="Arial" w:hAnsi="Arial"/>
          <w:sz w:val="20"/>
          <w:szCs w:val="20"/>
          <w:color w:val="auto"/>
        </w:rPr>
      </w:pPr>
      <w:r>
        <w:rPr>
          <w:rFonts w:ascii="Arial" w:cs="Arial" w:eastAsia="Arial" w:hAnsi="Arial"/>
          <w:sz w:val="20"/>
          <w:szCs w:val="20"/>
          <w:color w:val="auto"/>
        </w:rPr>
        <w:t>I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w:t>
      </w:r>
    </w:p>
    <w:p>
      <w:pPr>
        <w:spacing w:after="0" w:line="93" w:lineRule="exact"/>
        <w:rPr>
          <w:rFonts w:ascii="Arial" w:cs="Arial" w:eastAsia="Arial" w:hAnsi="Arial"/>
          <w:sz w:val="20"/>
          <w:szCs w:val="20"/>
          <w:color w:val="auto"/>
        </w:rPr>
      </w:pPr>
    </w:p>
    <w:p>
      <w:pPr>
        <w:ind w:left="2060" w:hanging="448"/>
        <w:spacing w:after="0"/>
        <w:tabs>
          <w:tab w:leader="none" w:pos="2060" w:val="left"/>
        </w:tabs>
        <w:numPr>
          <w:ilvl w:val="1"/>
          <w:numId w:val="58"/>
        </w:numPr>
        <w:rPr>
          <w:rFonts w:ascii="Arial" w:cs="Arial" w:eastAsia="Arial" w:hAnsi="Arial"/>
          <w:sz w:val="20"/>
          <w:szCs w:val="20"/>
          <w:color w:val="auto"/>
        </w:rPr>
      </w:pPr>
      <w:r>
        <w:rPr>
          <w:rFonts w:ascii="Arial" w:cs="Arial" w:eastAsia="Arial" w:hAnsi="Arial"/>
          <w:sz w:val="20"/>
          <w:szCs w:val="20"/>
          <w:color w:val="auto"/>
        </w:rPr>
        <w:t>If I file a lawsuit for retaliation by the Company for reporting a suspected violation of law, I</w:t>
      </w:r>
    </w:p>
    <w:p>
      <w:pPr>
        <w:spacing w:after="0" w:line="31" w:lineRule="exact"/>
        <w:rPr>
          <w:sz w:val="20"/>
          <w:szCs w:val="20"/>
          <w:color w:val="auto"/>
        </w:rPr>
      </w:pPr>
    </w:p>
    <w:p>
      <w:pPr>
        <w:ind w:left="1940" w:right="700"/>
        <w:spacing w:after="0" w:line="253" w:lineRule="auto"/>
        <w:rPr>
          <w:sz w:val="20"/>
          <w:szCs w:val="20"/>
          <w:color w:val="auto"/>
        </w:rPr>
      </w:pPr>
      <w:r>
        <w:rPr>
          <w:rFonts w:ascii="Arial" w:cs="Arial" w:eastAsia="Arial" w:hAnsi="Arial"/>
          <w:sz w:val="20"/>
          <w:szCs w:val="20"/>
          <w:color w:val="auto"/>
        </w:rPr>
        <w:t>may disclose the Company’s trade secrets to my attorney and use the trade secret information in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880"/>
          </w:cols>
          <w:pgMar w:left="660" w:top="1440" w:right="359" w:bottom="1440" w:gutter="0" w:footer="0" w:header="0"/>
        </w:sectPr>
      </w:pPr>
    </w:p>
    <w:bookmarkStart w:id="131" w:name="page132"/>
    <w:bookmarkEnd w:id="131"/>
    <w:p>
      <w:pPr>
        <w:spacing w:after="0" w:line="123" w:lineRule="exact"/>
        <w:rPr>
          <w:sz w:val="20"/>
          <w:szCs w:val="20"/>
          <w:color w:val="auto"/>
        </w:rPr>
      </w:pPr>
    </w:p>
    <w:p>
      <w:pPr>
        <w:ind w:left="1948"/>
        <w:spacing w:after="0"/>
        <w:rPr>
          <w:sz w:val="20"/>
          <w:szCs w:val="20"/>
          <w:color w:val="auto"/>
        </w:rPr>
      </w:pPr>
      <w:r>
        <w:rPr>
          <w:rFonts w:ascii="Arial" w:cs="Arial" w:eastAsia="Arial" w:hAnsi="Arial"/>
          <w:sz w:val="20"/>
          <w:szCs w:val="20"/>
          <w:color w:val="auto"/>
        </w:rPr>
        <w:t>the court proceeding if I (1) file any document containing the trade secret under seal; and (2)</w:t>
      </w:r>
    </w:p>
    <w:p>
      <w:pPr>
        <w:spacing w:after="0" w:line="18" w:lineRule="exact"/>
        <w:rPr>
          <w:sz w:val="20"/>
          <w:szCs w:val="20"/>
          <w:color w:val="auto"/>
        </w:rPr>
      </w:pPr>
    </w:p>
    <w:p>
      <w:pPr>
        <w:ind w:left="1948"/>
        <w:spacing w:after="0"/>
        <w:rPr>
          <w:sz w:val="20"/>
          <w:szCs w:val="20"/>
          <w:color w:val="auto"/>
        </w:rPr>
      </w:pPr>
      <w:r>
        <w:rPr>
          <w:rFonts w:ascii="Arial" w:cs="Arial" w:eastAsia="Arial" w:hAnsi="Arial"/>
          <w:sz w:val="20"/>
          <w:szCs w:val="20"/>
          <w:color w:val="auto"/>
        </w:rPr>
        <w:t>do not disclose the trade secret, except pursuant to court order.</w:t>
      </w:r>
    </w:p>
    <w:p>
      <w:pPr>
        <w:spacing w:after="0" w:line="238" w:lineRule="exact"/>
        <w:rPr>
          <w:sz w:val="20"/>
          <w:szCs w:val="20"/>
          <w:color w:val="auto"/>
        </w:rPr>
      </w:pPr>
    </w:p>
    <w:p>
      <w:pPr>
        <w:ind w:left="1948" w:right="140" w:hanging="328"/>
        <w:spacing w:after="0" w:line="252" w:lineRule="auto"/>
        <w:tabs>
          <w:tab w:leader="none" w:pos="2108" w:val="left"/>
        </w:tabs>
        <w:numPr>
          <w:ilvl w:val="2"/>
          <w:numId w:val="59"/>
        </w:numPr>
        <w:rPr>
          <w:rFonts w:ascii="Arial" w:cs="Arial" w:eastAsia="Arial" w:hAnsi="Arial"/>
          <w:sz w:val="20"/>
          <w:szCs w:val="20"/>
          <w:color w:val="auto"/>
        </w:rPr>
      </w:pPr>
      <w:r>
        <w:rPr>
          <w:rFonts w:ascii="Arial" w:cs="Arial" w:eastAsia="Arial" w:hAnsi="Arial"/>
          <w:sz w:val="20"/>
          <w:szCs w:val="20"/>
          <w:color w:val="auto"/>
        </w:rPr>
        <w:t>Nothing in this PECA in any way prohibits or is intended to restrict or impede, and shall not be interpreted or understood as restricting or impeding, me from (1) for non-supervisory employees only, exercising my rights under Section 7 of the National Labor Relations Act (NLRA) (including with respect to engaging in concerted activities for the purpose of collective bargaining or other mutual aid or protection, discussing terms and conditions of employment, or otherwise engaging in protected conduct); or (2) otherwise disclosing or discussing truthful information about unlawful employment practices (including unlawful discrimination, harassment, retaliation, or sexual assault).</w:t>
      </w:r>
    </w:p>
    <w:p>
      <w:pPr>
        <w:spacing w:after="0" w:line="214" w:lineRule="exact"/>
        <w:rPr>
          <w:rFonts w:ascii="Arial" w:cs="Arial" w:eastAsia="Arial" w:hAnsi="Arial"/>
          <w:sz w:val="20"/>
          <w:szCs w:val="20"/>
          <w:color w:val="auto"/>
        </w:rPr>
      </w:pPr>
    </w:p>
    <w:p>
      <w:pPr>
        <w:ind w:left="8" w:right="180" w:firstLine="964"/>
        <w:spacing w:after="0" w:line="261" w:lineRule="auto"/>
        <w:tabs>
          <w:tab w:leader="none" w:pos="1365"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Consideration and Acknowledgment</w:t>
      </w:r>
      <w:r>
        <w:rPr>
          <w:rFonts w:ascii="Arial" w:cs="Arial" w:eastAsia="Arial" w:hAnsi="Arial"/>
          <w:sz w:val="19"/>
          <w:szCs w:val="19"/>
          <w:color w:val="auto"/>
        </w:rPr>
        <w:t>. I acknowledge and agree that the Severance Payment being made to me is in addition to the payments or benefits that otherwise are or would be owed to me by the Company and that the Severance Benefit being provided to me is in consideration for my entering into this PECA and the Release of Claims attached to this PECA. I acknowledge that the scope and duration of the restrictions in Section 1 are necessary to be effective and are fair and reasonable in light of the value of the payments being made to me. I further acknowledge and agree that as a result of the high level executive and management positions I have held within the Company and the access to and extensive knowledge of the Company's Confidential or Proprietary Information, employees, suppliers and customers, (i) these restrictions are reasonably required for the protection of the Company's legitimate business interests, including, but not limited to, the Company’s Confidential or Proprietary Information, (ii) the area, duration and scope of the restrictions are reasonable and necessary to protect the Company, (iii) the restrictions do not unduly oppress or restrict my ability to earn a livelihood in my profession, and</w:t>
      </w:r>
    </w:p>
    <w:p>
      <w:pPr>
        <w:spacing w:after="0" w:line="9" w:lineRule="exact"/>
        <w:rPr>
          <w:rFonts w:ascii="Arial" w:cs="Arial" w:eastAsia="Arial" w:hAnsi="Arial"/>
          <w:sz w:val="19"/>
          <w:szCs w:val="19"/>
          <w:color w:val="auto"/>
        </w:rPr>
      </w:pPr>
    </w:p>
    <w:p>
      <w:pPr>
        <w:ind w:left="328" w:hanging="328"/>
        <w:spacing w:after="0"/>
        <w:tabs>
          <w:tab w:leader="none" w:pos="32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restrictions are not an undue restraint on my trade or any of the public interests that may be involved.</w:t>
      </w:r>
    </w:p>
    <w:p>
      <w:pPr>
        <w:spacing w:after="0" w:line="238" w:lineRule="exact"/>
        <w:rPr>
          <w:rFonts w:ascii="Arial" w:cs="Arial" w:eastAsia="Arial" w:hAnsi="Arial"/>
          <w:sz w:val="20"/>
          <w:szCs w:val="20"/>
          <w:color w:val="auto"/>
        </w:rPr>
      </w:pPr>
    </w:p>
    <w:p>
      <w:pPr>
        <w:ind w:left="1348" w:hanging="376"/>
        <w:spacing w:after="0"/>
        <w:tabs>
          <w:tab w:leader="none" w:pos="1348"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Remedies For Breach of Section 1; Additional Remedies of Clawback and Recoupment.</w:t>
      </w:r>
    </w:p>
    <w:p>
      <w:pPr>
        <w:spacing w:after="0" w:line="243" w:lineRule="exact"/>
        <w:rPr>
          <w:sz w:val="20"/>
          <w:szCs w:val="20"/>
          <w:color w:val="auto"/>
        </w:rPr>
      </w:pPr>
    </w:p>
    <w:p>
      <w:pPr>
        <w:ind w:left="-332" w:right="120" w:firstLine="1304"/>
        <w:spacing w:after="0" w:line="269" w:lineRule="auto"/>
        <w:tabs>
          <w:tab w:leader="none" w:pos="1426" w:val="left"/>
        </w:tabs>
        <w:numPr>
          <w:ilvl w:val="0"/>
          <w:numId w:val="62"/>
        </w:numPr>
        <w:rPr>
          <w:rFonts w:ascii="Arial" w:cs="Arial" w:eastAsia="Arial" w:hAnsi="Arial"/>
          <w:sz w:val="20"/>
          <w:szCs w:val="20"/>
          <w:color w:val="auto"/>
        </w:rPr>
      </w:pPr>
      <w:r>
        <w:rPr>
          <w:rFonts w:ascii="Arial" w:cs="Arial" w:eastAsia="Arial" w:hAnsi="Arial"/>
          <w:sz w:val="20"/>
          <w:szCs w:val="20"/>
          <w:color w:val="auto"/>
        </w:rPr>
        <w:t>I agree, upon demand by the Company, to repay the Severance Payment to the Company (without regard to any taxes paid by me or on my behalf in respect of such Severance Payment) in the event any of the following occur:</w:t>
      </w:r>
    </w:p>
    <w:p>
      <w:pPr>
        <w:spacing w:after="0" w:line="185" w:lineRule="exact"/>
        <w:rPr>
          <w:rFonts w:ascii="Arial" w:cs="Arial" w:eastAsia="Arial" w:hAnsi="Arial"/>
          <w:sz w:val="20"/>
          <w:szCs w:val="20"/>
          <w:color w:val="auto"/>
        </w:rPr>
      </w:pPr>
    </w:p>
    <w:p>
      <w:pPr>
        <w:ind w:left="2008" w:hanging="388"/>
        <w:spacing w:after="0"/>
        <w:tabs>
          <w:tab w:leader="none" w:pos="2008" w:val="left"/>
        </w:tabs>
        <w:numPr>
          <w:ilvl w:val="1"/>
          <w:numId w:val="62"/>
        </w:numPr>
        <w:rPr>
          <w:rFonts w:ascii="Arial" w:cs="Arial" w:eastAsia="Arial" w:hAnsi="Arial"/>
          <w:sz w:val="20"/>
          <w:szCs w:val="20"/>
          <w:color w:val="auto"/>
        </w:rPr>
      </w:pPr>
      <w:r>
        <w:rPr>
          <w:rFonts w:ascii="Arial" w:cs="Arial" w:eastAsia="Arial" w:hAnsi="Arial"/>
          <w:sz w:val="20"/>
          <w:szCs w:val="20"/>
          <w:color w:val="auto"/>
        </w:rPr>
        <w:t>I breach any of the covenants or agreements in Section 1;</w:t>
      </w:r>
    </w:p>
    <w:p>
      <w:pPr>
        <w:spacing w:after="0" w:line="256" w:lineRule="exact"/>
        <w:rPr>
          <w:rFonts w:ascii="Arial" w:cs="Arial" w:eastAsia="Arial" w:hAnsi="Arial"/>
          <w:sz w:val="20"/>
          <w:szCs w:val="20"/>
          <w:color w:val="auto"/>
        </w:rPr>
      </w:pPr>
    </w:p>
    <w:p>
      <w:pPr>
        <w:ind w:left="1948" w:hanging="328"/>
        <w:spacing w:after="0" w:line="255" w:lineRule="auto"/>
        <w:tabs>
          <w:tab w:leader="none" w:pos="2060"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Company determines that either (a) my intentional misconduct or gross negligence, or (b) my failure to report another person’s intentional misconduct or gross negligence of which I had knowledge during the period I was employed by the Company, contributed to the Company having to restate all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28"/>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68"/>
          </w:cols>
          <w:pgMar w:left="652" w:top="1440" w:right="979" w:bottom="1440" w:gutter="0" w:footer="0" w:header="0"/>
        </w:sectPr>
      </w:pPr>
    </w:p>
    <w:bookmarkStart w:id="132" w:name="page133"/>
    <w:bookmarkEnd w:id="132"/>
    <w:p>
      <w:pPr>
        <w:spacing w:after="0" w:line="123" w:lineRule="exact"/>
        <w:rPr>
          <w:sz w:val="20"/>
          <w:szCs w:val="20"/>
          <w:color w:val="auto"/>
        </w:rPr>
      </w:pPr>
    </w:p>
    <w:p>
      <w:pPr>
        <w:ind w:left="1620" w:right="360"/>
        <w:spacing w:after="0" w:line="271" w:lineRule="auto"/>
        <w:rPr>
          <w:sz w:val="20"/>
          <w:szCs w:val="20"/>
          <w:color w:val="auto"/>
        </w:rPr>
      </w:pPr>
      <w:r>
        <w:rPr>
          <w:rFonts w:ascii="Arial" w:cs="Arial" w:eastAsia="Arial" w:hAnsi="Arial"/>
          <w:sz w:val="20"/>
          <w:szCs w:val="20"/>
          <w:color w:val="auto"/>
        </w:rPr>
        <w:t>or a portion of its financial statements filed for any period with the Securities and Exchange Commission;</w:t>
      </w:r>
    </w:p>
    <w:p>
      <w:pPr>
        <w:spacing w:after="0" w:line="196" w:lineRule="exact"/>
        <w:rPr>
          <w:sz w:val="20"/>
          <w:szCs w:val="20"/>
          <w:color w:val="auto"/>
        </w:rPr>
      </w:pPr>
    </w:p>
    <w:p>
      <w:pPr>
        <w:ind w:left="1620" w:right="140" w:hanging="328"/>
        <w:spacing w:after="0" w:line="271" w:lineRule="auto"/>
        <w:tabs>
          <w:tab w:leader="none" w:pos="1835"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Company determines that I engaged in fraud, bribery or any other illegal act or that my intentional misconduct or gross negligence (including the failure to report another person’s intentional misconduct or gross negligence of which I had knowledge during the period I was employed by the Company) contributed to another person’s fraud, bribery or other illegal act, which in any such case adversely affected the Company’s financial position or reputation;</w:t>
      </w:r>
    </w:p>
    <w:p>
      <w:pPr>
        <w:spacing w:after="0" w:line="170" w:lineRule="exact"/>
        <w:rPr>
          <w:rFonts w:ascii="Arial" w:cs="Arial" w:eastAsia="Arial" w:hAnsi="Arial"/>
          <w:sz w:val="19"/>
          <w:szCs w:val="19"/>
          <w:color w:val="auto"/>
        </w:rPr>
      </w:pPr>
    </w:p>
    <w:p>
      <w:pPr>
        <w:ind w:left="1620" w:right="20" w:hanging="328"/>
        <w:spacing w:after="0" w:line="271" w:lineRule="auto"/>
        <w:tabs>
          <w:tab w:leader="none" w:pos="1787"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Company determines that my intentional misconduct or gross negligence caused severe reputational or financial harm to the Company;</w:t>
      </w:r>
    </w:p>
    <w:p>
      <w:pPr>
        <w:spacing w:after="0" w:line="169" w:lineRule="exact"/>
        <w:rPr>
          <w:rFonts w:ascii="Arial" w:cs="Arial" w:eastAsia="Arial" w:hAnsi="Arial"/>
          <w:sz w:val="20"/>
          <w:szCs w:val="20"/>
          <w:color w:val="auto"/>
        </w:rPr>
      </w:pPr>
    </w:p>
    <w:p>
      <w:pPr>
        <w:ind w:left="1620" w:right="220" w:hanging="328"/>
        <w:spacing w:after="0" w:line="254" w:lineRule="auto"/>
        <w:tabs>
          <w:tab w:leader="none" w:pos="1743"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Company determines that I misappropriated Confidential or Proprietary Information, as defined in Section 1(c), and I (A) intended to use the misappropriated Confidential or Proprietary Information to cause severe reputational or financial harm to the Company or (B) used the misappropriated Confidential or Proprietary Information in a manner that caused severe reputational or financial harm to the Company; or</w:t>
      </w:r>
    </w:p>
    <w:p>
      <w:pPr>
        <w:spacing w:after="0" w:line="187" w:lineRule="exact"/>
        <w:rPr>
          <w:rFonts w:ascii="Arial" w:cs="Arial" w:eastAsia="Arial" w:hAnsi="Arial"/>
          <w:sz w:val="20"/>
          <w:szCs w:val="20"/>
          <w:color w:val="auto"/>
        </w:rPr>
      </w:pPr>
    </w:p>
    <w:p>
      <w:pPr>
        <w:ind w:left="1620" w:right="180" w:hanging="328"/>
        <w:spacing w:after="0" w:line="259" w:lineRule="auto"/>
        <w:tabs>
          <w:tab w:leader="none" w:pos="1791" w:val="left"/>
        </w:tabs>
        <w:numPr>
          <w:ilvl w:val="1"/>
          <w:numId w:val="63"/>
        </w:numPr>
        <w:rPr>
          <w:rFonts w:ascii="Arial" w:cs="Arial" w:eastAsia="Arial" w:hAnsi="Arial"/>
          <w:sz w:val="20"/>
          <w:szCs w:val="20"/>
          <w:color w:val="auto"/>
        </w:rPr>
      </w:pPr>
      <w:r>
        <w:rPr>
          <w:rFonts w:ascii="Arial" w:cs="Arial" w:eastAsia="Arial" w:hAnsi="Arial"/>
          <w:sz w:val="20"/>
          <w:szCs w:val="20"/>
          <w:color w:val="auto"/>
        </w:rPr>
        <w:t>Under such other circumstances specified in a written recovery policy adopted by the Company to comply with Rule 10D-1 under the Securities Exchange Act and New York Stock Exchange listing standards requiring the Company to recover from executive officers erroneously awarded compensation or other applicable law.</w:t>
      </w:r>
    </w:p>
    <w:p>
      <w:pPr>
        <w:spacing w:after="0" w:line="195" w:lineRule="exact"/>
        <w:rPr>
          <w:rFonts w:ascii="Arial" w:cs="Arial" w:eastAsia="Arial" w:hAnsi="Arial"/>
          <w:sz w:val="20"/>
          <w:szCs w:val="20"/>
          <w:color w:val="auto"/>
        </w:rPr>
      </w:pPr>
    </w:p>
    <w:p>
      <w:pPr>
        <w:ind w:left="-320" w:right="100" w:firstLine="964"/>
        <w:spacing w:after="0" w:line="259" w:lineRule="auto"/>
        <w:tabs>
          <w:tab w:leader="none" w:pos="1072" w:val="left"/>
        </w:tabs>
        <w:numPr>
          <w:ilvl w:val="0"/>
          <w:numId w:val="64"/>
        </w:numPr>
        <w:rPr>
          <w:rFonts w:ascii="Arial" w:cs="Arial" w:eastAsia="Arial" w:hAnsi="Arial"/>
          <w:sz w:val="18"/>
          <w:szCs w:val="18"/>
          <w:color w:val="auto"/>
        </w:rPr>
      </w:pPr>
      <w:r>
        <w:rPr>
          <w:rFonts w:ascii="Arial" w:cs="Arial" w:eastAsia="Arial" w:hAnsi="Arial"/>
          <w:sz w:val="20"/>
          <w:szCs w:val="20"/>
          <w:color w:val="auto"/>
        </w:rPr>
        <w:t>The remedy provided in Section 3(a) shall not be the exclusive remedy available to the Company for any of the conduct described in Section 3(a) and shall not limit the Company from seeking damages or injunctive relief. For purposes of Section 3(a), a determination by the Company means a determination by the Management Development and Compensation Committee of the Board of Directors of the Company.</w:t>
      </w:r>
    </w:p>
    <w:p>
      <w:pPr>
        <w:spacing w:after="0" w:line="209" w:lineRule="exact"/>
        <w:rPr>
          <w:sz w:val="20"/>
          <w:szCs w:val="20"/>
          <w:color w:val="auto"/>
        </w:rPr>
      </w:pPr>
    </w:p>
    <w:p>
      <w:pPr>
        <w:ind w:left="-320" w:firstLine="964"/>
        <w:spacing w:after="0" w:line="254" w:lineRule="auto"/>
        <w:tabs>
          <w:tab w:leader="none" w:pos="872"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Injunctive Relief</w:t>
      </w:r>
      <w:r>
        <w:rPr>
          <w:rFonts w:ascii="Arial" w:cs="Arial" w:eastAsia="Arial" w:hAnsi="Arial"/>
          <w:sz w:val="20"/>
          <w:szCs w:val="20"/>
          <w:color w:val="auto"/>
        </w:rPr>
        <w:t>. I acknowledge that the Company’s remedies at law may be inadequate to protect the Company against any actual or threatened breach of the provisions of Section 1 or the conduct described in Section 3(a), and, therefore, without prejudice to any other rights and remedies otherwise available to the Company at law or in equity (including but not limited to, an action under Section 3(a), the Company shall be entitled to injunctive relief in its favor and to specific performance without proof of actual damages and without the requirement of the posting of any bond or similar security.</w:t>
      </w:r>
    </w:p>
    <w:p>
      <w:pPr>
        <w:spacing w:after="0" w:line="173" w:lineRule="exact"/>
        <w:rPr>
          <w:rFonts w:ascii="Arial" w:cs="Arial" w:eastAsia="Arial" w:hAnsi="Arial"/>
          <w:sz w:val="20"/>
          <w:szCs w:val="20"/>
          <w:color w:val="auto"/>
        </w:rPr>
      </w:pPr>
    </w:p>
    <w:p>
      <w:pPr>
        <w:ind w:left="-320" w:firstLine="964"/>
        <w:spacing w:after="0" w:line="286" w:lineRule="auto"/>
        <w:tabs>
          <w:tab w:leader="none" w:pos="872"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Invalidity; Unenforceability</w:t>
      </w:r>
      <w:r>
        <w:rPr>
          <w:rFonts w:ascii="Arial" w:cs="Arial" w:eastAsia="Arial" w:hAnsi="Arial"/>
          <w:sz w:val="20"/>
          <w:szCs w:val="20"/>
          <w:color w:val="auto"/>
        </w:rPr>
        <w:t>. It is the desire and intent of the parties that the provisions of this PECA shall be enforced to the fullest extent permissible.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920"/>
          </w:cols>
          <w:pgMar w:left="980" w:top="1440" w:right="999" w:bottom="1440" w:gutter="0" w:footer="0" w:header="0"/>
        </w:sectPr>
      </w:pPr>
    </w:p>
    <w:bookmarkStart w:id="133" w:name="page134"/>
    <w:bookmarkEnd w:id="133"/>
    <w:p>
      <w:pPr>
        <w:spacing w:after="0" w:line="123"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covenants in each section of this PECA are independent of any other provisions of this PECA. Each term in this PECA constitutes a separate covenant between the parties, and each term is fully severable from any other term. The parties agree if any particular paragraphs, subparagraphs, phrases, words, or other portions of this PECA are determined by an appropriate court to be invalid or unenforceable as written, they shall be modified as necessary to comport with the reasonable intent and expectations of the parties and in favor of providing reasonable protection to all of the Company’s legitimate business interests, and such modification shall not affect the remaining provisions of this PECA, or if they cannot be modified to be made valid or enforceable, then they shall be severed from this PECA, and all remaining terms and provisions shall remain enforceable.</w:t>
      </w:r>
    </w:p>
    <w:p>
      <w:pPr>
        <w:spacing w:after="0" w:line="174" w:lineRule="exact"/>
        <w:rPr>
          <w:sz w:val="20"/>
          <w:szCs w:val="20"/>
          <w:color w:val="auto"/>
        </w:rPr>
      </w:pPr>
    </w:p>
    <w:p>
      <w:pPr>
        <w:ind w:right="500" w:firstLine="964"/>
        <w:spacing w:after="0" w:line="313" w:lineRule="auto"/>
        <w:tabs>
          <w:tab w:leader="none" w:pos="1192"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not defined in this PECA have the meaning given to them in the Severance Plan, as applicable. For purposes of this PECA, the following terms have the meanings given below:</w:t>
      </w:r>
    </w:p>
    <w:p>
      <w:pPr>
        <w:spacing w:after="0" w:line="132" w:lineRule="exact"/>
        <w:rPr>
          <w:rFonts w:ascii="Arial" w:cs="Arial" w:eastAsia="Arial" w:hAnsi="Arial"/>
          <w:sz w:val="19"/>
          <w:szCs w:val="19"/>
          <w:color w:val="auto"/>
        </w:rPr>
      </w:pPr>
    </w:p>
    <w:p>
      <w:pPr>
        <w:ind w:firstLine="432"/>
        <w:spacing w:after="0" w:line="265" w:lineRule="auto"/>
        <w:tabs>
          <w:tab w:leader="none" w:pos="7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“Restricted Company” means any business or entity that is engaged in any business activity that is competitive with the business and business activities engaged in by the Corporation in the aerospace and defense industry, including, but not limited to, the following entities: The Boeing Company, General Dynamics Corporation, Northrop Grumman Corporation, the Raytheon Technologies Corporation, Honeywell International Inc., BAE Systems Inc., L3Harris Technologies, Inc., Thales, Airbus Group, Inc., Textron, Inc., Leonardo SpA, Leidos Holdings, Inc., Space Exploration Technologies Corp., Palantir Technologies Inc., GE Aerospace, Anduril Industries, Inc., Shield AI Inc., Sierra Nevada Company and (i) any entity directly or indirectly controlling, controlled by, or under common control with any of the foregoing, and (ii) any successor to all or part of the business of any of the foregoing as a result of a merger, reorganization, consolidation, spin-off, split-up, acquisition, divestiture, or similar transaction, or as a result of a name change, and (iii) any entity or business identified in Addendum A to this PECA.</w:t>
      </w:r>
    </w:p>
    <w:p>
      <w:pPr>
        <w:spacing w:after="0" w:line="179" w:lineRule="exact"/>
        <w:rPr>
          <w:rFonts w:ascii="Arial" w:cs="Arial" w:eastAsia="Arial" w:hAnsi="Arial"/>
          <w:sz w:val="19"/>
          <w:szCs w:val="19"/>
          <w:color w:val="auto"/>
        </w:rPr>
      </w:pPr>
    </w:p>
    <w:p>
      <w:pPr>
        <w:ind w:firstLine="432"/>
        <w:spacing w:after="0" w:line="250" w:lineRule="auto"/>
        <w:tabs>
          <w:tab w:leader="none" w:pos="736" w:val="left"/>
        </w:tabs>
        <w:numPr>
          <w:ilvl w:val="0"/>
          <w:numId w:val="67"/>
        </w:numPr>
        <w:rPr>
          <w:rFonts w:ascii="Arial" w:cs="Arial" w:eastAsia="Arial" w:hAnsi="Arial"/>
          <w:sz w:val="20"/>
          <w:szCs w:val="20"/>
          <w:color w:val="auto"/>
        </w:rPr>
      </w:pPr>
      <w:r>
        <w:rPr>
          <w:rFonts w:ascii="Arial" w:cs="Arial" w:eastAsia="Arial" w:hAnsi="Arial"/>
          <w:sz w:val="20"/>
          <w:szCs w:val="20"/>
          <w:color w:val="auto"/>
        </w:rPr>
        <w:t>“Competitive Products or Services” means products or services that compete with, or are an alternative or potential alternative to, products sold or services provided by a subsidiary, business area, division or operating unit or business of the Company as of the Termination Date and at any time within the two-year period ending on the Termination Date; provided, that, (i) if I had direct responsibility for the business of, or function with respect to, a subsidiary, or for a business area, division or operating unit or business of the Company at any time within the two-year period ending on the Termination Date, Competitive Products or Services includes the products so sold or the services so provided during that two-year period by the subsidiary, business area, division or operating unit of the Company for which I had responsibility, and (ii) if I did not have direct responsibility for the business of, or function with respect to, a subsidiary, or for a business area, division or operating unit or business of the Company at any time within the two-year period ending on the Termination Date, Competitive Products or Services includes the products so sold or the services so provided by a subsidiary, business area, division or operating unit of the Company for which I had access (or was required or permitted such access in the performance of my duties or responsibilities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40"/>
          </w:cols>
          <w:pgMar w:left="660" w:top="1440" w:right="999" w:bottom="1440" w:gutter="0" w:footer="0" w:header="0"/>
        </w:sectPr>
      </w:pPr>
    </w:p>
    <w:bookmarkStart w:id="134" w:name="page135"/>
    <w:bookmarkEnd w:id="134"/>
    <w:p>
      <w:pPr>
        <w:spacing w:after="0" w:line="123"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Company) to Confidential or Proprietary Information of the Company at any time during the two-year period ending on the Termination Date.</w:t>
      </w:r>
    </w:p>
    <w:p>
      <w:pPr>
        <w:spacing w:after="0" w:line="169" w:lineRule="exact"/>
        <w:rPr>
          <w:sz w:val="20"/>
          <w:szCs w:val="20"/>
          <w:color w:val="auto"/>
        </w:rPr>
      </w:pPr>
    </w:p>
    <w:p>
      <w:pPr>
        <w:ind w:left="1340" w:hanging="376"/>
        <w:spacing w:after="0"/>
        <w:tabs>
          <w:tab w:leader="none" w:pos="134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43" w:lineRule="exact"/>
        <w:rPr>
          <w:sz w:val="20"/>
          <w:szCs w:val="20"/>
          <w:color w:val="auto"/>
        </w:rPr>
      </w:pPr>
    </w:p>
    <w:p>
      <w:pPr>
        <w:ind w:firstLine="964"/>
        <w:spacing w:after="0" w:line="259" w:lineRule="auto"/>
        <w:tabs>
          <w:tab w:leader="none" w:pos="143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Severance Plan, this PECA with the attached Release of Claims constitute the entire agreement governing the terms of the Severance Payment and supersede all other prior agreements and understandings, both written and oral, between me and the Company or any employee, officer or director of the Company concerning payments on account of my termination of employment.</w:t>
      </w:r>
    </w:p>
    <w:p>
      <w:pPr>
        <w:spacing w:after="0" w:line="208" w:lineRule="exact"/>
        <w:rPr>
          <w:rFonts w:ascii="Arial" w:cs="Arial" w:eastAsia="Arial" w:hAnsi="Arial"/>
          <w:sz w:val="20"/>
          <w:szCs w:val="20"/>
          <w:color w:val="auto"/>
        </w:rPr>
      </w:pPr>
    </w:p>
    <w:p>
      <w:pPr>
        <w:ind w:right="40" w:firstLine="964"/>
        <w:spacing w:after="0" w:line="251" w:lineRule="auto"/>
        <w:tabs>
          <w:tab w:leader="none" w:pos="143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This PECA shall be governed by Maryland law, without regard to its provisions governing conflicts of law. Any enforcement of, or challenge to, this PECA may only be brought in the United States District Court for the District of Maryland, unless it is determined that such court does not have subject matter jurisdiction, in which case any such enforcement or challenge must be brought in the Circuit Court of Montgomery County in the State of Maryland. Both parties consent to the proper jurisdiction and venue of such court, as applicable, for the purpose of enforcing or challenging this PECA. For residents of California, Massachusetts (Section 1(a) only), Minnesota (Section 1(a) only), Washington and Wisconsin, or if otherwise provided in an applicable Addenda, this Section 7(b) shall not apply; instead, the parties agree that the law of the state in which I am domiciled at the time of acceptance shall govern the interpretation, application, and enforcement of this PECA, without regard to any choice of law rules of that or any other state, and that the exclusive venue shall be the state or federal courts sitting in or covering the county where I am domiciled at the time of acceptance.</w:t>
      </w:r>
    </w:p>
    <w:p>
      <w:pPr>
        <w:spacing w:after="0" w:line="202" w:lineRule="exact"/>
        <w:rPr>
          <w:rFonts w:ascii="Arial" w:cs="Arial" w:eastAsia="Arial" w:hAnsi="Arial"/>
          <w:sz w:val="20"/>
          <w:szCs w:val="20"/>
          <w:color w:val="auto"/>
        </w:rPr>
      </w:pPr>
    </w:p>
    <w:p>
      <w:pPr>
        <w:ind w:firstLine="964"/>
        <w:spacing w:after="0" w:line="286" w:lineRule="auto"/>
        <w:tabs>
          <w:tab w:leader="none" w:pos="1419"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This PECA shall inure to the benefit of the Company’s successors and assigns and may be assigned by the Company without my consent.</w:t>
      </w:r>
    </w:p>
    <w:p>
      <w:pPr>
        <w:spacing w:after="0" w:line="180" w:lineRule="exact"/>
        <w:rPr>
          <w:rFonts w:ascii="Arial" w:cs="Arial" w:eastAsia="Arial" w:hAnsi="Arial"/>
          <w:sz w:val="20"/>
          <w:szCs w:val="20"/>
          <w:color w:val="auto"/>
        </w:rPr>
      </w:pPr>
    </w:p>
    <w:p>
      <w:pPr>
        <w:ind w:right="40" w:firstLine="964"/>
        <w:spacing w:after="0" w:line="254" w:lineRule="auto"/>
        <w:tabs>
          <w:tab w:leader="none" w:pos="143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restrictive covenants and other terms in this PECA are to be read consistent with the terms of any other restrictive covenants or other agreements that I have executed with the Company; provided, however, to the extent there is a conflict between/among such agreements, such agreements shall be construed as providing the broadest possible protections to the Company, even if such construction would require provisions of more than one such agreement to be given effect.</w:t>
      </w:r>
    </w:p>
    <w:p>
      <w:pPr>
        <w:spacing w:after="0" w:line="214" w:lineRule="exact"/>
        <w:rPr>
          <w:rFonts w:ascii="Arial" w:cs="Arial" w:eastAsia="Arial" w:hAnsi="Arial"/>
          <w:sz w:val="20"/>
          <w:szCs w:val="20"/>
          <w:color w:val="auto"/>
        </w:rPr>
      </w:pPr>
    </w:p>
    <w:p>
      <w:pPr>
        <w:ind w:right="80" w:firstLine="964"/>
        <w:spacing w:after="0" w:line="262" w:lineRule="auto"/>
        <w:tabs>
          <w:tab w:leader="none" w:pos="143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obligations I have undertaken in this PECA shall survive the Termination Date and no dispute regarding any other provisions of this PECA or regarding my employment or the termination of my employment shall prevent the operation and enforcement of these obligations.</w:t>
      </w:r>
    </w:p>
    <w:p>
      <w:pPr>
        <w:spacing w:after="0" w:line="191" w:lineRule="exact"/>
        <w:rPr>
          <w:rFonts w:ascii="Arial" w:cs="Arial" w:eastAsia="Arial" w:hAnsi="Arial"/>
          <w:sz w:val="20"/>
          <w:szCs w:val="20"/>
          <w:color w:val="auto"/>
        </w:rPr>
      </w:pPr>
    </w:p>
    <w:p>
      <w:pPr>
        <w:jc w:val="both"/>
        <w:ind w:right="260" w:firstLine="964"/>
        <w:spacing w:after="0" w:line="258" w:lineRule="auto"/>
        <w:tabs>
          <w:tab w:leader="none" w:pos="1379" w:val="left"/>
        </w:tabs>
        <w:numPr>
          <w:ilvl w:val="0"/>
          <w:numId w:val="69"/>
        </w:numPr>
        <w:rPr>
          <w:rFonts w:ascii="Arial" w:cs="Arial" w:eastAsia="Arial" w:hAnsi="Arial"/>
          <w:sz w:val="20"/>
          <w:szCs w:val="20"/>
          <w:color w:val="auto"/>
        </w:rPr>
      </w:pPr>
      <w:r>
        <w:rPr>
          <w:rFonts w:ascii="Arial" w:cs="Arial" w:eastAsia="Arial" w:hAnsi="Arial"/>
          <w:sz w:val="20"/>
          <w:szCs w:val="20"/>
          <w:color w:val="auto"/>
        </w:rPr>
        <w:t>I acknowledge and agree that different provisions than those set forth in this PECA, including with respect to the restrictive covenant obligations, may apply to me if I primarily reside or work in certain jurisdictions. While I primarily reside or work in such a jurisdiction, including on the Termination Date, I agree that the provisions within this PECA shall be superseded only as set forth in the applicable Addendum attached hereto or as explicitly noted within the PECA.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20"/>
          </w:cols>
          <w:pgMar w:left="660" w:top="1440" w:right="1019" w:bottom="1440" w:gutter="0" w:footer="0" w:header="0"/>
        </w:sectPr>
      </w:pPr>
    </w:p>
    <w:bookmarkStart w:id="135" w:name="page136"/>
    <w:bookmarkEnd w:id="135"/>
    <w:p>
      <w:pPr>
        <w:spacing w:after="0" w:line="36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SIGNED this _____ day of ____________________, 2___.</w:t>
      </w:r>
    </w:p>
    <w:p>
      <w:pPr>
        <w:spacing w:after="0" w:line="200" w:lineRule="exact"/>
        <w:rPr>
          <w:sz w:val="20"/>
          <w:szCs w:val="20"/>
          <w:color w:val="auto"/>
        </w:rPr>
      </w:pPr>
    </w:p>
    <w:p>
      <w:pPr>
        <w:spacing w:after="0" w:line="259"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(Signature)</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(Printed Name)</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__________________________________</w:t>
      </w:r>
    </w:p>
    <w:p>
      <w:pPr>
        <w:spacing w:after="0" w:line="2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FOR LOCKHEED MARTIN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w:t>
      </w:r>
    </w:p>
    <w:p>
      <w:pPr>
        <w:spacing w:after="0" w:line="2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(Signature)</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(Printed Name)</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(Title)</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 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(Date)</w:t>
      </w:r>
    </w:p>
    <w:p>
      <w:pPr>
        <w:spacing w:after="0" w:line="200" w:lineRule="exact"/>
        <w:rPr>
          <w:sz w:val="20"/>
          <w:szCs w:val="20"/>
          <w:color w:val="auto"/>
        </w:rPr>
      </w:pPr>
    </w:p>
    <w:p>
      <w:pPr>
        <w:spacing w:after="0" w:line="212" w:lineRule="exact"/>
        <w:rPr>
          <w:sz w:val="20"/>
          <w:szCs w:val="20"/>
          <w:color w:val="auto"/>
        </w:rPr>
      </w:pPr>
    </w:p>
    <w:p>
      <w:pPr>
        <w:jc w:val="center"/>
        <w:spacing w:after="0" w:line="284" w:lineRule="auto"/>
        <w:rPr>
          <w:sz w:val="20"/>
          <w:szCs w:val="20"/>
          <w:color w:val="auto"/>
        </w:rPr>
      </w:pPr>
      <w:r>
        <w:rPr>
          <w:rFonts w:ascii="Arial" w:cs="Arial" w:eastAsia="Arial" w:hAnsi="Arial"/>
          <w:sz w:val="20"/>
          <w:szCs w:val="20"/>
          <w:b w:val="1"/>
          <w:bCs w:val="1"/>
          <w:color w:val="auto"/>
        </w:rPr>
        <w:t>NOTE: HRBP must scan and upload the executed PECA (and Addendum A, if applicable) to the Executive Action System in order for payments to be processed.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highlight w:val="yellow"/>
        </w:rPr>
        <w:t>If Addendum A is applicable, be sure to have Legal review Addendum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60"/>
          </w:cols>
          <w:pgMar w:left="660" w:top="1440" w:right="679" w:bottom="1440" w:gutter="0" w:footer="0" w:header="0"/>
        </w:sectPr>
      </w:pPr>
    </w:p>
    <w:bookmarkStart w:id="136" w:name="page137"/>
    <w:bookmarkEnd w:id="136"/>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Addendum A</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Additional “Restricted Companies” For Purposes of Section 6(a) of the PECA</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5620" w:type="dxa"/>
            <w:vAlign w:val="bottom"/>
            <w:tcBorders>
              <w:top w:val="single" w:sz="8" w:color="auto"/>
              <w:left w:val="single" w:sz="8" w:color="auto"/>
              <w:right w:val="single" w:sz="8" w:color="auto"/>
            </w:tcBorders>
          </w:tcPr>
          <w:p>
            <w:pPr>
              <w:ind w:left="2240"/>
              <w:spacing w:after="0"/>
              <w:rPr>
                <w:sz w:val="20"/>
                <w:szCs w:val="20"/>
                <w:color w:val="auto"/>
              </w:rPr>
            </w:pPr>
            <w:r>
              <w:rPr>
                <w:rFonts w:ascii="Arial" w:cs="Arial" w:eastAsia="Arial" w:hAnsi="Arial"/>
                <w:sz w:val="20"/>
                <w:szCs w:val="20"/>
                <w:b w:val="1"/>
                <w:bCs w:val="1"/>
                <w:color w:val="auto"/>
              </w:rPr>
              <w:t>Entity Name</w:t>
            </w:r>
          </w:p>
        </w:tc>
        <w:tc>
          <w:tcPr>
            <w:tcW w:w="56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20"/>
                <w:szCs w:val="20"/>
                <w:b w:val="1"/>
                <w:bCs w:val="1"/>
                <w:color w:val="auto"/>
              </w:rPr>
              <w:t>Description of the Competitive Business</w:t>
            </w:r>
          </w:p>
        </w:tc>
      </w:tr>
      <w:tr>
        <w:trPr>
          <w:trHeight w:val="210"/>
        </w:trPr>
        <w:tc>
          <w:tcPr>
            <w:tcW w:w="5620" w:type="dxa"/>
            <w:vAlign w:val="bottom"/>
            <w:tcBorders>
              <w:left w:val="single" w:sz="8" w:color="auto"/>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spacing w:after="0"/>
              <w:rPr>
                <w:sz w:val="18"/>
                <w:szCs w:val="18"/>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60"/>
          </w:cols>
          <w:pgMar w:left="320" w:top="1440" w:right="319" w:bottom="1440" w:gutter="0" w:footer="0" w:header="0"/>
        </w:sectPr>
      </w:pPr>
    </w:p>
    <w:bookmarkStart w:id="137" w:name="page138"/>
    <w:bookmarkEnd w:id="137"/>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COLORADO ADDENDUM TO POST-EMPLOYMENT CONDUCT AGREEMENT</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Notice of Restrictive Covenant to Colorado Employees</w:t>
      </w:r>
    </w:p>
    <w:p>
      <w:pPr>
        <w:spacing w:after="0" w:line="231"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This notice is to advise you that the Company is, contemporaneously with this notice, providing you with a Post-Employment Conduct Agreement (the “PECA”) containing covenants that could restrict your options for subsequent employment following separation from the Company, in that you will be prohibited from certain competition and solicitation of customers, employees, etc., as described in Section 1 of the PECA (and as modified by this Colorado Addendum) and from disclosing or using Confidential Information as described in Section 1 of the PECA (and as modified by this Colorado Addendum).</w:t>
      </w:r>
    </w:p>
    <w:p>
      <w:pPr>
        <w:spacing w:after="0" w:line="187"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You acknowledge that this notice was provided to you at least fourteen (14) days before the earlier of your Termination Date, as defined in the PECA, or the effective date of the consideration provided to you for such covenant. By signing the PECA, you expressly acknowledge and agree that you are deemed to have separately signed this notice.</w:t>
      </w:r>
    </w:p>
    <w:p>
      <w:pPr>
        <w:spacing w:after="0" w:line="178"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The provisions of this Colorado Addendum apply only to those employees of the Company who primarily work or reside in the State of Colorado.</w:t>
      </w:r>
    </w:p>
    <w:p>
      <w:pPr>
        <w:spacing w:after="0" w:line="169"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following is added to the end of Section 1(a) of the PECA “Covenant Not to Compete”:</w:t>
      </w:r>
    </w:p>
    <w:p>
      <w:pPr>
        <w:spacing w:after="0" w:line="216" w:lineRule="exact"/>
        <w:rPr>
          <w:sz w:val="20"/>
          <w:szCs w:val="20"/>
          <w:color w:val="auto"/>
        </w:rPr>
      </w:pPr>
    </w:p>
    <w:p>
      <w:pPr>
        <w:jc w:val="both"/>
        <w:ind w:right="640" w:firstLine="648"/>
        <w:spacing w:after="0" w:line="269" w:lineRule="auto"/>
        <w:rPr>
          <w:sz w:val="20"/>
          <w:szCs w:val="20"/>
          <w:color w:val="auto"/>
        </w:rPr>
      </w:pPr>
      <w:r>
        <w:rPr>
          <w:rFonts w:ascii="Arial" w:cs="Arial" w:eastAsia="Arial" w:hAnsi="Arial"/>
          <w:sz w:val="20"/>
          <w:szCs w:val="20"/>
          <w:color w:val="auto"/>
        </w:rPr>
        <w:t>The restrictions described in Section 1(a) are intended to cover geographic territory where your knowledge of the Company’s trade secrets could be used by a Restricted Company to unfairly compete with or undermine the Company’s legitimate business interests.</w:t>
      </w:r>
    </w:p>
    <w:p>
      <w:pPr>
        <w:spacing w:after="0" w:line="158" w:lineRule="exact"/>
        <w:rPr>
          <w:sz w:val="20"/>
          <w:szCs w:val="20"/>
          <w:color w:val="auto"/>
        </w:rPr>
      </w:pPr>
    </w:p>
    <w:p>
      <w:pPr>
        <w:ind w:right="520" w:firstLine="8"/>
        <w:spacing w:after="0" w:line="286" w:lineRule="auto"/>
        <w:tabs>
          <w:tab w:leader="none" w:pos="381"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language in Section 1 of the PECA “Restrictions Following Termination of Employment” is modified by adding the following:</w:t>
      </w:r>
    </w:p>
    <w:p>
      <w:pPr>
        <w:spacing w:after="0" w:line="140" w:lineRule="exact"/>
        <w:rPr>
          <w:sz w:val="20"/>
          <w:szCs w:val="20"/>
          <w:color w:val="auto"/>
        </w:rPr>
      </w:pPr>
    </w:p>
    <w:p>
      <w:pPr>
        <w:ind w:firstLine="648"/>
        <w:spacing w:after="0" w:line="254" w:lineRule="auto"/>
        <w:rPr>
          <w:sz w:val="20"/>
          <w:szCs w:val="20"/>
          <w:color w:val="auto"/>
        </w:rPr>
      </w:pPr>
      <w:r>
        <w:rPr>
          <w:rFonts w:ascii="Arial" w:cs="Arial" w:eastAsia="Arial" w:hAnsi="Arial"/>
          <w:sz w:val="20"/>
          <w:szCs w:val="20"/>
          <w:color w:val="auto"/>
        </w:rPr>
        <w:t>The restrictions related to competitive activities in Section 1(a) only apply to the extent I earn, both at the time this PECA is entered into and at the time the Company enforces it, an amount of annualized cash compensation equivalent to or greater than the threshold amount for highly compensated workers as determined by the Colorado Department of Labor and Employment at the time this PECA is entered into, and such activities will involve the inevitable use of, or near-certain influence by my knowledge of, trade secrets disclosed to me during the course of employment with the Company. As of January 1, 2025, that threshold is $127,091.</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20"/>
          <w:szCs w:val="20"/>
          <w:color w:val="auto"/>
        </w:rPr>
        <w:t>The restrictions related to solicitation activities in Section 1(b)(i) only apply to the extent I earn, both at the time this PECA is entered into and at the time the Company enforces it, an amount of annualized cash compensation equivalent to or greater than 60% of the threshold amount for highly compensated workers as determined by the Colorado Department of Labor and Employment at the time this PECA is entered into, and such activities will involve the inevitable use of, or near-certain influence by my knowledge of, trade secrets disclosed to me during the course of employment with the Company. As of January 1, 2025, that threshold is $76,254.60.</w:t>
      </w:r>
    </w:p>
    <w:p>
      <w:pPr>
        <w:spacing w:after="0" w:line="173"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language in Section 2 of the PECA “Consideration and Acknowledgement” is modified by adding the following:</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0"/>
          <w:szCs w:val="20"/>
          <w:color w:val="auto"/>
        </w:rPr>
        <w:t>12</w:t>
      </w:r>
    </w:p>
    <w:p>
      <w:pPr>
        <w:sectPr>
          <w:pgSz w:w="11900" w:h="16838" w:orient="portrait"/>
          <w:cols w:equalWidth="0" w:num="1">
            <w:col w:w="11160"/>
          </w:cols>
          <w:pgMar w:left="320" w:top="1440" w:right="419" w:bottom="1440" w:gutter="0" w:footer="0" w:header="0"/>
        </w:sectPr>
      </w:pPr>
    </w:p>
    <w:bookmarkStart w:id="138" w:name="page139"/>
    <w:bookmarkEnd w:id="138"/>
    <w:p>
      <w:pPr>
        <w:spacing w:after="0" w:line="123"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I acknowledge and agree that the restrictions in this PECA are reasonable and shall not prohibit the disclosure of information arising from my general training, knowledge, skill, or experience, whether gained on the job or otherwise, information readily ascertainable to the public, and/or information an employee has a right to disclose as legally protected conduct.</w:t>
      </w:r>
    </w:p>
    <w:p>
      <w:pPr>
        <w:spacing w:after="0" w:line="148"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language in Section 7(b) of the PECA is modified by adding the following: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20"/>
          <w:szCs w:val="20"/>
          <w:color w:val="auto"/>
        </w:rPr>
        <w:t>I understand that if I primarily reside or work in the State of Colorado at the time my employment with the Company is terminated, the PECA will be subject to the laws and courts of the State of Colorado. During this period, venue shall be the State and Federal courts sitting in Colorado and the parties waive any defense, whether asserted by motion or pleading, that the venue specified by this Addendum is an improper or inconvenient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DISTRICT OF COLUMBIA ADDENDUM TO POST-EMPLOYMENT CONDUCT AGREEMENT</w:t>
      </w:r>
    </w:p>
    <w:p>
      <w:pPr>
        <w:spacing w:after="0" w:line="218" w:lineRule="exact"/>
        <w:rPr>
          <w:sz w:val="20"/>
          <w:szCs w:val="20"/>
          <w:color w:val="auto"/>
        </w:rPr>
      </w:pPr>
    </w:p>
    <w:p>
      <w:pPr>
        <w:ind w:right="280"/>
        <w:spacing w:after="0" w:line="258" w:lineRule="auto"/>
        <w:rPr>
          <w:sz w:val="20"/>
          <w:szCs w:val="20"/>
          <w:color w:val="auto"/>
        </w:rPr>
      </w:pPr>
      <w:r>
        <w:rPr>
          <w:rFonts w:ascii="Arial" w:cs="Arial" w:eastAsia="Arial" w:hAnsi="Arial"/>
          <w:sz w:val="20"/>
          <w:szCs w:val="20"/>
          <w:color w:val="auto"/>
        </w:rPr>
        <w:t>The District of Columbia’s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Company has determined that you are a highly compensated employee. For more information about the Ban on Non-Compete Agreements Amendment Act of 2020, contact the District of Columbia Department of Employment Services (DOES).</w:t>
      </w:r>
    </w:p>
    <w:p>
      <w:pPr>
        <w:spacing w:after="0" w:line="168"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The Company is, contemporaneously with this notice, providing you with a Post-Employment Conduct Agreement (the “PECA”) containing covenants that could restrict your options for subsequent employment following separation from the Company, in that you will be prohibited from certain competition and solicitation of customers, employees, etc., as described in Section 1 of the PECA. The provisions of this District of Columbia Addendum apply only to those employees of the Company who primarily work in the District of Columbia and are as follows.</w:t>
      </w:r>
    </w:p>
    <w:p>
      <w:pPr>
        <w:spacing w:after="0" w:line="168" w:lineRule="exact"/>
        <w:rPr>
          <w:sz w:val="20"/>
          <w:szCs w:val="20"/>
          <w:color w:val="auto"/>
        </w:rPr>
      </w:pPr>
    </w:p>
    <w:p>
      <w:pPr>
        <w:ind w:right="80" w:firstLine="8"/>
        <w:spacing w:after="0" w:line="286" w:lineRule="auto"/>
        <w:tabs>
          <w:tab w:leader="none" w:pos="385" w:val="left"/>
        </w:tabs>
        <w:numPr>
          <w:ilvl w:val="0"/>
          <w:numId w:val="74"/>
        </w:numPr>
        <w:rPr>
          <w:rFonts w:ascii="Arial" w:cs="Arial" w:eastAsia="Arial" w:hAnsi="Arial"/>
          <w:sz w:val="20"/>
          <w:szCs w:val="20"/>
          <w:color w:val="auto"/>
        </w:rPr>
      </w:pPr>
      <w:r>
        <w:rPr>
          <w:rFonts w:ascii="Arial" w:cs="Arial" w:eastAsia="Arial" w:hAnsi="Arial"/>
          <w:sz w:val="20"/>
          <w:szCs w:val="20"/>
          <w:color w:val="auto"/>
        </w:rPr>
        <w:t>For Elected Officers, and regarding the non-competition obligation in Section 1(a) of the PECA only, the restricted period is modified by reducing the period from two-years after the Termination Date to one year after the Termination Date.</w:t>
      </w:r>
    </w:p>
    <w:p>
      <w:pPr>
        <w:spacing w:after="0" w:line="140" w:lineRule="exact"/>
        <w:rPr>
          <w:rFonts w:ascii="Arial" w:cs="Arial" w:eastAsia="Arial" w:hAnsi="Arial"/>
          <w:sz w:val="20"/>
          <w:szCs w:val="20"/>
          <w:color w:val="auto"/>
        </w:rPr>
      </w:pPr>
    </w:p>
    <w:p>
      <w:pPr>
        <w:ind w:left="380" w:hanging="372"/>
        <w:spacing w:after="0"/>
        <w:tabs>
          <w:tab w:leader="none" w:pos="3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following is added to the end of Section 1(a) of the PECA “Covenant Not to Compete”: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 understand that the non-competition obligations under Section 1(a) shall apply to me if I am a “highly compensated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employee.” A “highly compensated employee” for this purpose is someone who is reasonably expected to earn at least</w:t>
      </w:r>
    </w:p>
    <w:p>
      <w:pPr>
        <w:spacing w:after="0"/>
        <w:rPr>
          <w:sz w:val="20"/>
          <w:szCs w:val="20"/>
          <w:color w:val="auto"/>
        </w:rPr>
      </w:pPr>
      <w:r>
        <w:rPr>
          <w:rFonts w:ascii="Arial" w:cs="Arial" w:eastAsia="Arial" w:hAnsi="Arial"/>
          <w:sz w:val="19"/>
          <w:szCs w:val="19"/>
          <w:color w:val="auto"/>
        </w:rPr>
        <w:t>$154,200 (in 2024) during a consecutive 12-month period or whose compensation earned from the Company in the consecutive</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12-month period preceding the date the proposed non-competition is to begin is at least $154,200 (in 2024). Beginning on</w:t>
      </w:r>
    </w:p>
    <w:p>
      <w:pPr>
        <w:spacing w:after="0"/>
        <w:rPr>
          <w:sz w:val="20"/>
          <w:szCs w:val="20"/>
          <w:color w:val="auto"/>
        </w:rPr>
      </w:pPr>
      <w:r>
        <w:rPr>
          <w:rFonts w:ascii="Arial" w:cs="Arial" w:eastAsia="Arial" w:hAnsi="Arial"/>
          <w:sz w:val="20"/>
          <w:szCs w:val="20"/>
          <w:color w:val="auto"/>
        </w:rPr>
        <w:t>January 1, 2024, and each calendar year thereafter, the dollar threshold for highly compensated employee status will be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adjusted based on increases in the Consumer Price Index. Compensation includes the individual’s hourly wages, salary,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bonuses or cash incentives, commissions, overtime premiums, vested stocked (including restricted stock units), and other</w:t>
      </w:r>
    </w:p>
    <w:p>
      <w:pPr>
        <w:spacing w:after="0"/>
        <w:rPr>
          <w:sz w:val="20"/>
          <w:szCs w:val="20"/>
          <w:color w:val="auto"/>
        </w:rPr>
      </w:pPr>
      <w:r>
        <w:rPr>
          <w:rFonts w:ascii="Arial" w:cs="Arial" w:eastAsia="Arial" w:hAnsi="Arial"/>
          <w:sz w:val="20"/>
          <w:szCs w:val="20"/>
          <w:color w:val="auto"/>
        </w:rPr>
        <w:t>payments provided on a regular or irregular basis.</w:t>
      </w:r>
    </w:p>
    <w:p>
      <w:pPr>
        <w:spacing w:after="0" w:line="211" w:lineRule="exact"/>
        <w:rPr>
          <w:sz w:val="20"/>
          <w:szCs w:val="20"/>
          <w:color w:val="auto"/>
        </w:rPr>
      </w:pPr>
    </w:p>
    <w:p>
      <w:pPr>
        <w:jc w:val="both"/>
        <w:ind w:right="700" w:firstLine="648"/>
        <w:spacing w:after="0" w:line="262" w:lineRule="auto"/>
        <w:rPr>
          <w:sz w:val="20"/>
          <w:szCs w:val="20"/>
          <w:color w:val="auto"/>
        </w:rPr>
      </w:pPr>
      <w:r>
        <w:rPr>
          <w:rFonts w:ascii="Arial" w:cs="Arial" w:eastAsia="Arial" w:hAnsi="Arial"/>
          <w:sz w:val="20"/>
          <w:szCs w:val="20"/>
          <w:color w:val="auto"/>
        </w:rPr>
        <w:t>The restrictions described in Section 1(a) are intended to cover geographic territory where my knowledge of the Company’s trade secrets could be used by a Restricted Company to unfairly compete with or undermine the Company’s legitimate business interests.</w:t>
      </w:r>
    </w:p>
    <w:p>
      <w:pPr>
        <w:spacing w:after="0" w:line="178"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 new Section “Notice” is added to the end of the PECA, reading as follows:</w:t>
      </w:r>
    </w:p>
    <w:p>
      <w:pPr>
        <w:spacing w:after="0" w:line="216" w:lineRule="exact"/>
        <w:rPr>
          <w:sz w:val="20"/>
          <w:szCs w:val="20"/>
          <w:color w:val="auto"/>
        </w:rPr>
      </w:pPr>
    </w:p>
    <w:p>
      <w:pPr>
        <w:ind w:right="540" w:firstLine="648"/>
        <w:spacing w:after="0" w:line="286" w:lineRule="auto"/>
        <w:rPr>
          <w:sz w:val="20"/>
          <w:szCs w:val="20"/>
          <w:color w:val="auto"/>
        </w:rPr>
      </w:pPr>
      <w:r>
        <w:rPr>
          <w:rFonts w:ascii="Arial" w:cs="Arial" w:eastAsia="Arial" w:hAnsi="Arial"/>
          <w:sz w:val="20"/>
          <w:szCs w:val="20"/>
          <w:color w:val="auto"/>
        </w:rPr>
        <w:t>I agree that before being required to sign this PECA, the Company provided written notice to me that I had at least fourteen (14) calendar days to review the non-competition provision in the PECA before I must execute the PECA.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180"/>
          </w:cols>
          <w:pgMar w:left="320" w:top="1440" w:right="399" w:bottom="1440" w:gutter="0" w:footer="0" w:header="0"/>
        </w:sectPr>
      </w:pPr>
    </w:p>
    <w:bookmarkStart w:id="140" w:name="page141"/>
    <w:bookmarkEnd w:id="140"/>
    <w:p>
      <w:pPr>
        <w:spacing w:after="0" w:line="364"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Exhibit A.2</w:t>
      </w:r>
    </w:p>
    <w:p>
      <w:pPr>
        <w:spacing w:after="0" w:line="20"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Post-Employment Conduct Agreement for Non-Officers</w:t>
      </w:r>
    </w:p>
    <w:p>
      <w:pPr>
        <w:spacing w:after="0" w:line="236"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[PECA will vary by state law and current legal and</w:t>
      </w:r>
    </w:p>
    <w:p>
      <w:pPr>
        <w:spacing w:after="0" w:line="20"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professional requirements at time of termination]</w:t>
      </w:r>
    </w:p>
    <w:p>
      <w:pPr>
        <w:spacing w:after="0" w:line="236"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[Applicable provisions may be incorporated into the</w:t>
      </w:r>
    </w:p>
    <w:p>
      <w:pPr>
        <w:spacing w:after="0" w:line="33"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release of claims agreement in lieu of a separate PECA]</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This Post Employment Conduct Agreement dated ____________ (this “PECA”), together with the</w:t>
      </w:r>
    </w:p>
    <w:p>
      <w:pPr>
        <w:spacing w:after="0" w:line="31" w:lineRule="exact"/>
        <w:rPr>
          <w:sz w:val="20"/>
          <w:szCs w:val="20"/>
          <w:color w:val="auto"/>
        </w:rPr>
      </w:pPr>
    </w:p>
    <w:p>
      <w:pPr>
        <w:ind w:right="1000"/>
        <w:spacing w:after="0" w:line="253" w:lineRule="auto"/>
        <w:rPr>
          <w:sz w:val="20"/>
          <w:szCs w:val="20"/>
          <w:color w:val="auto"/>
        </w:rPr>
      </w:pPr>
      <w:r>
        <w:rPr>
          <w:rFonts w:ascii="Arial" w:cs="Arial" w:eastAsia="Arial" w:hAnsi="Arial"/>
          <w:sz w:val="20"/>
          <w:szCs w:val="20"/>
          <w:color w:val="auto"/>
        </w:rPr>
        <w:t>Release of Claims being entered into contemporaneous with this PECA, is entered into in consideration of the payment (“Severance Payment”) to be made to me under the Lockheed Martin Corporation Executive Severance Plan (“Severance Plan”). By signing below, I agree as follows:</w:t>
      </w:r>
    </w:p>
    <w:p>
      <w:pPr>
        <w:spacing w:after="0" w:line="186" w:lineRule="exact"/>
        <w:rPr>
          <w:sz w:val="20"/>
          <w:szCs w:val="20"/>
          <w:color w:val="auto"/>
        </w:rPr>
      </w:pPr>
    </w:p>
    <w:p>
      <w:pPr>
        <w:ind w:left="780" w:hanging="464"/>
        <w:spacing w:after="0"/>
        <w:tabs>
          <w:tab w:leader="none" w:pos="78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Restrictions Following Termination of Employment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320" w:right="620" w:firstLine="644"/>
        <w:spacing w:after="0" w:line="258" w:lineRule="auto"/>
        <w:tabs>
          <w:tab w:leader="none" w:pos="1430"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Covenant Not To Compete</w:t>
      </w:r>
      <w:r>
        <w:rPr>
          <w:rFonts w:ascii="Arial" w:cs="Arial" w:eastAsia="Arial" w:hAnsi="Arial"/>
          <w:sz w:val="20"/>
          <w:szCs w:val="20"/>
          <w:color w:val="auto"/>
        </w:rPr>
        <w:t xml:space="preserve"> –Without the express written consent of the Senior Vice President, Chief Human Resources Officer of the Company, during the one-year period following my last day of employment with the Company (“Termination Date”), I will not, directly or indirectly, be employed by, provide services to, or advise a “Restricted Company” (as defined in Section 6 below), whether as an employee, advisor, director, officer, partner or consultant, or in any other position, function or role that, in any such case,</w:t>
      </w:r>
    </w:p>
    <w:p>
      <w:pPr>
        <w:spacing w:after="0" w:line="194" w:lineRule="exact"/>
        <w:rPr>
          <w:rFonts w:ascii="Arial" w:cs="Arial" w:eastAsia="Arial" w:hAnsi="Arial"/>
          <w:sz w:val="20"/>
          <w:szCs w:val="20"/>
          <w:color w:val="auto"/>
        </w:rPr>
      </w:pPr>
    </w:p>
    <w:p>
      <w:pPr>
        <w:ind w:left="1940" w:right="700" w:hanging="328"/>
        <w:spacing w:after="0" w:line="262" w:lineRule="auto"/>
        <w:tabs>
          <w:tab w:leader="none" w:pos="2012" w:val="left"/>
        </w:tabs>
        <w:numPr>
          <w:ilvl w:val="2"/>
          <w:numId w:val="76"/>
        </w:numPr>
        <w:rPr>
          <w:rFonts w:ascii="Arial" w:cs="Arial" w:eastAsia="Arial" w:hAnsi="Arial"/>
          <w:sz w:val="20"/>
          <w:szCs w:val="20"/>
          <w:color w:val="auto"/>
        </w:rPr>
      </w:pPr>
      <w:r>
        <w:rPr>
          <w:rFonts w:ascii="Arial" w:cs="Arial" w:eastAsia="Arial" w:hAnsi="Arial"/>
          <w:sz w:val="20"/>
          <w:szCs w:val="20"/>
          <w:color w:val="auto"/>
        </w:rPr>
        <w:t>oversees, controls or affects the design, operation, research, manufacture, marketing, sale or distribution of “Competitive Products or Services” (as defined in Section 6 below) of or by the Restricted Company, or</w:t>
      </w:r>
    </w:p>
    <w:p>
      <w:pPr>
        <w:spacing w:after="0" w:line="205" w:lineRule="exact"/>
        <w:rPr>
          <w:rFonts w:ascii="Arial" w:cs="Arial" w:eastAsia="Arial" w:hAnsi="Arial"/>
          <w:sz w:val="20"/>
          <w:szCs w:val="20"/>
          <w:color w:val="auto"/>
        </w:rPr>
      </w:pPr>
    </w:p>
    <w:p>
      <w:pPr>
        <w:ind w:left="1940" w:right="800" w:hanging="328"/>
        <w:spacing w:after="0" w:line="254" w:lineRule="auto"/>
        <w:tabs>
          <w:tab w:leader="none" w:pos="2056" w:val="left"/>
        </w:tabs>
        <w:numPr>
          <w:ilvl w:val="2"/>
          <w:numId w:val="76"/>
        </w:numPr>
        <w:rPr>
          <w:rFonts w:ascii="Arial" w:cs="Arial" w:eastAsia="Arial" w:hAnsi="Arial"/>
          <w:sz w:val="20"/>
          <w:szCs w:val="20"/>
          <w:color w:val="auto"/>
        </w:rPr>
      </w:pPr>
      <w:r>
        <w:rPr>
          <w:rFonts w:ascii="Arial" w:cs="Arial" w:eastAsia="Arial" w:hAnsi="Arial"/>
          <w:sz w:val="20"/>
          <w:szCs w:val="20"/>
          <w:color w:val="auto"/>
        </w:rPr>
        <w:t>would involve a substantial risk that the “Confidential or Proprietary Information” (as defined in Section 1(c) below) of the Company (including but not limited to technical information or intellectual property, strategic plans, information relating to pricing offered to the Company by vendors or suppliers or to prices charged or pricing contemplated to be charged by the Company, information relating to employee performance, promotions or identification for promotion, or information relating to the Company’s cost base) could be used to the disadvantage of the Company.</w:t>
      </w:r>
    </w:p>
    <w:p>
      <w:pPr>
        <w:spacing w:after="0" w:line="200" w:lineRule="exact"/>
        <w:rPr>
          <w:sz w:val="20"/>
          <w:szCs w:val="20"/>
          <w:color w:val="auto"/>
        </w:rPr>
      </w:pPr>
    </w:p>
    <w:p>
      <w:pPr>
        <w:ind w:left="320" w:firstLine="648"/>
        <w:spacing w:after="0" w:line="254" w:lineRule="auto"/>
        <w:rPr>
          <w:sz w:val="20"/>
          <w:szCs w:val="20"/>
          <w:color w:val="auto"/>
        </w:rPr>
      </w:pPr>
      <w:r>
        <w:rPr>
          <w:rFonts w:ascii="Arial" w:cs="Arial" w:eastAsia="Arial" w:hAnsi="Arial"/>
          <w:sz w:val="20"/>
          <w:szCs w:val="20"/>
          <w:color w:val="auto"/>
        </w:rPr>
        <w:t>I acknowledge and agree that: (A) the enforcement of this PECA pursuant to Sections 1(a)(i) and (ii) is necessary to protect, among other interests, the Company’s trade secrets and other Confidential or Proprietary Information, as defined by Section 1(c), and goodwill in its customers and employees; and (B) Sections 1(a)(i) and (ii) shall not apply to me if I am covered under an applicable state statute or local ordinance or rule prohibiting non-competition restrictions, including on the basis of my income or profession. In addition, Sections 1(a)(i) and (ii) shall only apply while I am employed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860"/>
          </w:cols>
          <w:pgMar w:left="660" w:top="1440" w:right="379" w:bottom="1440" w:gutter="0" w:footer="0" w:header="0"/>
        </w:sectPr>
      </w:pPr>
    </w:p>
    <w:bookmarkStart w:id="141" w:name="page142"/>
    <w:bookmarkEnd w:id="141"/>
    <w:p>
      <w:pPr>
        <w:spacing w:after="0" w:line="123" w:lineRule="exact"/>
        <w:rPr>
          <w:sz w:val="20"/>
          <w:szCs w:val="20"/>
          <w:color w:val="auto"/>
        </w:rPr>
      </w:pPr>
    </w:p>
    <w:p>
      <w:pPr>
        <w:ind w:right="500"/>
        <w:spacing w:after="0" w:line="271" w:lineRule="auto"/>
        <w:rPr>
          <w:sz w:val="20"/>
          <w:szCs w:val="20"/>
          <w:color w:val="auto"/>
        </w:rPr>
      </w:pPr>
      <w:r>
        <w:rPr>
          <w:rFonts w:ascii="Arial" w:cs="Arial" w:eastAsia="Arial" w:hAnsi="Arial"/>
          <w:sz w:val="20"/>
          <w:szCs w:val="20"/>
          <w:color w:val="auto"/>
        </w:rPr>
        <w:t>or otherwise working for the Company if I primarily work or reside in California, Virginia (but only if I am a “low-wage employee” under Virginia Code Section 40.1-28.7:8), Minnesota, North Dakota, or Oklahoma.</w:t>
      </w:r>
    </w:p>
    <w:p>
      <w:pPr>
        <w:spacing w:after="0" w:line="169" w:lineRule="exact"/>
        <w:rPr>
          <w:sz w:val="20"/>
          <w:szCs w:val="20"/>
          <w:color w:val="auto"/>
        </w:rPr>
      </w:pPr>
    </w:p>
    <w:p>
      <w:pPr>
        <w:ind w:right="100" w:firstLine="648"/>
        <w:spacing w:after="0" w:line="254" w:lineRule="auto"/>
        <w:rPr>
          <w:sz w:val="20"/>
          <w:szCs w:val="20"/>
          <w:color w:val="auto"/>
        </w:rPr>
      </w:pPr>
      <w:r>
        <w:rPr>
          <w:rFonts w:ascii="Arial" w:cs="Arial" w:eastAsia="Arial" w:hAnsi="Arial"/>
          <w:sz w:val="20"/>
          <w:szCs w:val="20"/>
          <w:color w:val="auto"/>
        </w:rPr>
        <w:t>To the extent permitted by applicable law, including but not limited to any applicable rules governing attorney conduct (such as the ABA Model Rules of Professional Conduct and state versions thereof), Sections 1(a)(i) and (ii) and Section 1(b) relating to non-solicitation, shall apply to individuals who are employed by the Company in an attorney position and whose occupation during the one-year period following employment with the Company does not include practicing law.</w:t>
      </w:r>
    </w:p>
    <w:p>
      <w:pPr>
        <w:spacing w:after="0" w:line="187" w:lineRule="exact"/>
        <w:rPr>
          <w:sz w:val="20"/>
          <w:szCs w:val="20"/>
          <w:color w:val="auto"/>
        </w:rPr>
      </w:pPr>
    </w:p>
    <w:p>
      <w:pPr>
        <w:jc w:val="both"/>
        <w:ind w:right="240" w:firstLine="648"/>
        <w:spacing w:after="0" w:line="262" w:lineRule="auto"/>
        <w:rPr>
          <w:sz w:val="20"/>
          <w:szCs w:val="20"/>
          <w:color w:val="auto"/>
        </w:rPr>
      </w:pPr>
      <w:r>
        <w:rPr>
          <w:rFonts w:ascii="Arial" w:cs="Arial" w:eastAsia="Arial" w:hAnsi="Arial"/>
          <w:sz w:val="20"/>
          <w:szCs w:val="20"/>
          <w:color w:val="auto"/>
        </w:rPr>
        <w:t>In lieu of Section 1(a)(i) and (ii), as well as Section 1(b) relating to non-solicitation, the following Section 1(a)(iii) shall apply to individuals who are employed by the Company in an attorney position, and whose occupation during the one-year period following employment with the Company includes practicing law.</w:t>
      </w:r>
    </w:p>
    <w:p>
      <w:pPr>
        <w:spacing w:after="0" w:line="178" w:lineRule="exact"/>
        <w:rPr>
          <w:sz w:val="20"/>
          <w:szCs w:val="20"/>
          <w:color w:val="auto"/>
        </w:rPr>
      </w:pPr>
    </w:p>
    <w:p>
      <w:pPr>
        <w:jc w:val="both"/>
        <w:ind w:left="1940" w:hanging="648"/>
        <w:spacing w:after="0" w:line="254" w:lineRule="auto"/>
        <w:tabs>
          <w:tab w:leader="none" w:pos="1889" w:val="left"/>
        </w:tabs>
        <w:numPr>
          <w:ilvl w:val="0"/>
          <w:numId w:val="77"/>
        </w:numPr>
        <w:rPr>
          <w:rFonts w:ascii="Arial" w:cs="Arial" w:eastAsia="Arial" w:hAnsi="Arial"/>
          <w:sz w:val="20"/>
          <w:szCs w:val="20"/>
          <w:color w:val="auto"/>
        </w:rPr>
      </w:pPr>
      <w:r>
        <w:rPr>
          <w:rFonts w:ascii="Arial" w:cs="Arial" w:eastAsia="Arial" w:hAnsi="Arial"/>
          <w:sz w:val="20"/>
          <w:szCs w:val="20"/>
          <w:color w:val="auto"/>
        </w:rPr>
        <w:t>Post-employment Activity As a Lawyer – I acknowledge that as counsel to the Company, I owe ethical and fiduciary obligations to the Company and that at least some of these obligations will continue even after my Termination Date with the Company. I agree that after my Termination Date I will comply fully with all applicable ethical and fiduciary obligations that I owe to the Company. To the extent permitted by applicable law, including but not limited to any applicable rules governing attorney conduct, I agree that I will not:</w:t>
      </w:r>
    </w:p>
    <w:p>
      <w:pPr>
        <w:spacing w:after="0" w:line="200" w:lineRule="exact"/>
        <w:rPr>
          <w:rFonts w:ascii="Arial" w:cs="Arial" w:eastAsia="Arial" w:hAnsi="Arial"/>
          <w:sz w:val="20"/>
          <w:szCs w:val="20"/>
          <w:color w:val="auto"/>
        </w:rPr>
      </w:pPr>
    </w:p>
    <w:p>
      <w:pPr>
        <w:ind w:left="2260" w:hanging="320"/>
        <w:spacing w:after="0" w:line="286" w:lineRule="auto"/>
        <w:tabs>
          <w:tab w:leader="none" w:pos="2369" w:val="left"/>
        </w:tabs>
        <w:numPr>
          <w:ilvl w:val="1"/>
          <w:numId w:val="77"/>
        </w:numPr>
        <w:rPr>
          <w:rFonts w:ascii="Arial" w:cs="Arial" w:eastAsia="Arial" w:hAnsi="Arial"/>
          <w:sz w:val="20"/>
          <w:szCs w:val="20"/>
          <w:color w:val="auto"/>
        </w:rPr>
      </w:pPr>
      <w:r>
        <w:rPr>
          <w:rFonts w:ascii="Arial" w:cs="Arial" w:eastAsia="Arial" w:hAnsi="Arial"/>
          <w:sz w:val="20"/>
          <w:szCs w:val="20"/>
          <w:color w:val="auto"/>
        </w:rPr>
        <w:t>Represent any client in the same or a substantially related matter in which I represented the Company where the client’s interests are materially adverse to the Company; or</w:t>
      </w:r>
    </w:p>
    <w:p>
      <w:pPr>
        <w:spacing w:after="0" w:line="315" w:lineRule="exact"/>
        <w:rPr>
          <w:rFonts w:ascii="Arial" w:cs="Arial" w:eastAsia="Arial" w:hAnsi="Arial"/>
          <w:sz w:val="20"/>
          <w:szCs w:val="20"/>
          <w:color w:val="auto"/>
        </w:rPr>
      </w:pPr>
    </w:p>
    <w:p>
      <w:pPr>
        <w:jc w:val="both"/>
        <w:ind w:left="2260" w:hanging="320"/>
        <w:spacing w:after="0" w:line="262" w:lineRule="auto"/>
        <w:tabs>
          <w:tab w:leader="none" w:pos="2371" w:val="left"/>
        </w:tabs>
        <w:numPr>
          <w:ilvl w:val="1"/>
          <w:numId w:val="77"/>
        </w:numPr>
        <w:rPr>
          <w:rFonts w:ascii="Arial" w:cs="Arial" w:eastAsia="Arial" w:hAnsi="Arial"/>
          <w:sz w:val="20"/>
          <w:szCs w:val="20"/>
          <w:color w:val="auto"/>
        </w:rPr>
      </w:pPr>
      <w:r>
        <w:rPr>
          <w:rFonts w:ascii="Arial" w:cs="Arial" w:eastAsia="Arial" w:hAnsi="Arial"/>
          <w:sz w:val="20"/>
          <w:szCs w:val="20"/>
          <w:color w:val="auto"/>
        </w:rPr>
        <w:t>Disclose confidential information relating to my representation of the Company, including the disclosure of information that is to the disadvantage of the Company, except for information that is or becomes generally known.</w:t>
      </w:r>
    </w:p>
    <w:p>
      <w:pPr>
        <w:spacing w:after="0" w:line="340" w:lineRule="exact"/>
        <w:rPr>
          <w:sz w:val="20"/>
          <w:szCs w:val="20"/>
          <w:color w:val="auto"/>
        </w:rPr>
      </w:pPr>
    </w:p>
    <w:p>
      <w:pPr>
        <w:ind w:right="720" w:firstLine="648"/>
        <w:spacing w:after="0" w:line="269" w:lineRule="auto"/>
        <w:rPr>
          <w:sz w:val="20"/>
          <w:szCs w:val="20"/>
          <w:color w:val="auto"/>
        </w:rPr>
      </w:pPr>
      <w:r>
        <w:rPr>
          <w:rFonts w:ascii="Arial" w:cs="Arial" w:eastAsia="Arial" w:hAnsi="Arial"/>
          <w:sz w:val="20"/>
          <w:szCs w:val="20"/>
          <w:color w:val="auto"/>
        </w:rPr>
        <w:t>The Company’s Senior Vice President, General Counsel, and Corporate Secretary or the General Tax Counsel, as applicable, will determine in their discretion whether an individual is employed by the Company in an attorney position.</w:t>
      </w:r>
    </w:p>
    <w:p>
      <w:pPr>
        <w:spacing w:after="0" w:line="185" w:lineRule="exact"/>
        <w:rPr>
          <w:sz w:val="20"/>
          <w:szCs w:val="20"/>
          <w:color w:val="auto"/>
        </w:rPr>
      </w:pPr>
    </w:p>
    <w:p>
      <w:pPr>
        <w:ind w:right="720" w:firstLine="644"/>
        <w:spacing w:after="0" w:line="254" w:lineRule="auto"/>
        <w:tabs>
          <w:tab w:leader="none" w:pos="111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Non-Solicit</w:t>
      </w:r>
      <w:r>
        <w:rPr>
          <w:rFonts w:ascii="Arial" w:cs="Arial" w:eastAsia="Arial" w:hAnsi="Arial"/>
          <w:sz w:val="20"/>
          <w:szCs w:val="20"/>
          <w:color w:val="auto"/>
        </w:rPr>
        <w:t xml:space="preserve"> – Without the express written consent of the Senior Vice President, Chief Human Resources Officer of the Company, during the two-year period following the Termination Date, I will not (i) cause or attempt to cause, directly or indirectly, the complete or partial loss of any contract in effect before the Termination Date between the Company and any customer, supplier, distributor or manufacturer of or to the Company with which I was responsible, in whole or in part, for soliciting, negotiating, implementing, managing, or overseeing or (ii) induce or attempt to induce, directly or indirectly, any person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580"/>
          </w:cols>
          <w:pgMar w:left="980" w:top="1440" w:right="339" w:bottom="1440" w:gutter="0" w:footer="0" w:header="0"/>
        </w:sectPr>
      </w:pPr>
    </w:p>
    <w:bookmarkStart w:id="142" w:name="page143"/>
    <w:bookmarkEnd w:id="142"/>
    <w:p>
      <w:pPr>
        <w:spacing w:after="0" w:line="123" w:lineRule="exact"/>
        <w:rPr>
          <w:sz w:val="20"/>
          <w:szCs w:val="20"/>
          <w:color w:val="auto"/>
        </w:rPr>
      </w:pPr>
    </w:p>
    <w:p>
      <w:pPr>
        <w:jc w:val="both"/>
        <w:ind w:right="240"/>
        <w:spacing w:after="0" w:line="262" w:lineRule="auto"/>
        <w:rPr>
          <w:sz w:val="20"/>
          <w:szCs w:val="20"/>
          <w:color w:val="auto"/>
        </w:rPr>
      </w:pPr>
      <w:r>
        <w:rPr>
          <w:rFonts w:ascii="Arial" w:cs="Arial" w:eastAsia="Arial" w:hAnsi="Arial"/>
          <w:sz w:val="20"/>
          <w:szCs w:val="20"/>
          <w:color w:val="auto"/>
        </w:rPr>
        <w:t>who is an employee of the Company with whom I worked or interacted within two years prior to the Termination Date to cease employment with the Company in order to perform work or services for any entity other than the Company.</w:t>
      </w:r>
    </w:p>
    <w:p>
      <w:pPr>
        <w:spacing w:after="0" w:line="192" w:lineRule="exact"/>
        <w:rPr>
          <w:sz w:val="20"/>
          <w:szCs w:val="20"/>
          <w:color w:val="auto"/>
        </w:rPr>
      </w:pPr>
    </w:p>
    <w:p>
      <w:pPr>
        <w:ind w:right="20" w:firstLine="220"/>
        <w:spacing w:after="0" w:line="254" w:lineRule="auto"/>
        <w:rPr>
          <w:sz w:val="20"/>
          <w:szCs w:val="20"/>
          <w:color w:val="auto"/>
        </w:rPr>
      </w:pPr>
      <w:r>
        <w:rPr>
          <w:rFonts w:ascii="Arial" w:cs="Arial" w:eastAsia="Arial" w:hAnsi="Arial"/>
          <w:sz w:val="20"/>
          <w:szCs w:val="20"/>
          <w:color w:val="auto"/>
        </w:rPr>
        <w:t>I acknowledge and agree that: (A) the enforcement of this PECA pursuant to Section 1(b)(i) is necessary to protect, among other interests, the Company’s trade secrets and other Confidential or Proprietary Information, as defined by Section 1(c), and goodwill in its customers and employees; and (B) Section 1(b)(i) shall not apply to me if I am a “low-wage employee” under Virginia Code Section 40.1-28.7:8 or am covered under an applicable state statute or local ordinance or rule prohibiting non-solicitation restrictions, including on the basis of my income or profession. In addition, if I primarily reside or work in California, Section 1(b) shall apply only while I am employed by or otherwise working for the Company.</w:t>
      </w:r>
    </w:p>
    <w:p>
      <w:pPr>
        <w:spacing w:after="0" w:line="213" w:lineRule="exact"/>
        <w:rPr>
          <w:sz w:val="20"/>
          <w:szCs w:val="20"/>
          <w:color w:val="auto"/>
        </w:rPr>
      </w:pPr>
    </w:p>
    <w:p>
      <w:pPr>
        <w:ind w:firstLine="644"/>
        <w:spacing w:after="0" w:line="262" w:lineRule="auto"/>
        <w:tabs>
          <w:tab w:leader="none" w:pos="109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Protection of Proprietary Information</w:t>
      </w:r>
      <w:r>
        <w:rPr>
          <w:rFonts w:ascii="Arial" w:cs="Arial" w:eastAsia="Arial" w:hAnsi="Arial"/>
          <w:sz w:val="19"/>
          <w:szCs w:val="19"/>
          <w:color w:val="auto"/>
        </w:rPr>
        <w:t xml:space="preserve"> – Except to the extent required by law, following my Termination Date, I will have a continuing obligation to comply with the terms of any non-disclosure or similar agreements that I signed while employed by the Company committing to hold confidential the “Confidential or Proprietary Information” (as defined below) of the Company or any of its affiliates, subsidiaries, related companies, joint ventures, partnerships, customers, suppliers, partners, contractors or agents, in each case in accordance with the terms of such agreements. I will not use or disclose or allow the use or disclosure by others to any person or entity of Confidential or Proprietary Information of the Company or others to which I had access or that I was responsible for creating or overseeing during my employment with the Company. In the event I become legally compelled (by deposition, interrogatory, request for documents, subpoena, civil investigative demand or otherwise) to disclose any proprietary or confidential information, I will immediately notify the Company’s Senior Vice President, General Counsel and Corporate Secretary as to the existence of the obligation and will cooperate with any reasonable request by the Company for assistance in seeking to protect the information. All materials to which I have had access, or which were furnished or otherwise made available to me in connection with my employment with the Company shall be and remain the property of the Company. For purposes of this PECA, “Confidential or Proprietary Information” means trade secrets, as defined by the federal Defend Trade Secrets Act of 2016 and/or applicable state trade secret law, and Sensitive Information within the meaning of CRX-015 (a copy of which has been made available to me), including but not limited to information that a person or entity desires to protect from unauthorized disclosure to third parties that can provide the person or entity with a business, technological, or economic advantage over its competitors, or which, if known or used by third parties or if used by the person’s or entity's employees or agents in an unauthorized manner, might be detrimental to the person’s or entity's interests. Confidential or Proprietary Information may include, but is not limited to:</w:t>
      </w:r>
    </w:p>
    <w:p>
      <w:pPr>
        <w:spacing w:after="0" w:line="215" w:lineRule="exact"/>
        <w:rPr>
          <w:rFonts w:ascii="Arial" w:cs="Arial" w:eastAsia="Arial" w:hAnsi="Arial"/>
          <w:sz w:val="19"/>
          <w:szCs w:val="19"/>
          <w:color w:val="auto"/>
        </w:rPr>
      </w:pPr>
    </w:p>
    <w:p>
      <w:pPr>
        <w:ind w:left="1300" w:right="340" w:hanging="8"/>
        <w:spacing w:after="0" w:line="313" w:lineRule="auto"/>
        <w:tabs>
          <w:tab w:leader="none" w:pos="1696" w:val="left"/>
        </w:tabs>
        <w:numPr>
          <w:ilvl w:val="1"/>
          <w:numId w:val="79"/>
        </w:numPr>
        <w:rPr>
          <w:rFonts w:ascii="Arial" w:cs="Arial" w:eastAsia="Arial" w:hAnsi="Arial"/>
          <w:sz w:val="19"/>
          <w:szCs w:val="19"/>
          <w:color w:val="auto"/>
        </w:rPr>
      </w:pPr>
      <w:r>
        <w:rPr>
          <w:rFonts w:ascii="Arial" w:cs="Arial" w:eastAsia="Arial" w:hAnsi="Arial"/>
          <w:sz w:val="19"/>
          <w:szCs w:val="19"/>
          <w:color w:val="auto"/>
        </w:rPr>
        <w:t>existing and contemplated business, marketing and financial business information such as business plans and methods, marketing information, cost estimates, forecasts, financial data,</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9920"/>
          </w:cols>
          <w:pgMar w:left="980" w:top="1440" w:right="999" w:bottom="1440" w:gutter="0" w:footer="0" w:header="0"/>
        </w:sectPr>
      </w:pPr>
    </w:p>
    <w:bookmarkStart w:id="143" w:name="page144"/>
    <w:bookmarkEnd w:id="143"/>
    <w:p>
      <w:pPr>
        <w:spacing w:after="0" w:line="123" w:lineRule="exact"/>
        <w:rPr>
          <w:sz w:val="20"/>
          <w:szCs w:val="20"/>
          <w:color w:val="auto"/>
        </w:rPr>
      </w:pPr>
    </w:p>
    <w:p>
      <w:pPr>
        <w:ind w:left="1300" w:right="300"/>
        <w:spacing w:after="0" w:line="262" w:lineRule="auto"/>
        <w:rPr>
          <w:sz w:val="20"/>
          <w:szCs w:val="20"/>
          <w:color w:val="auto"/>
        </w:rPr>
      </w:pPr>
      <w:r>
        <w:rPr>
          <w:rFonts w:ascii="Arial" w:cs="Arial" w:eastAsia="Arial" w:hAnsi="Arial"/>
          <w:sz w:val="20"/>
          <w:szCs w:val="20"/>
          <w:color w:val="auto"/>
        </w:rPr>
        <w:t>cost or pricing data, bid and proposal information, customer identification, sources of supply, contemplated product lines, proposed business alliances, and information about customers and competitors,</w:t>
      </w:r>
    </w:p>
    <w:p>
      <w:pPr>
        <w:spacing w:after="0" w:line="192" w:lineRule="exact"/>
        <w:rPr>
          <w:sz w:val="20"/>
          <w:szCs w:val="20"/>
          <w:color w:val="auto"/>
        </w:rPr>
      </w:pPr>
    </w:p>
    <w:p>
      <w:pPr>
        <w:ind w:left="1300" w:right="80" w:hanging="8"/>
        <w:spacing w:after="0" w:line="258" w:lineRule="auto"/>
        <w:tabs>
          <w:tab w:leader="none" w:pos="1740" w:val="left"/>
        </w:tabs>
        <w:numPr>
          <w:ilvl w:val="1"/>
          <w:numId w:val="80"/>
        </w:numPr>
        <w:rPr>
          <w:rFonts w:ascii="Arial" w:cs="Arial" w:eastAsia="Arial" w:hAnsi="Arial"/>
          <w:sz w:val="20"/>
          <w:szCs w:val="20"/>
          <w:color w:val="auto"/>
        </w:rPr>
      </w:pPr>
      <w:r>
        <w:rPr>
          <w:rFonts w:ascii="Arial" w:cs="Arial" w:eastAsia="Arial" w:hAnsi="Arial"/>
          <w:sz w:val="20"/>
          <w:szCs w:val="20"/>
          <w:color w:val="auto"/>
        </w:rPr>
        <w:t>existing and contemplated technical information and documentation pertaining to technology, know how, equipment, machines, devices and systems, computer hardware and software, compositions, formulas, products, processes, methods, designs, specifications, mask works, testing or evaluation procedures, manufacturing processes, production techniques, research and development activities, inventions, discoveries, and improvements, and</w:t>
      </w:r>
    </w:p>
    <w:p>
      <w:pPr>
        <w:spacing w:after="0" w:line="194" w:lineRule="exact"/>
        <w:rPr>
          <w:rFonts w:ascii="Arial" w:cs="Arial" w:eastAsia="Arial" w:hAnsi="Arial"/>
          <w:sz w:val="20"/>
          <w:szCs w:val="20"/>
          <w:color w:val="auto"/>
        </w:rPr>
      </w:pPr>
    </w:p>
    <w:p>
      <w:pPr>
        <w:ind w:left="1780" w:hanging="488"/>
        <w:spacing w:after="0"/>
        <w:tabs>
          <w:tab w:leader="none" w:pos="1780" w:val="left"/>
        </w:tabs>
        <w:numPr>
          <w:ilvl w:val="1"/>
          <w:numId w:val="80"/>
        </w:numPr>
        <w:rPr>
          <w:rFonts w:ascii="Arial" w:cs="Arial" w:eastAsia="Arial" w:hAnsi="Arial"/>
          <w:sz w:val="20"/>
          <w:szCs w:val="20"/>
          <w:color w:val="auto"/>
        </w:rPr>
      </w:pPr>
      <w:r>
        <w:rPr>
          <w:rFonts w:ascii="Arial" w:cs="Arial" w:eastAsia="Arial" w:hAnsi="Arial"/>
          <w:sz w:val="20"/>
          <w:szCs w:val="20"/>
          <w:color w:val="auto"/>
        </w:rPr>
        <w:t>for supervisory employees only, human resources and personnel information.</w:t>
      </w:r>
    </w:p>
    <w:p>
      <w:pPr>
        <w:spacing w:after="0" w:line="256" w:lineRule="exact"/>
        <w:rPr>
          <w:rFonts w:ascii="Arial" w:cs="Arial" w:eastAsia="Arial" w:hAnsi="Arial"/>
          <w:sz w:val="20"/>
          <w:szCs w:val="20"/>
          <w:color w:val="auto"/>
        </w:rPr>
      </w:pPr>
    </w:p>
    <w:p>
      <w:pPr>
        <w:ind w:firstLine="644"/>
        <w:spacing w:after="0" w:line="259" w:lineRule="auto"/>
        <w:tabs>
          <w:tab w:leader="none" w:pos="111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No disparagement</w:t>
      </w:r>
      <w:r>
        <w:rPr>
          <w:rFonts w:ascii="Arial" w:cs="Arial" w:eastAsia="Arial" w:hAnsi="Arial"/>
          <w:sz w:val="20"/>
          <w:szCs w:val="20"/>
          <w:color w:val="auto"/>
        </w:rPr>
        <w:t xml:space="preserve"> – Following the Termination Date, for supervisory or management employees only, I will not make any statements, whether verbal or written, that disparage or reasonably may be interpreted to disparage the Company or its directors, officers, employees, technology, products or services with respect to any matter whatsoever.</w:t>
      </w:r>
    </w:p>
    <w:p>
      <w:pPr>
        <w:spacing w:after="0" w:line="195" w:lineRule="exact"/>
        <w:rPr>
          <w:rFonts w:ascii="Arial" w:cs="Arial" w:eastAsia="Arial" w:hAnsi="Arial"/>
          <w:sz w:val="20"/>
          <w:szCs w:val="20"/>
          <w:color w:val="auto"/>
        </w:rPr>
      </w:pPr>
    </w:p>
    <w:p>
      <w:pPr>
        <w:ind w:right="20" w:firstLine="644"/>
        <w:spacing w:after="0" w:line="254" w:lineRule="auto"/>
        <w:tabs>
          <w:tab w:leader="none" w:pos="111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Cooperation in Litigation and Investigations</w:t>
      </w:r>
      <w:r>
        <w:rPr>
          <w:rFonts w:ascii="Arial" w:cs="Arial" w:eastAsia="Arial" w:hAnsi="Arial"/>
          <w:sz w:val="20"/>
          <w:szCs w:val="20"/>
          <w:color w:val="auto"/>
        </w:rPr>
        <w:t xml:space="preserve"> - Following the Termination Date, I will, to the extent reasonably requested, cooperate with the Company in any pending or future litigation (including alternative dispute resolution proceedings) or investigations in which the Company or any of its subsidiaries or affiliates is a party or is required or requested to provide testimony and regarding which, as a result of my employment with the Company, I reasonably could be expected to have knowledge or information relevant to the litigation or investigation. Notwithstanding any other provision of this PECA, nothing in this PECA shall affect my obligation to cooperate with any governmental inquiry or investigation or to give truthful testimony in court.</w:t>
      </w:r>
    </w:p>
    <w:p>
      <w:pPr>
        <w:spacing w:after="0" w:line="186" w:lineRule="exact"/>
        <w:rPr>
          <w:rFonts w:ascii="Arial" w:cs="Arial" w:eastAsia="Arial" w:hAnsi="Arial"/>
          <w:sz w:val="20"/>
          <w:szCs w:val="20"/>
          <w:color w:val="auto"/>
        </w:rPr>
      </w:pPr>
    </w:p>
    <w:p>
      <w:pPr>
        <w:ind w:firstLine="644"/>
        <w:spacing w:after="0" w:line="255" w:lineRule="auto"/>
        <w:tabs>
          <w:tab w:leader="none" w:pos="1054"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Communications with Regulatory Authorities</w:t>
      </w:r>
      <w:r>
        <w:rPr>
          <w:rFonts w:ascii="Arial" w:cs="Arial" w:eastAsia="Arial" w:hAnsi="Arial"/>
          <w:sz w:val="20"/>
          <w:szCs w:val="20"/>
          <w:color w:val="auto"/>
        </w:rPr>
        <w:t xml:space="preserve"> – Nothing in this PECA prohibits or restricts me (or my attorney) from initiating communications directly with, responding to an inquiry from, or providing testimony before the Securities and Exchange Commission, Equal Employment Opportunity Commission, or any other federal or state regulatory authority.</w:t>
      </w:r>
    </w:p>
    <w:p>
      <w:pPr>
        <w:spacing w:after="0" w:line="183" w:lineRule="exact"/>
        <w:rPr>
          <w:rFonts w:ascii="Arial" w:cs="Arial" w:eastAsia="Arial" w:hAnsi="Arial"/>
          <w:sz w:val="20"/>
          <w:szCs w:val="20"/>
          <w:color w:val="auto"/>
        </w:rPr>
      </w:pPr>
    </w:p>
    <w:p>
      <w:pPr>
        <w:ind w:right="860" w:firstLine="644"/>
        <w:spacing w:after="0" w:line="286" w:lineRule="auto"/>
        <w:tabs>
          <w:tab w:leader="none" w:pos="111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Notices (including under the Defend Trade Secrets Act and National Labor Relations Act)</w:t>
      </w:r>
      <w:r>
        <w:rPr>
          <w:rFonts w:ascii="Arial" w:cs="Arial" w:eastAsia="Arial" w:hAnsi="Arial"/>
          <w:sz w:val="20"/>
          <w:szCs w:val="20"/>
          <w:color w:val="auto"/>
        </w:rPr>
        <w:t xml:space="preserve"> – Notwithstanding anything in this PECA to the contrary:</w:t>
      </w:r>
    </w:p>
    <w:p>
      <w:pPr>
        <w:spacing w:after="0" w:line="140" w:lineRule="exact"/>
        <w:rPr>
          <w:rFonts w:ascii="Arial" w:cs="Arial" w:eastAsia="Arial" w:hAnsi="Arial"/>
          <w:sz w:val="20"/>
          <w:szCs w:val="20"/>
          <w:color w:val="auto"/>
        </w:rPr>
      </w:pPr>
    </w:p>
    <w:p>
      <w:pPr>
        <w:ind w:left="1620" w:right="200" w:hanging="328"/>
        <w:spacing w:after="0" w:line="259" w:lineRule="auto"/>
        <w:tabs>
          <w:tab w:leader="none" w:pos="1692" w:val="left"/>
        </w:tabs>
        <w:numPr>
          <w:ilvl w:val="1"/>
          <w:numId w:val="81"/>
        </w:numPr>
        <w:rPr>
          <w:rFonts w:ascii="Arial" w:cs="Arial" w:eastAsia="Arial" w:hAnsi="Arial"/>
          <w:sz w:val="20"/>
          <w:szCs w:val="20"/>
          <w:color w:val="auto"/>
        </w:rPr>
      </w:pPr>
      <w:r>
        <w:rPr>
          <w:rFonts w:ascii="Arial" w:cs="Arial" w:eastAsia="Arial" w:hAnsi="Arial"/>
          <w:sz w:val="20"/>
          <w:szCs w:val="20"/>
          <w:color w:val="auto"/>
        </w:rPr>
        <w:t>I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9920"/>
          </w:cols>
          <w:pgMar w:left="980" w:top="1440" w:right="999" w:bottom="1440" w:gutter="0" w:footer="0" w:header="0"/>
        </w:sectPr>
      </w:pPr>
    </w:p>
    <w:bookmarkStart w:id="144" w:name="page145"/>
    <w:bookmarkEnd w:id="144"/>
    <w:p>
      <w:pPr>
        <w:spacing w:after="0" w:line="123" w:lineRule="exact"/>
        <w:rPr>
          <w:sz w:val="20"/>
          <w:szCs w:val="20"/>
          <w:color w:val="auto"/>
        </w:rPr>
      </w:pPr>
    </w:p>
    <w:p>
      <w:pPr>
        <w:ind w:left="1624" w:right="560"/>
        <w:spacing w:after="0" w:line="271" w:lineRule="auto"/>
        <w:rPr>
          <w:sz w:val="20"/>
          <w:szCs w:val="20"/>
          <w:color w:val="auto"/>
        </w:rPr>
      </w:pPr>
      <w:r>
        <w:rPr>
          <w:rFonts w:ascii="Arial" w:cs="Arial" w:eastAsia="Arial" w:hAnsi="Arial"/>
          <w:sz w:val="20"/>
          <w:szCs w:val="20"/>
          <w:color w:val="auto"/>
        </w:rPr>
        <w:t>a suspected violation of law; or (2) in a complaint or other document that is filed under seal in a lawsuit or other proceeding.</w:t>
      </w:r>
    </w:p>
    <w:p>
      <w:pPr>
        <w:spacing w:after="0" w:line="169" w:lineRule="exact"/>
        <w:rPr>
          <w:sz w:val="20"/>
          <w:szCs w:val="20"/>
          <w:color w:val="auto"/>
        </w:rPr>
      </w:pPr>
    </w:p>
    <w:p>
      <w:pPr>
        <w:ind w:left="1624" w:right="560" w:hanging="328"/>
        <w:spacing w:after="0" w:line="259" w:lineRule="auto"/>
        <w:tabs>
          <w:tab w:leader="none" w:pos="17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I file a lawsuit for retaliation by the Company for reporting a suspected violation of law, I may disclose the Company’s trade secrets to my attorney and use the trade secret information in the court proceeding if I (1) file any document containing the trade secret under seal; and (2) do not disclose the trade secret, except pursuant to court order.</w:t>
      </w:r>
    </w:p>
    <w:p>
      <w:pPr>
        <w:spacing w:after="0" w:line="181" w:lineRule="exact"/>
        <w:rPr>
          <w:rFonts w:ascii="Arial" w:cs="Arial" w:eastAsia="Arial" w:hAnsi="Arial"/>
          <w:sz w:val="20"/>
          <w:szCs w:val="20"/>
          <w:color w:val="auto"/>
        </w:rPr>
      </w:pPr>
    </w:p>
    <w:p>
      <w:pPr>
        <w:ind w:left="1624" w:hanging="328"/>
        <w:spacing w:after="0" w:line="263" w:lineRule="auto"/>
        <w:tabs>
          <w:tab w:leader="none" w:pos="1784"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Nothing in this PECA in any way prohibits or is intended to restrict or impede, and shall not be interpreted or understood as restricting or impeding, me from (1) for non-supervisory employees only, exercising my rights under Section 7 of the National Labor Relations Act (NLRA) (including with respect to engaging in concerted activities for the purpose of collective bargaining or other mutual aid or protection, discussing terms and conditions of employment, or otherwise engaging in protected conduct); or (2) otherwise disclosing or discussing truthful information about unlawful employment practices (including unlawful discrimination, harassment, retaliation, or sexual assault).</w:t>
      </w:r>
    </w:p>
    <w:p>
      <w:pPr>
        <w:spacing w:after="0" w:line="99" w:lineRule="exact"/>
        <w:rPr>
          <w:sz w:val="20"/>
          <w:szCs w:val="20"/>
          <w:color w:val="auto"/>
        </w:rPr>
      </w:pPr>
    </w:p>
    <w:p>
      <w:pPr>
        <w:ind w:left="4" w:right="540" w:hanging="4"/>
        <w:spacing w:after="0" w:line="250" w:lineRule="auto"/>
        <w:tabs>
          <w:tab w:leader="none" w:pos="389"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Consideration and Release of Claims</w:t>
      </w:r>
      <w:r>
        <w:rPr>
          <w:rFonts w:ascii="Arial" w:cs="Arial" w:eastAsia="Arial" w:hAnsi="Arial"/>
          <w:sz w:val="20"/>
          <w:szCs w:val="20"/>
          <w:color w:val="auto"/>
        </w:rPr>
        <w:t>. I acknowledge and agree that the Severance Payment being made to me is in addition to the payments or benefits that otherwise are or would be owed to me by the Company and that the Severance Benefit being provided to me is in consideration for my entering into this PECA and the Release of Claims attached to this PECA. I acknowledge that the scope and duration of the restrictions in Section 1 are necessary to be effective and are fair and reasonable in light of the value of the payments being made to me. I further acknowledge and agree that as a result of the high level executive and management positions I have held within the Company and the access to and extensive knowledge of the Company's Confidential or Proprietary Information, employees, suppliers and customers, (i) these restrictions are reasonably required for the protection of the Company's legitimate business interests, including, but not limited to, the Company’s Confidential or Proprietary Information, (ii) the area, duration and scope of the restrictions are reasonable and necessary to protect the Company, (iii) the restrictions do not unduly oppress or restrict my ability to earn a livelihood in my profession, and (iv) the restrictions are not an undue restraint on my trade or any of the public interests that may be involved.</w:t>
      </w:r>
    </w:p>
    <w:p>
      <w:pPr>
        <w:spacing w:after="0" w:line="220" w:lineRule="exact"/>
        <w:rPr>
          <w:rFonts w:ascii="Arial" w:cs="Arial" w:eastAsia="Arial" w:hAnsi="Arial"/>
          <w:sz w:val="20"/>
          <w:szCs w:val="20"/>
          <w:color w:val="auto"/>
        </w:rPr>
      </w:pPr>
    </w:p>
    <w:p>
      <w:pPr>
        <w:ind w:left="384" w:hanging="384"/>
        <w:spacing w:after="0"/>
        <w:tabs>
          <w:tab w:leader="none" w:pos="384"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Remedies For Breach of Section 1; Additional Remedies of Clawback and Recoupment.</w:t>
      </w:r>
    </w:p>
    <w:p>
      <w:pPr>
        <w:spacing w:after="0" w:line="242" w:lineRule="exact"/>
        <w:rPr>
          <w:rFonts w:ascii="Arial" w:cs="Arial" w:eastAsia="Arial" w:hAnsi="Arial"/>
          <w:sz w:val="20"/>
          <w:szCs w:val="20"/>
          <w:color w:val="auto"/>
        </w:rPr>
      </w:pPr>
    </w:p>
    <w:p>
      <w:pPr>
        <w:ind w:left="4" w:right="740" w:firstLine="644"/>
        <w:spacing w:after="0" w:line="269" w:lineRule="auto"/>
        <w:tabs>
          <w:tab w:leader="none" w:pos="1114" w:val="left"/>
        </w:tabs>
        <w:numPr>
          <w:ilvl w:val="1"/>
          <w:numId w:val="83"/>
        </w:numPr>
        <w:rPr>
          <w:rFonts w:ascii="Arial" w:cs="Arial" w:eastAsia="Arial" w:hAnsi="Arial"/>
          <w:sz w:val="20"/>
          <w:szCs w:val="20"/>
          <w:color w:val="auto"/>
        </w:rPr>
      </w:pPr>
      <w:r>
        <w:rPr>
          <w:rFonts w:ascii="Arial" w:cs="Arial" w:eastAsia="Arial" w:hAnsi="Arial"/>
          <w:sz w:val="20"/>
          <w:szCs w:val="20"/>
          <w:color w:val="auto"/>
        </w:rPr>
        <w:t>I agree, upon demand by the Company, to repay the Severance Payment to the Company (without regard to any taxes paid by me or on my behalf in respect of such Severance Payment) in the event any of the following occur: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16"/>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464"/>
          </w:cols>
          <w:pgMar w:left="976" w:top="1440" w:right="459" w:bottom="1440" w:gutter="0" w:footer="0" w:header="0"/>
        </w:sectPr>
      </w:pPr>
    </w:p>
    <w:bookmarkStart w:id="145" w:name="page146"/>
    <w:bookmarkEnd w:id="145"/>
    <w:p>
      <w:pPr>
        <w:spacing w:after="0" w:line="366" w:lineRule="exact"/>
        <w:rPr>
          <w:sz w:val="20"/>
          <w:szCs w:val="20"/>
          <w:color w:val="auto"/>
        </w:rPr>
      </w:pPr>
    </w:p>
    <w:p>
      <w:pPr>
        <w:ind w:left="1680" w:hanging="388"/>
        <w:spacing w:after="0"/>
        <w:tabs>
          <w:tab w:leader="none" w:pos="1680" w:val="left"/>
        </w:tabs>
        <w:numPr>
          <w:ilvl w:val="1"/>
          <w:numId w:val="84"/>
        </w:numPr>
        <w:rPr>
          <w:rFonts w:ascii="Arial" w:cs="Arial" w:eastAsia="Arial" w:hAnsi="Arial"/>
          <w:sz w:val="20"/>
          <w:szCs w:val="20"/>
          <w:color w:val="auto"/>
        </w:rPr>
      </w:pPr>
      <w:r>
        <w:rPr>
          <w:rFonts w:ascii="Arial" w:cs="Arial" w:eastAsia="Arial" w:hAnsi="Arial"/>
          <w:sz w:val="20"/>
          <w:szCs w:val="20"/>
          <w:color w:val="auto"/>
        </w:rPr>
        <w:t>I breach any of the covenants in Section 1;</w:t>
      </w:r>
    </w:p>
    <w:p>
      <w:pPr>
        <w:spacing w:after="0" w:line="242" w:lineRule="exact"/>
        <w:rPr>
          <w:rFonts w:ascii="Arial" w:cs="Arial" w:eastAsia="Arial" w:hAnsi="Arial"/>
          <w:sz w:val="20"/>
          <w:szCs w:val="20"/>
          <w:color w:val="auto"/>
        </w:rPr>
      </w:pPr>
    </w:p>
    <w:p>
      <w:pPr>
        <w:ind w:left="1940" w:hanging="648"/>
        <w:spacing w:after="0" w:line="258" w:lineRule="auto"/>
        <w:tabs>
          <w:tab w:leader="none" w:pos="1728"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Company determines that either (a) my intentional misconduct or gross negligence, or (b) my failure to report another person’s intentional misconduct or gross negligence of which I had knowledge during the period I was employed by the Company, contributed to the Company having to restate all or a portion of its financial statements filed for any period with the Securities and Exchange Commission;</w:t>
      </w:r>
    </w:p>
    <w:p>
      <w:pPr>
        <w:spacing w:after="0" w:line="194" w:lineRule="exact"/>
        <w:rPr>
          <w:rFonts w:ascii="Arial" w:cs="Arial" w:eastAsia="Arial" w:hAnsi="Arial"/>
          <w:sz w:val="20"/>
          <w:szCs w:val="20"/>
          <w:color w:val="auto"/>
        </w:rPr>
      </w:pPr>
    </w:p>
    <w:p>
      <w:pPr>
        <w:ind w:left="1940" w:right="120" w:hanging="648"/>
        <w:spacing w:after="0" w:line="254" w:lineRule="auto"/>
        <w:tabs>
          <w:tab w:leader="none" w:pos="1772"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Company determines that I engaged in fraud, bribery or any other illegal act or that my intentional misconduct or gross negligence (including the failure to report another person’s intentional misconduct or gross negligence of which I had knowledge during the period I was employed by the Company) contributed to another person’s fraud, bribery or other illegal act, which in any such case adversely affected the Company’s financial position or reputation;</w:t>
      </w:r>
    </w:p>
    <w:p>
      <w:pPr>
        <w:spacing w:after="0" w:line="186" w:lineRule="exact"/>
        <w:rPr>
          <w:rFonts w:ascii="Arial" w:cs="Arial" w:eastAsia="Arial" w:hAnsi="Arial"/>
          <w:sz w:val="20"/>
          <w:szCs w:val="20"/>
          <w:color w:val="auto"/>
        </w:rPr>
      </w:pPr>
    </w:p>
    <w:p>
      <w:pPr>
        <w:ind w:left="1940" w:right="40" w:hanging="648"/>
        <w:spacing w:after="0" w:line="271" w:lineRule="auto"/>
        <w:tabs>
          <w:tab w:leader="none" w:pos="1783"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Company determines that my intentional misconduct or gross negligence caused severe reputational or financial harm to the Company;</w:t>
      </w:r>
    </w:p>
    <w:p>
      <w:pPr>
        <w:spacing w:after="0" w:line="169" w:lineRule="exact"/>
        <w:rPr>
          <w:rFonts w:ascii="Arial" w:cs="Arial" w:eastAsia="Arial" w:hAnsi="Arial"/>
          <w:sz w:val="20"/>
          <w:szCs w:val="20"/>
          <w:color w:val="auto"/>
        </w:rPr>
      </w:pPr>
    </w:p>
    <w:p>
      <w:pPr>
        <w:ind w:left="1940" w:right="240" w:hanging="648"/>
        <w:spacing w:after="0" w:line="268" w:lineRule="auto"/>
        <w:tabs>
          <w:tab w:leader="none" w:pos="1739"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Company determines that I misappropriated Confidential or Proprietary Information, as defined in Section 1(c), and I (A) intended to use the misappropriated Confidential or Proprietary Information to cause severe reputational or financial harm to the Company or</w:t>
      </w:r>
    </w:p>
    <w:p>
      <w:pPr>
        <w:spacing w:after="0" w:line="1" w:lineRule="exact"/>
        <w:rPr>
          <w:rFonts w:ascii="Arial" w:cs="Arial" w:eastAsia="Arial" w:hAnsi="Arial"/>
          <w:sz w:val="19"/>
          <w:szCs w:val="19"/>
          <w:color w:val="auto"/>
        </w:rPr>
      </w:pPr>
    </w:p>
    <w:p>
      <w:pPr>
        <w:ind w:left="1940" w:right="560"/>
        <w:spacing w:after="0" w:line="253" w:lineRule="auto"/>
        <w:rPr>
          <w:rFonts w:ascii="Arial" w:cs="Arial" w:eastAsia="Arial" w:hAnsi="Arial"/>
          <w:sz w:val="19"/>
          <w:szCs w:val="19"/>
          <w:color w:val="auto"/>
        </w:rPr>
      </w:pPr>
      <w:r>
        <w:rPr>
          <w:rFonts w:ascii="Arial" w:cs="Arial" w:eastAsia="Arial" w:hAnsi="Arial"/>
          <w:sz w:val="20"/>
          <w:szCs w:val="20"/>
          <w:color w:val="auto"/>
        </w:rPr>
        <w:t>(B) used the misappropriated Confidential or Proprietary Information in a manner that caused severe reputational or financial harm to the Company; or</w:t>
      </w:r>
    </w:p>
    <w:p>
      <w:pPr>
        <w:spacing w:after="0" w:line="185" w:lineRule="exact"/>
        <w:rPr>
          <w:rFonts w:ascii="Arial" w:cs="Arial" w:eastAsia="Arial" w:hAnsi="Arial"/>
          <w:sz w:val="19"/>
          <w:szCs w:val="19"/>
          <w:color w:val="auto"/>
        </w:rPr>
      </w:pPr>
    </w:p>
    <w:p>
      <w:pPr>
        <w:ind w:left="1940" w:right="240" w:hanging="648"/>
        <w:spacing w:after="0" w:line="259" w:lineRule="auto"/>
        <w:tabs>
          <w:tab w:leader="none" w:pos="1787" w:val="left"/>
        </w:tabs>
        <w:numPr>
          <w:ilvl w:val="1"/>
          <w:numId w:val="84"/>
        </w:numPr>
        <w:rPr>
          <w:rFonts w:ascii="Arial" w:cs="Arial" w:eastAsia="Arial" w:hAnsi="Arial"/>
          <w:sz w:val="20"/>
          <w:szCs w:val="20"/>
          <w:color w:val="auto"/>
        </w:rPr>
      </w:pPr>
      <w:r>
        <w:rPr>
          <w:rFonts w:ascii="Arial" w:cs="Arial" w:eastAsia="Arial" w:hAnsi="Arial"/>
          <w:sz w:val="20"/>
          <w:szCs w:val="20"/>
          <w:color w:val="auto"/>
        </w:rPr>
        <w:t>Under such other circumstances specified in a written recovery policy adopted by the Corporation to comply with Rule 10D-1 under the Securities Exchange Act and New York Stock Exchange listing standards requiring the Corporation to recover from executive officers erroneously awarded compensation or other applicable law.</w:t>
      </w:r>
    </w:p>
    <w:p>
      <w:pPr>
        <w:spacing w:after="0" w:line="200" w:lineRule="exact"/>
        <w:rPr>
          <w:rFonts w:ascii="Arial" w:cs="Arial" w:eastAsia="Arial" w:hAnsi="Arial"/>
          <w:sz w:val="20"/>
          <w:szCs w:val="20"/>
          <w:color w:val="auto"/>
        </w:rPr>
      </w:pPr>
    </w:p>
    <w:p>
      <w:pPr>
        <w:spacing w:after="0" w:line="211" w:lineRule="exact"/>
        <w:rPr>
          <w:rFonts w:ascii="Arial" w:cs="Arial" w:eastAsia="Arial" w:hAnsi="Arial"/>
          <w:sz w:val="20"/>
          <w:szCs w:val="20"/>
          <w:color w:val="auto"/>
        </w:rPr>
      </w:pPr>
    </w:p>
    <w:p>
      <w:pPr>
        <w:ind w:left="-320" w:right="80" w:firstLine="964"/>
        <w:spacing w:after="0" w:line="258" w:lineRule="auto"/>
        <w:tabs>
          <w:tab w:leader="none" w:pos="111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remedy provided in Section 3(a) shall not be the exclusive remedy available to the Company for any of the conduct described in Section 3(a) and shall not limit the Company from seeking damages or injunctive relief. For purposes of Section 3(a), a determination by the Company means a determination by a review committee consisting of the Senior Vice President, Chief Human Resources Officer, the Senior Vice President, Ethics and Enterprise Assurance, and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9940"/>
          </w:cols>
          <w:pgMar w:left="980" w:top="1440" w:right="979" w:bottom="1440" w:gutter="0" w:footer="0" w:header="0"/>
        </w:sectPr>
      </w:pPr>
    </w:p>
    <w:bookmarkStart w:id="146" w:name="page147"/>
    <w:bookmarkEnd w:id="146"/>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Senior Vice President, General Counsel and Corporate Secretary (the “Review Committee”).</w:t>
      </w:r>
    </w:p>
    <w:p>
      <w:pPr>
        <w:spacing w:after="0" w:line="243" w:lineRule="exact"/>
        <w:rPr>
          <w:sz w:val="20"/>
          <w:szCs w:val="20"/>
          <w:color w:val="auto"/>
        </w:rPr>
      </w:pPr>
    </w:p>
    <w:p>
      <w:pPr>
        <w:ind w:firstLine="964"/>
        <w:spacing w:after="0" w:line="254" w:lineRule="auto"/>
        <w:tabs>
          <w:tab w:leader="none" w:pos="1192"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Injunctive Relief</w:t>
      </w:r>
      <w:r>
        <w:rPr>
          <w:rFonts w:ascii="Arial" w:cs="Arial" w:eastAsia="Arial" w:hAnsi="Arial"/>
          <w:sz w:val="20"/>
          <w:szCs w:val="20"/>
          <w:color w:val="auto"/>
        </w:rPr>
        <w:t>. I acknowledge that the Company’s remedies at law may be inadequate to protect the Company against any actual or threatened breach of the provisions of Section 1 or the conduct described in Section 3(a), and, therefore, without prejudice to any other rights and remedies otherwise available to the Company at law or in equity (including but not limited to, an action under Section 3(a), the Company shall be entitled to injunctive relief in its favor and to specific performance without proof of actual damages and without the requirement of the posting of any bond or similar security.</w:t>
      </w:r>
    </w:p>
    <w:p>
      <w:pPr>
        <w:spacing w:after="0" w:line="186" w:lineRule="exact"/>
        <w:rPr>
          <w:rFonts w:ascii="Arial" w:cs="Arial" w:eastAsia="Arial" w:hAnsi="Arial"/>
          <w:sz w:val="20"/>
          <w:szCs w:val="20"/>
          <w:color w:val="auto"/>
        </w:rPr>
      </w:pPr>
    </w:p>
    <w:p>
      <w:pPr>
        <w:ind w:firstLine="964"/>
        <w:spacing w:after="0" w:line="250" w:lineRule="auto"/>
        <w:tabs>
          <w:tab w:leader="none" w:pos="1192"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Invalidity; Unenforceability</w:t>
      </w:r>
      <w:r>
        <w:rPr>
          <w:rFonts w:ascii="Arial" w:cs="Arial" w:eastAsia="Arial" w:hAnsi="Arial"/>
          <w:sz w:val="20"/>
          <w:szCs w:val="20"/>
          <w:color w:val="auto"/>
        </w:rPr>
        <w:t>. It is the desire and intent of the parties that the provisions of this PECA shall be enforced to the fullest extent permissible. The covenants in each section of this PECA are independent of any other provisions of this PECA. Each term in this PECA constitutes a separate covenant between the parties, and each term is fully severable from any other term. The parties agree if any particular paragraphs, subparagraphs, phrases, words, or other portions of this PECA are determined by an appropriate court to be invalid or unenforceable as written, they shall be modified as necessary to comport with the reasonable intent and expectations of the parties and in favor of providing reasonable protection to all of the Company’s legitimate business interests, and such modification shall not affect the remaining provisions of this PECA, or if they cannot be modified to be made valid or enforceable, then they shall be severed from this PECA, and all remaining terms and provisions shall remain enforceable.</w:t>
      </w:r>
    </w:p>
    <w:p>
      <w:pPr>
        <w:spacing w:after="0" w:line="196" w:lineRule="exact"/>
        <w:rPr>
          <w:rFonts w:ascii="Arial" w:cs="Arial" w:eastAsia="Arial" w:hAnsi="Arial"/>
          <w:sz w:val="20"/>
          <w:szCs w:val="20"/>
          <w:color w:val="auto"/>
        </w:rPr>
      </w:pPr>
    </w:p>
    <w:p>
      <w:pPr>
        <w:ind w:right="500" w:firstLine="964"/>
        <w:spacing w:after="0" w:line="298" w:lineRule="auto"/>
        <w:tabs>
          <w:tab w:leader="none" w:pos="1192"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not defined in this PECA have the meaning given to them in the Severance Plan, as applicable. For purposes of this PECA, the following terms have the meanings given below:</w:t>
      </w:r>
    </w:p>
    <w:p>
      <w:pPr>
        <w:spacing w:after="0" w:line="145" w:lineRule="exact"/>
        <w:rPr>
          <w:rFonts w:ascii="Arial" w:cs="Arial" w:eastAsia="Arial" w:hAnsi="Arial"/>
          <w:sz w:val="19"/>
          <w:szCs w:val="19"/>
          <w:color w:val="auto"/>
        </w:rPr>
      </w:pPr>
    </w:p>
    <w:p>
      <w:pPr>
        <w:ind w:firstLine="432"/>
        <w:spacing w:after="0" w:line="265" w:lineRule="auto"/>
        <w:tabs>
          <w:tab w:leader="none" w:pos="736" w:val="left"/>
        </w:tabs>
        <w:numPr>
          <w:ilvl w:val="0"/>
          <w:numId w:val="87"/>
        </w:numPr>
        <w:rPr>
          <w:rFonts w:ascii="Arial" w:cs="Arial" w:eastAsia="Arial" w:hAnsi="Arial"/>
          <w:sz w:val="19"/>
          <w:szCs w:val="19"/>
          <w:color w:val="auto"/>
        </w:rPr>
      </w:pPr>
      <w:r>
        <w:rPr>
          <w:rFonts w:ascii="Arial" w:cs="Arial" w:eastAsia="Arial" w:hAnsi="Arial"/>
          <w:sz w:val="19"/>
          <w:szCs w:val="19"/>
          <w:color w:val="auto"/>
        </w:rPr>
        <w:t>“Restricted Company” means any business or entity that is engaged in any business activity that is competitive with the business and business activities engaged in by the Corporation in the aerospace and defense industry, including, but not limited to, the following entities: The Boeing Company, General Dynamics Corporation, Northrop Grumman Corporation, the Raytheon Technologies Corporation, Honeywell International Inc., BAE Systems Inc., L3Harris Technologies, Inc., Thales, Airbus Group, Inc., Textron, Inc., Leonardo SpA, Leidos Holdings, Inc., Space Exploration Technologies Corp., Palantir Technologies Inc., GE Aerospace, Anduril Industries, Inc., Shield AI Inc., Sierra Nevada Company and (i) any entity directly or indirectly controlling, controlled by, or under common control with any of the foregoing, and (ii) any successor to all or part of the business of any of the foregoing as a result of a merger, reorganization, consolidation, spin-off, split-up, acquisition, divestiture, or similar transaction, or as a result of a name change, and (iii) any entity or business identified in Addendum A to this PECA.</w:t>
      </w:r>
    </w:p>
    <w:p>
      <w:pPr>
        <w:spacing w:after="0" w:line="179" w:lineRule="exact"/>
        <w:rPr>
          <w:rFonts w:ascii="Arial" w:cs="Arial" w:eastAsia="Arial" w:hAnsi="Arial"/>
          <w:sz w:val="19"/>
          <w:szCs w:val="19"/>
          <w:color w:val="auto"/>
        </w:rPr>
      </w:pPr>
    </w:p>
    <w:p>
      <w:pPr>
        <w:ind w:right="20" w:firstLine="432"/>
        <w:spacing w:after="0" w:line="262" w:lineRule="auto"/>
        <w:tabs>
          <w:tab w:leader="none" w:pos="736" w:val="left"/>
        </w:tabs>
        <w:numPr>
          <w:ilvl w:val="0"/>
          <w:numId w:val="87"/>
        </w:numPr>
        <w:rPr>
          <w:rFonts w:ascii="Arial" w:cs="Arial" w:eastAsia="Arial" w:hAnsi="Arial"/>
          <w:sz w:val="20"/>
          <w:szCs w:val="20"/>
          <w:color w:val="auto"/>
        </w:rPr>
      </w:pPr>
      <w:r>
        <w:rPr>
          <w:rFonts w:ascii="Arial" w:cs="Arial" w:eastAsia="Arial" w:hAnsi="Arial"/>
          <w:sz w:val="20"/>
          <w:szCs w:val="20"/>
          <w:color w:val="auto"/>
        </w:rPr>
        <w:t>“Competitive Products or Services” means products or services that compete with, or are an alternative or potential alternative to, products sold or services provided by a subsidiary, business area, division or operating unit or business of the Company as of the Termination Date and at any time within the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240"/>
          </w:cols>
          <w:pgMar w:left="660" w:top="1440" w:right="999" w:bottom="1440" w:gutter="0" w:footer="0" w:header="0"/>
        </w:sectPr>
      </w:pPr>
    </w:p>
    <w:bookmarkStart w:id="147" w:name="page148"/>
    <w:bookmarkEnd w:id="147"/>
    <w:p>
      <w:pPr>
        <w:spacing w:after="0" w:line="123"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year period ending on the Termination Date; provided, that, (i) if I had direct responsibility for the business of, or function with respect to, a subsidiary, or for a business area, division or operating unit or business of the Company at any time within the two-year period ending on the Termination Date, Competitive Products or Services includes the products so sold or the services so provided during that two-year period by the subsidiary, business area, division or operating unit of the Company for which I had responsibility, and (ii) if I did not have direct responsibility for the business of, or function with respect to, a subsidiary, or for a business area, division or operating unit or business of the Company at any time within the two-year period ending on the Termination Date, Competitive Products or Services includes the products so sold or the services so provided by a subsidiary, business area, division or operating unit of the Company for which I had access (or was required or permitted such access in the performance of my duties or responsibilities with the Company) to Confidential or Proprietary Information of the Company at any time during the two-year period ending on the Termination Date.</w:t>
      </w:r>
    </w:p>
    <w:p>
      <w:pPr>
        <w:spacing w:after="0" w:line="189" w:lineRule="exact"/>
        <w:rPr>
          <w:sz w:val="20"/>
          <w:szCs w:val="20"/>
          <w:color w:val="auto"/>
        </w:rPr>
      </w:pPr>
    </w:p>
    <w:p>
      <w:pPr>
        <w:ind w:left="1080" w:hanging="440"/>
        <w:spacing w:after="0"/>
        <w:tabs>
          <w:tab w:leader="none" w:pos="108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29" w:lineRule="exact"/>
        <w:rPr>
          <w:sz w:val="20"/>
          <w:szCs w:val="20"/>
          <w:color w:val="auto"/>
        </w:rPr>
      </w:pPr>
    </w:p>
    <w:p>
      <w:pPr>
        <w:ind w:left="-340" w:right="340" w:firstLine="980"/>
        <w:spacing w:after="0" w:line="255" w:lineRule="auto"/>
        <w:tabs>
          <w:tab w:leader="none" w:pos="109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Severance Plan, this PECA with the attached Release of Claims constitute the entire agreement governing the terms of the Severance Payment and supersede all other prior agreements and understandings, both written and oral, between me and the Company or any employee, officer or director of the Company concerning payments on account of my termination of employment.</w:t>
      </w:r>
    </w:p>
    <w:p>
      <w:pPr>
        <w:spacing w:after="0" w:line="183" w:lineRule="exact"/>
        <w:rPr>
          <w:rFonts w:ascii="Arial" w:cs="Arial" w:eastAsia="Arial" w:hAnsi="Arial"/>
          <w:sz w:val="20"/>
          <w:szCs w:val="20"/>
          <w:color w:val="auto"/>
        </w:rPr>
      </w:pPr>
    </w:p>
    <w:p>
      <w:pPr>
        <w:ind w:left="-340" w:firstLine="980"/>
        <w:spacing w:after="0" w:line="251" w:lineRule="auto"/>
        <w:tabs>
          <w:tab w:leader="none" w:pos="109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This PECA shall be governed by Maryland law, without regard to its provisions governing conflicts of law. Any enforcement of, or challenge to, this PECA may only be brought in the United States District Court for the District of Maryland, unless it is determined that such court does not have subject matter jurisdiction, in which case any such enforcement or challenge must be brought in the Circuit Court of Montgomery County in the State of Maryland. Both parties consent to the proper jurisdiction and venue of such court, as applicable, for the purpose of enforcing or challenging this PECA. For residents of California, Massachusetts (Section 1(a) only), Minnesota (Section 1(a) only), Washington and Wisconsin, or if otherwise provided in an applicable Addenda, this Section 7(b) shall not apply; instead, the parties agree that the law of the state in which I am domiciled at the time of acceptance shall govern the interpretation, application, and enforcement of this PECA, without regard to any choice of law rules of that or any other state, and that the exclusive venue shall be the state or federal courts sitting in or covering the county where I am domiciled at the time of acceptance.</w:t>
      </w:r>
    </w:p>
    <w:p>
      <w:pPr>
        <w:spacing w:after="0" w:line="175" w:lineRule="exact"/>
        <w:rPr>
          <w:rFonts w:ascii="Arial" w:cs="Arial" w:eastAsia="Arial" w:hAnsi="Arial"/>
          <w:sz w:val="20"/>
          <w:szCs w:val="20"/>
          <w:color w:val="auto"/>
        </w:rPr>
      </w:pPr>
    </w:p>
    <w:p>
      <w:pPr>
        <w:ind w:left="-340" w:right="80" w:firstLine="980"/>
        <w:spacing w:after="0" w:line="286" w:lineRule="auto"/>
        <w:tabs>
          <w:tab w:leader="none" w:pos="1079"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This PECA shall inure to the benefit of the Company’s successors and assigns and may be assigned by the Company without my consent.</w:t>
      </w:r>
    </w:p>
    <w:p>
      <w:pPr>
        <w:spacing w:after="0" w:line="153" w:lineRule="exact"/>
        <w:rPr>
          <w:rFonts w:ascii="Arial" w:cs="Arial" w:eastAsia="Arial" w:hAnsi="Arial"/>
          <w:sz w:val="20"/>
          <w:szCs w:val="20"/>
          <w:color w:val="auto"/>
        </w:rPr>
      </w:pPr>
    </w:p>
    <w:p>
      <w:pPr>
        <w:ind w:left="-340" w:right="40" w:firstLine="980"/>
        <w:spacing w:after="0" w:line="254" w:lineRule="auto"/>
        <w:tabs>
          <w:tab w:leader="none" w:pos="109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restrictive covenants and other terms in this PECA are to be read consistent with the terms of any other restrictive covenants or other agreements that I have executed with the Company; provided, however, to the extent there is a conflict between/among such agreements, such agreements shall be construed as providing the broadest possible protections to the Company, even if such construction would require provisions of more than one such agreement to be given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240"/>
          </w:cols>
          <w:pgMar w:left="660" w:top="1440" w:right="999" w:bottom="1440" w:gutter="0" w:footer="0" w:header="0"/>
        </w:sectPr>
      </w:pPr>
    </w:p>
    <w:bookmarkStart w:id="148" w:name="page149"/>
    <w:bookmarkEnd w:id="148"/>
    <w:p>
      <w:pPr>
        <w:spacing w:after="0" w:line="123" w:lineRule="exact"/>
        <w:rPr>
          <w:sz w:val="20"/>
          <w:szCs w:val="20"/>
          <w:color w:val="auto"/>
        </w:rPr>
      </w:pPr>
    </w:p>
    <w:p>
      <w:pPr>
        <w:ind w:left="-340" w:right="760" w:firstLine="980"/>
        <w:spacing w:after="0" w:line="262" w:lineRule="auto"/>
        <w:tabs>
          <w:tab w:leader="none" w:pos="109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obligations I have undertaken in this PECA shall survive the Termination Date and no dispute regarding any other provisions of this PECA or regarding my employment or the termination of my employment shall prevent the operation and enforcement of these obligations.</w:t>
      </w:r>
    </w:p>
    <w:p>
      <w:pPr>
        <w:spacing w:after="0" w:line="164" w:lineRule="exact"/>
        <w:rPr>
          <w:rFonts w:ascii="Arial" w:cs="Arial" w:eastAsia="Arial" w:hAnsi="Arial"/>
          <w:sz w:val="20"/>
          <w:szCs w:val="20"/>
          <w:color w:val="auto"/>
        </w:rPr>
      </w:pPr>
    </w:p>
    <w:p>
      <w:pPr>
        <w:ind w:left="-340" w:right="340" w:firstLine="980"/>
        <w:spacing w:after="0" w:line="258" w:lineRule="auto"/>
        <w:tabs>
          <w:tab w:leader="none" w:pos="1039" w:val="left"/>
        </w:tabs>
        <w:numPr>
          <w:ilvl w:val="0"/>
          <w:numId w:val="90"/>
        </w:numPr>
        <w:rPr>
          <w:rFonts w:ascii="Arial" w:cs="Arial" w:eastAsia="Arial" w:hAnsi="Arial"/>
          <w:sz w:val="20"/>
          <w:szCs w:val="20"/>
          <w:color w:val="auto"/>
        </w:rPr>
      </w:pPr>
      <w:r>
        <w:rPr>
          <w:rFonts w:ascii="Arial" w:cs="Arial" w:eastAsia="Arial" w:hAnsi="Arial"/>
          <w:sz w:val="20"/>
          <w:szCs w:val="20"/>
          <w:color w:val="auto"/>
        </w:rPr>
        <w:t>I acknowledge and agree that different provisions than those set forth in this PECA, including with respect to the restrictive covenant obligations, may apply to me if I primarily reside or work in certain jurisdictions. While I primarily reside or work in such a jurisdiction, including on the Termination Date, I agree that the provisions within this PECA shall be superseded only as set forth in the applicable Addendum attached hereto or as explicitly noted within the PECA.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SIGNED this _____ day of ____________________, 2___.</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(Signature)</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(Printed Name)</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(Title)</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FOR LOCKHEED MARTIN CORPORATION:</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(Signature)</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__________________________________</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(Printed Name)</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__________________________________</w:t>
      </w:r>
    </w:p>
    <w:p>
      <w:pPr>
        <w:spacing w:after="0" w:line="2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(Title)</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______________________ ____________</w:t>
      </w:r>
    </w:p>
    <w:p>
      <w:pPr>
        <w:spacing w:after="0" w:line="2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(Date)</w:t>
      </w:r>
    </w:p>
    <w:p>
      <w:pPr>
        <w:spacing w:after="0" w:line="200" w:lineRule="exact"/>
        <w:rPr>
          <w:sz w:val="20"/>
          <w:szCs w:val="20"/>
          <w:color w:val="auto"/>
        </w:rPr>
      </w:pPr>
    </w:p>
    <w:p>
      <w:pPr>
        <w:spacing w:after="0" w:line="279" w:lineRule="exact"/>
        <w:rPr>
          <w:sz w:val="20"/>
          <w:szCs w:val="20"/>
          <w:color w:val="auto"/>
        </w:rPr>
      </w:pPr>
    </w:p>
    <w:p>
      <w:pPr>
        <w:jc w:val="center"/>
        <w:spacing w:after="0" w:line="298" w:lineRule="auto"/>
        <w:rPr>
          <w:sz w:val="20"/>
          <w:szCs w:val="20"/>
          <w:color w:val="auto"/>
        </w:rPr>
      </w:pPr>
      <w:r>
        <w:rPr>
          <w:rFonts w:ascii="Arial" w:cs="Arial" w:eastAsia="Arial" w:hAnsi="Arial"/>
          <w:sz w:val="20"/>
          <w:szCs w:val="20"/>
          <w:b w:val="1"/>
          <w:bCs w:val="1"/>
          <w:color w:val="auto"/>
        </w:rPr>
        <w:t>NOTE: HRBP must scan and upload the executed PECA (and Addendum A, if applicable) to the Executive Action System in order for payments to be processed.</w:t>
      </w:r>
    </w:p>
    <w:p>
      <w:pPr>
        <w:spacing w:after="0" w:line="14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highlight w:val="yellow"/>
        </w:rPr>
        <w:t>If Addendum A is applicable, be sure to have Legal review Addendum A.</w:t>
      </w:r>
    </w:p>
    <w:p>
      <w:pPr>
        <w:sectPr>
          <w:pgSz w:w="11900" w:h="16838" w:orient="portrait"/>
          <w:cols w:equalWidth="0" w:num="1">
            <w:col w:w="10560"/>
          </w:cols>
          <w:pgMar w:left="66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560"/>
          </w:cols>
          <w:pgMar w:left="660" w:top="1440" w:right="679" w:bottom="1440" w:gutter="0" w:footer="0" w:header="0"/>
          <w:type w:val="continuous"/>
        </w:sectPr>
      </w:pPr>
    </w:p>
    <w:bookmarkStart w:id="149" w:name="page150"/>
    <w:bookmarkEnd w:id="149"/>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Addendum A</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Additional “Restricted Companies” For Purposes of Section 6(a) of the PECA</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620" w:type="dxa"/>
            <w:vAlign w:val="bottom"/>
            <w:tcBorders>
              <w:top w:val="single" w:sz="8" w:color="auto"/>
              <w:left w:val="single" w:sz="8" w:color="auto"/>
              <w:right w:val="single" w:sz="8" w:color="auto"/>
            </w:tcBorders>
          </w:tcPr>
          <w:p>
            <w:pPr>
              <w:ind w:left="2240"/>
              <w:spacing w:after="0"/>
              <w:rPr>
                <w:sz w:val="20"/>
                <w:szCs w:val="20"/>
                <w:color w:val="auto"/>
              </w:rPr>
            </w:pPr>
            <w:r>
              <w:rPr>
                <w:rFonts w:ascii="Arial" w:cs="Arial" w:eastAsia="Arial" w:hAnsi="Arial"/>
                <w:sz w:val="20"/>
                <w:szCs w:val="20"/>
                <w:b w:val="1"/>
                <w:bCs w:val="1"/>
                <w:color w:val="auto"/>
              </w:rPr>
              <w:t>Entity Name</w:t>
            </w:r>
          </w:p>
        </w:tc>
        <w:tc>
          <w:tcPr>
            <w:tcW w:w="56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20"/>
                <w:szCs w:val="20"/>
                <w:b w:val="1"/>
                <w:bCs w:val="1"/>
                <w:color w:val="auto"/>
              </w:rPr>
              <w:t>Description of the Competitive Business</w:t>
            </w:r>
          </w:p>
        </w:tc>
      </w:tr>
      <w:tr>
        <w:trPr>
          <w:trHeight w:val="209"/>
        </w:trPr>
        <w:tc>
          <w:tcPr>
            <w:tcW w:w="5620" w:type="dxa"/>
            <w:vAlign w:val="bottom"/>
            <w:tcBorders>
              <w:left w:val="single" w:sz="8" w:color="auto"/>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spacing w:after="0"/>
              <w:rPr>
                <w:sz w:val="18"/>
                <w:szCs w:val="18"/>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r>
        <w:trPr>
          <w:trHeight w:val="412"/>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60"/>
          </w:cols>
          <w:pgMar w:left="320" w:top="1440" w:right="319" w:bottom="1440" w:gutter="0" w:footer="0" w:header="0"/>
        </w:sectPr>
      </w:pPr>
    </w:p>
    <w:bookmarkStart w:id="150" w:name="page151"/>
    <w:bookmarkEnd w:id="150"/>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COLORADO ADDENDUM TO POST-EMPLOYMENT CONDUCT AGREEMENT</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Notice of Restrictive Covenant to Colorado Employees</w:t>
      </w:r>
    </w:p>
    <w:p>
      <w:pPr>
        <w:spacing w:after="0" w:line="231"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This notice is to advise you that the Company is, contemporaneously with this notice, providing you with a Post-Employment Conduct Agreement (the “PECA”) containing covenants that could restrict your options for subsequent employment following separation from the Company, in that you will be prohibited from certain competition and solicitation of customers, employees, etc., as described in Section 1 of the PECA (and as modified by this Colorado Addendum) and from disclosing or using Confidential Information as described in Section 1 of the PECA (and as modified by this Colorado Addendum).</w:t>
      </w:r>
    </w:p>
    <w:p>
      <w:pPr>
        <w:spacing w:after="0" w:line="187"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You acknowledge that this notice was provided to you at least fourteen (14) days before the earlier of your Termination Date, as defined in the PECA, or the effective date of the consideration provided to you for such covenant. By signing the PECA, you expressly acknowledge and agree that you are deemed to have separately signed this notice.</w:t>
      </w:r>
    </w:p>
    <w:p>
      <w:pPr>
        <w:spacing w:after="0" w:line="178"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The provisions of this Colorado Addendum apply only to those employees of the Company who primarily work or reside in the State of Colorado.</w:t>
      </w:r>
    </w:p>
    <w:p>
      <w:pPr>
        <w:spacing w:after="0" w:line="169"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following is added to the end of Section 1(a) of the PECA “Covenant Not to Compete”:</w:t>
      </w:r>
    </w:p>
    <w:p>
      <w:pPr>
        <w:spacing w:after="0" w:line="216" w:lineRule="exact"/>
        <w:rPr>
          <w:sz w:val="20"/>
          <w:szCs w:val="20"/>
          <w:color w:val="auto"/>
        </w:rPr>
      </w:pPr>
    </w:p>
    <w:p>
      <w:pPr>
        <w:jc w:val="both"/>
        <w:ind w:right="640" w:firstLine="648"/>
        <w:spacing w:after="0" w:line="269" w:lineRule="auto"/>
        <w:rPr>
          <w:sz w:val="20"/>
          <w:szCs w:val="20"/>
          <w:color w:val="auto"/>
        </w:rPr>
      </w:pPr>
      <w:r>
        <w:rPr>
          <w:rFonts w:ascii="Arial" w:cs="Arial" w:eastAsia="Arial" w:hAnsi="Arial"/>
          <w:sz w:val="20"/>
          <w:szCs w:val="20"/>
          <w:color w:val="auto"/>
        </w:rPr>
        <w:t>The restrictions described in Section 1(a) are intended to cover geographic territory where your knowledge of the Company’s trade secrets could be used by a Restricted Company to unfairly compete with or undermine the Company’s legitimate business interests.</w:t>
      </w:r>
    </w:p>
    <w:p>
      <w:pPr>
        <w:spacing w:after="0" w:line="158" w:lineRule="exact"/>
        <w:rPr>
          <w:sz w:val="20"/>
          <w:szCs w:val="20"/>
          <w:color w:val="auto"/>
        </w:rPr>
      </w:pPr>
    </w:p>
    <w:p>
      <w:pPr>
        <w:ind w:right="520" w:firstLine="8"/>
        <w:spacing w:after="0" w:line="286" w:lineRule="auto"/>
        <w:tabs>
          <w:tab w:leader="none" w:pos="381"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language in Section 1 of the PECA “Restrictions Following Termination of Employment” is modified by adding the following:</w:t>
      </w:r>
    </w:p>
    <w:p>
      <w:pPr>
        <w:spacing w:after="0" w:line="140" w:lineRule="exact"/>
        <w:rPr>
          <w:sz w:val="20"/>
          <w:szCs w:val="20"/>
          <w:color w:val="auto"/>
        </w:rPr>
      </w:pPr>
    </w:p>
    <w:p>
      <w:pPr>
        <w:ind w:firstLine="648"/>
        <w:spacing w:after="0" w:line="254" w:lineRule="auto"/>
        <w:rPr>
          <w:sz w:val="20"/>
          <w:szCs w:val="20"/>
          <w:color w:val="auto"/>
        </w:rPr>
      </w:pPr>
      <w:r>
        <w:rPr>
          <w:rFonts w:ascii="Arial" w:cs="Arial" w:eastAsia="Arial" w:hAnsi="Arial"/>
          <w:sz w:val="20"/>
          <w:szCs w:val="20"/>
          <w:color w:val="auto"/>
        </w:rPr>
        <w:t>The restrictions related to competitive activities in Section 1(a) only apply to the extent I earn, both at the time this PECA is entered into and at the time the Company enforces it, an amount of annualized cash compensation equivalent to or greater than the threshold amount for highly compensated workers as determined by the Colorado Department of Labor and Employment at the time this PECA is entered into, and such activities will involve the inevitable use of, or near-certain influence by my knowledge of, trade secrets disclosed to me during the course of employment with the Company. As of January 1, 2025, that threshold is $127,091.</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20"/>
          <w:szCs w:val="20"/>
          <w:color w:val="auto"/>
        </w:rPr>
        <w:t>The restrictions related to solicitation activities in Section 1(b)(i) only apply to the extent I earn, both at the time this PECA is entered into and at the time the Company enforces it, an amount of annualized cash compensation equivalent to or greater than 60% of the threshold amount for highly compensated workers as determined by the Colorado Department of Labor and Employment at the time this PECA is entered into, and such activities will involve the inevitable use of, or near-certain influence by my knowledge of, trade secrets disclosed to me during the course of employment with the Company. As of January 1, 2025, that threshold is $76,254.60.</w:t>
      </w:r>
    </w:p>
    <w:p>
      <w:pPr>
        <w:spacing w:after="0" w:line="173" w:lineRule="exact"/>
        <w:rPr>
          <w:sz w:val="20"/>
          <w:szCs w:val="20"/>
          <w:color w:val="auto"/>
        </w:rPr>
      </w:pPr>
    </w:p>
    <w:p>
      <w:pPr>
        <w:ind w:left="380" w:hanging="372"/>
        <w:spacing w:after="0"/>
        <w:tabs>
          <w:tab w:leader="none" w:pos="3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language in Section 2 of the PECA “Consideration and Acknowledgement” is modified by adding the following:</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0"/>
          <w:szCs w:val="20"/>
          <w:color w:val="auto"/>
        </w:rPr>
        <w:t>25</w:t>
      </w:r>
    </w:p>
    <w:p>
      <w:pPr>
        <w:sectPr>
          <w:pgSz w:w="11900" w:h="16838" w:orient="portrait"/>
          <w:cols w:equalWidth="0" w:num="1">
            <w:col w:w="11160"/>
          </w:cols>
          <w:pgMar w:left="320" w:top="1440" w:right="419" w:bottom="1440" w:gutter="0" w:footer="0" w:header="0"/>
        </w:sectPr>
      </w:pPr>
    </w:p>
    <w:bookmarkStart w:id="151" w:name="page152"/>
    <w:bookmarkEnd w:id="151"/>
    <w:p>
      <w:pPr>
        <w:spacing w:after="0" w:line="123"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I acknowledge and agree that the restrictions in this PECA are reasonable and shall not prohibit the disclosure of information arising from my general training, knowledge, skill, or experience, whether gained on the job or otherwise, information readily ascertainable to the public, and/or information an employee has a right to disclose as legally protected conduct.</w:t>
      </w:r>
    </w:p>
    <w:p>
      <w:pPr>
        <w:spacing w:after="0" w:line="148" w:lineRule="exact"/>
        <w:rPr>
          <w:sz w:val="20"/>
          <w:szCs w:val="20"/>
          <w:color w:val="auto"/>
        </w:rPr>
      </w:pPr>
    </w:p>
    <w:p>
      <w:pPr>
        <w:ind w:left="380" w:hanging="372"/>
        <w:spacing w:after="0"/>
        <w:tabs>
          <w:tab w:leader="none" w:pos="3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language in Section 7(b) of the PECA is modified by adding the following: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20"/>
          <w:szCs w:val="20"/>
          <w:color w:val="auto"/>
        </w:rPr>
        <w:t>I understand that if I primarily reside or work in the State of Colorado at the time my employment with the Company is terminated, the PECA will be subject to the laws and courts of the State of Colorado. During this period, venue shall be the State and Federal courts sitting in Colorado and the parties waive any defense, whether asserted by motion or pleading, that the venue specified by this Addendum is an improper or inconvenient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DISTRICT OF COLUMBIA ADDENDUM TO POST-EMPLOYMENT CONDUCT AGREEMENT</w:t>
      </w:r>
    </w:p>
    <w:p>
      <w:pPr>
        <w:spacing w:after="0" w:line="218" w:lineRule="exact"/>
        <w:rPr>
          <w:sz w:val="20"/>
          <w:szCs w:val="20"/>
          <w:color w:val="auto"/>
        </w:rPr>
      </w:pPr>
    </w:p>
    <w:p>
      <w:pPr>
        <w:ind w:right="280"/>
        <w:spacing w:after="0" w:line="258" w:lineRule="auto"/>
        <w:rPr>
          <w:sz w:val="20"/>
          <w:szCs w:val="20"/>
          <w:color w:val="auto"/>
        </w:rPr>
      </w:pPr>
      <w:r>
        <w:rPr>
          <w:rFonts w:ascii="Arial" w:cs="Arial" w:eastAsia="Arial" w:hAnsi="Arial"/>
          <w:sz w:val="20"/>
          <w:szCs w:val="20"/>
          <w:color w:val="auto"/>
        </w:rPr>
        <w:t>The District of Columbia’s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Company has determined that you are a highly compensated employee. For more information about the Ban on Non-Compete Agreements Amendment Act of 2020, contact the District of Columbia Department of Employment Services (DOES).</w:t>
      </w:r>
    </w:p>
    <w:p>
      <w:pPr>
        <w:spacing w:after="0" w:line="168"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The Company is, contemporaneously with this notice, providing you with a Post-Employment Conduct Agreement (the “PECA”) containing covenants that could restrict your options for subsequent employment following separation from the Company, in that you will be prohibited from certain competition and solicitation of customers, employees, etc., as described in Section 1 of the PECA. The provisions of this District of Columbia Addendum apply only to those employees of the Company who primarily work in the District of Columbia and are as follows.</w:t>
      </w:r>
    </w:p>
    <w:p>
      <w:pPr>
        <w:spacing w:after="0" w:line="168" w:lineRule="exact"/>
        <w:rPr>
          <w:sz w:val="20"/>
          <w:szCs w:val="20"/>
          <w:color w:val="auto"/>
        </w:rPr>
      </w:pPr>
    </w:p>
    <w:p>
      <w:pPr>
        <w:ind w:left="380" w:hanging="372"/>
        <w:spacing w:after="0"/>
        <w:tabs>
          <w:tab w:leader="none" w:pos="3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following is added to the end of Section 1(a) of the PECA “Covenant Not to Compete”: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 understand that the non-competition obligations under Section 1(a) shall apply to me if I am a “highly compensated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employee.” A “highly compensated employee” for this purpose is someone who is reasonably expected to earn at least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$154,200 (in 2024) during a consecutive 12-month period or whose compensation earned from the Company in the consecutive</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12-month period preceding the date the proposed non-competition is to begin is at least $154,200 (in 2024). Beginning on</w:t>
      </w:r>
    </w:p>
    <w:p>
      <w:pPr>
        <w:spacing w:after="0"/>
        <w:rPr>
          <w:sz w:val="20"/>
          <w:szCs w:val="20"/>
          <w:color w:val="auto"/>
        </w:rPr>
      </w:pPr>
      <w:r>
        <w:rPr>
          <w:rFonts w:ascii="Arial" w:cs="Arial" w:eastAsia="Arial" w:hAnsi="Arial"/>
          <w:sz w:val="20"/>
          <w:szCs w:val="20"/>
          <w:color w:val="auto"/>
        </w:rPr>
        <w:t>January 1, 2024, and each calendar year thereafter, the dollar threshold for highly compensated employee status will be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adjusted based on increases in the Consumer Price Index. Compensation includes the individual’s hourly wages, salary,</w:t>
      </w:r>
    </w:p>
    <w:p>
      <w:pPr>
        <w:spacing w:after="0"/>
        <w:rPr>
          <w:sz w:val="20"/>
          <w:szCs w:val="20"/>
          <w:color w:val="auto"/>
        </w:rPr>
      </w:pPr>
      <w:r>
        <w:rPr>
          <w:rFonts w:ascii="Arial" w:cs="Arial" w:eastAsia="Arial" w:hAnsi="Arial"/>
          <w:sz w:val="20"/>
          <w:szCs w:val="20"/>
          <w:color w:val="auto"/>
        </w:rPr>
        <w:t>bonuses or cash incentives, commissions, overtime premiums, vested stocked (including restricted stock units), and other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payments provided on a regular or irregular basis.</w:t>
      </w:r>
    </w:p>
    <w:p>
      <w:pPr>
        <w:spacing w:after="0" w:line="211" w:lineRule="exact"/>
        <w:rPr>
          <w:sz w:val="20"/>
          <w:szCs w:val="20"/>
          <w:color w:val="auto"/>
        </w:rPr>
      </w:pPr>
    </w:p>
    <w:p>
      <w:pPr>
        <w:jc w:val="both"/>
        <w:ind w:right="700" w:firstLine="648"/>
        <w:spacing w:after="0" w:line="262" w:lineRule="auto"/>
        <w:rPr>
          <w:sz w:val="20"/>
          <w:szCs w:val="20"/>
          <w:color w:val="auto"/>
        </w:rPr>
      </w:pPr>
      <w:r>
        <w:rPr>
          <w:rFonts w:ascii="Arial" w:cs="Arial" w:eastAsia="Arial" w:hAnsi="Arial"/>
          <w:sz w:val="20"/>
          <w:szCs w:val="20"/>
          <w:color w:val="auto"/>
        </w:rPr>
        <w:t>The restrictions described in Section 1(a) are intended to cover geographic territory where my knowledge of the Company’s trade secrets could be used by a Restricted Company to unfairly compete with or undermine the Company’s legitimate business interests.</w:t>
      </w:r>
    </w:p>
    <w:p>
      <w:pPr>
        <w:spacing w:after="0" w:line="165" w:lineRule="exact"/>
        <w:rPr>
          <w:sz w:val="20"/>
          <w:szCs w:val="20"/>
          <w:color w:val="auto"/>
        </w:rPr>
      </w:pPr>
    </w:p>
    <w:p>
      <w:pPr>
        <w:ind w:left="380" w:hanging="372"/>
        <w:spacing w:after="0"/>
        <w:tabs>
          <w:tab w:leader="none" w:pos="3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 new Section “Notice” is added to the end of the PECA, reading as follows:</w:t>
      </w:r>
    </w:p>
    <w:p>
      <w:pPr>
        <w:spacing w:after="0" w:line="229" w:lineRule="exact"/>
        <w:rPr>
          <w:sz w:val="20"/>
          <w:szCs w:val="20"/>
          <w:color w:val="auto"/>
        </w:rPr>
      </w:pPr>
    </w:p>
    <w:p>
      <w:pPr>
        <w:ind w:right="540" w:firstLine="648"/>
        <w:spacing w:after="0" w:line="286" w:lineRule="auto"/>
        <w:rPr>
          <w:sz w:val="20"/>
          <w:szCs w:val="20"/>
          <w:color w:val="auto"/>
        </w:rPr>
      </w:pPr>
      <w:r>
        <w:rPr>
          <w:rFonts w:ascii="Arial" w:cs="Arial" w:eastAsia="Arial" w:hAnsi="Arial"/>
          <w:sz w:val="20"/>
          <w:szCs w:val="20"/>
          <w:color w:val="auto"/>
        </w:rPr>
        <w:t>I agree that before being required to sign this PECA, the Company provided written notice to me that I had at least fourteen (14) calendar days to review the non-competition provision in the PECA before I must execute the PECA.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180"/>
          </w:cols>
          <w:pgMar w:left="320" w:top="1440" w:right="39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2"/>
          </w:tcPr>
          <w:p>
            <w:pPr>
              <w:ind w:left="706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432"/>
        </w:trPr>
        <w:tc>
          <w:tcPr>
            <w:tcW w:w="3380" w:type="dxa"/>
            <w:vAlign w:val="bottom"/>
          </w:tcPr>
          <w:p>
            <w:pPr>
              <w:spacing w:after="0"/>
              <w:rPr>
                <w:sz w:val="24"/>
                <w:szCs w:val="24"/>
                <w:color w:val="auto"/>
              </w:rPr>
            </w:pPr>
          </w:p>
        </w:tc>
        <w:tc>
          <w:tcPr>
            <w:tcW w:w="7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Subsidiaries of Lockheed Martin Corporation</w:t>
            </w:r>
          </w:p>
        </w:tc>
      </w:tr>
      <w:tr>
        <w:trPr>
          <w:trHeight w:val="51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860" w:type="dxa"/>
            <w:vAlign w:val="bottom"/>
            <w:gridSpan w:val="2"/>
          </w:tcPr>
          <w:p>
            <w:pPr>
              <w:ind w:left="6100"/>
              <w:spacing w:after="0"/>
              <w:rPr>
                <w:sz w:val="20"/>
                <w:szCs w:val="20"/>
                <w:color w:val="auto"/>
              </w:rPr>
            </w:pPr>
            <w:r>
              <w:rPr>
                <w:rFonts w:ascii="Times New Roman" w:cs="Times New Roman" w:eastAsia="Times New Roman" w:hAnsi="Times New Roman"/>
                <w:sz w:val="18"/>
                <w:szCs w:val="18"/>
                <w:b w:val="1"/>
                <w:bCs w:val="1"/>
                <w:color w:val="auto"/>
              </w:rPr>
              <w:t>Place of Formation</w:t>
            </w:r>
          </w:p>
        </w:tc>
      </w:tr>
      <w:tr>
        <w:trPr>
          <w:trHeight w:val="218"/>
        </w:trPr>
        <w:tc>
          <w:tcPr>
            <w:tcW w:w="3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Astrolink International, LLC</w:t>
            </w:r>
          </w:p>
        </w:tc>
        <w:tc>
          <w:tcPr>
            <w:tcW w:w="7820" w:type="dxa"/>
            <w:vAlign w:val="bottom"/>
            <w:tcBorders>
              <w:top w:val="single" w:sz="8" w:color="auto"/>
            </w:tcBorders>
          </w:tcPr>
          <w:p>
            <w:pPr>
              <w:ind w:left="5860"/>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Helicopter Support,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Connecticut</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Australia Pty Limited</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Canada,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Global,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Investments,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Overseas, LLC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UK Ampthill Limited</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UK Limited</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Polskie Zaklady Lotnicze Sp. Zo.o</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Poland</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Sikorsky Aircraft Corporation</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Sikorsky International Operations,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Vibrant Star Insurance LLC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District of Columbia</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Zeta Associates,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Virginia</w:t>
            </w:r>
          </w:p>
        </w:tc>
      </w:tr>
    </w:tbl>
    <w:p>
      <w:pPr>
        <w:spacing w:after="0" w:line="292" w:lineRule="exact"/>
        <w:rPr>
          <w:sz w:val="20"/>
          <w:szCs w:val="20"/>
          <w:color w:val="auto"/>
        </w:rPr>
      </w:pPr>
    </w:p>
    <w:p>
      <w:pPr>
        <w:jc w:val="both"/>
        <w:ind w:firstLine="313"/>
        <w:spacing w:after="0" w:line="282" w:lineRule="auto"/>
        <w:rPr>
          <w:sz w:val="20"/>
          <w:szCs w:val="20"/>
          <w:color w:val="auto"/>
        </w:rPr>
      </w:pPr>
      <w:r>
        <w:rPr>
          <w:rFonts w:ascii="Times New Roman" w:cs="Times New Roman" w:eastAsia="Times New Roman" w:hAnsi="Times New Roman"/>
          <w:sz w:val="18"/>
          <w:szCs w:val="18"/>
          <w:color w:val="auto"/>
        </w:rPr>
        <w:t>In accordance with Item 601(b)(21) of Regulation S-K, the company has omitted from this Exhibit the names of additional subsidiaries which, considered in the aggregate or as a single subsidiary, do not constitute a significant subsidiary as defined in Rule 1-02(w) of Regulation S-X.</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 of the above listed subsidiaries have been consolidated in our consolidated financial statements.</w:t>
      </w:r>
    </w:p>
    <w:p>
      <w:pPr>
        <w:sectPr>
          <w:pgSz w:w="11900" w:h="16838" w:orient="portrait"/>
          <w:cols w:equalWidth="0" w:num="1">
            <w:col w:w="11240"/>
          </w:cols>
          <w:pgMar w:left="320" w:top="88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87"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333-92363 on Form S-8, dated December 8, 1999;</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333-115357 on Form S-8, dated May 10, 2004;</w:t>
      </w:r>
    </w:p>
    <w:p>
      <w:pPr>
        <w:ind w:left="660" w:hanging="328"/>
        <w:spacing w:after="0" w:line="234"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333-155687 on Form S-8, dated November 25, 2008;</w:t>
      </w: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333-188118 on Form S-8, dated April 25, 2013;</w:t>
      </w:r>
    </w:p>
    <w:p>
      <w:pPr>
        <w:spacing w:after="0" w:line="7" w:lineRule="exact"/>
        <w:rPr>
          <w:rFonts w:ascii="Times New Roman" w:cs="Times New Roman" w:eastAsia="Times New Roman" w:hAnsi="Times New Roman"/>
          <w:sz w:val="18"/>
          <w:szCs w:val="18"/>
          <w:color w:val="auto"/>
        </w:rPr>
      </w:pPr>
    </w:p>
    <w:p>
      <w:pPr>
        <w:ind w:left="660" w:right="120" w:hanging="328"/>
        <w:spacing w:after="0" w:line="235"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333-195466 on Form S-8, dated April 24, 2014, July 23, 2014 (Post-Effective Amendment No.1) and April 24, 2020 (Post-Effective Amendment No. 2);</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333-237829, 333-237831, and 333-237832 on Form S-8, each dated April 24, 2020;</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333-271323 on Form S-8, dated April 18, 2023; and</w:t>
      </w: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333-271325 on Form S-3, dated April 18, 2023.</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January 29, 2026, with respect to the consolidated financial statements of Lockheed Martin Corporation and the effectiveness of internal control over financial reporting of Lockheed Martin Corporation, included in this Annual Report (Form 10-K) of Lockheed Martin Corporation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ectPr>
          <w:pgSz w:w="11900" w:h="16838" w:orient="portrait"/>
          <w:cols w:equalWidth="0" w:num="1">
            <w:col w:w="11240"/>
          </w:cols>
          <w:pgMar w:left="320" w:top="88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Lynda Noggle,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2025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John C. Aquilino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JOHN C. AQUILINO</w:t>
      </w: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2026</w:t>
      </w:r>
    </w:p>
    <w:p>
      <w:pPr>
        <w:sectPr>
          <w:pgSz w:w="11900" w:h="16838" w:orient="portrait"/>
          <w:cols w:equalWidth="0" w:num="1">
            <w:col w:w="11240"/>
          </w:cols>
          <w:pgMar w:left="320" w:top="88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Lynda Noggle,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2025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David B. Burritt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DAVID B. BURRITT</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2026</w:t>
      </w:r>
    </w:p>
    <w:p>
      <w:pPr>
        <w:sectPr>
          <w:pgSz w:w="11900" w:h="16838" w:orient="portrait"/>
          <w:cols w:equalWidth="0" w:num="1">
            <w:col w:w="11240"/>
          </w:cols>
          <w:pgMar w:left="320" w:top="88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Lynda Noggle,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2025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John M.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JOHN M. DONOVAN</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2026</w:t>
      </w:r>
    </w:p>
    <w:p>
      <w:pPr>
        <w:sectPr>
          <w:pgSz w:w="11900" w:h="16838" w:orient="portrait"/>
          <w:cols w:equalWidth="0" w:num="1">
            <w:col w:w="11240"/>
          </w:cols>
          <w:pgMar w:left="320" w:top="1103"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Lynda Noggle,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2025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Joseph F. Dunford,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JOSEPH F. DUNFORD, JR.</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2026</w:t>
      </w:r>
    </w:p>
    <w:p>
      <w:pPr>
        <w:sectPr>
          <w:pgSz w:w="11900" w:h="16838" w:orient="portrait"/>
          <w:cols w:equalWidth="0" w:num="1">
            <w:col w:w="11240"/>
          </w:cols>
          <w:pgMar w:left="320" w:top="1103"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Lynda Noggle,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2025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Thomas J.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THOMAS J. FALK</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23, 2026</w:t>
      </w:r>
    </w:p>
    <w:p>
      <w:pPr>
        <w:sectPr>
          <w:pgSz w:w="11900" w:h="16838" w:orient="portrait"/>
          <w:cols w:equalWidth="0" w:num="1">
            <w:col w:w="11240"/>
          </w:cols>
          <w:pgMar w:left="320" w:top="887"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Lynda Noggle,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2025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Vicki A.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VICKI A. HOLLUB</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2026</w:t>
      </w:r>
    </w:p>
    <w:p>
      <w:pPr>
        <w:sectPr>
          <w:pgSz w:w="11900" w:h="16838" w:orient="portrait"/>
          <w:cols w:equalWidth="0" w:num="1">
            <w:col w:w="11240"/>
          </w:cols>
          <w:pgMar w:left="320" w:top="887"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Lynda Noggle,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2025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Debra L. Reed-Klages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DEBRA L. REED-KLAGES</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23, 2026</w:t>
      </w:r>
    </w:p>
    <w:p>
      <w:pPr>
        <w:sectPr>
          <w:pgSz w:w="11900" w:h="16838" w:orient="portrait"/>
          <w:cols w:equalWidth="0" w:num="1">
            <w:col w:w="11240"/>
          </w:cols>
          <w:pgMar w:left="320" w:top="887"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Lynda Noggle,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2025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Heather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HEATHER A. WILSON</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23, 2026</w:t>
      </w:r>
    </w:p>
    <w:p>
      <w:pPr>
        <w:sectPr>
          <w:pgSz w:w="11900" w:h="16838" w:orient="portrait"/>
          <w:cols w:equalWidth="0" w:num="1">
            <w:col w:w="11240"/>
          </w:cols>
          <w:pgMar w:left="320" w:top="887"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Lynda Noggle,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2025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Patricia E. Yarrington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PATRICIA E. YARRINGTON</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2026</w:t>
      </w:r>
    </w:p>
    <w:p>
      <w:pPr>
        <w:sectPr>
          <w:pgSz w:w="11900" w:h="16838" w:orient="portrait"/>
          <w:cols w:equalWidth="0" w:num="1">
            <w:col w:w="11240"/>
          </w:cols>
          <w:pgMar w:left="320" w:top="1103"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31.1</w:t>
      </w:r>
    </w:p>
    <w:p>
      <w:pPr>
        <w:spacing w:after="0" w:line="5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JAMES D. TAICLET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James D. Taiclet, certify that:</w:t>
      </w:r>
    </w:p>
    <w:p>
      <w:pPr>
        <w:spacing w:after="0" w:line="225"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Lockheed Martin Corporation;</w:t>
      </w:r>
    </w:p>
    <w:p>
      <w:pPr>
        <w:spacing w:after="0" w:line="225"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2"/>
        <w:spacing w:after="0" w:line="260" w:lineRule="auto"/>
        <w:tabs>
          <w:tab w:leader="none" w:pos="3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17780</wp:posOffset>
            </wp:positionV>
            <wp:extent cx="19627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January 29, 2026</w:t>
      </w:r>
    </w:p>
    <w:p>
      <w:pPr>
        <w:sectPr>
          <w:pgSz w:w="11900" w:h="16838" w:orient="portrait"/>
          <w:cols w:equalWidth="0" w:num="1">
            <w:col w:w="11240"/>
          </w:cols>
          <w:pgMar w:left="320" w:top="931"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EVAN T. SCOTT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Evan T. Scott, certify that:</w:t>
      </w:r>
    </w:p>
    <w:p>
      <w:pPr>
        <w:spacing w:after="0" w:line="225"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Lockheed Martin Corporation;</w:t>
      </w:r>
    </w:p>
    <w:p>
      <w:pPr>
        <w:spacing w:after="0" w:line="225"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2"/>
        <w:spacing w:after="0" w:line="260" w:lineRule="auto"/>
        <w:tabs>
          <w:tab w:leader="none" w:pos="3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Evan T.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17830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Evan T. Scott</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January 29, 2026</w:t>
      </w:r>
    </w:p>
    <w:p>
      <w:pPr>
        <w:sectPr>
          <w:pgSz w:w="11900" w:h="16838" w:orient="portrait"/>
          <w:cols w:equalWidth="0" w:num="1">
            <w:col w:w="11240"/>
          </w:cols>
          <w:pgMar w:left="320" w:top="931" w:right="339" w:bottom="1440" w:gutter="0" w:footer="0" w:header="0"/>
        </w:sectPr>
      </w:pPr>
    </w:p>
    <w:bookmarkStart w:id="166" w:name="page167"/>
    <w:bookmarkEnd w:id="166"/>
    <w:p>
      <w:pPr>
        <w:ind w:left="1040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 OF JAMES D. TAICLET AND EVAN T. SCOTT PURSUANT TO 18 U.S.C. SECTION 1350, AS ADOPTED PURSUANT TO SECTION 906 OF THE SARBANES-OXLEY ACT OF 2002</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Annual Report of Lockheed Martin Corporation (the “Corporation”) on Form 10-K for the period ended December 31, 2025, as filed with the U.S. Securities and Exchange Commission on the date hereof (the “Report”), I, James D. Taiclet, Chief Executive Officer of the Corporation, and I, Evan T. Scott, Chief Financial Officer of the Corporation, each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980" w:hanging="486"/>
        <w:spacing w:after="0" w:line="266" w:lineRule="auto"/>
        <w:tabs>
          <w:tab w:leader="none" w:pos="9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914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8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Evan T.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914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Evan T. Scott</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lowerLetter"/>
      <w:start w:val="1"/>
    </w:lvl>
  </w:abstractNum>
  <w:abstractNum w:abstractNumId="10">
    <w:nsid w:val="649BB77C"/>
    <w:multiLevelType w:val="hybridMultilevel"/>
    <w:lvl w:ilvl="0">
      <w:lvlJc w:val="left"/>
      <w:lvlText w:val="%1."/>
      <w:numFmt w:val="decimal"/>
      <w:start w:val="2"/>
    </w:lvl>
  </w:abstractNum>
  <w:abstractNum w:abstractNumId="11">
    <w:nsid w:val="275AC794"/>
    <w:multiLevelType w:val="hybridMultilevel"/>
    <w:lvl w:ilvl="0">
      <w:lvlJc w:val="left"/>
      <w:lvlText w:val="(%1)"/>
      <w:numFmt w:val="lowerLetter"/>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1)"/>
      <w:numFmt w:val="lowerLetter"/>
      <w:start w:val="1"/>
    </w:lvl>
  </w:abstractNum>
  <w:abstractNum w:abstractNumId="14">
    <w:nsid w:val="180115BE"/>
    <w:multiLevelType w:val="hybridMultilevel"/>
    <w:lvl w:ilvl="0">
      <w:lvlJc w:val="left"/>
      <w:lvlText w:val="(%1)"/>
      <w:numFmt w:val="lowerLetter"/>
      <w:start w:val="1"/>
    </w:lvl>
  </w:abstractNum>
  <w:abstractNum w:abstractNumId="15">
    <w:nsid w:val="235BA861"/>
    <w:multiLevelType w:val="hybridMultilevel"/>
    <w:lvl w:ilvl="0">
      <w:lvlJc w:val="left"/>
      <w:lvlText w:val="(%1)"/>
      <w:numFmt w:val="lowerLetter"/>
      <w:start w:val="1"/>
    </w:lvl>
  </w:abstractNum>
  <w:abstractNum w:abstractNumId="16">
    <w:nsid w:val="47398C89"/>
    <w:multiLevelType w:val="hybridMultilevel"/>
    <w:lvl w:ilvl="0">
      <w:lvlJc w:val="left"/>
      <w:lvlText w:val="(%1)"/>
      <w:numFmt w:val="lowerLetter"/>
      <w:start w:val="1"/>
    </w:lvl>
  </w:abstractNum>
  <w:abstractNum w:abstractNumId="17">
    <w:nsid w:val="354FE9F9"/>
    <w:multiLevelType w:val="hybridMultilevel"/>
    <w:lvl w:ilvl="0">
      <w:lvlJc w:val="left"/>
      <w:lvlText w:val="(%1)"/>
      <w:numFmt w:val="lowerLetter"/>
      <w:start w:val="1"/>
    </w:lvl>
  </w:abstractNum>
  <w:abstractNum w:abstractNumId="18">
    <w:nsid w:val="15B5AF5C"/>
    <w:multiLevelType w:val="hybridMultilevel"/>
    <w:lvl w:ilvl="0">
      <w:lvlJc w:val="left"/>
      <w:lvlText w:val="(%1)"/>
      <w:numFmt w:val="lowerLetter"/>
      <w:start w:val="1"/>
    </w:lvl>
  </w:abstractNum>
  <w:abstractNum w:abstractNumId="19">
    <w:nsid w:val="741226BB"/>
    <w:multiLevelType w:val="hybridMultilevel"/>
    <w:lvl w:ilvl="0">
      <w:lvlJc w:val="left"/>
      <w:lvlText w:val="(%1)"/>
      <w:numFmt w:val="lowerLetter"/>
      <w:start w:val="1"/>
    </w:lvl>
  </w:abstractNum>
  <w:abstractNum w:abstractNumId="20">
    <w:nsid w:val="D34B6A8"/>
    <w:multiLevelType w:val="hybridMultilevel"/>
    <w:lvl w:ilvl="0">
      <w:lvlJc w:val="left"/>
      <w:lvlText w:val="(%1)"/>
      <w:numFmt w:val="lowerLetter"/>
      <w:start w:val="1"/>
    </w:lvl>
  </w:abstractNum>
  <w:abstractNum w:abstractNumId="21">
    <w:nsid w:val="10233C99"/>
    <w:multiLevelType w:val="hybridMultilevel"/>
    <w:lvl w:ilvl="0">
      <w:lvlJc w:val="left"/>
      <w:lvlText w:val="(%1)"/>
      <w:numFmt w:val="lowerLetter"/>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decimal"/>
      <w:start w:val="19"/>
    </w:lvl>
  </w:abstractNum>
  <w:abstractNum w:abstractNumId="24">
    <w:nsid w:val="7E0C57B1"/>
    <w:multiLevelType w:val="hybridMultilevel"/>
    <w:lvl w:ilvl="0">
      <w:lvlJc w:val="left"/>
      <w:lvlText w:val="%1"/>
      <w:numFmt w:val="decimal"/>
      <w:start w:val="21"/>
    </w:lvl>
  </w:abstractNum>
  <w:abstractNum w:abstractNumId="25">
    <w:nsid w:val="77AE35EB"/>
    <w:multiLevelType w:val="hybridMultilevel"/>
    <w:lvl w:ilvl="0">
      <w:lvlJc w:val="left"/>
      <w:lvlText w:val="%1"/>
      <w:numFmt w:val="decimal"/>
      <w:start w:val="23"/>
    </w:lvl>
  </w:abstractNum>
  <w:abstractNum w:abstractNumId="26">
    <w:nsid w:val="579BE4F1"/>
    <w:multiLevelType w:val="hybridMultilevel"/>
    <w:lvl w:ilvl="0">
      <w:lvlJc w:val="left"/>
      <w:lvlText w:val="%1"/>
      <w:numFmt w:val="decimal"/>
      <w:start w:val="32"/>
    </w:lvl>
  </w:abstractNum>
  <w:abstractNum w:abstractNumId="27">
    <w:nsid w:val="310C50B3"/>
    <w:multiLevelType w:val="hybridMultilevel"/>
    <w:lvl w:ilvl="0">
      <w:lvlJc w:val="left"/>
      <w:lvlText w:val="%1"/>
      <w:numFmt w:val="decimal"/>
      <w:start w:val="97"/>
    </w:lvl>
  </w:abstractNum>
  <w:abstractNum w:abstractNumId="28">
    <w:nsid w:val="5FF87E05"/>
    <w:multiLevelType w:val="hybridMultilevel"/>
    <w:lvl w:ilvl="0">
      <w:lvlJc w:val="left"/>
      <w:lvlText w:val="*"/>
      <w:numFmt w:val="bullet"/>
      <w:start w:val="1"/>
    </w:lvl>
    <w:lvl w:ilvl="1">
      <w:lvlJc w:val="left"/>
      <w:lvlText w:val="%2"/>
      <w:numFmt w:val="decimal"/>
      <w:start w:val="104"/>
    </w:lvl>
  </w:abstractNum>
  <w:abstractNum w:abstractNumId="29">
    <w:nsid w:val="2F305DEF"/>
    <w:multiLevelType w:val="hybridMultilevel"/>
    <w:lvl w:ilvl="0">
      <w:lvlJc w:val="left"/>
      <w:lvlText w:val="(%1)"/>
      <w:numFmt w:val="lowerLetter"/>
      <w:start w:val="1"/>
    </w:lvl>
  </w:abstractNum>
  <w:abstractNum w:abstractNumId="30">
    <w:nsid w:val="25A70BF7"/>
    <w:multiLevelType w:val="hybridMultilevel"/>
    <w:lvl w:ilvl="0">
      <w:lvlJc w:val="left"/>
      <w:lvlText w:val="(%1)"/>
      <w:numFmt w:val="lowerLetter"/>
      <w:start w:val="2"/>
    </w:lvl>
  </w:abstractNum>
  <w:abstractNum w:abstractNumId="31">
    <w:nsid w:val="1DBABF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
    <w:nsid w:val="4AD084E9"/>
    <w:multiLevelType w:val="hybridMultilevel"/>
    <w:lvl w:ilvl="0">
      <w:lvlJc w:val="left"/>
      <w:lvlText w:val="%1"/>
      <w:numFmt w:val="lowerLetter"/>
      <w:start w:val="1"/>
    </w:lvl>
    <w:lvl w:ilvl="1">
      <w:lvlJc w:val="left"/>
      <w:lvlText w:val="(%2)"/>
      <w:numFmt w:val="lowerLetter"/>
      <w:start w:val="3"/>
    </w:lvl>
  </w:abstractNum>
  <w:abstractNum w:abstractNumId="33">
    <w:nsid w:val="1F48EAA1"/>
    <w:multiLevelType w:val="hybridMultilevel"/>
    <w:lvl w:ilvl="0">
      <w:lvlJc w:val="left"/>
      <w:lvlText w:val="(%1)"/>
      <w:numFmt w:val="lowerLetter"/>
      <w:start w:val="35"/>
    </w:lvl>
    <w:lvl w:ilvl="1">
      <w:lvlJc w:val="left"/>
      <w:lvlText w:val="(%2)"/>
      <w:numFmt w:val="lowerLetter"/>
      <w:start w:val="4"/>
    </w:lvl>
  </w:abstractNum>
  <w:abstractNum w:abstractNumId="34">
    <w:nsid w:val="1381823A"/>
    <w:multiLevelType w:val="hybridMultilevel"/>
    <w:lvl w:ilvl="0">
      <w:lvlJc w:val="left"/>
      <w:lvlText w:val="(%1)"/>
      <w:numFmt w:val="lowerRoman"/>
      <w:start w:val="1"/>
    </w:lvl>
  </w:abstractNum>
  <w:abstractNum w:abstractNumId="35">
    <w:nsid w:val="5DB70AE5"/>
    <w:multiLevelType w:val="hybridMultilevel"/>
    <w:lvl w:ilvl="0">
      <w:lvlJc w:val="left"/>
      <w:lvlText w:val="(%1)"/>
      <w:numFmt w:val="lowerLetter"/>
      <w:start w:val="1"/>
    </w:lvl>
  </w:abstractNum>
  <w:abstractNum w:abstractNumId="36">
    <w:nsid w:val="100F8FCA"/>
    <w:multiLevelType w:val="hybridMultilevel"/>
    <w:lvl w:ilvl="0">
      <w:lvlJc w:val="left"/>
      <w:lvlText w:val="(%1)"/>
      <w:numFmt w:val="lowerLetter"/>
      <w:start w:val="1"/>
    </w:lvl>
  </w:abstractNum>
  <w:abstractNum w:abstractNumId="37">
    <w:nsid w:val="6590700B"/>
    <w:multiLevelType w:val="hybridMultilevel"/>
    <w:lvl w:ilvl="0">
      <w:lvlJc w:val="left"/>
      <w:lvlText w:val="(%1)"/>
      <w:numFmt w:val="lowerLetter"/>
      <w:start w:val="2"/>
    </w:lvl>
  </w:abstractNum>
  <w:abstractNum w:abstractNumId="38">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
    <w:nsid w:val="5F5E7FD0"/>
    <w:multiLevelType w:val="hybridMultilevel"/>
    <w:lvl w:ilvl="0">
      <w:lvlJc w:val="left"/>
      <w:lvlText w:val="(%1)"/>
      <w:numFmt w:val="lowerLetter"/>
      <w:start w:val="3"/>
    </w:lvl>
  </w:abstractNum>
  <w:abstractNum w:abstractNumId="40">
    <w:nsid w:val="98A3148"/>
    <w:multiLevelType w:val="hybridMultilevel"/>
    <w:lvl w:ilvl="0">
      <w:lvlJc w:val="left"/>
      <w:lvlText w:val="(%1)"/>
      <w:numFmt w:val="lowerLetter"/>
      <w:start w:val="5"/>
    </w:lvl>
  </w:abstractNum>
  <w:abstractNum w:abstractNumId="41">
    <w:nsid w:val="799D0247"/>
    <w:multiLevelType w:val="hybridMultilevel"/>
    <w:lvl w:ilvl="0">
      <w:lvlJc w:val="left"/>
      <w:lvlText w:val="(%1)"/>
      <w:numFmt w:val="lowerLetter"/>
      <w:start w:val="3"/>
    </w:lvl>
  </w:abstractNum>
  <w:abstractNum w:abstractNumId="42">
    <w:nsid w:val="6B94764"/>
    <w:multiLevelType w:val="hybridMultilevel"/>
    <w:lvl w:ilvl="0">
      <w:lvlJc w:val="left"/>
      <w:lvlText w:val="(%1)"/>
      <w:numFmt w:val="lowerLetter"/>
      <w:start w:val="1"/>
    </w:lvl>
  </w:abstractNum>
  <w:abstractNum w:abstractNumId="43">
    <w:nsid w:val="42C296BD"/>
    <w:multiLevelType w:val="hybridMultilevel"/>
    <w:lvl w:ilvl="0">
      <w:lvlJc w:val="left"/>
      <w:lvlText w:val="(%1)"/>
      <w:numFmt w:val="lowerRoman"/>
      <w:start w:val="1"/>
    </w:lvl>
  </w:abstractNum>
  <w:abstractNum w:abstractNumId="44">
    <w:nsid w:val="168E121F"/>
    <w:multiLevelType w:val="hybridMultilevel"/>
    <w:lvl w:ilvl="0">
      <w:lvlJc w:val="left"/>
      <w:lvlText w:val="(%1)"/>
      <w:numFmt w:val="lowerLetter"/>
      <w:start w:val="1"/>
    </w:lvl>
  </w:abstractNum>
  <w:abstractNum w:abstractNumId="45">
    <w:nsid w:val="1EBA5D23"/>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2"/>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lowerLetter"/>
      <w:start w:val="1"/>
    </w:lvl>
    <w:lvl w:ilvl="1">
      <w:lvlJc w:val="left"/>
      <w:lvlText w:val="(%2)"/>
      <w:numFmt w:val="lowerRoman"/>
      <w:start w:val="1"/>
    </w:lvl>
  </w:abstractNum>
  <w:abstractNum w:abstractNumId="52">
    <w:nsid w:val="BF72B14"/>
    <w:multiLevelType w:val="hybridMultilevel"/>
    <w:lvl w:ilvl="0">
      <w:lvlJc w:val="left"/>
      <w:lvlText w:val="(%1)"/>
      <w:numFmt w:val="lowerRoman"/>
      <w:start w:val="3"/>
    </w:lvl>
    <w:lvl w:ilvl="1">
      <w:lvlJc w:val="left"/>
      <w:lvlText w:val="%2."/>
      <w:numFmt w:val="lowerLetter"/>
      <w:start w:val="1"/>
    </w:lvl>
  </w:abstractNum>
  <w:abstractNum w:abstractNumId="53">
    <w:nsid w:val="11447B73"/>
    <w:multiLevelType w:val="hybridMultilevel"/>
    <w:lvl w:ilvl="0">
      <w:lvlJc w:val="left"/>
      <w:lvlText w:val="(%1)"/>
      <w:numFmt w:val="lowerLetter"/>
      <w:start w:val="2"/>
    </w:lvl>
  </w:abstractNum>
  <w:abstractNum w:abstractNumId="54">
    <w:nsid w:val="42963E5A"/>
    <w:multiLevelType w:val="hybridMultilevel"/>
    <w:lvl w:ilvl="0">
      <w:lvlJc w:val="left"/>
      <w:lvlText w:val="%1"/>
      <w:numFmt w:val="lowerLetter"/>
      <w:start w:val="1"/>
    </w:lvl>
    <w:lvl w:ilvl="1">
      <w:lvlJc w:val="left"/>
      <w:lvlText w:val="(%2)"/>
      <w:numFmt w:val="lowerLetter"/>
      <w:start w:val="3"/>
    </w:lvl>
  </w:abstractNum>
  <w:abstractNum w:abstractNumId="55">
    <w:nsid w:val="A0382C5"/>
    <w:multiLevelType w:val="hybridMultilevel"/>
    <w:lvl w:ilvl="0">
      <w:lvlJc w:val="left"/>
      <w:lvlText w:val="(%1)"/>
      <w:numFmt w:val="lowerLetter"/>
      <w:start w:val="9"/>
    </w:lvl>
    <w:lvl w:ilvl="1">
      <w:lvlJc w:val="left"/>
      <w:lvlText w:val="%2"/>
      <w:numFmt w:val="lowerLetter"/>
      <w:start w:val="1"/>
    </w:lvl>
  </w:abstractNum>
  <w:abstractNum w:abstractNumId="56">
    <w:nsid w:val="8F2B15E"/>
    <w:multiLevelType w:val="hybridMultilevel"/>
    <w:lvl w:ilvl="0">
      <w:lvlJc w:val="left"/>
      <w:lvlText w:val="(%1)"/>
      <w:numFmt w:val="lowerRoman"/>
      <w:start w:val="2"/>
    </w:lvl>
  </w:abstractNum>
  <w:abstractNum w:abstractNumId="57">
    <w:nsid w:val="1A32234B"/>
    <w:multiLevelType w:val="hybridMultilevel"/>
    <w:lvl w:ilvl="0">
      <w:lvlJc w:val="left"/>
      <w:lvlText w:val="(%1)"/>
      <w:numFmt w:val="lowerLetter"/>
      <w:start w:val="4"/>
    </w:lvl>
    <w:lvl w:ilvl="1">
      <w:lvlJc w:val="left"/>
      <w:lvlText w:val="(%2)"/>
      <w:numFmt w:val="lowerRoman"/>
      <w:start w:val="1"/>
    </w:lvl>
  </w:abstractNum>
  <w:abstractNum w:abstractNumId="58">
    <w:nsid w:val="3B0FD379"/>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3"/>
    </w:lvl>
  </w:abstractNum>
  <w:abstractNum w:abstractNumId="59">
    <w:nsid w:val="68EB2F63"/>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60">
    <w:nsid w:val="4962813B"/>
    <w:multiLevelType w:val="hybridMultilevel"/>
    <w:lvl w:ilvl="0">
      <w:lvlJc w:val="left"/>
      <w:lvlText w:val="(%1)"/>
      <w:numFmt w:val="lowerRoman"/>
      <w:start w:val="4"/>
    </w:lvl>
    <w:lvl w:ilvl="1">
      <w:lvlJc w:val="left"/>
      <w:lvlText w:val="%2."/>
      <w:numFmt w:val="decimal"/>
      <w:start w:val="3"/>
    </w:lvl>
    <w:lvl w:ilvl="2">
      <w:lvlJc w:val="left"/>
      <w:lvlText w:val="%3"/>
      <w:numFmt w:val="lowerRoman"/>
      <w:start w:val="1"/>
    </w:lvl>
  </w:abstractNum>
  <w:abstractNum w:abstractNumId="61">
    <w:nsid w:val="60B6DF70"/>
    <w:multiLevelType w:val="hybridMultilevel"/>
    <w:lvl w:ilvl="0">
      <w:lvlJc w:val="left"/>
      <w:lvlText w:val="(%1)"/>
      <w:numFmt w:val="lowerLetter"/>
      <w:start w:val="1"/>
    </w:lvl>
    <w:lvl w:ilvl="1">
      <w:lvlJc w:val="left"/>
      <w:lvlText w:val="(%2)"/>
      <w:numFmt w:val="lowerRoman"/>
      <w:start w:val="1"/>
    </w:lvl>
  </w:abstractNum>
  <w:abstractNum w:abstractNumId="62">
    <w:nsid w:val="6A5EE64"/>
    <w:multiLevelType w:val="hybridMultilevel"/>
    <w:lvl w:ilvl="0">
      <w:lvlJc w:val="left"/>
      <w:lvlText w:val="%1"/>
      <w:numFmt w:val="lowerLetter"/>
      <w:start w:val="1"/>
    </w:lvl>
    <w:lvl w:ilvl="1">
      <w:lvlJc w:val="left"/>
      <w:lvlText w:val="(%2)"/>
      <w:numFmt w:val="lowerRoman"/>
      <w:start w:val="3"/>
    </w:lvl>
  </w:abstractNum>
  <w:abstractNum w:abstractNumId="63">
    <w:nsid w:val="14330624"/>
    <w:multiLevelType w:val="hybridMultilevel"/>
    <w:lvl w:ilvl="0">
      <w:lvlJc w:val="left"/>
      <w:lvlText w:val="(%1)"/>
      <w:numFmt w:val="lowerLetter"/>
      <w:start w:val="2"/>
    </w:lvl>
    <w:lvl w:ilvl="1">
      <w:lvlJc w:val="left"/>
      <w:lvlText w:val="%2"/>
      <w:numFmt w:val="lowerRoman"/>
      <w:start w:val="1"/>
    </w:lvl>
  </w:abstractNum>
  <w:abstractNum w:abstractNumId="64">
    <w:nsid w:val="7FFFCA11"/>
    <w:multiLevelType w:val="hybridMultilevel"/>
    <w:lvl w:ilvl="0">
      <w:lvlJc w:val="left"/>
      <w:lvlText w:val="%1."/>
      <w:numFmt w:val="decimal"/>
      <w:start w:val="4"/>
    </w:lvl>
  </w:abstractNum>
  <w:abstractNum w:abstractNumId="65">
    <w:nsid w:val="1A27709E"/>
    <w:multiLevelType w:val="hybridMultilevel"/>
    <w:lvl w:ilvl="0">
      <w:lvlJc w:val="left"/>
      <w:lvlText w:val="%1"/>
      <w:numFmt w:val="lowerLetter"/>
      <w:start w:val="1"/>
    </w:lvl>
    <w:lvl w:ilvl="1">
      <w:lvlJc w:val="left"/>
      <w:lvlText w:val="%2."/>
      <w:numFmt w:val="decimal"/>
      <w:start w:val="6"/>
    </w:lvl>
  </w:abstractNum>
  <w:abstractNum w:abstractNumId="66">
    <w:nsid w:val="71EA1109"/>
    <w:multiLevelType w:val="hybridMultilevel"/>
    <w:lvl w:ilvl="0">
      <w:lvlJc w:val="left"/>
      <w:lvlText w:val="(%1)"/>
      <w:numFmt w:val="lowerLetter"/>
      <w:start w:val="1"/>
    </w:lvl>
    <w:lvl w:ilvl="1">
      <w:lvlJc w:val="left"/>
      <w:lvlText w:val="%2"/>
      <w:numFmt w:val="decimal"/>
      <w:start w:val="1"/>
    </w:lvl>
  </w:abstractNum>
  <w:abstractNum w:abstractNumId="67">
    <w:nsid w:val="100F59DC"/>
    <w:multiLevelType w:val="hybridMultilevel"/>
    <w:lvl w:ilvl="0">
      <w:lvlJc w:val="left"/>
      <w:lvlText w:val="%1."/>
      <w:numFmt w:val="decimal"/>
      <w:start w:val="7"/>
    </w:lvl>
  </w:abstractNum>
  <w:abstractNum w:abstractNumId="68">
    <w:nsid w:val="7FB7E0AA"/>
    <w:multiLevelType w:val="hybridMultilevel"/>
    <w:lvl w:ilvl="0">
      <w:lvlJc w:val="left"/>
      <w:lvlText w:val="(%1)"/>
      <w:numFmt w:val="lowerLetter"/>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2"/>
    </w:lvl>
  </w:abstractNum>
  <w:abstractNum w:abstractNumId="71">
    <w:nsid w:val="94211F2"/>
    <w:multiLevelType w:val="hybridMultilevel"/>
    <w:lvl w:ilvl="0">
      <w:lvlJc w:val="left"/>
      <w:lvlText w:val="%1."/>
      <w:numFmt w:val="decimal"/>
      <w:start w:val="3"/>
    </w:lvl>
  </w:abstractNum>
  <w:abstractNum w:abstractNumId="72">
    <w:nsid w:val="885E1B"/>
    <w:multiLevelType w:val="hybridMultilevel"/>
    <w:lvl w:ilvl="0">
      <w:lvlJc w:val="left"/>
      <w:lvlText w:val="%1."/>
      <w:numFmt w:val="decimal"/>
      <w:start w:val="4"/>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decimal"/>
      <w:start w:val="3"/>
    </w:lvl>
  </w:abstractNum>
  <w:abstractNum w:abstractNumId="75">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14E17E33"/>
    <w:multiLevelType w:val="hybridMultilevel"/>
    <w:lvl w:ilvl="0">
      <w:lvlJc w:val="left"/>
      <w:lvlText w:val="(%1)"/>
      <w:numFmt w:val="lowerRoman"/>
      <w:start w:val="3"/>
    </w:lvl>
    <w:lvl w:ilvl="1">
      <w:lvlJc w:val="left"/>
      <w:lvlText w:val="%2."/>
      <w:numFmt w:val="lowerLetter"/>
      <w:start w:val="1"/>
    </w:lvl>
  </w:abstractNum>
  <w:abstractNum w:abstractNumId="77">
    <w:nsid w:val="3222E7CD"/>
    <w:multiLevelType w:val="hybridMultilevel"/>
    <w:lvl w:ilvl="0">
      <w:lvlJc w:val="left"/>
      <w:lvlText w:val="(%1)"/>
      <w:numFmt w:val="lowerLetter"/>
      <w:start w:val="2"/>
    </w:lvl>
  </w:abstractNum>
  <w:abstractNum w:abstractNumId="78">
    <w:nsid w:val="74DE0EE3"/>
    <w:multiLevelType w:val="hybridMultilevel"/>
    <w:lvl w:ilvl="0">
      <w:lvlJc w:val="left"/>
      <w:lvlText w:val="(%1)"/>
      <w:numFmt w:val="lowerLetter"/>
      <w:start w:val="3"/>
    </w:lvl>
    <w:lvl w:ilvl="1">
      <w:lvlJc w:val="left"/>
      <w:lvlText w:val="(%2)"/>
      <w:numFmt w:val="lowerLetter"/>
      <w:start w:val="9"/>
    </w:lvl>
  </w:abstractNum>
  <w:abstractNum w:abstractNumId="79">
    <w:nsid w:val="68EBC550"/>
    <w:multiLevelType w:val="hybridMultilevel"/>
    <w:lvl w:ilvl="0">
      <w:lvlJc w:val="left"/>
      <w:lvlText w:val="%1"/>
      <w:numFmt w:val="lowerLetter"/>
      <w:start w:val="1"/>
    </w:lvl>
    <w:lvl w:ilvl="1">
      <w:lvlJc w:val="left"/>
      <w:lvlText w:val="(%2)"/>
      <w:numFmt w:val="lowerRoman"/>
      <w:start w:val="2"/>
    </w:lvl>
  </w:abstractNum>
  <w:abstractNum w:abstractNumId="80">
    <w:nsid w:val="2DF6D648"/>
    <w:multiLevelType w:val="hybridMultilevel"/>
    <w:lvl w:ilvl="0">
      <w:lvlJc w:val="left"/>
      <w:lvlText w:val="(%1)"/>
      <w:numFmt w:val="lowerLetter"/>
      <w:start w:val="4"/>
    </w:lvl>
    <w:lvl w:ilvl="1">
      <w:lvlJc w:val="left"/>
      <w:lvlText w:val="(%2)"/>
      <w:numFmt w:val="lowerRoman"/>
      <w:start w:val="1"/>
    </w:lvl>
  </w:abstractNum>
  <w:abstractNum w:abstractNumId="81">
    <w:nsid w:val="46B7D447"/>
    <w:multiLevelType w:val="hybridMultilevel"/>
    <w:lvl w:ilvl="0">
      <w:lvlJc w:val="left"/>
      <w:lvlText w:val="(%1)"/>
      <w:numFmt w:val="lowerRoman"/>
      <w:start w:val="2"/>
    </w:lvl>
  </w:abstractNum>
  <w:abstractNum w:abstractNumId="82">
    <w:nsid w:val="4A2AC315"/>
    <w:multiLevelType w:val="hybridMultilevel"/>
    <w:lvl w:ilvl="0">
      <w:lvlJc w:val="left"/>
      <w:lvlText w:val="%1."/>
      <w:numFmt w:val="decimal"/>
      <w:start w:val="2"/>
    </w:lvl>
    <w:lvl w:ilvl="1">
      <w:lvlJc w:val="left"/>
      <w:lvlText w:val="(%2)"/>
      <w:numFmt w:val="lowerLetter"/>
      <w:start w:val="1"/>
    </w:lvl>
  </w:abstractNum>
  <w:abstractNum w:abstractNumId="83">
    <w:nsid w:val="39EE015C"/>
    <w:multiLevelType w:val="hybridMultilevel"/>
    <w:lvl w:ilvl="0">
      <w:lvlJc w:val="left"/>
      <w:lvlText w:val="%1"/>
      <w:numFmt w:val="lowerLetter"/>
      <w:start w:val="1"/>
    </w:lvl>
    <w:lvl w:ilvl="1">
      <w:lvlJc w:val="left"/>
      <w:lvlText w:val="(%2)"/>
      <w:numFmt w:val="lowerRoman"/>
      <w:start w:val="1"/>
    </w:lvl>
  </w:abstractNum>
  <w:abstractNum w:abstractNumId="84">
    <w:nsid w:val="57FC4FBB"/>
    <w:multiLevelType w:val="hybridMultilevel"/>
    <w:lvl w:ilvl="0">
      <w:lvlJc w:val="left"/>
      <w:lvlText w:val="(%1)"/>
      <w:numFmt w:val="lowerLetter"/>
      <w:start w:val="2"/>
    </w:lvl>
    <w:lvl w:ilvl="1">
      <w:lvlJc w:val="left"/>
      <w:lvlText w:val="%2"/>
      <w:numFmt w:val="lowerRoman"/>
      <w:start w:val="1"/>
    </w:lvl>
  </w:abstractNum>
  <w:abstractNum w:abstractNumId="85">
    <w:nsid w:val="CC1016F"/>
    <w:multiLevelType w:val="hybridMultilevel"/>
    <w:lvl w:ilvl="0">
      <w:lvlJc w:val="left"/>
      <w:lvlText w:val="%1"/>
      <w:numFmt w:val="lowerLetter"/>
      <w:start w:val="1"/>
    </w:lvl>
    <w:lvl w:ilvl="1">
      <w:lvlJc w:val="left"/>
      <w:lvlText w:val="%2."/>
      <w:numFmt w:val="decimal"/>
      <w:start w:val="4"/>
    </w:lvl>
  </w:abstractNum>
  <w:abstractNum w:abstractNumId="86">
    <w:nsid w:val="43F18422"/>
    <w:multiLevelType w:val="hybridMultilevel"/>
    <w:lvl w:ilvl="0">
      <w:lvlJc w:val="left"/>
      <w:lvlText w:val="(%1)"/>
      <w:numFmt w:val="lowerLetter"/>
      <w:start w:val="1"/>
    </w:lvl>
    <w:lvl w:ilvl="1">
      <w:lvlJc w:val="left"/>
      <w:lvlText w:val="%2"/>
      <w:numFmt w:val="decimal"/>
      <w:start w:val="1"/>
    </w:lvl>
  </w:abstractNum>
  <w:abstractNum w:abstractNumId="87">
    <w:nsid w:val="60EF0119"/>
    <w:multiLevelType w:val="hybridMultilevel"/>
    <w:lvl w:ilvl="0">
      <w:lvlJc w:val="left"/>
      <w:lvlText w:val="%1."/>
      <w:numFmt w:val="decimal"/>
      <w:start w:val="7"/>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1)"/>
      <w:numFmt w:val="lowerLetter"/>
      <w:start w:val="5"/>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decimal"/>
      <w:start w:val="2"/>
    </w:lvl>
  </w:abstractNum>
  <w:abstractNum w:abstractNumId="92">
    <w:nsid w:val="5FB8370B"/>
    <w:multiLevelType w:val="hybridMultilevel"/>
    <w:lvl w:ilvl="0">
      <w:lvlJc w:val="left"/>
      <w:lvlText w:val="%1."/>
      <w:numFmt w:val="decimal"/>
      <w:start w:val="3"/>
    </w:lvl>
  </w:abstractNum>
  <w:abstractNum w:abstractNumId="93">
    <w:nsid w:val="50801EE1"/>
    <w:multiLevelType w:val="hybridMultilevel"/>
    <w:lvl w:ilvl="0">
      <w:lvlJc w:val="left"/>
      <w:lvlText w:val="%1."/>
      <w:numFmt w:val="decimal"/>
      <w:start w:val="4"/>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decimal"/>
      <w:start w:val="2"/>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14" Type="http://schemas.openxmlformats.org/officeDocument/2006/relationships/hyperlink" Target="https://www.sec.gov/Archives/edgar/data/936468/000119312511045739/dex31.htm" TargetMode="External"/><Relationship Id="rId115" Type="http://schemas.openxmlformats.org/officeDocument/2006/relationships/hyperlink" Target="https://www.sec.gov/Archives/edgar/data/936468/000093646823000017/lmtbylaws02222023.htm" TargetMode="External"/><Relationship Id="rId116" Type="http://schemas.openxmlformats.org/officeDocument/2006/relationships/hyperlink" Target="https://www.sec.gov/Archives/edgar/data/936468/000093646822000008/ex41q42021.htm" TargetMode="External"/><Relationship Id="rId117" Type="http://schemas.openxmlformats.org/officeDocument/2006/relationships/hyperlink" Target="https://www.sec.gov/Archives/edgar/data/936468/000093646818000009/ex41q42017.htm" TargetMode="External"/><Relationship Id="rId118" Type="http://schemas.openxmlformats.org/officeDocument/2006/relationships/hyperlink" Target="https://www.sec.gov/Archives/edgar/data/936468/000119312506182765/dex991.htm" TargetMode="External"/><Relationship Id="rId119" Type="http://schemas.openxmlformats.org/officeDocument/2006/relationships/hyperlink" Target="https://www.sec.gov/Archives/edgar/data/936468/000119312508053896/dex41.htm" TargetMode="External"/><Relationship Id="rId120" Type="http://schemas.openxmlformats.org/officeDocument/2006/relationships/hyperlink" Target="https://www.sec.gov/Archives/edgar/data/936468/000119312510128266/dex991.htm" TargetMode="External"/><Relationship Id="rId121" Type="http://schemas.openxmlformats.org/officeDocument/2006/relationships/hyperlink" Target="https://www.sec.gov/Archives/edgar/data/936468/000093646820000085/ex412011indenture.htm" TargetMode="External"/><Relationship Id="rId122" Type="http://schemas.openxmlformats.org/officeDocument/2006/relationships/hyperlink" Target="https://www.sec.gov/Archives/edgar/data/936468/000119312522112230/d314321dex41.htm" TargetMode="External"/><Relationship Id="rId125" Type="http://schemas.openxmlformats.org/officeDocument/2006/relationships/hyperlink" Target="https://www.sec.gov/Archives/edgar/data/936468/000119312512505053/d454318dex991.htm" TargetMode="External"/><Relationship Id="rId126" Type="http://schemas.openxmlformats.org/officeDocument/2006/relationships/hyperlink" Target="https://www.sec.gov/Archives/edgar/data/936468/000119312517279340/d453584dex991.htm" TargetMode="External"/><Relationship Id="rId127" Type="http://schemas.openxmlformats.org/officeDocument/2006/relationships/hyperlink" Target="https://www.sec.gov/Archives/edgar/data/936468/000093646823000055/exhibit41baseindenture2023.htm" TargetMode="External"/><Relationship Id="rId128" Type="http://schemas.openxmlformats.org/officeDocument/2006/relationships/hyperlink" Target="https://www.sec.gov/Archives/edgar/data/936468/000093646822000106/lmt-revolvingcreditagreeme.htm" TargetMode="External"/><Relationship Id="rId129" Type="http://schemas.openxmlformats.org/officeDocument/2006/relationships/hyperlink" Target="https://www.sec.gov/Archives/edgar/data/936468/000093646823000109/lmt-revolverextension23.htm" TargetMode="External"/><Relationship Id="rId130" Type="http://schemas.openxmlformats.org/officeDocument/2006/relationships/hyperlink" Target="https://www.sec.gov/Archives/edgar/data/936468/000093646824000101/lmt-amendmentno1totherevol.htm" TargetMode="External"/><Relationship Id="rId131" Type="http://schemas.openxmlformats.org/officeDocument/2006/relationships/hyperlink" Target="https://www.sec.gov/Archives/edgar/data/936468/000119312525192837/d14459dex101.htm" TargetMode="External"/><Relationship Id="rId132" Type="http://schemas.openxmlformats.org/officeDocument/2006/relationships/hyperlink" Target="https://www.sec.gov/Archives/edgar/data/936468/000119312525312904/d28654dex101.htm" TargetMode="External"/><Relationship Id="rId133" Type="http://schemas.openxmlformats.org/officeDocument/2006/relationships/hyperlink" Target="https://www.sec.gov/Archives/edgar/data/936468/000093646822000120/ex103q32022.htm" TargetMode="External"/><Relationship Id="rId134" Type="http://schemas.openxmlformats.org/officeDocument/2006/relationships/hyperlink" Target="https://www.sec.gov/Archives/edgar/data/936468/000119312506222275/dex101.htm" TargetMode="External"/><Relationship Id="rId135" Type="http://schemas.openxmlformats.org/officeDocument/2006/relationships/hyperlink" Target="https://www.sec.gov/Archives/edgar/data/936468/000093646818000025/ex1018k042618.htm" TargetMode="External"/><Relationship Id="rId136" Type="http://schemas.openxmlformats.org/officeDocument/2006/relationships/hyperlink" Target="https://www.sec.gov/Archives/edgar/data/936468/000119312510040520/dex1034.htm" TargetMode="External"/><Relationship Id="rId137" Type="http://schemas.openxmlformats.org/officeDocument/2006/relationships/hyperlink" Target="https://www.sec.gov/Archives/edgar/data/936468/000119312515141818/d887742dex104.htm" TargetMode="External"/><Relationship Id="rId138" Type="http://schemas.openxmlformats.org/officeDocument/2006/relationships/hyperlink" Target="https://www.sec.gov/Archives/edgar/data/936468/000093646820000016/ex1031q42019.htm" TargetMode="External"/><Relationship Id="rId139" Type="http://schemas.openxmlformats.org/officeDocument/2006/relationships/hyperlink" Target="https://www.sec.gov/Archives/edgar/data/936468/000119312516476010/d62685dex1022.htm" TargetMode="External"/><Relationship Id="rId140" Type="http://schemas.openxmlformats.org/officeDocument/2006/relationships/hyperlink" Target="https://www.sec.gov/Archives/edgar/data/936468/000093646820000016/ex108q42019.htm" TargetMode="External"/><Relationship Id="rId143" Type="http://schemas.openxmlformats.org/officeDocument/2006/relationships/hyperlink" Target="https://www.sec.gov/Archives/edgar/data/936468/000093646821000013/ex1012q42020.htm" TargetMode="External"/><Relationship Id="rId144" Type="http://schemas.openxmlformats.org/officeDocument/2006/relationships/hyperlink" Target="https://www.sec.gov/Archives/edgar/data/936468/000093646822000048/ex108q12022.htm" TargetMode="External"/><Relationship Id="rId145" Type="http://schemas.openxmlformats.org/officeDocument/2006/relationships/hyperlink" Target="https://www.sec.gov/Archives/edgar/data/936468/000093646823000009/ex1013q42022.htm" TargetMode="External"/><Relationship Id="rId146" Type="http://schemas.openxmlformats.org/officeDocument/2006/relationships/hyperlink" Target="https://www.sec.gov/Archives/edgar/data/936468/000093646823000051/ex105q12023.htm" TargetMode="External"/><Relationship Id="rId147" Type="http://schemas.openxmlformats.org/officeDocument/2006/relationships/hyperlink" Target="https://www.sec.gov/Archives/edgar/data/936468/000093646820000059/a2020ipap042320.htm" TargetMode="External"/><Relationship Id="rId148" Type="http://schemas.openxmlformats.org/officeDocument/2006/relationships/hyperlink" Target="https://www.sec.gov/Archives/edgar/data/936468/000093646823000051/ex101q12023.htm" TargetMode="External"/><Relationship Id="rId149" Type="http://schemas.openxmlformats.org/officeDocument/2006/relationships/hyperlink" Target="https://www.sec.gov/Archives/edgar/data/936468/000093646823000051/ex102q12023.htm" TargetMode="External"/><Relationship Id="rId150" Type="http://schemas.openxmlformats.org/officeDocument/2006/relationships/hyperlink" Target="https://www.sec.gov/Archives/edgar/data/936468/000093646823000051/ex103q12023.htm" TargetMode="External"/><Relationship Id="rId151" Type="http://schemas.openxmlformats.org/officeDocument/2006/relationships/hyperlink" Target="https://www.sec.gov/Archives/edgar/data/936468/000093646825000009/ex1029q42024.htm" TargetMode="External"/><Relationship Id="rId152" Type="http://schemas.openxmlformats.org/officeDocument/2006/relationships/hyperlink" Target="https://www.sec.gov/Archives/edgar/data/936468/000093646824000052/ex101q12024.htm" TargetMode="External"/><Relationship Id="rId153" Type="http://schemas.openxmlformats.org/officeDocument/2006/relationships/hyperlink" Target="https://www.sec.gov/Archives/edgar/data/936468/000093646824000052/ex102q12024.htm" TargetMode="External"/><Relationship Id="rId154" Type="http://schemas.openxmlformats.org/officeDocument/2006/relationships/hyperlink" Target="https://www.sec.gov/Archives/edgar/data/936468/000093646824000052/ex103q12024.htm" TargetMode="External"/><Relationship Id="rId155" Type="http://schemas.openxmlformats.org/officeDocument/2006/relationships/hyperlink" Target="https://www.sec.gov/Archives/edgar/data/936468/000093646825000035/ex101q12025.htm" TargetMode="External"/><Relationship Id="rId156" Type="http://schemas.openxmlformats.org/officeDocument/2006/relationships/hyperlink" Target="https://www.sec.gov/Archives/edgar/data/936468/000093646825000035/ex102q12025.htm" TargetMode="External"/><Relationship Id="rId157" Type="http://schemas.openxmlformats.org/officeDocument/2006/relationships/hyperlink" Target="https://www.sec.gov/Archives/edgar/data/936468/000093646825000035/ex103q12025.htm" TargetMode="External"/><Relationship Id="rId158" Type="http://schemas.openxmlformats.org/officeDocument/2006/relationships/hyperlink" Target="https://www.sec.gov/Archives/edgar/data/936468/000093646825000035/ex104q12025.htm" TargetMode="External"/><Relationship Id="rId161" Type="http://schemas.openxmlformats.org/officeDocument/2006/relationships/hyperlink" Target="https://www.sec.gov/Archives/edgar/data/936468/000093646819000009/ex1026q42018.htm" TargetMode="External"/><Relationship Id="rId162" Type="http://schemas.openxmlformats.org/officeDocument/2006/relationships/hyperlink" Target="https://www.sec.gov/Archives/edgar/data/936468/000093646822000048/ex109q12022.htm" TargetMode="External"/><Relationship Id="rId163" Type="http://schemas.openxmlformats.org/officeDocument/2006/relationships/hyperlink" Target="https://www.sec.gov/Archives/edgar/data/936468/000119312517036192/d290249dex1026.htm" TargetMode="External"/><Relationship Id="rId164" Type="http://schemas.openxmlformats.org/officeDocument/2006/relationships/hyperlink" Target="https://www.sec.gov/Archives/edgar/data/936468/000093646818000053/ex101q22018.htm" TargetMode="External"/><Relationship Id="rId165" Type="http://schemas.openxmlformats.org/officeDocument/2006/relationships/hyperlink" Target="https://www.sec.gov/Archives/edgar/data/936468/000093646820000115/ex1062q2020.htm" TargetMode="External"/><Relationship Id="rId166" Type="http://schemas.openxmlformats.org/officeDocument/2006/relationships/hyperlink" Target="https://www.sec.gov/Archives/edgar/data/936468/000093646820000125/ex101q32020.htm" TargetMode="External"/><Relationship Id="rId167" Type="http://schemas.openxmlformats.org/officeDocument/2006/relationships/hyperlink" Target="https://www.sec.gov/Archives/edgar/data/936468/000093646822000120/ex101q32022.htm" TargetMode="External"/><Relationship Id="rId168" Type="http://schemas.openxmlformats.org/officeDocument/2006/relationships/hyperlink" Target="https://www.sec.gov/Archives/edgar/data/936468/000093646823000009/ex1040q42022.htm" TargetMode="External"/><Relationship Id="rId169" Type="http://schemas.openxmlformats.org/officeDocument/2006/relationships/hyperlink" Target="https://www.sec.gov/Archives/edgar/data/936468/000162828025035565/ex101q22025.htm" TargetMode="External"/><Relationship Id="rId170" Type="http://schemas.openxmlformats.org/officeDocument/2006/relationships/hyperlink" Target="https://www.sec.gov/Archives/edgar/data/936468/000093646825000009/ex19q42024.htm" TargetMode="External"/><Relationship Id="rId171" Type="http://schemas.openxmlformats.org/officeDocument/2006/relationships/hyperlink" Target="https://www.sec.gov/Archives/edgar/data/936468/000093646824000010/ex97q4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2026-01-29T16:51:01Z</dcterms:created>
  <dcterms:modified xsi:type="dcterms:W3CDTF">2026-01-29T16:51:01Z</dcterms:modified>
</cp:coreProperties>
</file>