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942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ectPr>
          <w:pgSz w:w="11900" w:h="16838" w:orient="portrait"/>
          <w:cols w:equalWidth="0" w:num="1">
            <w:col w:w="11420"/>
          </w:cols>
          <w:pgMar w:left="240" w:top="226" w:right="239" w:bottom="81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Sloane Stanton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20" w:type="dxa"/>
            <w:vAlign w:val="bottom"/>
            <w:tcBorders>
              <w:top w:val="single" w:sz="8" w:color="0000EE"/>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06/01/2004</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6801 ROCKLEDGE DRIVE</w:t>
            </w:r>
          </w:p>
        </w:tc>
        <w:tc>
          <w:tcPr>
            <w:tcW w:w="1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BETHESDA</w:t>
            </w:r>
          </w:p>
        </w:tc>
        <w:tc>
          <w:tcPr>
            <w:tcW w:w="1100" w:type="dxa"/>
            <w:vAlign w:val="bottom"/>
          </w:tcPr>
          <w:p>
            <w:pPr>
              <w:ind w:left="100"/>
              <w:spacing w:after="0"/>
              <w:rPr>
                <w:sz w:val="20"/>
                <w:szCs w:val="20"/>
                <w:color w:val="auto"/>
              </w:rPr>
            </w:pPr>
            <w:r>
              <w:rPr>
                <w:rFonts w:ascii="Arial" w:cs="Arial" w:eastAsia="Arial" w:hAnsi="Arial"/>
                <w:sz w:val="18"/>
                <w:szCs w:val="18"/>
                <w:color w:val="0000FF"/>
              </w:rPr>
              <w:t>MD</w:t>
            </w:r>
          </w:p>
        </w:tc>
        <w:tc>
          <w:tcPr>
            <w:tcW w:w="1120" w:type="dxa"/>
            <w:vAlign w:val="bottom"/>
          </w:tcPr>
          <w:p>
            <w:pPr>
              <w:ind w:left="80"/>
              <w:spacing w:after="0"/>
              <w:rPr>
                <w:sz w:val="20"/>
                <w:szCs w:val="20"/>
                <w:color w:val="auto"/>
              </w:rPr>
            </w:pPr>
            <w:r>
              <w:rPr>
                <w:rFonts w:ascii="Arial" w:cs="Arial" w:eastAsia="Arial" w:hAnsi="Arial"/>
                <w:sz w:val="18"/>
                <w:szCs w:val="18"/>
                <w:color w:val="0000FF"/>
              </w:rPr>
              <w:t>20817</w:t>
            </w: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100"/>
              <w:spacing w:after="0"/>
              <w:rPr>
                <w:sz w:val="20"/>
                <w:szCs w:val="20"/>
                <w:color w:val="auto"/>
              </w:rPr>
            </w:pPr>
            <w:r>
              <w:rPr>
                <w:rFonts w:ascii="Arial" w:cs="Arial" w:eastAsia="Arial" w:hAnsi="Arial"/>
                <w:sz w:val="14"/>
                <w:szCs w:val="14"/>
                <w:color w:val="auto"/>
              </w:rPr>
              <w:t>(State)</w:t>
            </w:r>
          </w:p>
        </w:tc>
        <w:tc>
          <w:tcPr>
            <w:tcW w:w="112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LOCKHEED MARTIN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LMT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0"/>
        </w:trPr>
        <w:tc>
          <w:tcPr>
            <w:tcW w:w="1840" w:type="dxa"/>
            <w:vAlign w:val="bottom"/>
            <w:gridSpan w:val="2"/>
          </w:tcPr>
          <w:p>
            <w:pPr>
              <w:ind w:left="20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880" w:type="dxa"/>
            <w:vAlign w:val="bottom"/>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54"/>
        </w:trPr>
        <w:tc>
          <w:tcPr>
            <w:tcW w:w="4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108"/>
        </w:trPr>
        <w:tc>
          <w:tcPr>
            <w:tcW w:w="420" w:type="dxa"/>
            <w:vAlign w:val="bottom"/>
            <w:vMerge w:val="continue"/>
          </w:tcPr>
          <w:p>
            <w:pPr>
              <w:spacing w:after="0"/>
              <w:rPr>
                <w:sz w:val="9"/>
                <w:szCs w:val="9"/>
                <w:color w:val="auto"/>
              </w:rPr>
            </w:pPr>
          </w:p>
        </w:tc>
        <w:tc>
          <w:tcPr>
            <w:tcW w:w="1420" w:type="dxa"/>
            <w:vAlign w:val="bottom"/>
            <w:vMerge w:val="restart"/>
          </w:tcPr>
          <w:p>
            <w:pPr>
              <w:ind w:left="120"/>
              <w:spacing w:after="0" w:line="141" w:lineRule="exact"/>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line="141" w:lineRule="exact"/>
              <w:rPr>
                <w:sz w:val="20"/>
                <w:szCs w:val="20"/>
                <w:color w:val="auto"/>
              </w:rPr>
            </w:pPr>
            <w:r>
              <w:rPr>
                <w:rFonts w:ascii="Arial" w:cs="Arial" w:eastAsia="Arial" w:hAnsi="Arial"/>
                <w:sz w:val="14"/>
                <w:szCs w:val="14"/>
                <w:color w:val="auto"/>
              </w:rPr>
              <w:t>below)</w:t>
            </w: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2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740" w:type="dxa"/>
        <w:tblCellMar>
          <w:top w:w="0" w:type="dxa"/>
          <w:left w:w="0" w:type="dxa"/>
          <w:bottom w:w="0" w:type="dxa"/>
          <w:right w:w="0" w:type="dxa"/>
        </w:tblCellMar>
      </w:tblPr>
      <w:tr>
        <w:trPr>
          <w:trHeight w:val="222"/>
        </w:trPr>
        <w:tc>
          <w:tcPr>
            <w:tcW w:w="2300" w:type="dxa"/>
            <w:vAlign w:val="bottom"/>
            <w:vMerge w:val="restart"/>
          </w:tcPr>
          <w:p>
            <w:pPr>
              <w:spacing w:after="0"/>
              <w:rPr>
                <w:sz w:val="20"/>
                <w:szCs w:val="20"/>
                <w:color w:val="auto"/>
              </w:rPr>
            </w:pPr>
            <w:r>
              <w:rPr>
                <w:rFonts w:ascii="Arial" w:cs="Arial" w:eastAsia="Arial" w:hAnsi="Arial"/>
                <w:sz w:val="18"/>
                <w:szCs w:val="18"/>
                <w:color w:val="0000FF"/>
              </w:rPr>
              <w:t>Executive Vice President</w:t>
            </w:r>
          </w:p>
        </w:tc>
        <w:tc>
          <w:tcPr>
            <w:tcW w:w="3000" w:type="dxa"/>
            <w:vAlign w:val="bottom"/>
          </w:tcPr>
          <w:p>
            <w:pPr>
              <w:ind w:left="5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4"/>
        </w:trPr>
        <w:tc>
          <w:tcPr>
            <w:tcW w:w="2300" w:type="dxa"/>
            <w:vAlign w:val="bottom"/>
            <w:vMerge w:val="continue"/>
          </w:tcPr>
          <w:p>
            <w:pPr>
              <w:spacing w:after="0"/>
              <w:rPr>
                <w:sz w:val="4"/>
                <w:szCs w:val="4"/>
                <w:color w:val="auto"/>
              </w:rPr>
            </w:pPr>
          </w:p>
        </w:tc>
        <w:tc>
          <w:tcPr>
            <w:tcW w:w="3000" w:type="dxa"/>
            <w:vAlign w:val="bottom"/>
            <w:vMerge w:val="restart"/>
          </w:tcPr>
          <w:p>
            <w:pPr>
              <w:ind w:left="84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36"/>
        </w:trPr>
        <w:tc>
          <w:tcPr>
            <w:tcW w:w="2300" w:type="dxa"/>
            <w:vAlign w:val="bottom"/>
          </w:tcPr>
          <w:p>
            <w:pPr>
              <w:spacing w:after="0"/>
              <w:rPr>
                <w:sz w:val="11"/>
                <w:szCs w:val="11"/>
                <w:color w:val="auto"/>
              </w:rPr>
            </w:pPr>
          </w:p>
        </w:tc>
        <w:tc>
          <w:tcPr>
            <w:tcW w:w="3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3000" w:type="dxa"/>
            <w:vAlign w:val="bottom"/>
          </w:tcPr>
          <w:p>
            <w:pPr>
              <w:ind w:left="84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81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498"/>
              <w:spacing w:after="0"/>
              <w:rPr>
                <w:sz w:val="20"/>
                <w:szCs w:val="20"/>
                <w:color w:val="auto"/>
              </w:rPr>
            </w:pPr>
            <w:r>
              <w:rPr>
                <w:rFonts w:ascii="Arial" w:cs="Arial" w:eastAsia="Arial" w:hAnsi="Arial"/>
                <w:sz w:val="18"/>
                <w:szCs w:val="18"/>
                <w:color w:val="0000FF"/>
              </w:rPr>
              <w:t>3,138.819</w:t>
            </w:r>
          </w:p>
        </w:tc>
        <w:tc>
          <w:tcPr>
            <w:tcW w:w="920" w:type="dxa"/>
            <w:vAlign w:val="bottom"/>
          </w:tcPr>
          <w:p>
            <w:pPr>
              <w:ind w:left="740"/>
              <w:spacing w:after="0"/>
              <w:rPr>
                <w:sz w:val="20"/>
                <w:szCs w:val="20"/>
                <w:color w:val="auto"/>
              </w:rPr>
            </w:pPr>
            <w:r>
              <w:rPr>
                <w:rFonts w:ascii="Arial" w:cs="Arial" w:eastAsia="Arial" w:hAnsi="Arial"/>
                <w:sz w:val="18"/>
                <w:szCs w:val="18"/>
                <w:color w:val="0000FF"/>
              </w:rPr>
              <w:t>I</w:t>
            </w:r>
          </w:p>
        </w:tc>
        <w:tc>
          <w:tcPr>
            <w:tcW w:w="3440" w:type="dxa"/>
            <w:vAlign w:val="bottom"/>
            <w:gridSpan w:val="4"/>
          </w:tcPr>
          <w:p>
            <w:pPr>
              <w:ind w:left="540"/>
              <w:spacing w:after="0"/>
              <w:rPr>
                <w:sz w:val="20"/>
                <w:szCs w:val="20"/>
                <w:color w:val="auto"/>
              </w:rPr>
            </w:pPr>
            <w:r>
              <w:rPr>
                <w:rFonts w:ascii="Arial" w:cs="Arial" w:eastAsia="Arial" w:hAnsi="Arial"/>
                <w:sz w:val="18"/>
                <w:szCs w:val="18"/>
                <w:color w:val="0000FF"/>
                <w:w w:val="91"/>
              </w:rPr>
              <w:t>Lockheed Martin Salaried Savings 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4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center"/>
              <w:ind w:right="538"/>
              <w:spacing w:after="0"/>
              <w:rPr>
                <w:sz w:val="20"/>
                <w:szCs w:val="20"/>
                <w:color w:val="auto"/>
              </w:rPr>
            </w:pPr>
            <w:r>
              <w:rPr>
                <w:rFonts w:ascii="Arial" w:cs="Arial" w:eastAsia="Arial" w:hAnsi="Arial"/>
                <w:sz w:val="18"/>
                <w:szCs w:val="18"/>
                <w:color w:val="0000FF"/>
              </w:rPr>
              <w:t>15,000</w:t>
            </w:r>
            <w:r>
              <w:rPr>
                <w:rFonts w:ascii="Arial" w:cs="Arial" w:eastAsia="Arial" w:hAnsi="Arial"/>
                <w:sz w:val="22"/>
                <w:szCs w:val="22"/>
                <w:color w:val="008000"/>
                <w:vertAlign w:val="superscript"/>
              </w:rPr>
              <w:t>(6)</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4"/>
          </w:tcPr>
          <w:p>
            <w:pPr>
              <w:ind w:left="12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800" w:type="dxa"/>
            <w:vAlign w:val="bottom"/>
            <w:gridSpan w:val="6"/>
          </w:tcPr>
          <w:p>
            <w:pPr>
              <w:ind w:left="2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340" w:type="dxa"/>
            <w:vAlign w:val="bottom"/>
            <w:gridSpan w:val="2"/>
          </w:tcPr>
          <w:p>
            <w:pPr>
              <w:jc w:val="center"/>
              <w:ind w:left="413"/>
              <w:spacing w:after="0"/>
              <w:rPr>
                <w:sz w:val="20"/>
                <w:szCs w:val="20"/>
                <w:color w:val="auto"/>
              </w:rPr>
            </w:pPr>
            <w:r>
              <w:rPr>
                <w:rFonts w:ascii="Arial" w:cs="Arial" w:eastAsia="Arial" w:hAnsi="Arial"/>
                <w:sz w:val="14"/>
                <w:szCs w:val="14"/>
                <w:color w:val="0000FF"/>
                <w:w w:val="88"/>
              </w:rPr>
              <w:t>01/29/2004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01/28/2012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1"/>
              <w:spacing w:after="0"/>
              <w:rPr>
                <w:sz w:val="20"/>
                <w:szCs w:val="20"/>
                <w:color w:val="auto"/>
              </w:rPr>
            </w:pPr>
            <w:r>
              <w:rPr>
                <w:rFonts w:ascii="Arial" w:cs="Arial" w:eastAsia="Arial" w:hAnsi="Arial"/>
                <w:sz w:val="18"/>
                <w:szCs w:val="18"/>
                <w:color w:val="0000FF"/>
                <w:w w:val="87"/>
              </w:rPr>
              <w:t>17,000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50.4</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340" w:type="dxa"/>
            <w:vAlign w:val="bottom"/>
            <w:tcBorders>
              <w:bottom w:val="single" w:sz="8" w:color="2C2C2C"/>
            </w:tcBorders>
            <w:gridSpan w:val="2"/>
          </w:tcPr>
          <w:p>
            <w:pPr>
              <w:jc w:val="center"/>
              <w:ind w:left="413"/>
              <w:spacing w:after="0"/>
              <w:rPr>
                <w:sz w:val="20"/>
                <w:szCs w:val="20"/>
                <w:color w:val="auto"/>
              </w:rPr>
            </w:pPr>
            <w:r>
              <w:rPr>
                <w:rFonts w:ascii="Arial" w:cs="Arial" w:eastAsia="Arial" w:hAnsi="Arial"/>
                <w:sz w:val="14"/>
                <w:szCs w:val="14"/>
                <w:color w:val="0000FF"/>
                <w:w w:val="84"/>
              </w:rPr>
              <w:t>01/28/2004</w:t>
            </w:r>
            <w:r>
              <w:rPr>
                <w:rFonts w:ascii="Arial" w:cs="Arial" w:eastAsia="Arial" w:hAnsi="Arial"/>
                <w:sz w:val="22"/>
                <w:szCs w:val="22"/>
                <w:color w:val="008000"/>
                <w:w w:val="84"/>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01/27/2013</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7"/>
              </w:rPr>
              <w:t>20,000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51.1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340" w:type="dxa"/>
            <w:vAlign w:val="bottom"/>
            <w:tcBorders>
              <w:bottom w:val="single" w:sz="8" w:color="2C2C2C"/>
            </w:tcBorders>
            <w:gridSpan w:val="2"/>
          </w:tcPr>
          <w:p>
            <w:pPr>
              <w:jc w:val="center"/>
              <w:ind w:left="413"/>
              <w:spacing w:after="0"/>
              <w:rPr>
                <w:sz w:val="20"/>
                <w:szCs w:val="20"/>
                <w:color w:val="auto"/>
              </w:rPr>
            </w:pPr>
            <w:r>
              <w:rPr>
                <w:rFonts w:ascii="Arial" w:cs="Arial" w:eastAsia="Arial" w:hAnsi="Arial"/>
                <w:sz w:val="14"/>
                <w:szCs w:val="14"/>
                <w:color w:val="0000FF"/>
                <w:w w:val="84"/>
              </w:rPr>
              <w:t>01/29/2005</w:t>
            </w:r>
            <w:r>
              <w:rPr>
                <w:rFonts w:ascii="Arial" w:cs="Arial" w:eastAsia="Arial" w:hAnsi="Arial"/>
                <w:sz w:val="22"/>
                <w:szCs w:val="22"/>
                <w:color w:val="008000"/>
                <w:w w:val="84"/>
                <w:vertAlign w:val="superscript"/>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01/28/2014</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7"/>
              </w:rPr>
              <w:t>25,000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49.27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0000FF"/>
              </w:rPr>
              <w:t>LM Deferred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vMerge w:val="restart"/>
          </w:tcPr>
          <w:p>
            <w:pPr>
              <w:ind w:left="60"/>
              <w:spacing w:after="0"/>
              <w:rPr>
                <w:sz w:val="20"/>
                <w:szCs w:val="20"/>
                <w:color w:val="auto"/>
              </w:rPr>
            </w:pPr>
            <w:r>
              <w:rPr>
                <w:rFonts w:ascii="Arial" w:cs="Arial" w:eastAsia="Arial" w:hAnsi="Arial"/>
                <w:sz w:val="18"/>
                <w:szCs w:val="18"/>
                <w:color w:val="0000FF"/>
              </w:rPr>
              <w:t>Phantom Stock Units</w:t>
            </w:r>
          </w:p>
        </w:tc>
        <w:tc>
          <w:tcPr>
            <w:tcW w:w="1340" w:type="dxa"/>
            <w:vAlign w:val="bottom"/>
            <w:gridSpan w:val="2"/>
            <w:vMerge w:val="restart"/>
          </w:tcPr>
          <w:p>
            <w:pPr>
              <w:jc w:val="center"/>
              <w:ind w:left="413"/>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vMerge w:val="restart"/>
          </w:tcPr>
          <w:p>
            <w:pPr>
              <w:jc w:val="center"/>
              <w:ind w:left="121"/>
              <w:spacing w:after="0"/>
              <w:rPr>
                <w:sz w:val="20"/>
                <w:szCs w:val="20"/>
                <w:color w:val="auto"/>
              </w:rPr>
            </w:pPr>
            <w:r>
              <w:rPr>
                <w:rFonts w:ascii="Arial" w:cs="Arial" w:eastAsia="Arial" w:hAnsi="Arial"/>
                <w:sz w:val="18"/>
                <w:szCs w:val="18"/>
                <w:color w:val="0000FF"/>
                <w:w w:val="86"/>
              </w:rPr>
              <w:t>97.8511</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8"/>
              </w:rPr>
              <w:t>I</w:t>
            </w:r>
          </w:p>
        </w:tc>
        <w:tc>
          <w:tcPr>
            <w:tcW w:w="1680" w:type="dxa"/>
            <w:vAlign w:val="bottom"/>
            <w:gridSpan w:val="2"/>
          </w:tcPr>
          <w:p>
            <w:pPr>
              <w:ind w:left="100"/>
              <w:spacing w:after="0"/>
              <w:rPr>
                <w:sz w:val="20"/>
                <w:szCs w:val="20"/>
                <w:color w:val="auto"/>
              </w:rPr>
            </w:pPr>
            <w:r>
              <w:rPr>
                <w:rFonts w:ascii="Arial" w:cs="Arial" w:eastAsia="Arial" w:hAnsi="Arial"/>
                <w:sz w:val="18"/>
                <w:szCs w:val="18"/>
                <w:color w:val="0000FF"/>
              </w:rPr>
              <w:t>Management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8"/>
                <w:szCs w:val="18"/>
                <w:color w:val="0000FF"/>
              </w:rPr>
              <w:t>Incentive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0000FF"/>
                <w:w w:val="99"/>
              </w:rPr>
              <w:t>Compensation 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0000FF"/>
              </w:rPr>
              <w:t>LM Supplemental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Phantom Stock Units</w:t>
            </w:r>
          </w:p>
        </w:tc>
        <w:tc>
          <w:tcPr>
            <w:tcW w:w="1340" w:type="dxa"/>
            <w:vAlign w:val="bottom"/>
            <w:gridSpan w:val="2"/>
          </w:tcPr>
          <w:p>
            <w:pPr>
              <w:jc w:val="center"/>
              <w:ind w:left="413"/>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1"/>
                <w:szCs w:val="11"/>
                <w:color w:val="008000"/>
              </w:rPr>
              <w:t>(4)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1"/>
              <w:spacing w:after="0"/>
              <w:rPr>
                <w:sz w:val="20"/>
                <w:szCs w:val="20"/>
                <w:color w:val="auto"/>
              </w:rPr>
            </w:pPr>
            <w:r>
              <w:rPr>
                <w:rFonts w:ascii="Arial" w:cs="Arial" w:eastAsia="Arial" w:hAnsi="Arial"/>
                <w:sz w:val="18"/>
                <w:szCs w:val="18"/>
                <w:color w:val="0000FF"/>
                <w:w w:val="86"/>
              </w:rPr>
              <w:t>439.519</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Pr>
          <w:p>
            <w:pPr>
              <w:jc w:val="center"/>
              <w:spacing w:after="0"/>
              <w:rPr>
                <w:sz w:val="20"/>
                <w:szCs w:val="20"/>
                <w:color w:val="auto"/>
              </w:rPr>
            </w:pPr>
            <w:r>
              <w:rPr>
                <w:rFonts w:ascii="Arial" w:cs="Arial" w:eastAsia="Arial" w:hAnsi="Arial"/>
                <w:sz w:val="18"/>
                <w:szCs w:val="18"/>
                <w:color w:val="0000FF"/>
                <w:w w:val="78"/>
              </w:rPr>
              <w:t>I</w:t>
            </w:r>
          </w:p>
        </w:tc>
        <w:tc>
          <w:tcPr>
            <w:tcW w:w="1680" w:type="dxa"/>
            <w:vAlign w:val="bottom"/>
            <w:gridSpan w:val="2"/>
          </w:tcPr>
          <w:p>
            <w:pPr>
              <w:ind w:left="100"/>
              <w:spacing w:after="0"/>
              <w:rPr>
                <w:sz w:val="20"/>
                <w:szCs w:val="20"/>
                <w:color w:val="auto"/>
              </w:rPr>
            </w:pPr>
            <w:r>
              <w:rPr>
                <w:rFonts w:ascii="Arial" w:cs="Arial" w:eastAsia="Arial" w:hAnsi="Arial"/>
                <w:sz w:val="18"/>
                <w:szCs w:val="18"/>
                <w:color w:val="0000FF"/>
              </w:rPr>
              <w:t>Salaried Savings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options vest over three years, one-third on each of the first, second and third anniversaries of the grant date, beginning on January 28, 2004.</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information pertains to the phantom stock units acquired under the Lockheed Martin Deferred Management Incentive Compensation Plan exempt under Section 16(b) and will be settled upon the reporting person's retirement or termination of service.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convert on a 1 for 1 basis.</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information pertains to the phantom stock units acquired under the Lockheed Martin Supplemental Salaried Savings Plan exempt under Section 16(b) and will be settled upon the reporting person's retirement or termination of service.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options vest over three years, one-third on each of the first, second and third anniversaries of the grant date, beginning on January 29, 2005.</w:t>
      </w:r>
    </w:p>
    <w:p>
      <w:pPr>
        <w:spacing w:after="0" w:line="41" w:lineRule="exact"/>
        <w:rPr>
          <w:rFonts w:ascii="Arial" w:cs="Arial" w:eastAsia="Arial" w:hAnsi="Arial"/>
          <w:sz w:val="14"/>
          <w:szCs w:val="14"/>
          <w:color w:val="008000"/>
        </w:rPr>
      </w:pPr>
    </w:p>
    <w:p>
      <w:pPr>
        <w:ind w:left="40" w:right="34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granted on March 31, 2004 pursuant to the Lockheed Martin Corporation 2003 Incentive Performance Award Plan. Shares vest one-third after 3 years from the date of the grant and the remaining two-thirds after 4 years from the date of the grant, or earlier upon certain circumstances (including, retirement upon age 65, termination after a change of control, disability, divestiture or layoff).</w:t>
      </w: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David A Dedman Attorney-in-  </w:t>
      </w:r>
      <w:r>
        <w:rPr>
          <w:rFonts w:ascii="Arial" w:cs="Arial" w:eastAsia="Arial" w:hAnsi="Arial"/>
          <w:sz w:val="35"/>
          <w:szCs w:val="35"/>
          <w:color w:val="0000FF"/>
          <w:vertAlign w:val="subscript"/>
        </w:rPr>
        <w:t>06/03/2004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1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81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LOCKHEED MARTIN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999" w:firstLine="105"/>
        <w:spacing w:after="0" w:line="538" w:lineRule="auto"/>
        <w:rPr>
          <w:sz w:val="20"/>
          <w:szCs w:val="20"/>
          <w:color w:val="auto"/>
        </w:rPr>
      </w:pPr>
      <w:r>
        <w:rPr>
          <w:rFonts w:ascii="Courier New" w:cs="Courier New" w:eastAsia="Courier New" w:hAnsi="Courier New"/>
          <w:sz w:val="16"/>
          <w:szCs w:val="16"/>
          <w:color w:val="auto"/>
        </w:rPr>
        <w:t>The undersigned hereby constitutes and appoints Frank H. Menaker, Marian S. Block and David A. Dedman, and each of them, jointly and severally, his or her lawful attorney-in-fact and agent, with full power of substitution and resubstitution, for him or her and in his or her name, place and stead, in any and all capacities to execute and file, or cause to be filed, with exhibits thereto and other documents in connection therewith, with the Securities and Exchange Commission (hereinafter referred to as the "Commission") any and all reports or forms (including but not limited for Forms 3, 4 or 5, Form 144 or Form ID) and any supplements or amendments thereto as are required to be filed by the undersigned pursuant to Section 16 of the Securities Exchange Act of 1934, as amended, and the rules and regulations promulgated thereunder, and Rule 144 of the Securities Act of 1933, with respect to the equity securities of Lockheed Martin Corporation, granting unto said attorneys-in-fact and agents, and each of them, full power and authority to do and perform each and every act and thing requisite or necessary to be done as fully to all intents and purposes as he or she might or could do in person, hereby ratifying and confirming all that said attorney's-in-fact and agents, and each of them, or his substitute or substitutes, may lawfully do or cause to be done by virtue hereof.</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Stanton D. Sloane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05/26/2004</w:t>
      </w:r>
    </w:p>
    <w:p>
      <w:pPr>
        <w:spacing w:after="0" w:line="200" w:lineRule="exact"/>
        <w:rPr>
          <w:sz w:val="20"/>
          <w:szCs w:val="20"/>
          <w:color w:val="auto"/>
        </w:rPr>
      </w:pPr>
    </w:p>
    <w:p>
      <w:pPr>
        <w:sectPr>
          <w:pgSz w:w="11900" w:h="16838" w:orient="portrait"/>
          <w:cols w:equalWidth="0" w:num="2">
            <w:col w:w="2220" w:space="520"/>
            <w:col w:w="7479"/>
          </w:cols>
          <w:pgMar w:left="24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Stanton D. Sloane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sectPr>
      <w:pgSz w:w="11900" w:h="16838" w:orient="portrait"/>
      <w:cols w:equalWidth="0" w:num="2">
        <w:col w:w="1800" w:space="520"/>
        <w:col w:w="789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91899" TargetMode="External"/><Relationship Id="rId12"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2019-12-18T08:43:57Z</dcterms:created>
  <dcterms:modified xsi:type="dcterms:W3CDTF">2019-12-18T08:43:57Z</dcterms:modified>
</cp:coreProperties>
</file>