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333-271325</w:t>
      </w:r>
    </w:p>
    <w:p>
      <w:pPr>
        <w:spacing w:after="0" w:line="139" w:lineRule="exact"/>
        <w:rPr>
          <w:sz w:val="24"/>
          <w:szCs w:val="24"/>
          <w:color w:val="auto"/>
        </w:rPr>
      </w:pPr>
    </w:p>
    <w:p>
      <w:pPr>
        <w:ind w:left="120" w:right="20"/>
        <w:spacing w:after="0" w:line="266"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an offer to sell or a solicitation of an offer to buy these securities in any jurisdiction where the offer or sale is not permitted.</w:t>
      </w:r>
    </w:p>
    <w:p>
      <w:pPr>
        <w:spacing w:after="0" w:line="108"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FF4338"/>
        </w:rPr>
        <w:t>Subject to Completion, dated May 23, 2023</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 to Prospectus dated April 18, 2023</w:t>
      </w:r>
    </w:p>
    <w:p>
      <w:pPr>
        <w:spacing w:after="0" w:line="11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17145</wp:posOffset>
            </wp:positionV>
            <wp:extent cx="408051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8051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5540" w:hanging="1036"/>
        <w:spacing w:after="0"/>
        <w:tabs>
          <w:tab w:leader="none" w:pos="5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7" w:lineRule="exact"/>
        <w:rPr>
          <w:sz w:val="24"/>
          <w:szCs w:val="24"/>
          <w:color w:val="auto"/>
        </w:rPr>
      </w:pPr>
    </w:p>
    <w:p>
      <w:pPr>
        <w:ind w:left="5540" w:hanging="1036"/>
        <w:spacing w:after="0"/>
        <w:tabs>
          <w:tab w:leader="none" w:pos="5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9" w:lineRule="exact"/>
        <w:rPr>
          <w:sz w:val="24"/>
          <w:szCs w:val="24"/>
          <w:color w:val="auto"/>
        </w:rPr>
      </w:pPr>
    </w:p>
    <w:p>
      <w:pPr>
        <w:ind w:left="5540" w:hanging="1036"/>
        <w:spacing w:after="0"/>
        <w:tabs>
          <w:tab w:leader="none" w:pos="5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ind w:left="560"/>
        <w:spacing w:after="0"/>
        <w:tabs>
          <w:tab w:leader="none" w:pos="2380" w:val="left"/>
          <w:tab w:leader="none" w:pos="5240" w:val="left"/>
          <w:tab w:leader="none" w:pos="6600" w:val="left"/>
          <w:tab w:leader="none" w:pos="7400" w:val="left"/>
          <w:tab w:leader="none" w:pos="888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r>
      <w:r>
        <w:rPr>
          <w:sz w:val="20"/>
          <w:szCs w:val="20"/>
          <w:color w:val="auto"/>
        </w:rPr>
        <w:tab/>
      </w:r>
      <w:r>
        <w:rPr>
          <w:rFonts w:ascii="Arial" w:cs="Arial" w:eastAsia="Arial" w:hAnsi="Arial"/>
          <w:sz w:val="18"/>
          <w:szCs w:val="18"/>
          <w:color w:val="auto"/>
        </w:rPr>
        <w:t>% Notes due 20</w:t>
        <w:tab/>
        <w:t>(the “20</w:t>
        <w:tab/>
        <w:t>notes”), $</w:t>
      </w:r>
      <w:r>
        <w:rPr>
          <w:sz w:val="20"/>
          <w:szCs w:val="20"/>
          <w:color w:val="auto"/>
        </w:rPr>
        <w:tab/>
      </w:r>
      <w:r>
        <w:rPr>
          <w:rFonts w:ascii="Arial" w:cs="Arial" w:eastAsia="Arial" w:hAnsi="Arial"/>
          <w:sz w:val="16"/>
          <w:szCs w:val="16"/>
          <w:color w:val="auto"/>
        </w:rPr>
        <w:t>aggregate principal amount of</w:t>
      </w:r>
    </w:p>
    <w:p>
      <w:pPr>
        <w:spacing w:after="0" w:line="23" w:lineRule="exact"/>
        <w:rPr>
          <w:sz w:val="24"/>
          <w:szCs w:val="24"/>
          <w:color w:val="auto"/>
        </w:rPr>
      </w:pPr>
    </w:p>
    <w:p>
      <w:pPr>
        <w:ind w:left="120"/>
        <w:spacing w:after="0"/>
        <w:tabs>
          <w:tab w:leader="none" w:pos="560" w:val="left"/>
          <w:tab w:leader="none" w:pos="1940" w:val="left"/>
          <w:tab w:leader="none" w:pos="2740" w:val="left"/>
          <w:tab w:leader="none" w:pos="4280" w:val="left"/>
          <w:tab w:leader="none" w:pos="7140" w:val="left"/>
          <w:tab w:leader="none" w:pos="8500" w:val="left"/>
          <w:tab w:leader="none" w:pos="9320" w:val="left"/>
        </w:tabs>
        <w:rPr>
          <w:sz w:val="20"/>
          <w:szCs w:val="20"/>
          <w:color w:val="auto"/>
        </w:rPr>
      </w:pPr>
      <w:r>
        <w:rPr>
          <w:rFonts w:ascii="Arial" w:cs="Arial" w:eastAsia="Arial" w:hAnsi="Arial"/>
          <w:sz w:val="18"/>
          <w:szCs w:val="18"/>
          <w:color w:val="auto"/>
        </w:rPr>
        <w:t>our</w:t>
        <w:tab/>
        <w:t>% Notes due 20</w:t>
        <w:tab/>
        <w:t>(the “20</w:t>
        <w:tab/>
        <w:t>notes”) and $</w:t>
      </w:r>
      <w:r>
        <w:rPr>
          <w:sz w:val="20"/>
          <w:szCs w:val="20"/>
          <w:color w:val="auto"/>
        </w:rPr>
        <w:tab/>
      </w:r>
      <w:r>
        <w:rPr>
          <w:rFonts w:ascii="Arial" w:cs="Arial" w:eastAsia="Arial" w:hAnsi="Arial"/>
          <w:sz w:val="18"/>
          <w:szCs w:val="18"/>
          <w:color w:val="auto"/>
        </w:rPr>
        <w:t>aggregate principal amount of our</w:t>
      </w:r>
      <w:r>
        <w:rPr>
          <w:sz w:val="20"/>
          <w:szCs w:val="20"/>
          <w:color w:val="auto"/>
        </w:rPr>
        <w:tab/>
      </w:r>
      <w:r>
        <w:rPr>
          <w:rFonts w:ascii="Arial" w:cs="Arial" w:eastAsia="Arial" w:hAnsi="Arial"/>
          <w:sz w:val="18"/>
          <w:szCs w:val="18"/>
          <w:color w:val="auto"/>
        </w:rPr>
        <w:t>% Notes due 20</w:t>
        <w:tab/>
        <w:t>(the “20</w:t>
      </w:r>
      <w:r>
        <w:rPr>
          <w:sz w:val="20"/>
          <w:szCs w:val="20"/>
          <w:color w:val="auto"/>
        </w:rPr>
        <w:tab/>
      </w:r>
      <w:r>
        <w:rPr>
          <w:rFonts w:ascii="Arial" w:cs="Arial" w:eastAsia="Arial" w:hAnsi="Arial"/>
          <w:sz w:val="16"/>
          <w:szCs w:val="16"/>
          <w:color w:val="auto"/>
        </w:rPr>
        <w:t>notes” and, together</w:t>
      </w:r>
    </w:p>
    <w:p>
      <w:pPr>
        <w:spacing w:after="0" w:line="9" w:lineRule="exact"/>
        <w:rPr>
          <w:sz w:val="24"/>
          <w:szCs w:val="24"/>
          <w:color w:val="auto"/>
        </w:rPr>
      </w:pPr>
    </w:p>
    <w:p>
      <w:pPr>
        <w:ind w:left="120"/>
        <w:spacing w:after="0"/>
        <w:tabs>
          <w:tab w:leader="none" w:pos="1140" w:val="left"/>
          <w:tab w:leader="none" w:pos="2520" w:val="left"/>
        </w:tabs>
        <w:rPr>
          <w:sz w:val="20"/>
          <w:szCs w:val="20"/>
          <w:color w:val="auto"/>
        </w:rPr>
      </w:pPr>
      <w:r>
        <w:rPr>
          <w:rFonts w:ascii="Arial" w:cs="Arial" w:eastAsia="Arial" w:hAnsi="Arial"/>
          <w:sz w:val="18"/>
          <w:szCs w:val="18"/>
          <w:color w:val="auto"/>
        </w:rPr>
        <w:t>with the 20</w:t>
        <w:tab/>
        <w:t>notes and the 20</w:t>
      </w:r>
      <w:r>
        <w:rPr>
          <w:sz w:val="20"/>
          <w:szCs w:val="20"/>
          <w:color w:val="auto"/>
        </w:rPr>
        <w:tab/>
      </w:r>
      <w:r>
        <w:rPr>
          <w:rFonts w:ascii="Arial" w:cs="Arial" w:eastAsia="Arial" w:hAnsi="Arial"/>
          <w:sz w:val="16"/>
          <w:szCs w:val="16"/>
          <w:color w:val="auto"/>
        </w:rPr>
        <w:t>notes, the “notes”).</w:t>
      </w:r>
    </w:p>
    <w:p>
      <w:pPr>
        <w:spacing w:after="0" w:line="103" w:lineRule="exact"/>
        <w:rPr>
          <w:sz w:val="24"/>
          <w:szCs w:val="24"/>
          <w:color w:val="auto"/>
        </w:rPr>
      </w:pPr>
    </w:p>
    <w:p>
      <w:pPr>
        <w:ind w:left="560"/>
        <w:spacing w:after="0"/>
        <w:tabs>
          <w:tab w:leader="none" w:pos="1260" w:val="left"/>
          <w:tab w:leader="none" w:pos="3680" w:val="left"/>
          <w:tab w:leader="none" w:pos="4140" w:val="left"/>
          <w:tab w:leader="none" w:pos="4900" w:val="left"/>
          <w:tab w:leader="none" w:pos="7320" w:val="left"/>
          <w:tab w:leader="none" w:pos="7800" w:val="left"/>
          <w:tab w:leader="none" w:pos="878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 the 20</w:t>
        <w:tab/>
        <w:t>notes will mature on</w:t>
      </w:r>
      <w:r>
        <w:rPr>
          <w:sz w:val="20"/>
          <w:szCs w:val="20"/>
          <w:color w:val="auto"/>
        </w:rPr>
        <w:tab/>
      </w:r>
      <w:r>
        <w:rPr>
          <w:rFonts w:ascii="Arial" w:cs="Arial" w:eastAsia="Arial" w:hAnsi="Arial"/>
          <w:sz w:val="18"/>
          <w:szCs w:val="18"/>
          <w:color w:val="auto"/>
        </w:rPr>
        <w:t>, 20</w:t>
        <w:tab/>
        <w:t>and the 20</w:t>
      </w:r>
      <w:r>
        <w:rPr>
          <w:sz w:val="20"/>
          <w:szCs w:val="20"/>
          <w:color w:val="auto"/>
        </w:rPr>
        <w:tab/>
      </w:r>
      <w:r>
        <w:rPr>
          <w:rFonts w:ascii="Arial" w:cs="Arial" w:eastAsia="Arial" w:hAnsi="Arial"/>
          <w:sz w:val="16"/>
          <w:szCs w:val="16"/>
          <w:color w:val="auto"/>
        </w:rPr>
        <w:t>notes will mature on</w:t>
      </w:r>
    </w:p>
    <w:p>
      <w:pPr>
        <w:spacing w:after="0" w:line="23" w:lineRule="exact"/>
        <w:rPr>
          <w:sz w:val="24"/>
          <w:szCs w:val="24"/>
          <w:color w:val="auto"/>
        </w:rPr>
      </w:pPr>
    </w:p>
    <w:p>
      <w:pPr>
        <w:ind w:left="120" w:right="300" w:firstLine="900"/>
        <w:spacing w:after="0" w:line="281" w:lineRule="auto"/>
        <w:rPr>
          <w:sz w:val="20"/>
          <w:szCs w:val="20"/>
          <w:color w:val="auto"/>
        </w:rPr>
      </w:pPr>
      <w:r>
        <w:rPr>
          <w:rFonts w:ascii="Arial" w:cs="Arial" w:eastAsia="Arial" w:hAnsi="Arial"/>
          <w:sz w:val="16"/>
          <w:szCs w:val="16"/>
          <w:color w:val="auto"/>
        </w:rPr>
        <w:t>, 20 . We have the option to redeem all or a portion of the notes at any time prior to maturity at the redemption prices set forth in this prospectus supplement. See “Description of the Notes—Optional Redemption” in this prospectus supplement. We will pay interest on the 20 notes</w:t>
      </w:r>
    </w:p>
    <w:p>
      <w:pPr>
        <w:spacing w:after="0" w:line="1" w:lineRule="exact"/>
        <w:rPr>
          <w:sz w:val="24"/>
          <w:szCs w:val="24"/>
          <w:color w:val="auto"/>
        </w:rPr>
      </w:pPr>
    </w:p>
    <w:p>
      <w:pPr>
        <w:ind w:left="120"/>
        <w:spacing w:after="0"/>
        <w:tabs>
          <w:tab w:leader="none" w:pos="2860" w:val="left"/>
          <w:tab w:leader="none" w:pos="3940" w:val="left"/>
          <w:tab w:leader="none" w:pos="6780" w:val="left"/>
          <w:tab w:leader="none" w:pos="7240" w:val="left"/>
          <w:tab w:leader="none" w:pos="9700" w:val="left"/>
        </w:tabs>
        <w:rPr>
          <w:sz w:val="20"/>
          <w:szCs w:val="20"/>
          <w:color w:val="auto"/>
        </w:rPr>
      </w:pPr>
      <w:r>
        <w:rPr>
          <w:rFonts w:ascii="Arial" w:cs="Arial" w:eastAsia="Arial" w:hAnsi="Arial"/>
          <w:sz w:val="18"/>
          <w:szCs w:val="18"/>
          <w:color w:val="auto"/>
        </w:rPr>
        <w:t>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tab/>
        <w:t>. We will pay interest on the 20</w:t>
      </w:r>
      <w:r>
        <w:rPr>
          <w:sz w:val="20"/>
          <w:szCs w:val="20"/>
          <w:color w:val="auto"/>
        </w:rPr>
        <w:tab/>
      </w:r>
      <w:r>
        <w:rPr>
          <w:rFonts w:ascii="Arial" w:cs="Arial" w:eastAsia="Arial" w:hAnsi="Arial"/>
          <w:sz w:val="15"/>
          <w:szCs w:val="15"/>
          <w:color w:val="auto"/>
        </w:rPr>
        <w:t>notes semi-</w:t>
      </w:r>
    </w:p>
    <w:p>
      <w:pPr>
        <w:spacing w:after="0" w:line="9" w:lineRule="exact"/>
        <w:rPr>
          <w:sz w:val="24"/>
          <w:szCs w:val="24"/>
          <w:color w:val="auto"/>
        </w:rPr>
      </w:pPr>
    </w:p>
    <w:p>
      <w:pPr>
        <w:ind w:left="120"/>
        <w:spacing w:after="0"/>
        <w:tabs>
          <w:tab w:leader="none" w:pos="2640" w:val="left"/>
          <w:tab w:leader="none" w:pos="3900" w:val="left"/>
          <w:tab w:leader="none" w:pos="6740" w:val="left"/>
          <w:tab w:leader="none" w:pos="7200" w:val="left"/>
          <w:tab w:leader="none" w:pos="9660" w:val="left"/>
        </w:tabs>
        <w:rPr>
          <w:sz w:val="20"/>
          <w:szCs w:val="20"/>
          <w:color w:val="auto"/>
        </w:rPr>
      </w:pPr>
      <w:r>
        <w:rPr>
          <w:rFonts w:ascii="Arial" w:cs="Arial" w:eastAsia="Arial" w:hAnsi="Arial"/>
          <w:sz w:val="18"/>
          <w:szCs w:val="18"/>
          <w:color w:val="auto"/>
        </w:rPr>
        <w:t>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tab/>
        <w:t>. We will pay interest on the 20</w:t>
      </w:r>
      <w:r>
        <w:rPr>
          <w:sz w:val="20"/>
          <w:szCs w:val="20"/>
          <w:color w:val="auto"/>
        </w:rPr>
        <w:tab/>
      </w:r>
      <w:r>
        <w:rPr>
          <w:rFonts w:ascii="Arial" w:cs="Arial" w:eastAsia="Arial" w:hAnsi="Arial"/>
          <w:sz w:val="16"/>
          <w:szCs w:val="16"/>
          <w:color w:val="auto"/>
        </w:rPr>
        <w:t>notes semi-annually</w:t>
      </w:r>
    </w:p>
    <w:p>
      <w:pPr>
        <w:spacing w:after="0" w:line="9" w:lineRule="exact"/>
        <w:rPr>
          <w:sz w:val="24"/>
          <w:szCs w:val="24"/>
          <w:color w:val="auto"/>
        </w:rPr>
      </w:pPr>
    </w:p>
    <w:p>
      <w:pPr>
        <w:ind w:left="120"/>
        <w:spacing w:after="0"/>
        <w:tabs>
          <w:tab w:leader="none" w:pos="1980" w:val="left"/>
          <w:tab w:leader="none" w:pos="3240" w:val="left"/>
          <w:tab w:leader="none" w:pos="5900" w:val="left"/>
          <w:tab w:leader="none" w:pos="6360" w:val="left"/>
        </w:tabs>
        <w:rPr>
          <w:sz w:val="20"/>
          <w:szCs w:val="20"/>
          <w:color w:val="auto"/>
        </w:rPr>
      </w:pPr>
      <w:r>
        <w:rPr>
          <w:rFonts w:ascii="Arial" w:cs="Arial" w:eastAsia="Arial" w:hAnsi="Arial"/>
          <w:sz w:val="18"/>
          <w:szCs w:val="18"/>
          <w:color w:val="auto"/>
        </w:rPr>
        <w:t>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notes will be issued only in denominations of $2,000 and</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7"/>
          <w:szCs w:val="17"/>
          <w:color w:val="auto"/>
        </w:rPr>
        <w:t>$1,000 multiples above that amount. For a more detailed description of the notes, see “Description of the Notes” in this prospectus supplement.</w:t>
      </w:r>
    </w:p>
    <w:p>
      <w:pPr>
        <w:spacing w:after="0" w:line="114" w:lineRule="exact"/>
        <w:rPr>
          <w:sz w:val="24"/>
          <w:szCs w:val="24"/>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our other current and future unsecured and unsubordinated debt, but effectively will be junior to any current and future secured debt to the extent of the assets securing that debt. The notes also effectively will be subordinated to all indebtedness and other liabilities of our subsidiaries to the extent of our subsidiaries’ assets. See “Description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Investing in the notes involves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S-6 of this prospectus supplement, in our Annual Report on Form 10-K for the year ended December 31, 2022 and in our subsequent Quarterly Reports on Form 10-Q, which are incorporated by reference herein, as may be amended, supplemented or superseded from time to time by other reports that we subsequently file with the Securities and Exchange Commission (the “SEC”).</w:t>
      </w:r>
    </w:p>
    <w:p>
      <w:pPr>
        <w:spacing w:after="0" w:line="72" w:lineRule="exact"/>
        <w:rPr>
          <w:sz w:val="24"/>
          <w:szCs w:val="24"/>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notes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20  Note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 20  Note</w:t>
            </w:r>
          </w:p>
        </w:tc>
        <w:tc>
          <w:tcPr>
            <w:tcW w:w="20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Per 20  Note</w:t>
            </w:r>
          </w:p>
        </w:tc>
        <w:tc>
          <w:tcPr>
            <w:tcW w:w="36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Underwriting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310"/>
        </w:trPr>
        <w:tc>
          <w:tcPr>
            <w:tcW w:w="9940" w:type="dxa"/>
            <w:vAlign w:val="bottom"/>
            <w:gridSpan w:val="14"/>
          </w:tcPr>
          <w:p>
            <w:pPr>
              <w:ind w:left="440"/>
              <w:spacing w:after="0"/>
              <w:rPr>
                <w:sz w:val="20"/>
                <w:szCs w:val="20"/>
                <w:color w:val="auto"/>
              </w:rPr>
            </w:pPr>
            <w:r>
              <w:rPr>
                <w:rFonts w:ascii="Arial" w:cs="Arial" w:eastAsia="Arial" w:hAnsi="Arial"/>
                <w:sz w:val="18"/>
                <w:szCs w:val="18"/>
                <w:color w:val="auto"/>
                <w:w w:val="93"/>
              </w:rPr>
              <w:t>The initial public offering prices set forth above do not include accrued interest, if any. Interest on the notes will accrue from May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 2023, and</w:t>
            </w:r>
          </w:p>
        </w:tc>
      </w:t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w w:val="89"/>
              </w:rPr>
              <w:t>must be paid by the purchasers if the notes are delivered after May</w:t>
            </w:r>
          </w:p>
        </w:tc>
        <w:tc>
          <w:tcPr>
            <w:tcW w:w="160" w:type="dxa"/>
            <w:vAlign w:val="bottom"/>
          </w:tcPr>
          <w:p>
            <w:pPr>
              <w:spacing w:after="0"/>
              <w:rPr>
                <w:sz w:val="20"/>
                <w:szCs w:val="20"/>
                <w:color w:val="auto"/>
              </w:rPr>
            </w:pPr>
          </w:p>
        </w:tc>
        <w:tc>
          <w:tcPr>
            <w:tcW w:w="1040" w:type="dxa"/>
            <w:vAlign w:val="bottom"/>
            <w:gridSpan w:val="2"/>
          </w:tcPr>
          <w:p>
            <w:pPr>
              <w:jc w:val="right"/>
              <w:ind w:right="459"/>
              <w:spacing w:after="0"/>
              <w:rPr>
                <w:sz w:val="20"/>
                <w:szCs w:val="20"/>
                <w:color w:val="auto"/>
              </w:rPr>
            </w:pPr>
            <w:r>
              <w:rPr>
                <w:rFonts w:ascii="Arial" w:cs="Arial" w:eastAsia="Arial" w:hAnsi="Arial"/>
                <w:sz w:val="18"/>
                <w:szCs w:val="18"/>
                <w:color w:val="auto"/>
                <w:w w:val="87"/>
              </w:rPr>
              <w:t>, 2023.</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underwriters expect to deliver the notes in book-entry form through the facilities of The Depository Trust Company (“DTC”), for the benefit of its participants, including Clearstream Banking, S.A. (“Clearstream”) and Euroclear Bank SA/NV, as operator of the Euroclear System (“Euroclear”), against payment in New York, New York on or about May , 2023.</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Joint Book-Running Managers</w:t>
      </w:r>
    </w:p>
    <w:p>
      <w:pPr>
        <w:spacing w:after="0" w:line="109" w:lineRule="exact"/>
        <w:rPr>
          <w:sz w:val="24"/>
          <w:szCs w:val="24"/>
          <w:color w:val="auto"/>
        </w:rPr>
      </w:pPr>
    </w:p>
    <w:p>
      <w:pPr>
        <w:ind w:left="1620"/>
        <w:spacing w:after="0"/>
        <w:tabs>
          <w:tab w:leader="none" w:pos="5380" w:val="left"/>
          <w:tab w:leader="none" w:pos="8580" w:val="left"/>
        </w:tabs>
        <w:rPr>
          <w:sz w:val="20"/>
          <w:szCs w:val="20"/>
          <w:color w:val="auto"/>
        </w:rPr>
      </w:pP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6"/>
          <w:szCs w:val="16"/>
          <w:b w:val="1"/>
          <w:bCs w:val="1"/>
          <w:color w:val="auto"/>
        </w:rPr>
        <w:t>Credit Agricole CIB</w:t>
      </w:r>
    </w:p>
    <w:p>
      <w:pPr>
        <w:sectPr>
          <w:pgSz w:w="11900" w:h="16838" w:orient="portrait"/>
          <w:cols w:equalWidth="0" w:num="1">
            <w:col w:w="11140"/>
          </w:cols>
          <w:pgMar w:left="320" w:top="230" w:right="439" w:bottom="1440" w:gutter="0" w:footer="0" w:header="0"/>
        </w:sectPr>
      </w:pPr>
    </w:p>
    <w:p>
      <w:pPr>
        <w:spacing w:after="0" w:line="126"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4"/>
          <w:szCs w:val="14"/>
          <w:b w:val="1"/>
          <w:bCs w:val="1"/>
          <w:color w:val="auto"/>
        </w:rPr>
        <w:t>Prospectus Supplement dated May</w:t>
      </w:r>
      <w:r>
        <w:rPr>
          <w:sz w:val="20"/>
          <w:szCs w:val="20"/>
          <w:color w:val="auto"/>
        </w:rPr>
        <w:tab/>
      </w:r>
      <w:r>
        <w:rPr>
          <w:rFonts w:ascii="Arial" w:cs="Arial" w:eastAsia="Arial" w:hAnsi="Arial"/>
          <w:sz w:val="13"/>
          <w:szCs w:val="13"/>
          <w:b w:val="1"/>
          <w:bCs w:val="1"/>
          <w:color w:val="auto"/>
        </w:rPr>
        <w:t>, 2023.</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8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8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1"/>
        </w:trPr>
        <w:tc>
          <w:tcPr>
            <w:tcW w:w="700" w:type="dxa"/>
            <w:vAlign w:val="bottom"/>
            <w:gridSpan w:val="2"/>
            <w:vMerge w:val="restart"/>
          </w:tcPr>
          <w:p>
            <w:pPr>
              <w:spacing w:after="0"/>
              <w:rPr>
                <w:sz w:val="20"/>
                <w:szCs w:val="20"/>
                <w:color w:val="auto"/>
              </w:rPr>
            </w:pPr>
            <w:r>
              <w:rPr>
                <w:rFonts w:ascii="Arial" w:cs="Arial" w:eastAsia="Arial" w:hAnsi="Arial"/>
                <w:sz w:val="18"/>
                <w:szCs w:val="18"/>
                <w:color w:val="0000EE"/>
                <w:w w:val="88"/>
              </w:rPr>
              <w:t>Summary</w:t>
            </w:r>
          </w:p>
        </w:tc>
        <w:tc>
          <w:tcPr>
            <w:tcW w:w="3400" w:type="dxa"/>
            <w:vAlign w:val="bottom"/>
            <w:gridSpan w:val="16"/>
            <w:vMerge w:val="restart"/>
          </w:tcPr>
          <w:p>
            <w:pPr>
              <w:spacing w:after="0"/>
              <w:rPr>
                <w:sz w:val="24"/>
                <w:szCs w:val="24"/>
                <w:color w:val="auto"/>
              </w:rPr>
            </w:pPr>
          </w:p>
        </w:tc>
        <w:tc>
          <w:tcPr>
            <w:tcW w:w="646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2"/>
            <w:vMerge w:val="continue"/>
          </w:tcPr>
          <w:p>
            <w:pPr>
              <w:spacing w:after="0"/>
              <w:rPr>
                <w:sz w:val="14"/>
                <w:szCs w:val="14"/>
                <w:color w:val="auto"/>
              </w:rPr>
            </w:pPr>
          </w:p>
        </w:tc>
        <w:tc>
          <w:tcPr>
            <w:tcW w:w="3400" w:type="dxa"/>
            <w:vAlign w:val="bottom"/>
            <w:gridSpan w:val="16"/>
            <w:vMerge w:val="continue"/>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Forward-Looking Statements</w:t>
            </w:r>
          </w:p>
        </w:tc>
        <w:tc>
          <w:tcPr>
            <w:tcW w:w="1980" w:type="dxa"/>
            <w:vAlign w:val="bottom"/>
            <w:gridSpan w:val="5"/>
          </w:tcPr>
          <w:p>
            <w:pPr>
              <w:spacing w:after="0"/>
              <w:rPr>
                <w:sz w:val="17"/>
                <w:szCs w:val="17"/>
                <w:color w:val="auto"/>
              </w:rPr>
            </w:pPr>
          </w:p>
        </w:tc>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Risk Factors</w:t>
            </w:r>
          </w:p>
        </w:tc>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2340" w:type="dxa"/>
            <w:vAlign w:val="bottom"/>
            <w:gridSpan w:val="7"/>
          </w:tcPr>
          <w:p>
            <w:pPr>
              <w:spacing w:after="0"/>
              <w:rPr>
                <w:sz w:val="17"/>
                <w:szCs w:val="17"/>
                <w:color w:val="auto"/>
              </w:rPr>
            </w:pPr>
          </w:p>
        </w:tc>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Certain United States Federal Tax Consequences</w:t>
            </w:r>
          </w:p>
        </w:tc>
        <w:tc>
          <w:tcPr>
            <w:tcW w:w="64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Underwriting</w:t>
            </w:r>
          </w:p>
        </w:tc>
        <w:tc>
          <w:tcPr>
            <w:tcW w:w="600" w:type="dxa"/>
            <w:vAlign w:val="bottom"/>
            <w:gridSpan w:val="2"/>
          </w:tcPr>
          <w:p>
            <w:pPr>
              <w:spacing w:after="0"/>
              <w:rPr>
                <w:sz w:val="17"/>
                <w:szCs w:val="17"/>
                <w:color w:val="auto"/>
              </w:rPr>
            </w:pPr>
          </w:p>
        </w:tc>
        <w:tc>
          <w:tcPr>
            <w:tcW w:w="64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Validity of the Notes</w:t>
            </w:r>
          </w:p>
        </w:tc>
        <w:tc>
          <w:tcPr>
            <w:tcW w:w="2600" w:type="dxa"/>
            <w:vAlign w:val="bottom"/>
            <w:gridSpan w:val="9"/>
          </w:tcPr>
          <w:p>
            <w:pPr>
              <w:spacing w:after="0"/>
              <w:rPr>
                <w:sz w:val="17"/>
                <w:szCs w:val="17"/>
                <w:color w:val="auto"/>
              </w:rPr>
            </w:pPr>
          </w:p>
        </w:tc>
        <w:tc>
          <w:tcPr>
            <w:tcW w:w="64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Experts</w:t>
            </w:r>
          </w:p>
        </w:tc>
        <w:tc>
          <w:tcPr>
            <w:tcW w:w="64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64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56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8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391"/>
        </w:trPr>
        <w:tc>
          <w:tcPr>
            <w:tcW w:w="1580" w:type="dxa"/>
            <w:vAlign w:val="bottom"/>
            <w:gridSpan w:val="10"/>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520" w:type="dxa"/>
            <w:vAlign w:val="bottom"/>
            <w:gridSpan w:val="8"/>
            <w:vMerge w:val="restart"/>
          </w:tcPr>
          <w:p>
            <w:pPr>
              <w:spacing w:after="0"/>
              <w:rPr>
                <w:sz w:val="24"/>
                <w:szCs w:val="24"/>
                <w:color w:val="auto"/>
              </w:rPr>
            </w:pPr>
          </w:p>
        </w:tc>
        <w:tc>
          <w:tcPr>
            <w:tcW w:w="64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10"/>
            <w:vMerge w:val="continue"/>
          </w:tcPr>
          <w:p>
            <w:pPr>
              <w:spacing w:after="0"/>
              <w:rPr>
                <w:sz w:val="14"/>
                <w:szCs w:val="14"/>
                <w:color w:val="auto"/>
              </w:rPr>
            </w:pPr>
          </w:p>
        </w:tc>
        <w:tc>
          <w:tcPr>
            <w:tcW w:w="2520" w:type="dxa"/>
            <w:vAlign w:val="bottom"/>
            <w:gridSpan w:val="8"/>
            <w:vMerge w:val="continue"/>
          </w:tcPr>
          <w:p>
            <w:pPr>
              <w:spacing w:after="0"/>
              <w:rPr>
                <w:sz w:val="14"/>
                <w:szCs w:val="14"/>
                <w:color w:val="auto"/>
              </w:rPr>
            </w:pPr>
          </w:p>
        </w:tc>
        <w:tc>
          <w:tcPr>
            <w:tcW w:w="658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Our Company</w:t>
            </w: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Risk Factors</w:t>
            </w:r>
          </w:p>
        </w:tc>
        <w:tc>
          <w:tcPr>
            <w:tcW w:w="3080" w:type="dxa"/>
            <w:vAlign w:val="bottom"/>
            <w:gridSpan w:val="12"/>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Forward-Looking Statements</w:t>
            </w:r>
          </w:p>
        </w:tc>
        <w:tc>
          <w:tcPr>
            <w:tcW w:w="1980" w:type="dxa"/>
            <w:vAlign w:val="bottom"/>
            <w:gridSpan w:val="5"/>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4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Where to Find Additional Information</w:t>
            </w:r>
          </w:p>
        </w:tc>
        <w:tc>
          <w:tcPr>
            <w:tcW w:w="460" w:type="dxa"/>
            <w:vAlign w:val="bottom"/>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Use of Proceeds</w:t>
            </w:r>
          </w:p>
        </w:tc>
        <w:tc>
          <w:tcPr>
            <w:tcW w:w="1360" w:type="dxa"/>
            <w:vAlign w:val="bottom"/>
            <w:gridSpan w:val="3"/>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920" w:type="dxa"/>
            <w:vAlign w:val="bottom"/>
            <w:gridSpan w:val="4"/>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Matters</w:t>
            </w:r>
          </w:p>
        </w:tc>
        <w:tc>
          <w:tcPr>
            <w:tcW w:w="2680" w:type="dxa"/>
            <w:vAlign w:val="bottom"/>
            <w:gridSpan w:val="10"/>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Experts</w:t>
            </w:r>
          </w:p>
        </w:tc>
        <w:tc>
          <w:tcPr>
            <w:tcW w:w="3100" w:type="dxa"/>
            <w:vAlign w:val="bottom"/>
            <w:gridSpan w:val="13"/>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We have not, and the underwriters have not, authorized anyone to give any information or to make any representations concerning the notes except those which are in this prospectus supplement, the accompanying prospectus, any related free writing prospectus that we authorize, or any documents incorporated by reference into this prospectus supplement or the accompanying prospectus. We and the underwriters take no responsibility for, and can provide no assurance as to the reliability of, any other information or representations that others may give or make to you. This prospectus supplement is not an offer to sell or a solicitation of an offer to buy any securities other than the notes that are referred to in this prospectus supplement. This prospectus supplement is not an offer to sell or a solicitation of an offer to buy notes in any circumstances in which the offer or solicitation is unlawful. You should not interpret the delivery of this prospectus supplement and the accompanying prospectus, or any offer or sale of notes, as an indication that there has been no change in our affairs since the date of this prospectus supplement.</w:t>
      </w:r>
    </w:p>
    <w:p>
      <w:pPr>
        <w:spacing w:after="0" w:line="178"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As used in this prospectus supplement, unless otherwise indicated, “Lockheed Martin,” “we,” “our,” and “us” are used interchangeably to refer to Lockheed Martin Corporation or to Lockheed Martin Corporation and its consolidated subsidiaries, as appropriate in the context.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included elsewhere in this prospectus supplement and the accompanying prospectus. Because this is a summary, it may not contain all the information that may be important to you. You should read this entire prospectus supplement and the accompanying prospectus, including “Risk Factors” on page S-6, and the financial statements and the notes to those statements and other information incorporated herein by reference, before making a decision whether to invest in the notes.</w:t>
      </w:r>
    </w:p>
    <w:p>
      <w:pPr>
        <w:spacing w:after="0" w:line="7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w:t>
      </w:r>
    </w:p>
    <w:p>
      <w:pPr>
        <w:spacing w:after="0" w:line="176"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We operate in four business segments: Aeronautics, Missiles and Fire Control (MFC), Rotary and Mission Systems (RMS) and Space. We organize our business segments based on the nature of the products and services offered. The following is a brief description of the activities of each of our business segments:</w:t>
      </w:r>
    </w:p>
    <w:p>
      <w:pPr>
        <w:spacing w:after="0" w:line="184"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b w:val="1"/>
          <w:bCs w:val="1"/>
          <w:i w:val="1"/>
          <w:iCs w:val="1"/>
          <w:color w:val="auto"/>
        </w:rPr>
        <w:t>Aeronautics</w:t>
      </w:r>
      <w:r>
        <w:rPr>
          <w:rFonts w:ascii="Arial" w:cs="Arial" w:eastAsia="Arial" w:hAnsi="Arial"/>
          <w:sz w:val="17"/>
          <w:szCs w:val="17"/>
          <w:color w:val="auto"/>
        </w:rPr>
        <w:t>—Engaged in the research, design, development, manufacture, integration, sustainment, support and upgrade of advanced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military aircraft, including combat and air mobility aircraft, unmanned air vehicles and related technologies.</w:t>
      </w:r>
    </w:p>
    <w:p>
      <w:pPr>
        <w:spacing w:after="0" w:line="146"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b w:val="1"/>
          <w:bCs w:val="1"/>
          <w:i w:val="1"/>
          <w:iCs w:val="1"/>
          <w:color w:val="auto"/>
        </w:rPr>
        <w:t>Missiles and Fire Control</w:t>
      </w:r>
      <w:r>
        <w:rPr>
          <w:rFonts w:ascii="Arial" w:cs="Arial" w:eastAsia="Arial" w:hAnsi="Arial"/>
          <w:sz w:val="18"/>
          <w:szCs w:val="18"/>
          <w:color w:val="auto"/>
        </w:rPr>
        <w:t>—Provides air and missile defense systems; tactical missiles and air-to-ground precision strike weapon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logistics; fire control systems; mission operations support, readiness, engineering support and integration services; manned and unmanned ground vehicles; and energy management solutions.</w:t>
      </w:r>
    </w:p>
    <w:p>
      <w:pPr>
        <w:spacing w:after="0" w:line="184"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b w:val="1"/>
          <w:bCs w:val="1"/>
          <w:i w:val="1"/>
          <w:iCs w:val="1"/>
          <w:color w:val="auto"/>
        </w:rPr>
        <w:t>Rotary and Mission Systems</w:t>
      </w:r>
      <w:r>
        <w:rPr>
          <w:rFonts w:ascii="Arial" w:cs="Arial" w:eastAsia="Arial" w:hAnsi="Arial"/>
          <w:sz w:val="18"/>
          <w:szCs w:val="18"/>
          <w:color w:val="auto"/>
        </w:rPr>
        <w:t>—Designs, manufactures, services and supports various military and commercial helicopters, surface ships, sea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land-based missile defense systems, radar systems, sea and air-based mission and combat systems, command and control mission solutions, cyber solutions, and simulation and training solutions.</w:t>
      </w:r>
    </w:p>
    <w:p>
      <w:pPr>
        <w:spacing w:after="0" w:line="184"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b w:val="1"/>
          <w:bCs w:val="1"/>
          <w:i w:val="1"/>
          <w:iCs w:val="1"/>
          <w:color w:val="auto"/>
        </w:rPr>
        <w:t>Space</w:t>
      </w:r>
      <w:r>
        <w:rPr>
          <w:rFonts w:ascii="Arial" w:cs="Arial" w:eastAsia="Arial" w:hAnsi="Arial"/>
          <w:sz w:val="18"/>
          <w:szCs w:val="18"/>
          <w:color w:val="auto"/>
        </w:rPr>
        <w:t>—Engaged in the research and design, development, engineering and production of satellites, space transportation systems,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www.lockheedmartin.com. We make our website address available for informational purposes only. It should not be relied upon for investment purposes, and the information contained on or accessible through the website is not incorporated by reference into this prospectus supplement or the accompanying prospectus and does not constitute a part of this prospectus supplement or the accompanying prospectus.</w:t>
      </w:r>
    </w:p>
    <w:p>
      <w:pPr>
        <w:spacing w:after="0" w:line="26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60"/>
          </w:cols>
          <w:pgMar w:left="320" w:top="675" w:right="7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i w:val="1"/>
          <w:iCs w:val="1"/>
          <w:color w:val="auto"/>
        </w:rPr>
        <w:t>The following is a summary of some of the terms of the notes offered hereby. For a more complete description of the terms of the notes, see “Description of the Notes” in this prospectus supplement.</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3920" w:type="dxa"/>
            <w:vAlign w:val="bottom"/>
            <w:gridSpan w:val="2"/>
          </w:tcPr>
          <w:p>
            <w:pPr>
              <w:ind w:left="1480"/>
              <w:spacing w:after="0"/>
              <w:rPr>
                <w:sz w:val="20"/>
                <w:szCs w:val="20"/>
                <w:color w:val="auto"/>
              </w:rPr>
            </w:pPr>
            <w:r>
              <w:rPr>
                <w:rFonts w:ascii="Arial" w:cs="Arial" w:eastAsia="Arial" w:hAnsi="Arial"/>
                <w:sz w:val="18"/>
                <w:szCs w:val="18"/>
                <w:color w:val="auto"/>
              </w:rPr>
              <w:t>Lockheed Martin Corporation.</w:t>
            </w:r>
          </w:p>
        </w:tc>
        <w:tc>
          <w:tcPr>
            <w:tcW w:w="540" w:type="dxa"/>
            <w:vAlign w:val="bottom"/>
          </w:tcPr>
          <w:p>
            <w:pPr>
              <w:spacing w:after="0"/>
              <w:rPr>
                <w:sz w:val="20"/>
                <w:szCs w:val="20"/>
                <w:color w:val="auto"/>
              </w:rPr>
            </w:pPr>
          </w:p>
        </w:tc>
      </w:tr>
      <w:tr>
        <w:trPr>
          <w:trHeight w:val="473"/>
        </w:trPr>
        <w:tc>
          <w:tcPr>
            <w:tcW w:w="256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1860" w:type="dxa"/>
            <w:vAlign w:val="bottom"/>
          </w:tcPr>
          <w:p>
            <w:pPr>
              <w:ind w:left="1480"/>
              <w:spacing w:after="0"/>
              <w:rPr>
                <w:sz w:val="20"/>
                <w:szCs w:val="20"/>
                <w:color w:val="auto"/>
              </w:rPr>
            </w:pPr>
            <w:r>
              <w:rPr>
                <w:rFonts w:ascii="Arial" w:cs="Arial" w:eastAsia="Arial" w:hAnsi="Arial"/>
                <w:sz w:val="18"/>
                <w:szCs w:val="18"/>
                <w:color w:val="auto"/>
              </w:rPr>
              <w:t>$</w:t>
            </w:r>
          </w:p>
        </w:tc>
        <w:tc>
          <w:tcPr>
            <w:tcW w:w="2060" w:type="dxa"/>
            <w:vAlign w:val="bottom"/>
          </w:tcPr>
          <w:p>
            <w:pPr>
              <w:ind w:left="300"/>
              <w:spacing w:after="0"/>
              <w:rPr>
                <w:sz w:val="20"/>
                <w:szCs w:val="20"/>
                <w:color w:val="auto"/>
              </w:rPr>
            </w:pPr>
            <w:r>
              <w:rPr>
                <w:rFonts w:ascii="Arial" w:cs="Arial" w:eastAsia="Arial" w:hAnsi="Arial"/>
                <w:sz w:val="18"/>
                <w:szCs w:val="18"/>
                <w:color w:val="auto"/>
                <w:w w:val="98"/>
              </w:rPr>
              <w:t>principal amount of 20</w:t>
            </w:r>
          </w:p>
        </w:tc>
        <w:tc>
          <w:tcPr>
            <w:tcW w:w="540" w:type="dxa"/>
            <w:vAlign w:val="bottom"/>
          </w:tcPr>
          <w:p>
            <w:pPr>
              <w:ind w:left="100"/>
              <w:spacing w:after="0"/>
              <w:rPr>
                <w:sz w:val="20"/>
                <w:szCs w:val="20"/>
                <w:color w:val="auto"/>
              </w:rPr>
            </w:pPr>
            <w:r>
              <w:rPr>
                <w:rFonts w:ascii="Arial" w:cs="Arial" w:eastAsia="Arial" w:hAnsi="Arial"/>
                <w:sz w:val="18"/>
                <w:szCs w:val="18"/>
                <w:color w:val="auto"/>
                <w:w w:val="85"/>
              </w:rPr>
              <w:t>notes.</w:t>
            </w:r>
          </w:p>
        </w:tc>
      </w:tr>
      <w:tr>
        <w:trPr>
          <w:trHeight w:val="338"/>
        </w:trPr>
        <w:tc>
          <w:tcPr>
            <w:tcW w:w="2560" w:type="dxa"/>
            <w:vAlign w:val="bottom"/>
          </w:tcPr>
          <w:p>
            <w:pPr>
              <w:spacing w:after="0"/>
              <w:rPr>
                <w:sz w:val="24"/>
                <w:szCs w:val="24"/>
                <w:color w:val="auto"/>
              </w:rPr>
            </w:pPr>
          </w:p>
        </w:tc>
        <w:tc>
          <w:tcPr>
            <w:tcW w:w="1860" w:type="dxa"/>
            <w:vAlign w:val="bottom"/>
          </w:tcPr>
          <w:p>
            <w:pPr>
              <w:ind w:left="1480"/>
              <w:spacing w:after="0"/>
              <w:rPr>
                <w:sz w:val="20"/>
                <w:szCs w:val="20"/>
                <w:color w:val="auto"/>
              </w:rPr>
            </w:pPr>
            <w:r>
              <w:rPr>
                <w:rFonts w:ascii="Arial" w:cs="Arial" w:eastAsia="Arial" w:hAnsi="Arial"/>
                <w:sz w:val="18"/>
                <w:szCs w:val="18"/>
                <w:color w:val="auto"/>
              </w:rPr>
              <w:t>$</w:t>
            </w:r>
          </w:p>
        </w:tc>
        <w:tc>
          <w:tcPr>
            <w:tcW w:w="2060" w:type="dxa"/>
            <w:vAlign w:val="bottom"/>
          </w:tcPr>
          <w:p>
            <w:pPr>
              <w:ind w:left="300"/>
              <w:spacing w:after="0"/>
              <w:rPr>
                <w:sz w:val="20"/>
                <w:szCs w:val="20"/>
                <w:color w:val="auto"/>
              </w:rPr>
            </w:pPr>
            <w:r>
              <w:rPr>
                <w:rFonts w:ascii="Arial" w:cs="Arial" w:eastAsia="Arial" w:hAnsi="Arial"/>
                <w:sz w:val="18"/>
                <w:szCs w:val="18"/>
                <w:color w:val="auto"/>
                <w:w w:val="98"/>
              </w:rPr>
              <w:t>principal amount of 20</w:t>
            </w:r>
          </w:p>
        </w:tc>
        <w:tc>
          <w:tcPr>
            <w:tcW w:w="540" w:type="dxa"/>
            <w:vAlign w:val="bottom"/>
          </w:tcPr>
          <w:p>
            <w:pPr>
              <w:ind w:left="100"/>
              <w:spacing w:after="0"/>
              <w:rPr>
                <w:sz w:val="20"/>
                <w:szCs w:val="20"/>
                <w:color w:val="auto"/>
              </w:rPr>
            </w:pPr>
            <w:r>
              <w:rPr>
                <w:rFonts w:ascii="Arial" w:cs="Arial" w:eastAsia="Arial" w:hAnsi="Arial"/>
                <w:sz w:val="18"/>
                <w:szCs w:val="18"/>
                <w:color w:val="auto"/>
                <w:w w:val="85"/>
              </w:rPr>
              <w:t>notes.</w:t>
            </w:r>
          </w:p>
        </w:tc>
      </w:tr>
      <w:tr>
        <w:trPr>
          <w:trHeight w:val="338"/>
        </w:trPr>
        <w:tc>
          <w:tcPr>
            <w:tcW w:w="2560" w:type="dxa"/>
            <w:vAlign w:val="bottom"/>
          </w:tcPr>
          <w:p>
            <w:pPr>
              <w:spacing w:after="0"/>
              <w:rPr>
                <w:sz w:val="24"/>
                <w:szCs w:val="24"/>
                <w:color w:val="auto"/>
              </w:rPr>
            </w:pPr>
          </w:p>
        </w:tc>
        <w:tc>
          <w:tcPr>
            <w:tcW w:w="1860" w:type="dxa"/>
            <w:vAlign w:val="bottom"/>
          </w:tcPr>
          <w:p>
            <w:pPr>
              <w:ind w:left="1480"/>
              <w:spacing w:after="0"/>
              <w:rPr>
                <w:sz w:val="20"/>
                <w:szCs w:val="20"/>
                <w:color w:val="auto"/>
              </w:rPr>
            </w:pPr>
            <w:r>
              <w:rPr>
                <w:rFonts w:ascii="Arial" w:cs="Arial" w:eastAsia="Arial" w:hAnsi="Arial"/>
                <w:sz w:val="18"/>
                <w:szCs w:val="18"/>
                <w:color w:val="auto"/>
              </w:rPr>
              <w:t>$</w:t>
            </w:r>
          </w:p>
        </w:tc>
        <w:tc>
          <w:tcPr>
            <w:tcW w:w="2060" w:type="dxa"/>
            <w:vAlign w:val="bottom"/>
          </w:tcPr>
          <w:p>
            <w:pPr>
              <w:ind w:left="300"/>
              <w:spacing w:after="0"/>
              <w:rPr>
                <w:sz w:val="20"/>
                <w:szCs w:val="20"/>
                <w:color w:val="auto"/>
              </w:rPr>
            </w:pPr>
            <w:r>
              <w:rPr>
                <w:rFonts w:ascii="Arial" w:cs="Arial" w:eastAsia="Arial" w:hAnsi="Arial"/>
                <w:sz w:val="18"/>
                <w:szCs w:val="18"/>
                <w:color w:val="auto"/>
                <w:w w:val="98"/>
              </w:rPr>
              <w:t>principal amount of 20</w:t>
            </w:r>
          </w:p>
        </w:tc>
        <w:tc>
          <w:tcPr>
            <w:tcW w:w="540" w:type="dxa"/>
            <w:vAlign w:val="bottom"/>
          </w:tcPr>
          <w:p>
            <w:pPr>
              <w:ind w:left="100"/>
              <w:spacing w:after="0"/>
              <w:rPr>
                <w:sz w:val="20"/>
                <w:szCs w:val="20"/>
                <w:color w:val="auto"/>
              </w:rPr>
            </w:pPr>
            <w:r>
              <w:rPr>
                <w:rFonts w:ascii="Arial" w:cs="Arial" w:eastAsia="Arial" w:hAnsi="Arial"/>
                <w:sz w:val="18"/>
                <w:szCs w:val="18"/>
                <w:color w:val="auto"/>
                <w:w w:val="85"/>
              </w:rPr>
              <w:t>notes.</w:t>
            </w:r>
          </w:p>
        </w:tc>
      </w:tr>
    </w:tbl>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Maturity</w:t>
            </w:r>
          </w:p>
        </w:tc>
        <w:tc>
          <w:tcPr>
            <w:tcW w:w="3160" w:type="dxa"/>
            <w:vAlign w:val="bottom"/>
          </w:tcPr>
          <w:p>
            <w:pPr>
              <w:ind w:left="980"/>
              <w:spacing w:after="0"/>
              <w:rPr>
                <w:sz w:val="20"/>
                <w:szCs w:val="20"/>
                <w:color w:val="auto"/>
              </w:rPr>
            </w:pPr>
            <w:r>
              <w:rPr>
                <w:rFonts w:ascii="Arial" w:cs="Arial" w:eastAsia="Arial" w:hAnsi="Arial"/>
                <w:sz w:val="18"/>
                <w:szCs w:val="18"/>
                <w:color w:val="auto"/>
                <w:w w:val="95"/>
              </w:rPr>
              <w:t>The 20  notes will mature on</w:t>
            </w:r>
          </w:p>
        </w:tc>
        <w:tc>
          <w:tcPr>
            <w:tcW w:w="2020" w:type="dxa"/>
            <w:vAlign w:val="bottom"/>
          </w:tcPr>
          <w:p>
            <w:pPr>
              <w:ind w:left="920"/>
              <w:spacing w:after="0"/>
              <w:rPr>
                <w:sz w:val="20"/>
                <w:szCs w:val="20"/>
                <w:color w:val="auto"/>
              </w:rPr>
            </w:pPr>
            <w:r>
              <w:rPr>
                <w:rFonts w:ascii="Arial" w:cs="Arial" w:eastAsia="Arial" w:hAnsi="Arial"/>
                <w:sz w:val="18"/>
                <w:szCs w:val="18"/>
                <w:color w:val="auto"/>
              </w:rPr>
              <w:t>, 20  , the 20</w:t>
            </w: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92"/>
              </w:rPr>
              <w:t>notes will mature on</w:t>
            </w:r>
          </w:p>
        </w:tc>
        <w:tc>
          <w:tcPr>
            <w:tcW w:w="94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3160" w:type="dxa"/>
            <w:vAlign w:val="bottom"/>
          </w:tcPr>
          <w:p>
            <w:pPr>
              <w:ind w:left="1880"/>
              <w:spacing w:after="0"/>
              <w:rPr>
                <w:sz w:val="20"/>
                <w:szCs w:val="20"/>
                <w:color w:val="auto"/>
              </w:rPr>
            </w:pPr>
            <w:r>
              <w:rPr>
                <w:rFonts w:ascii="Arial" w:cs="Arial" w:eastAsia="Arial" w:hAnsi="Arial"/>
                <w:sz w:val="18"/>
                <w:szCs w:val="18"/>
                <w:color w:val="auto"/>
                <w:w w:val="96"/>
              </w:rPr>
              <w:t>, 20   and the 20</w:t>
            </w:r>
          </w:p>
        </w:tc>
        <w:tc>
          <w:tcPr>
            <w:tcW w:w="2020" w:type="dxa"/>
            <w:vAlign w:val="bottom"/>
          </w:tcPr>
          <w:p>
            <w:pPr>
              <w:ind w:left="200"/>
              <w:spacing w:after="0"/>
              <w:rPr>
                <w:sz w:val="20"/>
                <w:szCs w:val="20"/>
                <w:color w:val="auto"/>
              </w:rPr>
            </w:pPr>
            <w:r>
              <w:rPr>
                <w:rFonts w:ascii="Arial" w:cs="Arial" w:eastAsia="Arial" w:hAnsi="Arial"/>
                <w:sz w:val="18"/>
                <w:szCs w:val="18"/>
                <w:color w:val="auto"/>
              </w:rPr>
              <w:t>notes will mature on</w:t>
            </w:r>
          </w:p>
        </w:tc>
        <w:tc>
          <w:tcPr>
            <w:tcW w:w="54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 20  .</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Interest</w:t>
            </w:r>
          </w:p>
        </w:tc>
        <w:tc>
          <w:tcPr>
            <w:tcW w:w="6540" w:type="dxa"/>
            <w:vAlign w:val="bottom"/>
            <w:gridSpan w:val="4"/>
          </w:tcPr>
          <w:p>
            <w:pPr>
              <w:ind w:left="980"/>
              <w:spacing w:after="0"/>
              <w:rPr>
                <w:sz w:val="20"/>
                <w:szCs w:val="20"/>
                <w:color w:val="auto"/>
              </w:rPr>
            </w:pPr>
            <w:r>
              <w:rPr>
                <w:rFonts w:ascii="Arial" w:cs="Arial" w:eastAsia="Arial" w:hAnsi="Arial"/>
                <w:sz w:val="18"/>
                <w:szCs w:val="18"/>
                <w:color w:val="auto"/>
              </w:rPr>
              <w:t>The 20  notes will bear interest from May  , 2023, at an annual rate of</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 The 20</w:t>
            </w:r>
          </w:p>
        </w:tc>
      </w:tr>
      <w:tr>
        <w:trPr>
          <w:trHeight w:val="216"/>
        </w:trPr>
        <w:tc>
          <w:tcPr>
            <w:tcW w:w="3240" w:type="dxa"/>
            <w:vAlign w:val="bottom"/>
          </w:tcPr>
          <w:p>
            <w:pPr>
              <w:spacing w:after="0"/>
              <w:rPr>
                <w:sz w:val="18"/>
                <w:szCs w:val="18"/>
                <w:color w:val="auto"/>
              </w:rPr>
            </w:pPr>
          </w:p>
        </w:tc>
        <w:tc>
          <w:tcPr>
            <w:tcW w:w="5720" w:type="dxa"/>
            <w:vAlign w:val="bottom"/>
            <w:gridSpan w:val="3"/>
          </w:tcPr>
          <w:p>
            <w:pPr>
              <w:ind w:left="980"/>
              <w:spacing w:after="0"/>
              <w:rPr>
                <w:sz w:val="20"/>
                <w:szCs w:val="20"/>
                <w:color w:val="auto"/>
              </w:rPr>
            </w:pPr>
            <w:r>
              <w:rPr>
                <w:rFonts w:ascii="Arial" w:cs="Arial" w:eastAsia="Arial" w:hAnsi="Arial"/>
                <w:sz w:val="18"/>
                <w:szCs w:val="18"/>
                <w:color w:val="auto"/>
                <w:w w:val="96"/>
              </w:rPr>
              <w:t>notes will bear interest from May   , 2023, at an annual rate of</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 The 20</w:t>
            </w:r>
          </w:p>
        </w:tc>
        <w:tc>
          <w:tcPr>
            <w:tcW w:w="940" w:type="dxa"/>
            <w:vAlign w:val="bottom"/>
          </w:tcPr>
          <w:p>
            <w:pPr>
              <w:ind w:left="60"/>
              <w:spacing w:after="0"/>
              <w:rPr>
                <w:sz w:val="20"/>
                <w:szCs w:val="20"/>
                <w:color w:val="auto"/>
              </w:rPr>
            </w:pPr>
            <w:r>
              <w:rPr>
                <w:rFonts w:ascii="Arial" w:cs="Arial" w:eastAsia="Arial" w:hAnsi="Arial"/>
                <w:sz w:val="18"/>
                <w:szCs w:val="18"/>
                <w:color w:val="auto"/>
              </w:rPr>
              <w:t>notes</w:t>
            </w:r>
          </w:p>
        </w:tc>
      </w:tr>
      <w:tr>
        <w:trPr>
          <w:trHeight w:val="230"/>
        </w:trPr>
        <w:tc>
          <w:tcPr>
            <w:tcW w:w="3240" w:type="dxa"/>
            <w:vAlign w:val="bottom"/>
          </w:tcPr>
          <w:p>
            <w:pPr>
              <w:spacing w:after="0"/>
              <w:rPr>
                <w:sz w:val="20"/>
                <w:szCs w:val="20"/>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rPr>
              <w:t>will bear interest from May</w:t>
            </w:r>
          </w:p>
        </w:tc>
        <w:tc>
          <w:tcPr>
            <w:tcW w:w="2020" w:type="dxa"/>
            <w:vAlign w:val="bottom"/>
          </w:tcPr>
          <w:p>
            <w:pPr>
              <w:ind w:left="20"/>
              <w:spacing w:after="0"/>
              <w:rPr>
                <w:sz w:val="20"/>
                <w:szCs w:val="20"/>
                <w:color w:val="auto"/>
              </w:rPr>
            </w:pPr>
            <w:r>
              <w:rPr>
                <w:rFonts w:ascii="Arial" w:cs="Arial" w:eastAsia="Arial" w:hAnsi="Arial"/>
                <w:sz w:val="18"/>
                <w:szCs w:val="18"/>
                <w:color w:val="auto"/>
                <w:w w:val="94"/>
              </w:rPr>
              <w:t>, 2023 at an annual rate of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3240" w:type="dxa"/>
            <w:vAlign w:val="bottom"/>
          </w:tcPr>
          <w:p>
            <w:pPr>
              <w:spacing w:after="0"/>
              <w:rPr>
                <w:sz w:val="24"/>
                <w:szCs w:val="24"/>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w w:val="95"/>
              </w:rPr>
              <w:t>Interest is payable on the 20</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w w:val="92"/>
              </w:rPr>
              <w:t>notes semi-annually in arrears on</w:t>
            </w:r>
          </w:p>
        </w:tc>
        <w:tc>
          <w:tcPr>
            <w:tcW w:w="820" w:type="dxa"/>
            <w:vAlign w:val="bottom"/>
          </w:tcPr>
          <w:p>
            <w:pPr>
              <w:ind w:left="540"/>
              <w:spacing w:after="0"/>
              <w:rPr>
                <w:sz w:val="20"/>
                <w:szCs w:val="20"/>
                <w:color w:val="auto"/>
              </w:rPr>
            </w:pPr>
            <w:r>
              <w:rPr>
                <w:rFonts w:ascii="Arial" w:cs="Arial" w:eastAsia="Arial" w:hAnsi="Arial"/>
                <w:sz w:val="18"/>
                <w:szCs w:val="18"/>
                <w:color w:val="auto"/>
                <w:w w:val="86"/>
              </w:rPr>
              <w:t>and</w:t>
            </w:r>
          </w:p>
        </w:tc>
        <w:tc>
          <w:tcPr>
            <w:tcW w:w="30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of</w:t>
            </w:r>
          </w:p>
        </w:tc>
      </w:tr>
      <w:tr>
        <w:trPr>
          <w:trHeight w:val="230"/>
        </w:trPr>
        <w:tc>
          <w:tcPr>
            <w:tcW w:w="3240" w:type="dxa"/>
            <w:vAlign w:val="bottom"/>
          </w:tcPr>
          <w:p>
            <w:pPr>
              <w:spacing w:after="0"/>
              <w:rPr>
                <w:sz w:val="20"/>
                <w:szCs w:val="20"/>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rPr>
              <w:t>each year, beginning on</w:t>
            </w:r>
          </w:p>
        </w:tc>
        <w:tc>
          <w:tcPr>
            <w:tcW w:w="2020" w:type="dxa"/>
            <w:vAlign w:val="bottom"/>
          </w:tcPr>
          <w:p>
            <w:pPr>
              <w:jc w:val="right"/>
              <w:ind w:right="950"/>
              <w:spacing w:after="0"/>
              <w:rPr>
                <w:sz w:val="20"/>
                <w:szCs w:val="20"/>
                <w:color w:val="auto"/>
              </w:rPr>
            </w:pPr>
            <w:r>
              <w:rPr>
                <w:rFonts w:ascii="Arial" w:cs="Arial" w:eastAsia="Arial" w:hAnsi="Arial"/>
                <w:sz w:val="18"/>
                <w:szCs w:val="18"/>
                <w:color w:val="auto"/>
              </w:rPr>
              <w:t>, 20  .</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3240" w:type="dxa"/>
            <w:vAlign w:val="bottom"/>
          </w:tcPr>
          <w:p>
            <w:pPr>
              <w:spacing w:after="0"/>
              <w:rPr>
                <w:sz w:val="24"/>
                <w:szCs w:val="24"/>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w w:val="95"/>
              </w:rPr>
              <w:t>Interest is payable on the 20</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w w:val="94"/>
              </w:rPr>
              <w:t>notes semi-annually in arrears on</w:t>
            </w:r>
          </w:p>
        </w:tc>
        <w:tc>
          <w:tcPr>
            <w:tcW w:w="820" w:type="dxa"/>
            <w:vAlign w:val="bottom"/>
          </w:tcPr>
          <w:p>
            <w:pPr>
              <w:ind w:left="480"/>
              <w:spacing w:after="0"/>
              <w:rPr>
                <w:sz w:val="20"/>
                <w:szCs w:val="20"/>
                <w:color w:val="auto"/>
              </w:rPr>
            </w:pPr>
            <w:r>
              <w:rPr>
                <w:rFonts w:ascii="Arial" w:cs="Arial" w:eastAsia="Arial" w:hAnsi="Arial"/>
                <w:sz w:val="18"/>
                <w:szCs w:val="18"/>
                <w:color w:val="auto"/>
              </w:rPr>
              <w:t>and</w:t>
            </w:r>
          </w:p>
        </w:tc>
        <w:tc>
          <w:tcPr>
            <w:tcW w:w="3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of</w:t>
            </w:r>
          </w:p>
        </w:tc>
      </w:tr>
      <w:tr>
        <w:trPr>
          <w:trHeight w:val="230"/>
        </w:trPr>
        <w:tc>
          <w:tcPr>
            <w:tcW w:w="3240" w:type="dxa"/>
            <w:vAlign w:val="bottom"/>
          </w:tcPr>
          <w:p>
            <w:pPr>
              <w:spacing w:after="0"/>
              <w:rPr>
                <w:sz w:val="20"/>
                <w:szCs w:val="20"/>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rPr>
              <w:t>each year, beginning on</w:t>
            </w:r>
          </w:p>
        </w:tc>
        <w:tc>
          <w:tcPr>
            <w:tcW w:w="2020" w:type="dxa"/>
            <w:vAlign w:val="bottom"/>
          </w:tcPr>
          <w:p>
            <w:pPr>
              <w:jc w:val="right"/>
              <w:ind w:right="950"/>
              <w:spacing w:after="0"/>
              <w:rPr>
                <w:sz w:val="20"/>
                <w:szCs w:val="20"/>
                <w:color w:val="auto"/>
              </w:rPr>
            </w:pPr>
            <w:r>
              <w:rPr>
                <w:rFonts w:ascii="Arial" w:cs="Arial" w:eastAsia="Arial" w:hAnsi="Arial"/>
                <w:sz w:val="18"/>
                <w:szCs w:val="18"/>
                <w:color w:val="auto"/>
              </w:rPr>
              <w:t>, 20  .</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3240" w:type="dxa"/>
            <w:vAlign w:val="bottom"/>
          </w:tcPr>
          <w:p>
            <w:pPr>
              <w:spacing w:after="0"/>
              <w:rPr>
                <w:sz w:val="24"/>
                <w:szCs w:val="24"/>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w w:val="95"/>
              </w:rPr>
              <w:t>Interest is payable on the 20</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w w:val="92"/>
              </w:rPr>
              <w:t>notes semi-annually in arrears on</w:t>
            </w:r>
          </w:p>
        </w:tc>
        <w:tc>
          <w:tcPr>
            <w:tcW w:w="820" w:type="dxa"/>
            <w:vAlign w:val="bottom"/>
          </w:tcPr>
          <w:p>
            <w:pPr>
              <w:ind w:left="540"/>
              <w:spacing w:after="0"/>
              <w:rPr>
                <w:sz w:val="20"/>
                <w:szCs w:val="20"/>
                <w:color w:val="auto"/>
              </w:rPr>
            </w:pPr>
            <w:r>
              <w:rPr>
                <w:rFonts w:ascii="Arial" w:cs="Arial" w:eastAsia="Arial" w:hAnsi="Arial"/>
                <w:sz w:val="18"/>
                <w:szCs w:val="18"/>
                <w:color w:val="auto"/>
                <w:w w:val="86"/>
              </w:rPr>
              <w:t>and</w:t>
            </w:r>
          </w:p>
        </w:tc>
        <w:tc>
          <w:tcPr>
            <w:tcW w:w="30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of</w:t>
            </w:r>
          </w:p>
        </w:tc>
      </w:tr>
      <w:tr>
        <w:trPr>
          <w:trHeight w:val="230"/>
        </w:trPr>
        <w:tc>
          <w:tcPr>
            <w:tcW w:w="3240" w:type="dxa"/>
            <w:vAlign w:val="bottom"/>
          </w:tcPr>
          <w:p>
            <w:pPr>
              <w:spacing w:after="0"/>
              <w:rPr>
                <w:sz w:val="20"/>
                <w:szCs w:val="20"/>
                <w:color w:val="auto"/>
              </w:rPr>
            </w:pPr>
          </w:p>
        </w:tc>
        <w:tc>
          <w:tcPr>
            <w:tcW w:w="3160" w:type="dxa"/>
            <w:vAlign w:val="bottom"/>
          </w:tcPr>
          <w:p>
            <w:pPr>
              <w:ind w:left="980"/>
              <w:spacing w:after="0"/>
              <w:rPr>
                <w:sz w:val="20"/>
                <w:szCs w:val="20"/>
                <w:color w:val="auto"/>
              </w:rPr>
            </w:pPr>
            <w:r>
              <w:rPr>
                <w:rFonts w:ascii="Arial" w:cs="Arial" w:eastAsia="Arial" w:hAnsi="Arial"/>
                <w:sz w:val="18"/>
                <w:szCs w:val="18"/>
                <w:color w:val="auto"/>
              </w:rPr>
              <w:t>each year, beginning on</w:t>
            </w:r>
          </w:p>
        </w:tc>
        <w:tc>
          <w:tcPr>
            <w:tcW w:w="2020" w:type="dxa"/>
            <w:vAlign w:val="bottom"/>
          </w:tcPr>
          <w:p>
            <w:pPr>
              <w:jc w:val="right"/>
              <w:ind w:right="950"/>
              <w:spacing w:after="0"/>
              <w:rPr>
                <w:sz w:val="20"/>
                <w:szCs w:val="20"/>
                <w:color w:val="auto"/>
              </w:rPr>
            </w:pPr>
            <w:r>
              <w:rPr>
                <w:rFonts w:ascii="Arial" w:cs="Arial" w:eastAsia="Arial" w:hAnsi="Arial"/>
                <w:sz w:val="18"/>
                <w:szCs w:val="18"/>
                <w:color w:val="auto"/>
              </w:rPr>
              <w:t>, 20  .</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Optional Redemption</w:t>
            </w: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8"/>
              </w:rPr>
              <w:t>Prior to the applicable Par Call Date (as defined in “Description of the Notes—Optional</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3"/>
              </w:rPr>
              <w:t>Redemption”), we may redeem the notes of each series at our option, in whole or in part, at</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8"/>
              </w:rPr>
              <w:t>any time and from time to time, at the applicable redemption prices as described under</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6"/>
              </w:rPr>
              <w:t>“Description of the Notes—Optional Redemption” in this prospectus supplement, in each</w:t>
            </w:r>
          </w:p>
        </w:tc>
      </w:tr>
      <w:tr>
        <w:trPr>
          <w:trHeight w:val="230"/>
        </w:trPr>
        <w:tc>
          <w:tcPr>
            <w:tcW w:w="3240" w:type="dxa"/>
            <w:vAlign w:val="bottom"/>
          </w:tcPr>
          <w:p>
            <w:pPr>
              <w:spacing w:after="0"/>
              <w:rPr>
                <w:sz w:val="20"/>
                <w:szCs w:val="20"/>
                <w:color w:val="auto"/>
              </w:rPr>
            </w:pPr>
          </w:p>
        </w:tc>
        <w:tc>
          <w:tcPr>
            <w:tcW w:w="6540" w:type="dxa"/>
            <w:vAlign w:val="bottom"/>
            <w:gridSpan w:val="4"/>
          </w:tcPr>
          <w:p>
            <w:pPr>
              <w:ind w:left="980"/>
              <w:spacing w:after="0"/>
              <w:rPr>
                <w:sz w:val="20"/>
                <w:szCs w:val="20"/>
                <w:color w:val="auto"/>
              </w:rPr>
            </w:pPr>
            <w:r>
              <w:rPr>
                <w:rFonts w:ascii="Arial" w:cs="Arial" w:eastAsia="Arial" w:hAnsi="Arial"/>
                <w:sz w:val="18"/>
                <w:szCs w:val="18"/>
                <w:color w:val="auto"/>
                <w:w w:val="94"/>
              </w:rPr>
              <w:t>case, plus accrued and unpaid interest thereon to the date of redemption.</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3240" w:type="dxa"/>
            <w:vAlign w:val="bottom"/>
          </w:tcPr>
          <w:p>
            <w:pPr>
              <w:spacing w:after="0"/>
              <w:rPr>
                <w:sz w:val="24"/>
                <w:szCs w:val="24"/>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3"/>
              </w:rPr>
              <w:t>On or after the applicable Par Call Date, we may redeem the notes of each series, in whole</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7"/>
              </w:rPr>
              <w:t>or in part, at any time and from time to time, at a redemption price equal to 100% of the</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9"/>
              </w:rPr>
              <w:t>principal amount of the notes being redeemed, in each case, plus accrued and unpaid</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rPr>
              <w:t>interest thereon to the date of redemption. See “Description of the Notes— Optional</w:t>
            </w:r>
          </w:p>
        </w:tc>
      </w:tr>
      <w:tr>
        <w:trPr>
          <w:trHeight w:val="230"/>
        </w:trPr>
        <w:tc>
          <w:tcPr>
            <w:tcW w:w="3240" w:type="dxa"/>
            <w:vAlign w:val="bottom"/>
          </w:tcPr>
          <w:p>
            <w:pPr>
              <w:spacing w:after="0"/>
              <w:rPr>
                <w:sz w:val="20"/>
                <w:szCs w:val="20"/>
                <w:color w:val="auto"/>
              </w:rPr>
            </w:pPr>
          </w:p>
        </w:tc>
        <w:tc>
          <w:tcPr>
            <w:tcW w:w="5180" w:type="dxa"/>
            <w:vAlign w:val="bottom"/>
            <w:gridSpan w:val="2"/>
          </w:tcPr>
          <w:p>
            <w:pPr>
              <w:ind w:left="980"/>
              <w:spacing w:after="0"/>
              <w:rPr>
                <w:sz w:val="20"/>
                <w:szCs w:val="20"/>
                <w:color w:val="auto"/>
              </w:rPr>
            </w:pPr>
            <w:r>
              <w:rPr>
                <w:rFonts w:ascii="Arial" w:cs="Arial" w:eastAsia="Arial" w:hAnsi="Arial"/>
                <w:sz w:val="18"/>
                <w:szCs w:val="18"/>
                <w:color w:val="auto"/>
              </w:rPr>
              <w:t>Redemption” in this prospectus supplement.</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Ranking</w:t>
            </w: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rPr>
              <w:t>The notes will be our general unsecured obligations and will rank equally in right of</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rPr>
              <w:t>payment with our other current and future unsecured and unsubordinated debt, but</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6"/>
              </w:rPr>
              <w:t>effectively will be junior to any current and future secured debt to the extent of the assets</w:t>
            </w:r>
          </w:p>
        </w:tc>
      </w:tr>
      <w:tr>
        <w:trPr>
          <w:trHeight w:val="216"/>
        </w:trPr>
        <w:tc>
          <w:tcPr>
            <w:tcW w:w="3240" w:type="dxa"/>
            <w:vAlign w:val="bottom"/>
          </w:tcPr>
          <w:p>
            <w:pPr>
              <w:spacing w:after="0"/>
              <w:rPr>
                <w:sz w:val="18"/>
                <w:szCs w:val="18"/>
                <w:color w:val="auto"/>
              </w:rPr>
            </w:pPr>
          </w:p>
        </w:tc>
        <w:tc>
          <w:tcPr>
            <w:tcW w:w="7780" w:type="dxa"/>
            <w:vAlign w:val="bottom"/>
            <w:gridSpan w:val="6"/>
          </w:tcPr>
          <w:p>
            <w:pPr>
              <w:ind w:left="980"/>
              <w:spacing w:after="0"/>
              <w:rPr>
                <w:sz w:val="20"/>
                <w:szCs w:val="20"/>
                <w:color w:val="auto"/>
              </w:rPr>
            </w:pPr>
            <w:r>
              <w:rPr>
                <w:rFonts w:ascii="Arial" w:cs="Arial" w:eastAsia="Arial" w:hAnsi="Arial"/>
                <w:sz w:val="18"/>
                <w:szCs w:val="18"/>
                <w:color w:val="auto"/>
                <w:w w:val="95"/>
              </w:rPr>
              <w:t>securing that debt. The notes also effectively will be subordinated to all indebtedness and</w:t>
            </w:r>
          </w:p>
        </w:tc>
      </w:tr>
      <w:tr>
        <w:trPr>
          <w:trHeight w:val="230"/>
        </w:trPr>
        <w:tc>
          <w:tcPr>
            <w:tcW w:w="3240" w:type="dxa"/>
            <w:vAlign w:val="bottom"/>
          </w:tcPr>
          <w:p>
            <w:pPr>
              <w:spacing w:after="0"/>
              <w:rPr>
                <w:sz w:val="20"/>
                <w:szCs w:val="20"/>
                <w:color w:val="auto"/>
              </w:rPr>
            </w:pPr>
          </w:p>
        </w:tc>
        <w:tc>
          <w:tcPr>
            <w:tcW w:w="6540" w:type="dxa"/>
            <w:vAlign w:val="bottom"/>
            <w:gridSpan w:val="4"/>
          </w:tcPr>
          <w:p>
            <w:pPr>
              <w:ind w:left="980"/>
              <w:spacing w:after="0"/>
              <w:rPr>
                <w:sz w:val="20"/>
                <w:szCs w:val="20"/>
                <w:color w:val="auto"/>
              </w:rPr>
            </w:pPr>
            <w:r>
              <w:rPr>
                <w:rFonts w:ascii="Arial" w:cs="Arial" w:eastAsia="Arial" w:hAnsi="Arial"/>
                <w:sz w:val="18"/>
                <w:szCs w:val="18"/>
                <w:color w:val="auto"/>
                <w:w w:val="94"/>
              </w:rPr>
              <w:t>other liabilities of our subsidiaries to the extent of our subsidiaries’ assets.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Authorized Denominations</w:t>
            </w:r>
          </w:p>
        </w:tc>
        <w:tc>
          <w:tcPr>
            <w:tcW w:w="6540" w:type="dxa"/>
            <w:vAlign w:val="bottom"/>
            <w:gridSpan w:val="4"/>
          </w:tcPr>
          <w:p>
            <w:pPr>
              <w:ind w:left="980"/>
              <w:spacing w:after="0"/>
              <w:rPr>
                <w:sz w:val="20"/>
                <w:szCs w:val="20"/>
                <w:color w:val="auto"/>
              </w:rPr>
            </w:pPr>
            <w:r>
              <w:rPr>
                <w:rFonts w:ascii="Arial" w:cs="Arial" w:eastAsia="Arial" w:hAnsi="Arial"/>
                <w:sz w:val="18"/>
                <w:szCs w:val="18"/>
                <w:color w:val="auto"/>
                <w:w w:val="91"/>
              </w:rPr>
              <w:t>Minimum denominations of $2,000 and $1,000 multiples above that amount.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6"/>
        </w:trPr>
        <w:tc>
          <w:tcPr>
            <w:tcW w:w="3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361"/>
        </w:trPr>
        <w:tc>
          <w:tcPr>
            <w:tcW w:w="3240" w:type="dxa"/>
            <w:vAlign w:val="bottom"/>
          </w:tcPr>
          <w:p>
            <w:pPr>
              <w:spacing w:after="0"/>
              <w:rPr>
                <w:sz w:val="24"/>
                <w:szCs w:val="24"/>
                <w:color w:val="auto"/>
              </w:rPr>
            </w:pPr>
          </w:p>
        </w:tc>
        <w:tc>
          <w:tcPr>
            <w:tcW w:w="3160" w:type="dxa"/>
            <w:vAlign w:val="bottom"/>
          </w:tcPr>
          <w:p>
            <w:pPr>
              <w:ind w:left="2140"/>
              <w:spacing w:after="0"/>
              <w:rPr>
                <w:sz w:val="20"/>
                <w:szCs w:val="20"/>
                <w:color w:val="auto"/>
              </w:rPr>
            </w:pPr>
            <w:r>
              <w:rPr>
                <w:rFonts w:ascii="Arial" w:cs="Arial" w:eastAsia="Arial" w:hAnsi="Arial"/>
                <w:sz w:val="18"/>
                <w:szCs w:val="18"/>
                <w:color w:val="auto"/>
              </w:rPr>
              <w:t>S-2</w:t>
            </w: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140"/>
          </w:cols>
          <w:pgMar w:left="320" w:top="67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0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7940" w:type="dxa"/>
            <w:vAlign w:val="bottom"/>
            <w:tcBorders>
              <w:top w:val="single" w:sz="8" w:color="auto"/>
              <w:right w:val="single" w:sz="8" w:color="auto"/>
            </w:tcBorders>
            <w:gridSpan w:val="2"/>
          </w:tcPr>
          <w:p>
            <w:pPr>
              <w:ind w:left="1140"/>
              <w:spacing w:after="0"/>
              <w:rPr>
                <w:sz w:val="20"/>
                <w:szCs w:val="20"/>
                <w:color w:val="auto"/>
              </w:rPr>
            </w:pPr>
            <w:r>
              <w:rPr>
                <w:rFonts w:ascii="Arial" w:cs="Arial" w:eastAsia="Arial" w:hAnsi="Arial"/>
                <w:sz w:val="18"/>
                <w:szCs w:val="18"/>
                <w:color w:val="auto"/>
                <w:w w:val="96"/>
              </w:rPr>
              <w:t>We estimate that the net proceeds from this offering, after deducting estimated fees and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expenses and underwriting discounts and commissions, will be approximately</w:t>
            </w:r>
          </w:p>
        </w:tc>
      </w:tr>
      <w:tr>
        <w:trPr>
          <w:trHeight w:val="216"/>
        </w:trPr>
        <w:tc>
          <w:tcPr>
            <w:tcW w:w="3080" w:type="dxa"/>
            <w:vAlign w:val="bottom"/>
            <w:tcBorders>
              <w:left w:val="single" w:sz="8" w:color="auto"/>
            </w:tcBorders>
          </w:tcPr>
          <w:p>
            <w:pPr>
              <w:spacing w:after="0"/>
              <w:rPr>
                <w:sz w:val="18"/>
                <w:szCs w:val="18"/>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rPr>
              <w:t>$</w:t>
            </w:r>
          </w:p>
        </w:tc>
        <w:tc>
          <w:tcPr>
            <w:tcW w:w="64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million. We intend to use the net proceeds from this offering for general corporate</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purposes. See “Use of Proceeds” in this prospectus supplement.</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4"/>
              </w:rPr>
              <w:t>An investment in the notes involves risks. You should carefully consider the “Risk Factors”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8"/>
              </w:rPr>
              <w:t>on page S-6 of this prospectus supplement, in our Annual Report on Form 10-K for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5"/>
              </w:rPr>
              <w:t>year ended December 31, 2022 and in our subsequent Quarterly Reports on Form 10-Q,</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which are incorporated by reference herein, as may be amended, supplemented or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9"/>
              </w:rPr>
              <w:t>superseded from time to time by other reports that we subsequently file with the SEC,</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before deciding to invest in the notes.</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No Listing of the Notes</w:t>
            </w: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4"/>
              </w:rPr>
              <w:t>We do not intend to apply to list the notes on any securities exchange or to have the notes</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quoted on any automated quotation system.</w:t>
            </w:r>
          </w:p>
        </w:tc>
      </w:tr>
      <w:tr>
        <w:trPr>
          <w:trHeight w:val="459"/>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Governing Law</w:t>
            </w: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Maryland law governs the Indenture (as defined herein) and will govern the notes.</w:t>
            </w:r>
          </w:p>
        </w:tc>
      </w:tr>
      <w:tr>
        <w:trPr>
          <w:trHeight w:val="473"/>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Trustee</w:t>
            </w:r>
          </w:p>
        </w:tc>
        <w:tc>
          <w:tcPr>
            <w:tcW w:w="794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U.S. Bank Trust Company, National Association.</w:t>
            </w:r>
          </w:p>
        </w:tc>
      </w:tr>
      <w:tr>
        <w:trPr>
          <w:trHeight w:val="172"/>
        </w:trPr>
        <w:tc>
          <w:tcPr>
            <w:tcW w:w="3080" w:type="dxa"/>
            <w:vAlign w:val="bottom"/>
            <w:tcBorders>
              <w:left w:val="single" w:sz="8" w:color="auto"/>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420" w:type="dxa"/>
            <w:vAlign w:val="bottom"/>
            <w:tcBorders>
              <w:bottom w:val="single" w:sz="8" w:color="auto"/>
              <w:right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tcPr>
          <w:p>
            <w:pPr>
              <w:ind w:left="7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67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prospectus supplement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 looking statements. These statements are not guarantees of future performance and are subject to risks and uncertainties. Actual results may differ materially due to factors such as:</w:t>
      </w:r>
    </w:p>
    <w:p>
      <w:pPr>
        <w:spacing w:after="0" w:line="93" w:lineRule="exact"/>
        <w:rPr>
          <w:sz w:val="20"/>
          <w:szCs w:val="20"/>
          <w:color w:val="auto"/>
        </w:rPr>
      </w:pPr>
    </w:p>
    <w:p>
      <w:pPr>
        <w:jc w:val="both"/>
        <w:ind w:left="1100" w:right="120" w:hanging="433"/>
        <w:spacing w:after="0" w:line="263"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of a potential failure to raise the U.S. Government debt ceiling in a timely manner and the terms of any debt ceiling compromise, as well as budget uncertainty, the risk of future budget cuts, the impact of continuing resolution funding mechanisms and the potential for government shutdowns and changing funding and acquisition priorities;</w:t>
      </w:r>
    </w:p>
    <w:p>
      <w:pPr>
        <w:spacing w:after="0" w:line="89" w:lineRule="exact"/>
        <w:rPr>
          <w:rFonts w:ascii="Arial" w:cs="Arial" w:eastAsia="Arial" w:hAnsi="Arial"/>
          <w:sz w:val="18"/>
          <w:szCs w:val="18"/>
          <w:color w:val="auto"/>
        </w:rPr>
      </w:pPr>
    </w:p>
    <w:p>
      <w:pPr>
        <w:ind w:left="1100" w:right="7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contracts with the U.S. Government, which are dependent on U.S. Government funding and can be terminated for convenience, and our ability to negotiate favorable contract terms;</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production, sustainment, performance, schedule, cost and requirements of complex and technologically advanced programs, including the F-35 program;</w:t>
      </w:r>
    </w:p>
    <w:p>
      <w:pPr>
        <w:spacing w:after="0" w:line="75" w:lineRule="exact"/>
        <w:rPr>
          <w:rFonts w:ascii="Arial" w:cs="Arial" w:eastAsia="Arial" w:hAnsi="Arial"/>
          <w:sz w:val="18"/>
          <w:szCs w:val="18"/>
          <w:color w:val="auto"/>
        </w:rPr>
      </w:pPr>
    </w:p>
    <w:p>
      <w:pPr>
        <w:ind w:left="1100" w:right="62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planned production rates and orders for significant programs, compliance with stringent performance and reliability standards, and materials availability, including government furnished equipment;</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contract awards or delays in contract definitization as well as the timing and customer acceptance of product deliveries and performance milestones;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costs under U.S. Government contracts and the mix of fixed-price and cost-reimbursable contracts;</w:t>
      </w:r>
    </w:p>
    <w:p>
      <w:pPr>
        <w:spacing w:after="0" w:line="130"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procurement policies that shift risk to contractors, including competitively bid programs with fixed-price development work or follow-on production options or other financial risks; and the impact of investments, cost overruns or other cost pressures and performance issues on fixed price contracts;</w:t>
      </w:r>
    </w:p>
    <w:p>
      <w:pPr>
        <w:spacing w:after="0" w:line="89"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procurement and other regulations and policies affecting our industry, export of our products, cost allowability or recovery, preferred contract type, and performance and progress payments policy;</w:t>
      </w:r>
    </w:p>
    <w:p>
      <w:pPr>
        <w:spacing w:after="0" w:line="75"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and financial viability of key suppliers, teammates, joint ventures (including United Launch Alliance), joint venture partners, subcontractors and customers;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industry, business and political conditions including their effects on governmental policy;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inflation and other cost pressures;</w:t>
      </w:r>
    </w:p>
    <w:p>
      <w:pPr>
        <w:spacing w:after="0" w:line="130" w:lineRule="exact"/>
        <w:rPr>
          <w:rFonts w:ascii="Arial" w:cs="Arial" w:eastAsia="Arial" w:hAnsi="Arial"/>
          <w:sz w:val="18"/>
          <w:szCs w:val="18"/>
          <w:color w:val="auto"/>
        </w:rPr>
      </w:pPr>
    </w:p>
    <w:p>
      <w:pPr>
        <w:ind w:left="1100" w:right="68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COVID-19 or future epidemics on our business and financial results, including supply chain disruptions and delays, employee absences, and program delays;</w:t>
      </w:r>
    </w:p>
    <w:p>
      <w:pPr>
        <w:spacing w:after="0" w:line="75"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actions that disrupt our supply chain or prevent the sale or delivery of our products (such as delays in approvals for exports requiring Congressional notification);</w:t>
      </w:r>
    </w:p>
    <w:p>
      <w:pPr>
        <w:spacing w:after="0" w:line="75" w:lineRule="exact"/>
        <w:rPr>
          <w:rFonts w:ascii="Arial" w:cs="Arial" w:eastAsia="Arial" w:hAnsi="Arial"/>
          <w:sz w:val="18"/>
          <w:szCs w:val="18"/>
          <w:color w:val="auto"/>
        </w:rPr>
      </w:pPr>
    </w:p>
    <w:p>
      <w:pPr>
        <w:ind w:left="1100" w:right="440" w:hanging="433"/>
        <w:spacing w:after="0" w:line="30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trade policies or sanctions (including Chinese sanctions on us or our suppliers, teammates or partners, U.S. Government sanctions on Türkish entities and persons, and potential indirect effects of sanctions on Russia to our supply chain);</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expanding into and doing business in adjacent markets and internationally and the risks posed by international sales;</w:t>
      </w:r>
    </w:p>
    <w:p>
      <w:pPr>
        <w:spacing w:after="0" w:line="142" w:lineRule="exact"/>
        <w:rPr>
          <w:rFonts w:ascii="Arial" w:cs="Arial" w:eastAsia="Arial" w:hAnsi="Arial"/>
          <w:sz w:val="17"/>
          <w:szCs w:val="17"/>
          <w:color w:val="auto"/>
        </w:rPr>
      </w:pPr>
    </w:p>
    <w:p>
      <w:pPr>
        <w:ind w:left="1100" w:right="14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foreign national priorities and foreign government budgets and planned orders, including potential effects from fluctuations in currency exchange rates;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competitive environment for our products and services, including competition from startups and non-traditional defense contractors;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67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58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new technologies and products, including emerging digital and network technologies and capabilities;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benefit fully from or adequately protect our intellectual property rights;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a highly skilled workforce, the impact of work stoppages or other labor disruptions;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 or other security threats or other disruptions faced by us or our suppliers;</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and continue, and the timing and impact of, capitalization changes such as share repurchases, dividend payments and financing transactions;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and projections;</w:t>
      </w:r>
    </w:p>
    <w:p>
      <w:pPr>
        <w:spacing w:after="0" w:line="130" w:lineRule="exact"/>
        <w:rPr>
          <w:rFonts w:ascii="Arial" w:cs="Arial" w:eastAsia="Arial" w:hAnsi="Arial"/>
          <w:sz w:val="18"/>
          <w:szCs w:val="18"/>
          <w:color w:val="auto"/>
        </w:rPr>
      </w:pPr>
    </w:p>
    <w:p>
      <w:pPr>
        <w:jc w:val="both"/>
        <w:ind w:left="1100" w:right="180" w:hanging="433"/>
        <w:spacing w:after="0" w:line="263"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pension risk transfers, including potential noncash settlement charges, timing and estimates regarding pension funding and movements in interest rates and other changes that may affect pension plan assumptions, stockholders’ equity, the level of the FAS/CAS adjustment, and actual returns on pension plan assets;</w:t>
      </w:r>
    </w:p>
    <w:p>
      <w:pPr>
        <w:spacing w:after="0" w:line="89" w:lineRule="exact"/>
        <w:rPr>
          <w:rFonts w:ascii="Arial" w:cs="Arial" w:eastAsia="Arial" w:hAnsi="Arial"/>
          <w:sz w:val="18"/>
          <w:szCs w:val="18"/>
          <w:color w:val="auto"/>
        </w:rPr>
      </w:pPr>
    </w:p>
    <w:p>
      <w:pPr>
        <w:ind w:left="1100" w:right="980" w:hanging="433"/>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realizing the anticipated benefits of acquisitions or divestitures, investments, joint ventures, teaming arrangements or internal reorganizations, and market volatility affecting the fair value of investments that are marked to market;</w:t>
      </w:r>
    </w:p>
    <w:p>
      <w:pPr>
        <w:spacing w:after="0" w:line="51" w:lineRule="exact"/>
        <w:rPr>
          <w:rFonts w:ascii="Arial" w:cs="Arial" w:eastAsia="Arial" w:hAnsi="Arial"/>
          <w:sz w:val="17"/>
          <w:szCs w:val="17"/>
          <w:color w:val="auto"/>
        </w:rPr>
      </w:pPr>
    </w:p>
    <w:p>
      <w:pPr>
        <w:ind w:left="1100" w:right="2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increase the efficiency of our operations and improve the affordability of our products and services, including through digital transformation and cost reduction initiatives;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of an impairment of our assets, including the potential impairment of goodwill recorded at the Sikorsky line of business;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adequacy of our insurance and indemnities;</w:t>
      </w:r>
    </w:p>
    <w:p>
      <w:pPr>
        <w:spacing w:after="0" w:line="130" w:lineRule="exact"/>
        <w:rPr>
          <w:rFonts w:ascii="Arial" w:cs="Arial" w:eastAsia="Arial" w:hAnsi="Arial"/>
          <w:sz w:val="18"/>
          <w:szCs w:val="18"/>
          <w:color w:val="auto"/>
        </w:rPr>
      </w:pPr>
    </w:p>
    <w:p>
      <w:pPr>
        <w:ind w:left="1100" w:right="4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of climate change and compliance with laws, regulations, policies, and customer requirements in response to climate change concerns;</w:t>
      </w:r>
    </w:p>
    <w:p>
      <w:pPr>
        <w:spacing w:after="0" w:line="75" w:lineRule="exact"/>
        <w:rPr>
          <w:rFonts w:ascii="Arial" w:cs="Arial" w:eastAsia="Arial" w:hAnsi="Arial"/>
          <w:sz w:val="18"/>
          <w:szCs w:val="18"/>
          <w:color w:val="auto"/>
        </w:rPr>
      </w:pPr>
    </w:p>
    <w:p>
      <w:pPr>
        <w:ind w:left="1100" w:right="50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U.S. or foreign tax, export or other laws, regulations, and policies and their interpretation or application, and changes in the amount or reevaluation of uncertain tax positions; and</w:t>
      </w:r>
    </w:p>
    <w:p>
      <w:pPr>
        <w:spacing w:after="0" w:line="75" w:lineRule="exact"/>
        <w:rPr>
          <w:rFonts w:ascii="Arial" w:cs="Arial" w:eastAsia="Arial" w:hAnsi="Arial"/>
          <w:sz w:val="18"/>
          <w:szCs w:val="18"/>
          <w:color w:val="auto"/>
        </w:rPr>
      </w:pPr>
    </w:p>
    <w:p>
      <w:pPr>
        <w:ind w:left="1100" w:right="40" w:hanging="433"/>
        <w:spacing w:after="0" w:line="263"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legal proceedings, bid protests, environmental remediation efforts, audits, government investigations or government allegations that we have failed to comply with law, other contingencies and U.S. Government identification of deficiencies in our business systems.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are only some of the factors that may affect the forward-looking statements contained in this prospectus supplement. For a discussion identifying additional important factors that could cause actual results to differ materially from those anticipated in the forward-looking statements, see the “Risk Factors” section below and our filings with the SEC including, but not limited to, “Risk Factors” and “Management’s Discussion and Analysis of Financial Condition and Results of Operations” in our Annual Report on Form 10-K for the year ended December 31, 2022 and our Quarterly Report on Form 10-Q for the quarter ended March 26, 2023.</w:t>
      </w:r>
    </w:p>
    <w:p>
      <w:pPr>
        <w:spacing w:after="0" w:line="188"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prospectus supplement speak only as of the date of this prospectus supplement. Except where required by applicable law, we expressly disclaim a duty to provide updates to forward-looking statements after the date of this prospectus supplement to reflect subsequent events, changed circumstances, changes in expectations or the estimates and assumptions associated with them. The forward-looking statements in this prospectus supplement are intended to be subject to the safe harbor protection provided by the federal securities laws.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675"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An investment in the notes involves risk. You should carefully consider the following risks, together with the information included or incorporated by reference in this prospectus supplement and the accompanying prospectus before deciding whether an investment in the notes is suitable for you. In addition to the risk factors set forth below, we also specifically incorporate by reference into this prospectus supplement the sections captioned “Item 1A. Risk Factors” contained in Part I of our Annual Report on Form 10-K for the year ended December 31, 2022 and other risks described in “Management’s Discussion and Analysis of Financial Condition and Results of Operations” in our Quarterly Report on Form 10-Q for the quarter ended March 26, 2023, as may be amended, supplemented or superseded from time to time by other reports that we subsequently file with the SEC. The outcome of one or more of these risks could have a material adverse effect on our business, results of operations, financial condition or cash flows. In such an event, the trading prices of the notes could decline, and you might lose all or part of your investment.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Negative covenants applicable to the notes will have a limited effect.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notes will be subject to only limited negative covenants that will apply to us and our restricted subsidiaries. These covenants will not limit the amount of indebtedness that we may incur and will not require us to maintain any financial ratios or specific levels of net worth, revenues, income, cash flows or liquidity. See “Description of the Notes—Certain Covenants.” Accordingly, the notes will not afford the holders of the notes protection in the event of a decline in our credit quality resulting from highly leveraged or other transactions involving us.</w:t>
      </w:r>
    </w:p>
    <w:p>
      <w:pPr>
        <w:spacing w:after="0" w:line="27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notes are obligations exclusively of Lockheed Martin Corporation and not of our subsidiaries and payment to holders of the notes will be structurally subordinated to the claims of our subsidiaries’ creditors.</w:t>
      </w:r>
    </w:p>
    <w:p>
      <w:pPr>
        <w:spacing w:after="0" w:line="62"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our other current and future unsecured and unsubordinated debt and senior in right of payment to all of our future subordinated debt. The notes will not be guaranteed by any of our subsidiaries. Although a majority of our business currently is conducted through Lockheed Martin Corporation, to the extent that we conduct operations through subsidiaries, the assets of our subsidiaries would not be available directly for payments on the notes. The notes effectively will be subordinated to all indebtedness and other liabilities of our subsidiaries.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currently no public markets for the notes, which could limit their market price or your ability to sell them.</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notes are new issues of securities for which there currently are no trading markets. As a result, we cannot provide any assurance that markets will develop for the notes or that you will be able to sell your notes. If the notes are traded after their initial issuance, they may trade at a discount from their initial offering price. Future trading prices of the notes will depend on many factors, including prevailing interest rates, the market for similar securities, general economic conditions, and our financial condition, performance and prospects. Accordingly, you may be required to bear the financial risk of an investment in the notes for an indefinite period of time. We do not intend to apply for listing or quotation of the notes on any securities exchange or automated quotation system.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our credit ratings may adversely affect your investment in the notes.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Agency ratings are not a recommendation to buy, sell or hold the notes, and may be revised or withdrawn at any time by the rating agency. Each agency’s rating should be evaluated independently of any other agency’s rating.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675"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net proceeds from this offering, after deducting estimated fees and expenses and underwriting discounts and commissions,</w:t>
      </w:r>
    </w:p>
    <w:p>
      <w:pPr>
        <w:spacing w:after="0" w:line="46" w:lineRule="exact"/>
        <w:rPr>
          <w:sz w:val="20"/>
          <w:szCs w:val="20"/>
          <w:color w:val="auto"/>
        </w:rPr>
      </w:pPr>
    </w:p>
    <w:p>
      <w:pPr>
        <w:ind w:left="120"/>
        <w:spacing w:after="0"/>
        <w:tabs>
          <w:tab w:leader="none" w:pos="240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6"/>
          <w:szCs w:val="16"/>
          <w:color w:val="auto"/>
        </w:rPr>
        <w:t>million. We intend to use the net proceeds from this offering for general corporate purposes.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60"/>
          </w:cols>
          <w:pgMar w:left="320" w:top="675" w:right="7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The following description of the particular terms of the notes supplements the description of the general terms and provisions of debt securities set forth under “Description of Debt Securities” in the accompanying prospectus. We refer you to the accompanying prospectus for that description. If this description differs in any way from the general description of the debt securities in the accompanying prospectus, you should rely on this description. In the description of the notes that follows, “we,” “us,” and “our” refer only to Lockheed Martin Corporation and not any of its subsidiaries.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issue the 20 notes, the 20 notes and the 20 notes as separate series of debt securities under the Indenture, dated as of April 18, 2023 (the “Indenture”), between us and U.S. Bank Trust Company, National Association, as trustee. The summaries of certain provisions of the Indenture and the notes described below are not complete and are qualified in their entirety by reference to all the provisions of the Indenture and the notes. A form of the Indenture has been filed as an exhibit to our registration statement of which the accompanying prospectus is a part.</w:t>
      </w:r>
    </w:p>
    <w:p>
      <w:pPr>
        <w:spacing w:after="0" w:line="17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our other current and future unsecured and unsubordinated debt. The notes will not be guaranteed by any of our subsidiaries. The notes effectively will be subordinated to all of our secured debt (as to the collateral pledged to secure that debt) and to all indebtedness and other liabilities of our subsidiaries to the extent of our subsidiaries’ assets. The covenants applicable to the notes will not afford the holders of the notes protection in the event of a decline in our credit quality resulting from highly leveraged or other transactions involving us.</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may issue separate series of debt securities under the Indenture from time to time without limitation on the aggregate principal amount. We may specify a maximum aggregate principal amount for the debt securities of any series.</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20 notes initially will be limited to $ in aggregate principal amount, the 20 notes initially will be limited to $ in aggregate principal amount and the 20 notes initially will be limited to $ in aggregate principal amount. The notes will be issued in fully registered form only, in minimum denominations of $2,000 and $1,000 multiples above that amount.</w:t>
      </w:r>
    </w:p>
    <w:p>
      <w:pPr>
        <w:sectPr>
          <w:pgSz w:w="11900" w:h="16838" w:orient="portrait"/>
          <w:cols w:equalWidth="0" w:num="1">
            <w:col w:w="11120"/>
          </w:cols>
          <w:pgMar w:left="320" w:top="675" w:right="459" w:bottom="1440" w:gutter="0" w:footer="0" w:header="0"/>
        </w:sectPr>
      </w:pP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notes will mature 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the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notes will mature 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and the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notes will mature 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10">
            <w:col w:w="1060" w:space="180"/>
            <w:col w:w="1560" w:space="720"/>
            <w:col w:w="280" w:space="180"/>
            <w:col w:w="520" w:space="240"/>
            <w:col w:w="1460" w:space="600"/>
            <w:col w:w="260" w:space="180"/>
            <w:col w:w="840" w:space="180"/>
            <w:col w:w="1480" w:space="580"/>
            <w:col w:w="280" w:space="180"/>
            <w:col w:w="340"/>
          </w:cols>
          <w:pgMar w:left="320" w:top="675" w:right="459" w:bottom="1440" w:gutter="0" w:footer="0" w:header="0"/>
          <w:type w:val="continuous"/>
        </w:sectPr>
      </w:pPr>
    </w:p>
    <w:p>
      <w:pPr>
        <w:spacing w:after="0" w:line="48" w:lineRule="exact"/>
        <w:rPr>
          <w:sz w:val="20"/>
          <w:szCs w:val="20"/>
          <w:color w:val="auto"/>
        </w:rPr>
      </w:pPr>
    </w:p>
    <w:p>
      <w:pPr>
        <w:ind w:left="560"/>
        <w:spacing w:after="0"/>
        <w:tabs>
          <w:tab w:leader="none" w:pos="3440" w:val="left"/>
        </w:tabs>
        <w:rPr>
          <w:sz w:val="20"/>
          <w:szCs w:val="20"/>
          <w:color w:val="auto"/>
        </w:rPr>
      </w:pPr>
      <w:r>
        <w:rPr>
          <w:rFonts w:ascii="Arial" w:cs="Arial" w:eastAsia="Arial" w:hAnsi="Arial"/>
          <w:sz w:val="18"/>
          <w:szCs w:val="18"/>
          <w:color w:val="auto"/>
        </w:rPr>
        <w:t>The notes will bear interest from May</w:t>
      </w:r>
      <w:r>
        <w:rPr>
          <w:sz w:val="20"/>
          <w:szCs w:val="20"/>
          <w:color w:val="auto"/>
        </w:rPr>
        <w:tab/>
      </w:r>
      <w:r>
        <w:rPr>
          <w:rFonts w:ascii="Arial" w:cs="Arial" w:eastAsia="Arial" w:hAnsi="Arial"/>
          <w:sz w:val="16"/>
          <w:szCs w:val="16"/>
          <w:color w:val="auto"/>
        </w:rPr>
        <w:t>, 2023, or from the most recent interest payment date to which interest has been paid or provided for. We</w:t>
      </w:r>
    </w:p>
    <w:p>
      <w:pPr>
        <w:spacing w:after="0" w:line="23" w:lineRule="exact"/>
        <w:rPr>
          <w:sz w:val="20"/>
          <w:szCs w:val="20"/>
          <w:color w:val="auto"/>
        </w:rPr>
      </w:pPr>
    </w:p>
    <w:p>
      <w:pPr>
        <w:ind w:left="120"/>
        <w:spacing w:after="0"/>
        <w:tabs>
          <w:tab w:leader="none" w:pos="2140" w:val="left"/>
          <w:tab w:leader="none" w:pos="5120" w:val="left"/>
          <w:tab w:leader="none" w:pos="5960" w:val="left"/>
          <w:tab w:leader="none" w:pos="9480" w:val="left"/>
        </w:tabs>
        <w:rPr>
          <w:sz w:val="20"/>
          <w:szCs w:val="20"/>
          <w:color w:val="auto"/>
        </w:rPr>
      </w:pPr>
      <w:r>
        <w:rPr>
          <w:rFonts w:ascii="Arial" w:cs="Arial" w:eastAsia="Arial" w:hAnsi="Arial"/>
          <w:sz w:val="18"/>
          <w:szCs w:val="18"/>
          <w:color w:val="auto"/>
        </w:rPr>
        <w:t>will pay interest on the 20</w:t>
        <w:tab/>
        <w:t>notes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to the registered holders of the 20</w:t>
      </w:r>
      <w:r>
        <w:rPr>
          <w:sz w:val="20"/>
          <w:szCs w:val="20"/>
          <w:color w:val="auto"/>
        </w:rPr>
        <w:tab/>
      </w:r>
      <w:r>
        <w:rPr>
          <w:rFonts w:ascii="Arial" w:cs="Arial" w:eastAsia="Arial" w:hAnsi="Arial"/>
          <w:sz w:val="15"/>
          <w:szCs w:val="15"/>
          <w:color w:val="auto"/>
        </w:rPr>
        <w:t>notes as of the close</w:t>
      </w:r>
    </w:p>
    <w:p>
      <w:pPr>
        <w:spacing w:after="0" w:line="9" w:lineRule="exact"/>
        <w:rPr>
          <w:sz w:val="20"/>
          <w:szCs w:val="20"/>
          <w:color w:val="auto"/>
        </w:rPr>
      </w:pPr>
    </w:p>
    <w:p>
      <w:pPr>
        <w:ind w:left="120"/>
        <w:spacing w:after="0"/>
        <w:tabs>
          <w:tab w:leader="none" w:pos="3720" w:val="left"/>
          <w:tab w:leader="none" w:pos="4560" w:val="left"/>
          <w:tab w:leader="none" w:pos="6180" w:val="left"/>
          <w:tab w:leader="none" w:pos="6640" w:val="left"/>
          <w:tab w:leader="none" w:pos="9060" w:val="left"/>
        </w:tabs>
        <w:rPr>
          <w:sz w:val="20"/>
          <w:szCs w:val="20"/>
          <w:color w:val="auto"/>
        </w:rPr>
      </w:pPr>
      <w:r>
        <w:rPr>
          <w:rFonts w:ascii="Arial" w:cs="Arial" w:eastAsia="Arial" w:hAnsi="Arial"/>
          <w:sz w:val="18"/>
          <w:szCs w:val="18"/>
          <w:color w:val="auto"/>
        </w:rPr>
        <w:t>of business on the immediately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beginning on</w:t>
      </w:r>
      <w:r>
        <w:rPr>
          <w:sz w:val="20"/>
          <w:szCs w:val="20"/>
          <w:color w:val="auto"/>
        </w:rPr>
        <w:tab/>
      </w:r>
      <w:r>
        <w:rPr>
          <w:rFonts w:ascii="Arial" w:cs="Arial" w:eastAsia="Arial" w:hAnsi="Arial"/>
          <w:sz w:val="18"/>
          <w:szCs w:val="18"/>
          <w:color w:val="auto"/>
        </w:rPr>
        <w:t>, 20</w:t>
        <w:tab/>
        <w:t>. We will pay interest on the 20</w:t>
      </w:r>
      <w:r>
        <w:rPr>
          <w:sz w:val="20"/>
          <w:szCs w:val="20"/>
          <w:color w:val="auto"/>
        </w:rPr>
        <w:tab/>
      </w:r>
      <w:r>
        <w:rPr>
          <w:rFonts w:ascii="Arial" w:cs="Arial" w:eastAsia="Arial" w:hAnsi="Arial"/>
          <w:sz w:val="16"/>
          <w:szCs w:val="16"/>
          <w:color w:val="auto"/>
        </w:rPr>
        <w:t>notes semi- annually in</w:t>
      </w:r>
    </w:p>
    <w:p>
      <w:pPr>
        <w:spacing w:after="0" w:line="9" w:lineRule="exact"/>
        <w:rPr>
          <w:sz w:val="20"/>
          <w:szCs w:val="20"/>
          <w:color w:val="auto"/>
        </w:rPr>
      </w:pPr>
    </w:p>
    <w:p>
      <w:pPr>
        <w:ind w:left="120"/>
        <w:spacing w:after="0"/>
        <w:tabs>
          <w:tab w:leader="none" w:pos="1400" w:val="left"/>
          <w:tab w:leader="none" w:pos="2240" w:val="left"/>
          <w:tab w:leader="none" w:pos="5760" w:val="left"/>
          <w:tab w:leader="none" w:pos="10840" w:val="left"/>
        </w:tabs>
        <w:rPr>
          <w:sz w:val="20"/>
          <w:szCs w:val="20"/>
          <w:color w:val="auto"/>
        </w:rPr>
      </w:pPr>
      <w:r>
        <w:rPr>
          <w:rFonts w:ascii="Arial" w:cs="Arial" w:eastAsia="Arial" w:hAnsi="Arial"/>
          <w:sz w:val="18"/>
          <w:szCs w:val="18"/>
          <w:color w:val="auto"/>
        </w:rPr>
        <w:t>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to the registered holders of the 20</w:t>
        <w:tab/>
        <w:t>notes as of the close of business on the immediately preceding</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660"/>
        <w:spacing w:after="0"/>
        <w:tabs>
          <w:tab w:leader="none" w:pos="2220" w:val="left"/>
          <w:tab w:leader="none" w:pos="2660" w:val="left"/>
          <w:tab w:leader="none" w:pos="5120" w:val="left"/>
          <w:tab w:leader="none" w:pos="8360" w:val="left"/>
          <w:tab w:leader="none" w:pos="9440" w:val="left"/>
        </w:tabs>
        <w:rPr>
          <w:sz w:val="20"/>
          <w:szCs w:val="20"/>
          <w:color w:val="auto"/>
        </w:rPr>
      </w:pPr>
      <w:r>
        <w:rPr>
          <w:rFonts w:ascii="Arial" w:cs="Arial" w:eastAsia="Arial" w:hAnsi="Arial"/>
          <w:sz w:val="18"/>
          <w:szCs w:val="18"/>
          <w:color w:val="auto"/>
        </w:rPr>
        <w:t>, beginning on</w:t>
      </w:r>
      <w:r>
        <w:rPr>
          <w:sz w:val="20"/>
          <w:szCs w:val="20"/>
          <w:color w:val="auto"/>
        </w:rPr>
        <w:tab/>
      </w:r>
      <w:r>
        <w:rPr>
          <w:rFonts w:ascii="Arial" w:cs="Arial" w:eastAsia="Arial" w:hAnsi="Arial"/>
          <w:sz w:val="18"/>
          <w:szCs w:val="18"/>
          <w:color w:val="auto"/>
        </w:rPr>
        <w:t>, 20</w:t>
        <w:tab/>
        <w:t>. We will pay interest on the 20</w:t>
        <w:tab/>
        <w:t>notes semi- 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 year to the</w:t>
      </w:r>
    </w:p>
    <w:p>
      <w:pPr>
        <w:spacing w:after="0" w:line="9" w:lineRule="exact"/>
        <w:rPr>
          <w:sz w:val="20"/>
          <w:szCs w:val="20"/>
          <w:color w:val="auto"/>
        </w:rPr>
      </w:pPr>
    </w:p>
    <w:p>
      <w:pPr>
        <w:ind w:left="120"/>
        <w:spacing w:after="0"/>
        <w:tabs>
          <w:tab w:leader="none" w:pos="2280" w:val="left"/>
          <w:tab w:leader="none" w:pos="7580" w:val="left"/>
          <w:tab w:leader="none" w:pos="8620" w:val="left"/>
          <w:tab w:leader="none" w:pos="10420" w:val="left"/>
          <w:tab w:leader="none" w:pos="10860" w:val="left"/>
        </w:tabs>
        <w:rPr>
          <w:sz w:val="20"/>
          <w:szCs w:val="20"/>
          <w:color w:val="auto"/>
        </w:rPr>
      </w:pPr>
      <w:r>
        <w:rPr>
          <w:rFonts w:ascii="Arial" w:cs="Arial" w:eastAsia="Arial" w:hAnsi="Arial"/>
          <w:sz w:val="18"/>
          <w:szCs w:val="18"/>
          <w:color w:val="auto"/>
        </w:rPr>
        <w:t>registered holders of the 20</w:t>
        <w:tab/>
        <w:t>notes as of the close of business on the immediately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beginning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3"/>
          <w:szCs w:val="13"/>
          <w:color w:val="auto"/>
        </w:rPr>
        <w:t>.</w:t>
      </w:r>
    </w:p>
    <w:p>
      <w:pPr>
        <w:sectPr>
          <w:pgSz w:w="11900" w:h="16838" w:orient="portrait"/>
          <w:cols w:equalWidth="0" w:num="1">
            <w:col w:w="11120"/>
          </w:cols>
          <w:pgMar w:left="320" w:top="675" w:right="459" w:bottom="1440" w:gutter="0" w:footer="0" w:header="0"/>
          <w:type w:val="continuous"/>
        </w:sectPr>
      </w:pPr>
    </w:p>
    <w:p>
      <w:pPr>
        <w:spacing w:after="0" w:line="21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Interest on the notes will be computed on the basis of a 360-day year of twelve 30-day months. If any interest payment date, maturity date or redemption date is a “legal holiday” (defined in the Indenture as a Saturday, Sunday, legal holiday or day on which banking institutions are not required to be open) at a place where principal and any interest on the notes are payable, the payment otherwise required to be made on such date will be made on the next succeeding day that is not a legal holiday, and no interest shall accrue for the intervening period. If a record date is a legal holiday in the state in which the trustee maintains its principal place of business, then the record date will be the next succeeding day that is not a legal holiday in such state.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675" w:right="4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may, without the consent of the holders of a series of notes, issue additional notes of that series and thereby increase the principal amount of the notes of that series in the future, on the same terms and conditions (except for the issue date, initial public offering price and, if applicable, the initial interest payment date) and with the same CUSIP number as the notes of that series offered in this prospectus supplement; provided that additional notes with the same CUSIP number as the notes of a series offered in this prospectus supplement will not be issued unless we believe the additional notes are fungible for U.S. federal income tax purposes with the corresponding series of notes offered in this prospectus supplement.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intend to apply to list the notes on any securities exchange or to have the notes quoted on any automated quotation system.</w:t>
      </w:r>
    </w:p>
    <w:p>
      <w:pPr>
        <w:spacing w:after="0" w:line="23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From time to time, in our sole discretion, depending upon market, pricing and other conditions, as well as our cash balances and liquidity, we or our affiliates may seek to repurchase all or a portion of a series of notes. Any such future purchases may be made in the open market, in privately-negotiated transactions, through tender offers or otherwise, in each case in our sole discretion.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the benefit of a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Prior to the applicable Par Call Date (as defined below), we may redeem the notes of each series at our option, in whole or in part, at any time and from time to time, at a redemption price (expressed as a percentage of principal amount and rounded to three decimal places) equal to the greater of:</w:t>
      </w:r>
    </w:p>
    <w:p>
      <w:pPr>
        <w:spacing w:after="0" w:line="29" w:lineRule="exact"/>
        <w:rPr>
          <w:sz w:val="20"/>
          <w:szCs w:val="20"/>
          <w:color w:val="auto"/>
        </w:rPr>
      </w:pPr>
    </w:p>
    <w:p>
      <w:pPr>
        <w:ind w:left="1100" w:hanging="544"/>
        <w:spacing w:after="0"/>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discounted to the redemption date</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7"/>
          <w:szCs w:val="17"/>
          <w:color w:val="auto"/>
        </w:rPr>
        <w:t>(assuming the notes matured on the applicable Par Call Date) on a semi-annual basis (assuming a 360-day year consisting of twelve</w:t>
      </w:r>
    </w:p>
    <w:p>
      <w:pPr>
        <w:spacing w:after="0" w:line="248" w:lineRule="exact"/>
        <w:rPr>
          <w:sz w:val="20"/>
          <w:szCs w:val="20"/>
          <w:color w:val="auto"/>
        </w:rPr>
      </w:pPr>
    </w:p>
    <w:p>
      <w:pPr>
        <w:ind w:left="1100" w:right="340"/>
        <w:spacing w:after="0" w:line="277" w:lineRule="auto"/>
        <w:rPr>
          <w:sz w:val="20"/>
          <w:szCs w:val="20"/>
          <w:color w:val="auto"/>
        </w:rPr>
      </w:pPr>
      <w:r>
        <w:rPr>
          <w:rFonts w:ascii="Arial" w:cs="Arial" w:eastAsia="Arial" w:hAnsi="Arial"/>
          <w:sz w:val="18"/>
          <w:szCs w:val="18"/>
          <w:color w:val="auto"/>
        </w:rPr>
        <w:t>30-day months) at the Treasury Rate plus basis points in the case of the 20 notes, basis points in the case of the 20 notes, and basis points in the case of the 20 notes, less (b) interest accrued to the date of redemption; and</w:t>
      </w:r>
    </w:p>
    <w:p>
      <w:pPr>
        <w:spacing w:after="0" w:line="76" w:lineRule="exact"/>
        <w:rPr>
          <w:sz w:val="20"/>
          <w:szCs w:val="20"/>
          <w:color w:val="auto"/>
        </w:rPr>
      </w:pPr>
    </w:p>
    <w:p>
      <w:pPr>
        <w:ind w:left="1100" w:hanging="544"/>
        <w:spacing w:after="0"/>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 of the principal amount of the notes to be redeemed; plus, in either case, accrued and unpaid interest thereon to the redemption date.</w:t>
      </w:r>
    </w:p>
    <w:p>
      <w:pPr>
        <w:spacing w:after="0" w:line="248"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On or after the applicable Par Call Date, we may redeem the notes of each series, in whole or in part, at any time and from time to time, at a redemption price equal to 100% of the principal amount of the notes being redeemed, plus accrued and unpaid interest thereon to the redemption date.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herein:</w:t>
      </w:r>
    </w:p>
    <w:p>
      <w:pPr>
        <w:sectPr>
          <w:pgSz w:w="11900" w:h="16838" w:orient="portrait"/>
          <w:cols w:equalWidth="0" w:num="1">
            <w:col w:w="11100"/>
          </w:cols>
          <w:pgMar w:left="320" w:top="675" w:right="479" w:bottom="1440" w:gutter="0" w:footer="0" w:header="0"/>
        </w:sectPr>
      </w:pP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“Par Call Date” means, in the case of the 20 notes, , 20 (the date that is month prior to the maturity date of the 20 case of the 20 notes, , 20 (the date that is months prior to the maturity date of the 20 notes), and in the case of the 20 , 20 (the date that is months prior to the maturity date of the 20 notes).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notes), in the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notes,</w:t>
      </w:r>
    </w:p>
    <w:p>
      <w:pPr>
        <w:spacing w:after="0" w:line="427" w:lineRule="exact"/>
        <w:rPr>
          <w:sz w:val="20"/>
          <w:szCs w:val="20"/>
          <w:color w:val="auto"/>
        </w:rPr>
      </w:pPr>
    </w:p>
    <w:p>
      <w:pPr>
        <w:sectPr>
          <w:pgSz w:w="11900" w:h="16838" w:orient="portrait"/>
          <w:cols w:equalWidth="0" w:num="2">
            <w:col w:w="9960" w:space="40"/>
            <w:col w:w="1100"/>
          </w:cols>
          <w:pgMar w:left="320" w:top="675" w:right="47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“Treasury Rate” means, with respect to any redemption date, the yield determined by us in accordance with the following two paragraphs.</w:t>
      </w:r>
    </w:p>
    <w:p>
      <w:pPr>
        <w:spacing w:after="0" w:line="23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675" w:right="4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actions and determinations in determining the redemption price shall be conclusive and binding for all purposes, absent manifest error.</w:t>
      </w:r>
    </w:p>
    <w:p>
      <w:pPr>
        <w:spacing w:after="0" w:line="23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Notice of any redemption will be mailed or electronically delivered (or otherwise transmitted in accordance with the depositary’s procedures) at least 10 days but not more than 60 days before the redemption date to each holder of notes to be redeemed. Any redemption or notice may, at our discretion, be subject to one or more conditions precedent and, at our discretion, the redemption date may be delayed until such time as any or all such conditions precedent included at our discretion shall be satisfied (or waived by us) or the redemption date may not occur and such notice may be rescinded if all such conditions precedent included at our discretion shall not have been satisfied (or waived by us).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675"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 subject to the following restrictive covenants: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 Reports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shall deliver to the trustee, within 15 days after we file them with the SEC, copies of the annual reports and of the information, documents and other reports (or copies of such portions of any of the foregoing as the SEC may by rules and regulations prescribe) which we are required to file with the SEC pursuant to Section 13 or Section 15(d) of the Securities Exchange Act of 1934, as amended (the “Exchange Act”). We also shall comply with the other provisions of Section 314(a) of the Trust Indenture Act of 1939, as amended. All required information, documents and other reports will be deemed filed with the trustee at the time such information, documents and other reports are publicly filed with the SEC.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shall not, and shall not permit any Restricted Subsidiary to, incur a Lien on Restricted Property to secure a Debt unless:</w:t>
      </w:r>
    </w:p>
    <w:p>
      <w:pPr>
        <w:spacing w:after="0" w:line="131" w:lineRule="exact"/>
        <w:rPr>
          <w:sz w:val="20"/>
          <w:szCs w:val="20"/>
          <w:color w:val="auto"/>
        </w:rPr>
      </w:pPr>
    </w:p>
    <w:p>
      <w:pPr>
        <w:ind w:left="1100" w:right="40" w:hanging="5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equally and ratably secures the notes and the Debt. The Lien may equally and ratably secure the notes and any other obligation of ours or a subsidiary. The Lien may not secure an obligation of ours that is subordinated to the notes;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Lien is on property, Debt or shares of stock of a corporation at the time such corporation becomes a Restricted Subsidiary; or</w:t>
      </w:r>
    </w:p>
    <w:p>
      <w:pPr>
        <w:spacing w:after="0" w:line="142" w:lineRule="exact"/>
        <w:rPr>
          <w:rFonts w:ascii="Arial" w:cs="Arial" w:eastAsia="Arial" w:hAnsi="Arial"/>
          <w:sz w:val="17"/>
          <w:szCs w:val="17"/>
          <w:color w:val="auto"/>
        </w:rPr>
      </w:pPr>
    </w:p>
    <w:p>
      <w:pPr>
        <w:ind w:left="1100" w:right="340" w:hanging="5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is on property at the time we or a Restricted Subsidiary acquires the property. However, the Lien may not extend to any other Restricted Property owned by us or a Restricted Subsidiary at the time the property is acquired; or</w:t>
      </w:r>
    </w:p>
    <w:p>
      <w:pPr>
        <w:spacing w:after="0" w:line="75" w:lineRule="exact"/>
        <w:rPr>
          <w:rFonts w:ascii="Arial" w:cs="Arial" w:eastAsia="Arial" w:hAnsi="Arial"/>
          <w:sz w:val="18"/>
          <w:szCs w:val="18"/>
          <w:color w:val="auto"/>
        </w:rPr>
      </w:pPr>
    </w:p>
    <w:p>
      <w:pPr>
        <w:ind w:left="1100" w:hanging="544"/>
        <w:spacing w:after="0" w:line="270"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Lien secures the payment of all or any part of the purchase price of property upon the acquisition of such property by us or a Restricted Subsidiary or secures any Debt incurred or guaranteed by us or a Restricted Subsidiary prior to, at the time of, or within one year after the later of the acquisition, completion of construction (including any improvements on an existing property) or commencement of full operation of such property, which Debt is incurred or guaranteed for the purpose of financing all or any part of the purchase price thereof or construction or improvements thereon, and which Debt may be in the form of obligations incurred in connection with industrial revenue bonds or similar financings and letters of credit issued in connection therewith; provided, however, that in the case of any such acquisition, construction or improvement the Lien shall not apply to any property theretofore owned by us or a Restricted Subsidiary, other than, in the case of any such construction or improvement, any theretofore unimproved real property on which the property so constructed or the improvement made is located; or</w:t>
      </w:r>
    </w:p>
    <w:p>
      <w:pPr>
        <w:spacing w:after="0" w:line="86" w:lineRule="exact"/>
        <w:rPr>
          <w:rFonts w:ascii="Arial" w:cs="Arial" w:eastAsia="Arial" w:hAnsi="Arial"/>
          <w:sz w:val="17"/>
          <w:szCs w:val="17"/>
          <w:color w:val="auto"/>
        </w:rPr>
      </w:pPr>
    </w:p>
    <w:p>
      <w:pPr>
        <w:ind w:left="1100" w:hanging="5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secures Debt of a Restricted Subsidiary owed to us or another Restricted Subsidiary; or</w:t>
      </w:r>
    </w:p>
    <w:p>
      <w:pPr>
        <w:spacing w:after="0" w:line="130" w:lineRule="exact"/>
        <w:rPr>
          <w:rFonts w:ascii="Arial" w:cs="Arial" w:eastAsia="Arial" w:hAnsi="Arial"/>
          <w:sz w:val="18"/>
          <w:szCs w:val="18"/>
          <w:color w:val="auto"/>
        </w:rPr>
      </w:pPr>
    </w:p>
    <w:p>
      <w:pPr>
        <w:ind w:left="1100" w:right="240" w:hanging="5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is on property of a corporation or other entity at the time such corporation or other entity merges into, or consolidates or enters into a share exchange with, us or a Restricted Subsidiary; or</w:t>
      </w:r>
    </w:p>
    <w:p>
      <w:pPr>
        <w:spacing w:after="0" w:line="75" w:lineRule="exact"/>
        <w:rPr>
          <w:rFonts w:ascii="Arial" w:cs="Arial" w:eastAsia="Arial" w:hAnsi="Arial"/>
          <w:sz w:val="18"/>
          <w:szCs w:val="18"/>
          <w:color w:val="auto"/>
        </w:rPr>
      </w:pPr>
    </w:p>
    <w:p>
      <w:pPr>
        <w:ind w:left="1100" w:right="820" w:hanging="5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is on property of a person at the time the person transfers or leases all or substantially all its assets to us or a Restricted Subsidiary; or</w:t>
      </w:r>
    </w:p>
    <w:p>
      <w:pPr>
        <w:spacing w:after="0" w:line="75" w:lineRule="exact"/>
        <w:rPr>
          <w:rFonts w:ascii="Arial" w:cs="Arial" w:eastAsia="Arial" w:hAnsi="Arial"/>
          <w:sz w:val="18"/>
          <w:szCs w:val="18"/>
          <w:color w:val="auto"/>
        </w:rPr>
      </w:pPr>
    </w:p>
    <w:p>
      <w:pPr>
        <w:ind w:left="1100" w:right="260" w:hanging="544"/>
        <w:spacing w:after="0" w:line="263"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is in favor of any customer (including any government or governmental authority) to secure partial, progress, advance or other payments or performance pursuant to any contract or statute or to secure any related indebtedness or to secure Debt guaranteed by a government or governmental authority; or</w:t>
      </w:r>
    </w:p>
    <w:p>
      <w:pPr>
        <w:spacing w:after="0" w:line="89" w:lineRule="exact"/>
        <w:rPr>
          <w:rFonts w:ascii="Arial" w:cs="Arial" w:eastAsia="Arial" w:hAnsi="Arial"/>
          <w:sz w:val="18"/>
          <w:szCs w:val="18"/>
          <w:color w:val="auto"/>
        </w:rPr>
      </w:pPr>
    </w:p>
    <w:p>
      <w:pPr>
        <w:ind w:left="1100" w:right="120" w:hanging="5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Lien arises pursuant to any order of attachment, distraint or similar legal process arising in connection with court proceedings so long as the execution or other enforcement thereof is effectively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675"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63" w:lineRule="auto"/>
        <w:rPr>
          <w:sz w:val="20"/>
          <w:szCs w:val="20"/>
          <w:color w:val="auto"/>
        </w:rPr>
      </w:pPr>
      <w:r>
        <w:rPr>
          <w:rFonts w:ascii="Arial" w:cs="Arial" w:eastAsia="Arial" w:hAnsi="Arial"/>
          <w:sz w:val="18"/>
          <w:szCs w:val="18"/>
          <w:color w:val="auto"/>
        </w:rPr>
        <w:t>stayed and the claims secured thereby are being contested in good faith by appropriate proceedings or the Lien is a materialmen’s, suppliers’, tax or other similar Lien arising in the ordinary course of business securing obligations which are not overdue or are being contested in good faith by appropriate proceedings; or</w:t>
      </w:r>
    </w:p>
    <w:p>
      <w:pPr>
        <w:spacing w:after="0" w:line="89" w:lineRule="exact"/>
        <w:rPr>
          <w:sz w:val="20"/>
          <w:szCs w:val="20"/>
          <w:color w:val="auto"/>
        </w:rPr>
      </w:pPr>
    </w:p>
    <w:p>
      <w:pPr>
        <w:ind w:left="1100" w:right="220" w:hanging="544"/>
        <w:spacing w:after="0" w:line="25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 extends, renews or replaces in whole or in part a Lien (“existing Lien”) permitted by any of clauses (a) through (i) or a Lien existing on the date that the notes are first issued. The Lien may not extend beyond the property subject to the existing Lien. The Debt secured by the Lien may not exceed the Debt secured at the time by the existing Lien unless the existing Lien or a predecessor Lien was incurred under clause (a) or (e); or</w:t>
      </w:r>
    </w:p>
    <w:p>
      <w:pPr>
        <w:spacing w:after="0" w:line="92" w:lineRule="exact"/>
        <w:rPr>
          <w:rFonts w:ascii="Arial" w:cs="Arial" w:eastAsia="Arial" w:hAnsi="Arial"/>
          <w:sz w:val="18"/>
          <w:szCs w:val="18"/>
          <w:color w:val="auto"/>
        </w:rPr>
      </w:pPr>
    </w:p>
    <w:p>
      <w:pPr>
        <w:ind w:left="1100" w:right="20" w:hanging="544"/>
        <w:spacing w:after="0" w:line="25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Debt secured by the Lien plus all other Debt secured by Liens on Restricted Property, excluding Debt secured by a Lien permitted by any of clauses (a) through (j) and any Debt secured by a Lien existing on the date that the notes are first issued, at the time does not exceed the greater of $4 billion and 15% of Consolidated Net Tangible Assets. Attributable Debt for any lease entered into under clause (d) of “— Limitation on Sale-Leaseback Transactions” shall be included in the determination and treated as Debt secured by a Lien on Restricted Property not otherwise permitted by any of clauses (a) through (j).</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shall not, and shall not permit any Restricted Subsidiary to, enter into a Sale-Leaseback Transaction unless:</w:t>
      </w:r>
    </w:p>
    <w:p>
      <w:pPr>
        <w:spacing w:after="0" w:line="131" w:lineRule="exact"/>
        <w:rPr>
          <w:sz w:val="20"/>
          <w:szCs w:val="20"/>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has a term of three years or less; or</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is between us and a Restricted Subsidiary or between Restricted Subsidiaries; or</w:t>
      </w:r>
    </w:p>
    <w:p>
      <w:pPr>
        <w:spacing w:after="0" w:line="130" w:lineRule="exact"/>
        <w:rPr>
          <w:rFonts w:ascii="Arial" w:cs="Arial" w:eastAsia="Arial" w:hAnsi="Arial"/>
          <w:sz w:val="18"/>
          <w:szCs w:val="18"/>
          <w:color w:val="auto"/>
        </w:rPr>
      </w:pPr>
    </w:p>
    <w:p>
      <w:pPr>
        <w:ind w:left="1100" w:right="140" w:hanging="544"/>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 Restricted Subsidiary under clauses (b) through (j) of “—Limitation on Liens” could create a Lien on the property to secure Debt at least equal in amount to the Attributable Debt for the lease; or</w:t>
      </w:r>
    </w:p>
    <w:p>
      <w:pPr>
        <w:spacing w:after="0" w:line="75" w:lineRule="exact"/>
        <w:rPr>
          <w:rFonts w:ascii="Arial" w:cs="Arial" w:eastAsia="Arial" w:hAnsi="Arial"/>
          <w:sz w:val="18"/>
          <w:szCs w:val="18"/>
          <w:color w:val="auto"/>
        </w:rPr>
      </w:pPr>
    </w:p>
    <w:p>
      <w:pPr>
        <w:ind w:left="1100" w:right="60" w:hanging="544"/>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 Restricted Subsidiary under clause (k) of “—Limitation on Liens” could create a Lien on the property to secure Debt at least equal in amount to the Attributable Debt for the lease; or</w:t>
      </w:r>
    </w:p>
    <w:p>
      <w:pPr>
        <w:spacing w:after="0" w:line="75" w:lineRule="exact"/>
        <w:rPr>
          <w:rFonts w:ascii="Arial" w:cs="Arial" w:eastAsia="Arial" w:hAnsi="Arial"/>
          <w:sz w:val="18"/>
          <w:szCs w:val="18"/>
          <w:color w:val="auto"/>
        </w:rPr>
      </w:pPr>
    </w:p>
    <w:p>
      <w:pPr>
        <w:ind w:left="1100" w:right="60" w:hanging="544"/>
        <w:spacing w:after="0" w:line="263"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 subsidiary owns or acquires other property which will be made a Principal Property and is determined by the Chief Financial Officer, the Treasurer or another officer to whom such authority has been properly delegated by the Board of Directors to have a fair value equal to or greater than the Attributable Debt incurred; or</w:t>
      </w:r>
    </w:p>
    <w:p>
      <w:pPr>
        <w:spacing w:after="0" w:line="89" w:lineRule="exact"/>
        <w:rPr>
          <w:rFonts w:ascii="Arial" w:cs="Arial" w:eastAsia="Arial" w:hAnsi="Arial"/>
          <w:sz w:val="18"/>
          <w:szCs w:val="18"/>
          <w:color w:val="auto"/>
        </w:rPr>
      </w:pPr>
    </w:p>
    <w:p>
      <w:pPr>
        <w:ind w:left="1100" w:hanging="544"/>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we or a Restricted Subsidiary make an optional repayment in cash of our or its Debt at least equal in amount to the Attributable Debt for the lease;</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prepayment is made within 180 days of the effective date of the lease;</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Debt prepaid is not owned by us or a Restricted Subsidiary; and</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Debt prepaid was Long-Term Debt at the time it was created.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“Attributable Debt” means, with respect to a Sale-Leaseback Transaction, an amount equal to the lesser of: (1) the fair market value of the property (as determined in good faith by the Chief Financial Officer, the Treasurer or another officer to whom such authority has been properly delegated by the Board of Directors); and (2) the present value of the total net amount of rent payments to be made under the lease during its remaining term, discounted at the rate of interest set forth or implicit in the terms of the lease, compounded semi-annually.</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“Consolidated Net Tangible Assets” means total assets less (1) total current liabilities (excluding any Debt which, at the option of the borrower, is renewable or extendable to a term exceeding 12 months and which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67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included in current liabilities and further excluding any deferred income taxes that are included in current liabilities) and (2) goodwill, patents and trademarks, all as reflected in our most recent consolidated balance sheet preceding the date of a determination under clause (k) of “—Limitation on Liens”.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“Debt” means all indebtedness for borrowed money reported as debt in the consolidated financial statements or any guarantee of such a debt and includes purchase money obligations. A Debt shall be counted only once even if we and one or more of our subsidiaries may be responsible for the obligation.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“Lien” means any mortgage, pledge, hypothecation, encumbrance, lien or other security interest.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“Long-Term Debt” means Debt that by its terms matures on a date more than 12 months after the date it was created or Debt that the obligor may extend or renew without the obligee’s consent to a date more than 12 months after the Debt was created.</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“Principal Property” means any manufacturing facility located in the United States and owned by us or by one or more Restricted Subsidiaries from the date that the notes are first issued and which has, as of the date the Lien is incurred, a net book value (after deduction of depreciation and other similar charges) greater than 3% of Consolidated Net Tangible Assets, but not including any property financed through the issuance of any tax exempt governmental obligation or any such facility or property which, in the opinion of the Chief Financial Officer, the Treasurer or another officer to whom such authority has been properly delegated by the Board of Directors, is not of material importance to the total business conducted by us and our subsidiaries taken as a whole. However, the Chief Financial Officer, the Treasurer or another officer to whom such authority has been properly delegated by the Board of Directors may at any time declare any manufacturing facility or other property to be a Principal Property by delivering a certificate to that effect to the trustee.</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“Restricted Property” means any Principal Property, any Debt of a Restricted Subsidiary owned by us or a Restricted Subsidiary on the date that the notes are first issued or secured by a Principal Property (including any property received upon a conversion or exchange of such Debt), or any shares of our stock or stock of a Restricted Subsidiary owned by us or a Restricted Subsidiary (including any property or shares received upon a conversion, stock split or other distribution with respect to the ownership of such stock).</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“Restricted Subsidiary” means a subsidiary that has substantially all its assets located in, or carries on substantially all its business in, the United States and that owns a Principal Property. Notwithstanding the preceding sentence, a subsidiary shall not be a Restricted Subsidiary during such period of time as it (or any corporation (other than us) or other entity that, directly or indirectly, beneficially owns a majority of the Voting Stock of the subsidiary) has shares of capital stock registered under the Exchange Act or it files reports and other information with the SEC pursuant to Section 13 or 15(d) of the Exchange Act.</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“Sale-Leaseback Transaction” means an arrangement, after the date that the notes are first issued, with any bank, insurance company or other lender or investor (other than us or a Restricted Subsidiary) providing for the leasing by us or any Restricted Subsidiary of any Principal Property, which was or is owned or leased by us or a Restricted Subsidiary and which has been or is to be sold or transferred, more than 120 days after the completion of construction and commencement of full operation thereof by us or such Restricted Subsidiary, to such lender or investor or to any person to whom funds have been or are to be advanced by such lender or investor on the security of such Principal Property.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“Voting Stock” means capital stock having voting power under ordinary circumstances to elect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notes will be subject to certain limitations on our ability to consolidate with or merge into or transfer all or substantially all of our assets as described under the section titled “Description of Debt Securities—Consolidation, Merger or Sale” in the accompanying prospectus.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notes of each series will be subject to the events of default described under the section titled “Description of Debt Securities—Events of Default” in the accompanying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Supplements and Waivers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notes will be subject to provisions allowing us, under certain conditions, to amend or supplement the Indenture or the notes or to waive our compliance with certain provisions of the Indenture or the notes, as described under the section titled “Description of Debt Securities—Amendments, Supplements and Waivers” in the accompanying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and Defeasance Provisions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Indenture will permit us to satisfy and discharge our obligations or defease certain of our obligations for any series of notes at any time, as described under the section titled “Description of Debt Securities— Redemption, Sinking Fund, Discharge and Defeasance” in the accompanying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Settlement</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will issue each series of notes in the form of one or more permanent global notes in fully registered, book-entry form. The global notes will be deposited with or on behalf of DTC and registered in the name of Cede &amp; Co., as nominee of DTC. Beneficial interests in the global notes will be represented through book-entry accounts of financial institutions acting on behalf of beneficial owners as direct and indirect participants in DTC. So long as Cede &amp; Co., as the nominee of DTC, is the sole registered owner of any global note, Cede &amp; Co. for all purposes will be considered the sole holder of that global note.</w:t>
      </w:r>
    </w:p>
    <w:p>
      <w:pPr>
        <w:spacing w:after="0" w:line="18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DTC has advised us as follows: DTC is a limited-purpose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for its participants and to facilitate the clearance and settlement of securities transactions, such as transfers and pledges, among participants in deposited securities through electronic book-entry charges to accounts of its participants, thereby eliminating the need for physical movement of securities certificates. The rules applicable to DTC and its participants are on file with the SEC.</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under procedures established by DTC:</w:t>
      </w:r>
    </w:p>
    <w:p>
      <w:pPr>
        <w:spacing w:after="0" w:line="131" w:lineRule="exact"/>
        <w:rPr>
          <w:sz w:val="20"/>
          <w:szCs w:val="20"/>
          <w:color w:val="auto"/>
        </w:rPr>
      </w:pPr>
    </w:p>
    <w:p>
      <w:pPr>
        <w:ind w:left="1100" w:right="52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75" w:lineRule="exact"/>
        <w:rPr>
          <w:rFonts w:ascii="Arial" w:cs="Arial" w:eastAsia="Arial" w:hAnsi="Arial"/>
          <w:sz w:val="18"/>
          <w:szCs w:val="18"/>
          <w:color w:val="auto"/>
        </w:rPr>
      </w:pPr>
    </w:p>
    <w:p>
      <w:pPr>
        <w:ind w:left="1100" w:right="40" w:hanging="433"/>
        <w:spacing w:after="0" w:line="263"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67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 long as DTC or its nominee is the registered owner of a global note, DTC or that nominee will be considered the sole owner or holder of the notes represented by the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the global note.</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compliance with the transfer restrictions applicable to the global notes, cross-market transfers between participants in DTC, on the one hand, and Euroclear participants or Clearstream participants, on the other hand, will be effected through DTC in accordance with DTC’s rules on behalf of each of Euroclear or Clearstream by its U.S. depositary; however, such cross-market transactions will require delivery of instructions to Euroclear or Clearstream by the counterparty in such system in accordance with the rules and procedures and within the established deadlines (European time) of such system. Euroclear or Clearstream will, if the transaction meets its settlement requirements, deliver instructions to DTC to take action to effect final settlement on its behalf by delivering or receiving interests in the global notes in DTC, and making or receiving payment in accordance with normal procedures for same-day funds settlement applicable to DTC. Euroclear participants and Clearstream participants may not deliver instructions directly to DTC.</w:t>
      </w:r>
    </w:p>
    <w:p>
      <w:pPr>
        <w:spacing w:after="0" w:line="19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Because of time zone differences, the securities account of a Euroclear participant or a Clearstream participant purchasing an interest in a global note from a DTC participant will be credited, and any such crediting will be reported to the relevant Euroclear participant or Clearstream participant, during the securities settlement processing day (which must be a business day for Euroclear and Clearstream) immediately following the DTC settlement date. Cash received in Euroclear or Clearstream as a result of sales of interest in a global note by or through a Euroclear participant or a Clearstream participant to a DTC participant will be received on the DTC settlement date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DTC, Euroclear and Clearstream are expected to follow the foregoing procedures in order to facilitate transfers of interests in a global note among participants of DTC, Euroclear and Clearstream, they are under no obligation to perform or continue to perform such procedures, and such procedures may be discontinued at any time. None of Lockheed Martin, the trustee or the paying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Payments on the notes represented by the global note will be made to DTC or its nominee, as the case may be, as the registered owner thereof. We expect that DTC or its nominee, upon receipt of any payment on the notes represented by the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Settlement for the notes will be made by the underwriters in immediately available funds. The notes will trade in DTC’s Same-Day Funds Settlement System until maturity. Secondary market trading between DTC participants will occur in the ordinary way in accordance with DTC rules and will be settled in immediately available funds. So long as DTC continues to make its Settlement System available to us, it is anticipated that payments of principal of and interest on the notes will be made by us in immediately available funds.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DTC may discontinue providing its services as depositary with respect to the notes at any time by giving reasonable notice to us. We also may decide to discontinue use of the system of book-entry-only transfers through DTC or any successor securities depositary. In that event, certificates will be printed and delivered to DTC.</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980"/>
          </w:cols>
          <w:pgMar w:left="320" w:top="675" w:right="5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UNITED STATES FEDERAL TAX CONSEQUENCES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following discussion summarizes certain U.S. federal income tax consequences of the purchase, beneficial ownership, and disposition of the notes by a holder that is a U.S. Holder (as defined below). Also following is general information regarding the U.S. federal tax consequences of the purchase, beneficial ownership, and disposition of the notes by a holder that is a Non-U.S. Holder (as defined below).</w:t>
      </w:r>
    </w:p>
    <w:p>
      <w:pPr>
        <w:spacing w:after="0" w:line="16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This summary is based on the Internal Revenue Code of 1986, as amended (the “Code”), regulations issued under the Code, judicial authority and administrative rulings, and practice, all of which are subject to change and differing interpretation. Any such change may be applied retroactively and may adversely affect the U.S. federal income tax consequences described in this prospectus supplement. This summary addresses only tax consequences to investors that purchase the notes pursuant to this prospectus supplement at the price set forth on the cover page. This summary assumes the notes will be held as capital assets within the meaning of Section 1221 of the Code. This summary does not discuss all of the tax consequences that may be relevant to particular investors or to investors subject to special treatment under the U.S. federal income tax laws (such as insurance companies, financial institutions, tax-exempt organizations, partnerships or other pass-through entities (and persons holding the notes through a partnership or other pass-through entity), retirement plans, regulated investment companies, securities dealers, traders in securities who elect to apply a mark-to-market method of tax accounting, persons holding the notes as part of a “straddle,” “constructive sale,” or a “conversion transaction” for U.S. federal income tax purposes, or as part of some other integrated investment, certain U.S. expatriates, persons subject to alternative minimum tax, U.S. Holders whose functional currency for tax purposes is not the U.S. dollar, or accrual method taxpayers subject to special tax accounting rules as a result of their use of financial statements). This summary also does not discuss any tax consequences arising under the laws of any state, local, foreign, or other tax jurisdiction or, except to the extent provided below, any tax consequences arising under U.S. federal tax laws other than U.S. federal income tax laws. We do not intend to seek a ruling from the Internal Revenue Service (the “IRS”) with respect to any matters discussed in this section, and we cannot assure you that the IRS will not challenge one or more of the tax consequences described below. The term “holder” as used in this discussion refers to a beneficial owner of the notes.</w:t>
      </w:r>
    </w:p>
    <w:p>
      <w:pPr>
        <w:spacing w:after="0" w:line="39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b w:val="1"/>
          <w:bCs w:val="1"/>
          <w:color w:val="auto"/>
        </w:rPr>
        <w:t>Persons considering the purchase of the notes, including any persons who would be Non-U.S. Holders, should consult their own tax advisors concerning the application of U.S. federal tax laws to their particular situations as well as any consequences of the purchase, beneficial ownership, and disposition of the notes arising under the laws of any other taxing jurisdiction.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 to U.S. Holders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following is a general discussion of U.S. federal income tax consequences of the purchase, beneficial ownership, and disposition of the notes by a holder that is a “U.S. Holder.” For purposes of this discussion, a U.S. Holder means a beneficial owner of a note that is, for U.S. federal income tax purposes:</w:t>
      </w:r>
    </w:p>
    <w:p>
      <w:pPr>
        <w:spacing w:after="0" w:line="89" w:lineRule="exact"/>
        <w:rPr>
          <w:sz w:val="20"/>
          <w:szCs w:val="20"/>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other business entity taxable as a corporation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jc w:val="both"/>
        <w:ind w:left="1100" w:hanging="433"/>
        <w:spacing w:after="0" w:line="263"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its administration and one or more U.S. persons have the authority to control all substantial decisions of the trust, or an electing trust that was in existence on August 20, 1996 and was treated as a domestic trust before that date.</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If a partnership or other business entity treated as a partnership for U.S. federal income tax purposes holds notes, the U.S. federal income tax treatment of a partner generally will depend on the status of the partner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67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upon the activities of the partnership. Persons who are partners in a partnership holding notes should consult their tax advisors regarding the U.S. federal income tax consequences to them of the purchase, beneficial ownership and disposition of the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Stated interest on the notes will be taxable to a U.S. Holder as ordinary interest income. A U.S. Holder must report this income either when it accrues or is received, depending on the holder’s method of accounting for U.S. federal income tax purposes. It is expected, and this discussion assumes, that the notes will be issued without original issue discount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Dispositions of Notes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Upon the sale, exchange, retirement, or other taxable disposition of a note, a U.S. Holder generally will recognize gain or loss equal to the difference between the amount received on such disposition (other than amounts received in respect of accrued and unpaid interest, which will be taxable as interest to the extent not previously included in income) and the U.S. Holder’s adjusted tax basis in the note. A U.S. Holder’s adjusted tax basis in a note generally will be the cost of the note to the U.S. Holder. Gain or loss realized on the sale, exchange, retirement, or other taxable disposition of a note generally will be capital gain or loss, and will be long-term capital gain or loss if, at the time of such sale, exchange, retirement, or other taxable disposition, the U.S. Holder has held the note for more than one year. The ability to deduct capital losses is subject to limitation under U.S. federal income tax laws. Net long-term capital gain recognized by a non-corporate U.S. Holder is generally taxed at preferential 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 on Unearned Income</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Certain U.S. Holders that are individuals, estates or trusts are subject to an additional 3.8% Medicare tax on “net investment income,” which includes, among other things, interest on and gains from the sale or other disposition of notes. U.S. Holders should consult their tax advisors regarding the 3.8% Medicare tax.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Tax Consequences to Non-U.S. Holders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following is a general discussion of U.S. federal income tax consequences and, only to the extent provided below, certain U.S. federal estate tax consequences of the purchase, beneficial ownership, and disposition of the notes by a holder that is a “Non-U.S. Holder.” A “Non-U.S. Holder” is a beneficial owner of a note that is neither a U.S. Holder nor a partnership or other business entity that is treated as a partnership for U.S. federal income tax purposes. This discussion does not address all aspects of U.S. federal income or estate taxation that may be relevant to such Non-U.S. Holders in light of their particular circumstances. For example, special rules may apply to a Non-U.S. Holder that is a “controlled foreign corporation” or a “passive foreign investment company.”</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For purposes of the following discussion, any interest income and any gain realized on the sale, exchange, retirement, or other taxable disposition of the notes will be considered “U.S. trade or business income” if such interest income or gain is (i) effectively connected with the conduct of a trade or business of the taxpayer in the United States and (ii) in the case of a holder who is eligible for the benefits of an applicable income tax treaty, attributable to a permanent establishment (or in the case of such a holder who is an individual, to a fixed base) in the United States.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Subject to the discussion of backup withholding and the Foreign Account Tax Compliance Act (“FATCA”) below, a Non-U.S. Holder will not be subject to U.S. federal income tax or withholding tax in respect of interest income on the notes if each of the following requirements is satisfied:</w:t>
      </w:r>
    </w:p>
    <w:p>
      <w:pPr>
        <w:spacing w:after="0" w:line="29" w:lineRule="exact"/>
        <w:rPr>
          <w:sz w:val="20"/>
          <w:szCs w:val="20"/>
          <w:color w:val="auto"/>
        </w:rPr>
      </w:pPr>
    </w:p>
    <w:p>
      <w:pPr>
        <w:ind w:left="1100" w:hanging="43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is not U.S. trade or business income.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675"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70"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Non-U.S. Holder provides to us or the paying agent an appropriate completed statement on an IRS Form W-8BEN or W-8BEN-E, as applicable, together with all appropriate attachments, signed under penalties of perjury, identifying the Non-U.S. Holder and stating, among other things, that the Non-U.S. Holder is not a U.S. person, and neither we nor the paying agent have actual knowledge or reason to know that such holder is a U.S. person. If a note is held through a securities clearing organization, bank, or another financial institution that holds customers’ securities in the ordinary course of its trade or business, this requirement is satisfied if (i) the Non-U.S. Holder provides such a form to the organization or institution, and (ii) the organization or institution, under penalties of perjury, certifies to us or the paying agent that it has received such a form from the beneficial owner or another intermediary and furnishes us or the paying agent with a copy. In addition, Non-U.S. Holders that are pass-through entities rather than corporations or individuals must satisfy certain special certification requirements.</w:t>
      </w:r>
    </w:p>
    <w:p>
      <w:pPr>
        <w:spacing w:after="0" w:line="86" w:lineRule="exact"/>
        <w:rPr>
          <w:rFonts w:ascii="Arial" w:cs="Arial" w:eastAsia="Arial" w:hAnsi="Arial"/>
          <w:sz w:val="17"/>
          <w:szCs w:val="17"/>
          <w:color w:val="auto"/>
        </w:rPr>
      </w:pPr>
    </w:p>
    <w:p>
      <w:pPr>
        <w:ind w:left="1100" w:right="14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entitled to vote.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actually or constructively related to us.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these conditions are not met, a 30% withholding tax will apply to interest income on the notes, unless one of the following two exceptions is satisfied. The first exception is that an applicable income tax treaty reduces or eliminates such tax, and a Non-U.S. Holder claiming the benefit of that treaty provides to us or the applicable withholding agent a properly executed IRS Form W-8BEN or W-8BEN-E, as applicable, and neither we nor the applicable withholding agent have actual knowledge or reason to know that such holder is a U.S. person. The second exception is that the interest is U.S. trade or business income and the Non-U.S. Holder provides an appropriate statement to that effect on an IRS Form W-8ECI. In the case of the second exception, such Non-U.S. Holder generally will be subject to U.S. federal income tax with respect to all income from the notes in the same manner as U.S. Holders, as described above. Additionally, in such event, Non-U.S. Holders that are corporations could be subject to an additional “branch profits” tax at a rate of 30% (or a lower rate under an applicable tax treaty). Non-U.S. Holders should consult their own tax advisors regarding the application of U.S. federal income tax laws to their particular situations.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Dispositions of Notes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Generally, a Non-U.S. Holder will not be subject to U.S. federal income tax on gain realized upon the sale, exchange, retirement, or other disposition of a note unless:</w:t>
      </w:r>
    </w:p>
    <w:p>
      <w:pPr>
        <w:spacing w:after="0" w:line="76" w:lineRule="exact"/>
        <w:rPr>
          <w:sz w:val="20"/>
          <w:szCs w:val="20"/>
          <w:color w:val="auto"/>
        </w:rPr>
      </w:pPr>
    </w:p>
    <w:p>
      <w:pPr>
        <w:ind w:left="1100" w:right="70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present in the United States for 183 days or more in the taxable year of the sale, exchange, retirement, or other disposition and certain other conditions are met;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is U.S. trade or business income.</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a Non-U.S. Holder is an individual described in the first bullet point above, such holder will be subject to a flat 30% tax (subject to reductions under an applicable income tax treaty) on the gain derived from the sale, exchange, retirement, or other disposition, which may be offset by U.S.-source capital losses, even though such holder is not considered a resident of the United States. If a Non-U.S. Holder is described in the second bullet point above, it will be subject to tax on the net gain derived from the sale, exchange, retirement, or other disposition in the same general manner as if the Non-U.S. Holder were a U.S. Holder, unless an applicable income tax treaty provides otherwise. In addition, if a Non-U.S. Holder is a foreign corporation that falls under the second bullet point above, it may be subject to an additional “branch profits” tax at a rate of 30% (or a lower treaty rate).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 on Unearned Income</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Certain U.S. beneficiaries of Non-U.S. Holders that are estates or trusts are subject to an additional 3.8% Medicare tax on distributions of “net investment income,” which includes, among other things, interest on and gains from the sale or other disposition of notes. Such persons should consult their tax advisors regarding the 3.8% Medicare tax.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Notes for U.S. Federal Estate Tax Purposes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note held, or treated as held, by an individual who is a Non-U.S. Holder at the time of his or her death will not be subject to U.S. federal estate tax, provided the Non-U.S. Holder does not at the time of death actually or constructively own 10% or more of the combined voting power of all classes of our stock and payments of interest on such notes would not have been considered U.S. trade or business income.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Information Reporting Requirements and Backup Withholding Applicable to U.S. Holders and Non-U.S. Holders</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Information reporting requirements generally will apply to payments to a U.S. Holder of interest and principal on, and proceeds received from the sale, exchange, retirement, or other taxable disposition of, a note, unless the holder is an exempt recipient. In addition, backup withholding may apply to such payments or proceeds if the U.S. Holder (that is not an exempt recipient) fails to furnish the payor with a correct taxpayer identification number or other required certification, has been notified by the IRS that it is subject to backup withholding for failing to report interest or dividends required to be shown on the holder’s federal income tax returns, or otherwise fails to comply with applicable requirements of the backup withholding rules.</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a Non-U.S. Holder will not be subject to backup withholding with respect to interest or principal payments on the notes if such holder certifies under penalties of perjury that it is not a U.S. person and the payor does not have actual knowledge or reason to know that such holder is a U.S. person. However, information reporting may apply with respect to interest payments.</w:t>
      </w:r>
    </w:p>
    <w:p>
      <w:pPr>
        <w:spacing w:after="0" w:line="184"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In addition, a Non-U.S. Holder will not be subject to backup withholding with respect to the proceeds of the sale, exchange, retirement, or other taxable disposition of a note made within the United States or conducted through certain United States financial intermediaries if such holder certifies under penalties of perjury that it is not a U.S. person and the payor does not have actual knowledge or reason to know that such holder is a U.S. person or such holder otherwise establishes an exemption. Payment of such proceeds generally will not be subject to information reporting if the Non-U.S.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Holder certifies as to its non-U.S. status or otherwise establishes an exemption. Non-U.S. Holders should consult their tax advisors regarding the application of information reporting and backup withholding in their particular situations, the availability of exemptions and the procedure for obtaining such exemptions, if available.</w:t>
      </w:r>
    </w:p>
    <w:p>
      <w:pPr>
        <w:spacing w:after="0" w:line="19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Backup withholding is not an additional tax and may be refunded or credited against the holder’s U.S. federal income tax liability, provided that certain required information is timely furnished to the IRS. The information reporting requirements may apply regardless of whether withholding is required. Copies of the information returns reporting such interest and withholding may be made available to the tax authorities in foreign countries under the provisions of a tax treaty or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Pursuant to sections 1471 through 1474 of the Code, commonly known as FATCA, a 30% withholding tax (“FATCA withholding”) may be imposed on certain payments to a holder or to certain foreign financial institutions, investment funds and other non-U.S. persons receiving payments on a holder’s behalf if the holder or such persons fail to comply with certain information reporting requirements. Payments of interest that a holder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675"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receives in respect of the notes could be affected by this withholding if the holder is subject to the FATCA information reporting requirements and fails to comply with them or if the holder holds notes through a non-U.S. person (e.g., a foreign bank or broker) that fails to comply with these requirements (even if payments to the holder would not otherwise have been subject to FATCA withholding). These requirements may be modified by the adoption or implementation of an intergovernmental agreement between the United States and another country or by future U.S. Treasury Regulations.</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Documentation that a holder provides in order to be treated as FATCA compliant may be reported to the IRS and other tax authorities. Holders should consult their own tax advisors regarding the relevant U.S. law and other official guidance on FATCA withholding.</w:t>
      </w:r>
    </w:p>
    <w:p>
      <w:pPr>
        <w:spacing w:after="0" w:line="18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Depending on their circumstances, certain holders may be entitled to a refund or credit in respect of some or all of this withholding. However, even if a holder is entitled to have any such withholding refunded, the required procedures could be cumbersome and significantly delay the holder’s receipt of any amounts withheld.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675"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notes. Subject to certain conditions, each underwriter has severally agreed to purchase the principal amount of notes indicated in the following table.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b w:val="1"/>
                <w:bCs w:val="1"/>
                <w:color w:val="auto"/>
                <w:w w:val="92"/>
              </w:rPr>
              <w:t>Principal amount</w:t>
            </w:r>
          </w:p>
        </w:tc>
        <w:tc>
          <w:tcPr>
            <w:tcW w:w="90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Principal amount</w:t>
            </w:r>
          </w:p>
        </w:tc>
        <w:tc>
          <w:tcPr>
            <w:tcW w:w="1720" w:type="dxa"/>
            <w:vAlign w:val="bottom"/>
            <w:gridSpan w:val="3"/>
          </w:tcPr>
          <w:p>
            <w:pPr>
              <w:ind w:left="460"/>
              <w:spacing w:after="0"/>
              <w:rPr>
                <w:sz w:val="20"/>
                <w:szCs w:val="20"/>
                <w:color w:val="auto"/>
              </w:rPr>
            </w:pPr>
            <w:r>
              <w:rPr>
                <w:rFonts w:ascii="Arial" w:cs="Arial" w:eastAsia="Arial" w:hAnsi="Arial"/>
                <w:sz w:val="16"/>
                <w:szCs w:val="16"/>
                <w:b w:val="1"/>
                <w:bCs w:val="1"/>
                <w:color w:val="auto"/>
                <w:w w:val="95"/>
              </w:rPr>
              <w:t>Principal amount</w:t>
            </w:r>
          </w:p>
        </w:tc>
      </w:tr>
      <w:tr>
        <w:trPr>
          <w:trHeight w:val="210"/>
        </w:trPr>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Underwriters</w:t>
            </w:r>
          </w:p>
        </w:tc>
        <w:tc>
          <w:tcPr>
            <w:tcW w:w="4560" w:type="dxa"/>
            <w:vAlign w:val="bottom"/>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of 20  notes</w:t>
            </w:r>
          </w:p>
        </w:tc>
        <w:tc>
          <w:tcPr>
            <w:tcW w:w="900" w:type="dxa"/>
            <w:vAlign w:val="bottom"/>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of 20  notes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of 20  notes</w:t>
            </w:r>
          </w:p>
        </w:tc>
        <w:tc>
          <w:tcPr>
            <w:tcW w:w="40" w:type="dxa"/>
            <w:vAlign w:val="bottom"/>
          </w:tcPr>
          <w:p>
            <w:pPr>
              <w:spacing w:after="0"/>
              <w:rPr>
                <w:sz w:val="18"/>
                <w:szCs w:val="18"/>
                <w:color w:val="auto"/>
              </w:rPr>
            </w:pPr>
          </w:p>
        </w:tc>
      </w:tr>
      <w:tr>
        <w:trPr>
          <w:trHeight w:val="215"/>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are committed to take and pay for all of the notes being offered, if any are taken.</w:t>
      </w:r>
    </w:p>
    <w:p>
      <w:pPr>
        <w:spacing w:after="0" w:line="22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Notes sold by the underwriters to the public initially will be offered at the initial public offering price for the series of notes set forth on the cover of this prospectus supplement. Any notes sold by the underwriters to securities dealers may be sold at a discount from the initial public offering price of</w:t>
      </w:r>
    </w:p>
    <w:p>
      <w:pPr>
        <w:ind w:left="120" w:right="120"/>
        <w:spacing w:after="0" w:line="265" w:lineRule="auto"/>
        <w:rPr>
          <w:sz w:val="20"/>
          <w:szCs w:val="20"/>
          <w:color w:val="auto"/>
        </w:rPr>
      </w:pPr>
      <w:r>
        <w:rPr>
          <w:rFonts w:ascii="Arial" w:cs="Arial" w:eastAsia="Arial" w:hAnsi="Arial"/>
          <w:sz w:val="17"/>
          <w:szCs w:val="17"/>
          <w:color w:val="auto"/>
        </w:rPr>
        <w:t>up to % of the principal amount of 20 notes, % of the principal amount of 20 notes, and % of the principal amount of 20 notes. Any such securities dealers may resell any notes purchased from the underwriters to certain other brokers or dealers at a discount from the initial public</w:t>
      </w:r>
    </w:p>
    <w:p>
      <w:pPr>
        <w:ind w:left="120"/>
        <w:spacing w:after="0"/>
        <w:tabs>
          <w:tab w:leader="none" w:pos="2080" w:val="left"/>
          <w:tab w:leader="none" w:pos="4600" w:val="left"/>
          <w:tab w:leader="none" w:pos="5440" w:val="left"/>
          <w:tab w:leader="none" w:pos="7920" w:val="left"/>
          <w:tab w:leader="none" w:pos="9000" w:val="left"/>
        </w:tabs>
        <w:rPr>
          <w:sz w:val="20"/>
          <w:szCs w:val="20"/>
          <w:color w:val="auto"/>
        </w:rPr>
      </w:pPr>
      <w:r>
        <w:rPr>
          <w:rFonts w:ascii="Arial" w:cs="Arial" w:eastAsia="Arial" w:hAnsi="Arial"/>
          <w:sz w:val="18"/>
          <w:szCs w:val="18"/>
          <w:color w:val="auto"/>
        </w:rPr>
        <w:t>offering price of up to</w:t>
      </w:r>
      <w:r>
        <w:rPr>
          <w:sz w:val="20"/>
          <w:szCs w:val="20"/>
          <w:color w:val="auto"/>
        </w:rPr>
        <w:tab/>
      </w:r>
      <w:r>
        <w:rPr>
          <w:rFonts w:ascii="Arial" w:cs="Arial" w:eastAsia="Arial" w:hAnsi="Arial"/>
          <w:sz w:val="18"/>
          <w:szCs w:val="18"/>
          <w:color w:val="auto"/>
        </w:rPr>
        <w:t>% of the principal amount of 20</w:t>
        <w:tab/>
        <w:t>notes,</w:t>
      </w:r>
      <w:r>
        <w:rPr>
          <w:sz w:val="20"/>
          <w:szCs w:val="20"/>
          <w:color w:val="auto"/>
        </w:rPr>
        <w:tab/>
      </w:r>
      <w:r>
        <w:rPr>
          <w:rFonts w:ascii="Arial" w:cs="Arial" w:eastAsia="Arial" w:hAnsi="Arial"/>
          <w:sz w:val="18"/>
          <w:szCs w:val="18"/>
          <w:color w:val="auto"/>
        </w:rPr>
        <w:t>% of the principal amount of 20</w:t>
        <w:tab/>
        <w:t>notes, and</w:t>
      </w:r>
      <w:r>
        <w:rPr>
          <w:sz w:val="20"/>
          <w:szCs w:val="20"/>
          <w:color w:val="auto"/>
        </w:rPr>
        <w:tab/>
      </w:r>
      <w:r>
        <w:rPr>
          <w:rFonts w:ascii="Arial" w:cs="Arial" w:eastAsia="Arial" w:hAnsi="Arial"/>
          <w:sz w:val="16"/>
          <w:szCs w:val="16"/>
          <w:color w:val="auto"/>
        </w:rPr>
        <w:t>% of the principal amount of</w:t>
      </w:r>
    </w:p>
    <w:p>
      <w:pPr>
        <w:spacing w:after="0" w:line="9" w:lineRule="exact"/>
        <w:rPr>
          <w:sz w:val="20"/>
          <w:szCs w:val="20"/>
          <w:color w:val="auto"/>
        </w:rPr>
      </w:pPr>
    </w:p>
    <w:p>
      <w:pPr>
        <w:ind w:left="120" w:right="60" w:hanging="4"/>
        <w:spacing w:after="0" w:line="323" w:lineRule="auto"/>
        <w:tabs>
          <w:tab w:leader="none" w:pos="5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notes. If all the notes are not sold at their initial offering price, the underwriters may change the offering prices and the other selling terms. The offering of the notes by the underwriters is subject to receipt and acceptance and subject to the underwriters’ right to reject any order in whole or in part.</w:t>
      </w:r>
    </w:p>
    <w:p>
      <w:pPr>
        <w:spacing w:after="0" w:line="1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notes are new issues of securities with no established trading market. We have been advised by the underwriters that the underwriters intend to make markets in the notes but are not obligated to do so and may discontinue market making at any time without notice. No assurance can be given as to the liquidity of the trading market for the notes.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prices of the notes while the offering is in progress.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w:t>
      </w:r>
    </w:p>
    <w:p>
      <w:pPr>
        <w:spacing w:after="0" w:line="35" w:lineRule="exact"/>
        <w:rPr>
          <w:sz w:val="20"/>
          <w:szCs w:val="20"/>
          <w:color w:val="auto"/>
        </w:rPr>
      </w:pPr>
    </w:p>
    <w:p>
      <w:pPr>
        <w:ind w:left="740" w:hanging="62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certain liabilities under the Securities Act of 1933, as amended (the “Securities Act”).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675"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for us, for which they received or will receive customary fees and expenses. In particular, certain of the underwriters and/or their affiliates act as lenders, documentation agents and/or arrangers under our revolving credit facility.</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or entities with relationships with us. If any of the underwriters or their affiliates has a lending relationship with us, certain of those underwriters or their affiliates routinely hedge, or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offered for sale in the United States and in jurisdictions outside the United States, subject to applicable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Prohibition of Sales to European Economic Area (“EEA”) Retail Investors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notes to any retail investor in the EEA. For the purposes of this provision:</w:t>
      </w:r>
    </w:p>
    <w:p>
      <w:pPr>
        <w:spacing w:after="0" w:line="76" w:lineRule="exact"/>
        <w:rPr>
          <w:sz w:val="20"/>
          <w:szCs w:val="20"/>
          <w:color w:val="auto"/>
        </w:rPr>
      </w:pPr>
    </w:p>
    <w:p>
      <w:pPr>
        <w:ind w:left="1100" w:hanging="5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Directive 2014/65/EU (as amended, “MiFID II”); or</w:t>
      </w:r>
    </w:p>
    <w:p>
      <w:pPr>
        <w:spacing w:after="0" w:line="130" w:lineRule="exact"/>
        <w:rPr>
          <w:rFonts w:ascii="Arial" w:cs="Arial" w:eastAsia="Arial" w:hAnsi="Arial"/>
          <w:sz w:val="18"/>
          <w:szCs w:val="18"/>
          <w:color w:val="auto"/>
        </w:rPr>
      </w:pPr>
    </w:p>
    <w:p>
      <w:pPr>
        <w:ind w:left="1540" w:hanging="433"/>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a qualified investor as defined in Regulation (EU) 2017/1129 (as amended, the “Prospectus Regulation”); and</w:t>
      </w:r>
    </w:p>
    <w:p>
      <w:pPr>
        <w:spacing w:after="0" w:line="130" w:lineRule="exact"/>
        <w:rPr>
          <w:rFonts w:ascii="Arial" w:cs="Arial" w:eastAsia="Arial" w:hAnsi="Arial"/>
          <w:sz w:val="18"/>
          <w:szCs w:val="18"/>
          <w:color w:val="auto"/>
        </w:rPr>
      </w:pPr>
    </w:p>
    <w:p>
      <w:pPr>
        <w:ind w:left="1100" w:right="220" w:hanging="544"/>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Prohibition of Sales to United Kingdom (“U.K.”) Retail Investors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notes to any retail investor in the U.K. For the purposes of this provision:</w:t>
      </w:r>
    </w:p>
    <w:p>
      <w:pPr>
        <w:spacing w:after="0" w:line="76" w:lineRule="exact"/>
        <w:rPr>
          <w:sz w:val="20"/>
          <w:szCs w:val="20"/>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30" w:lineRule="exact"/>
        <w:rPr>
          <w:rFonts w:ascii="Arial" w:cs="Arial" w:eastAsia="Arial" w:hAnsi="Arial"/>
          <w:sz w:val="18"/>
          <w:szCs w:val="18"/>
          <w:color w:val="auto"/>
        </w:rPr>
      </w:pPr>
    </w:p>
    <w:p>
      <w:pPr>
        <w:ind w:left="1540" w:right="240" w:hanging="433"/>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retail client as defined in point (8) of Article 2 of Regulation (EU) No 2017/565 as it forms part of domestic law by virtue of the European Union (Withdrawal) Act 2018 (“EUWA”); or</w:t>
      </w:r>
    </w:p>
    <w:p>
      <w:pPr>
        <w:spacing w:after="0" w:line="75" w:lineRule="exact"/>
        <w:rPr>
          <w:rFonts w:ascii="Arial" w:cs="Arial" w:eastAsia="Arial" w:hAnsi="Arial"/>
          <w:sz w:val="18"/>
          <w:szCs w:val="18"/>
          <w:color w:val="auto"/>
        </w:rPr>
      </w:pPr>
    </w:p>
    <w:p>
      <w:pPr>
        <w:ind w:left="1540" w:hanging="433"/>
        <w:spacing w:after="0" w:line="259"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customer within the meaning of the provisions of the Financial Services and Markets Act 2000 (as amended,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w:t>
      </w:r>
    </w:p>
    <w:p>
      <w:pPr>
        <w:spacing w:after="0" w:line="92" w:lineRule="exact"/>
        <w:rPr>
          <w:rFonts w:ascii="Arial" w:cs="Arial" w:eastAsia="Arial" w:hAnsi="Arial"/>
          <w:sz w:val="18"/>
          <w:szCs w:val="18"/>
          <w:color w:val="auto"/>
        </w:rPr>
      </w:pPr>
    </w:p>
    <w:p>
      <w:pPr>
        <w:ind w:left="1540" w:hanging="433"/>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 a qualified investor as defined in Article 2 of Regulation (EU) 2017/1129 as it forms part of domestic law by virtue of the EUWA (the “U.K. Prospectus Regulation”); and</w:t>
      </w:r>
    </w:p>
    <w:p>
      <w:pPr>
        <w:spacing w:after="0" w:line="75" w:lineRule="exact"/>
        <w:rPr>
          <w:rFonts w:ascii="Arial" w:cs="Arial" w:eastAsia="Arial" w:hAnsi="Arial"/>
          <w:sz w:val="18"/>
          <w:szCs w:val="18"/>
          <w:color w:val="auto"/>
        </w:rPr>
      </w:pPr>
    </w:p>
    <w:p>
      <w:pPr>
        <w:ind w:left="1100" w:right="22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00" w:hanging="544"/>
        <w:spacing w:after="0" w:line="263"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9" w:lineRule="exact"/>
        <w:rPr>
          <w:rFonts w:ascii="Arial" w:cs="Arial" w:eastAsia="Arial" w:hAnsi="Arial"/>
          <w:sz w:val="18"/>
          <w:szCs w:val="18"/>
          <w:color w:val="auto"/>
        </w:rPr>
      </w:pPr>
    </w:p>
    <w:p>
      <w:pPr>
        <w:ind w:left="1100" w:right="320" w:hanging="544"/>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notes in, from or otherwise involving the U.K.</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supplement is only for distribution to and directed at: (i) in the U.K.,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U.K.; and (iii) any other person to whom it can otherwise be lawfully distributed (all such persons together being referred to as “Relevant Persons”). Any investment or investment activity to which this prospectus supplement relates is available only to and will be engaged in only with Relevant Persons, and any person who is not a Relevant Person should not rely on it.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notes may be sold only to Canadian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by Canadian purchasers must be made in accordance with an exemption from, or in a transaction not subject to, the prospectus requirements of applicable securities laws.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67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Canadian purchaser with remedies for rescission or damages if this prospectus (including any amendment thereto) contains a misrepresentation; provided that the remedies for rescission or damages are exercised by the Canadian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persons in Singapore other than:</w:t>
      </w:r>
    </w:p>
    <w:p>
      <w:pPr>
        <w:spacing w:after="0" w:line="67" w:lineRule="exact"/>
        <w:rPr>
          <w:sz w:val="20"/>
          <w:szCs w:val="20"/>
          <w:color w:val="auto"/>
        </w:rPr>
      </w:pPr>
    </w:p>
    <w:p>
      <w:pPr>
        <w:ind w:left="1100" w:hanging="5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100" w:right="660" w:hanging="544"/>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100" w:right="100" w:hanging="544"/>
        <w:spacing w:after="0" w:line="308"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00" w:right="60" w:hanging="544"/>
        <w:spacing w:after="0" w:line="259"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92" w:lineRule="exact"/>
        <w:rPr>
          <w:rFonts w:ascii="Arial" w:cs="Arial" w:eastAsia="Arial" w:hAnsi="Arial"/>
          <w:sz w:val="18"/>
          <w:szCs w:val="18"/>
          <w:color w:val="auto"/>
        </w:rPr>
      </w:pPr>
    </w:p>
    <w:p>
      <w:pPr>
        <w:ind w:left="1540" w:right="120" w:hanging="433"/>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340" w:hanging="433"/>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Singapore SFA Product Classification</w:t>
      </w:r>
      <w:r>
        <w:rPr>
          <w:rFonts w:ascii="Arial" w:cs="Arial" w:eastAsia="Arial" w:hAnsi="Arial"/>
          <w:sz w:val="18"/>
          <w:szCs w:val="18"/>
          <w:color w:val="auto"/>
        </w:rPr>
        <w:t>—Solely for the purposes of our obligations pursuant to sections 309B(1)(a) and 309B(1)(c) of the SFA,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determined, and hereby notify all relevant persons (as defined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Section 309A of the SFA), that the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675"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THE NOTES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validity of the notes offered hereby will be passed upon for us by Hogan Lovells US LLP, Baltimore, Maryland. Davis Polk &amp; Wardwell LLP, New York, New York, will act as counsel for the underwriters.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Lockheed Martin Corporation appearing in Lockheed Martin Corporation’s Annual Report on Form 10-K for the year ended December 31, 2022, and the effectiveness of Lockheed Martin Corporation’s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With respect to the unaudited consolidated interim financial information of Lockheed Martin Corporation for the three-month periods ended March 26, 2023 and March 27, 2022 incorporated by reference in this prospectus, Ernst &amp; Young LLP reported that they have applied limited procedures in accordance with professional standards for a review of such information. However, their separate report dated April 18, 2023, included in Lockheed Martin Corporation’s Quarterly Report on Form 10-Q for the quarter ended March 26, 2023 and incorporated by reference herein, states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“reports” or “parts” of the Registration Statement prepared or certified by Ernst &amp; Young LLP within the meaning of Sections 7 and 11 of the Securities Act.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67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into this prospectus supplement certain information we file with the SEC, which means that we may disclose important information by referring you to another document that contains the information. The information incorporated by reference is considered to be a part of this prospectus supplement, and certain information we file later with the SEC automatically will update and, to the extent inconsistent, supersede the information filed earlier. We incorporate by reference into this prospectus supplement the documents listed below (and any amendments to these documents) and any future filings we make with the SEC under Sections 13(a), 13(c), 14, or 15(d) of the Exchange Act, until the offering of the notes covered by this prospectus supplement is completed; provided, however, that we are not incorporating by reference any documents or information, including parts of documents that we file with the SEC or otherwise submit to the SEC, that are deemed to be furnished and not filed in accordance with SEC rules.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filed with the SEC are incorporated herein by reference:</w:t>
      </w:r>
    </w:p>
    <w:p>
      <w:pPr>
        <w:spacing w:after="0" w:line="131" w:lineRule="exact"/>
        <w:rPr>
          <w:sz w:val="20"/>
          <w:szCs w:val="20"/>
          <w:color w:val="auto"/>
        </w:rPr>
      </w:pPr>
    </w:p>
    <w:p>
      <w:pPr>
        <w:ind w:left="1100" w:right="280" w:hanging="433"/>
        <w:spacing w:after="0" w:line="263"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2022, including the portions of our Proxy Statement for the 2023 annual meeting filed with the SEC on </w:t>
      </w:r>
      <w:hyperlink r:id="rId45">
        <w:r>
          <w:rPr>
            <w:rFonts w:ascii="Arial" w:cs="Arial" w:eastAsia="Arial" w:hAnsi="Arial"/>
            <w:sz w:val="18"/>
            <w:szCs w:val="18"/>
            <w:u w:val="single" w:color="auto"/>
            <w:color w:val="0000EE"/>
          </w:rPr>
          <w:t>March 14, 2023</w:t>
        </w:r>
      </w:hyperlink>
      <w:r>
        <w:rPr>
          <w:rFonts w:ascii="Arial" w:cs="Arial" w:eastAsia="Arial" w:hAnsi="Arial"/>
          <w:sz w:val="18"/>
          <w:szCs w:val="18"/>
          <w:color w:val="auto"/>
        </w:rPr>
        <w:t>, and any amendments or supplements thereto, incorporated by reference in our Annual Report on Form 10-K for the year ended December 31, 2022;</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26, 2023;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47">
        <w:r>
          <w:rPr>
            <w:rFonts w:ascii="Arial" w:cs="Arial" w:eastAsia="Arial" w:hAnsi="Arial"/>
            <w:sz w:val="18"/>
            <w:szCs w:val="18"/>
            <w:u w:val="single" w:color="auto"/>
            <w:color w:val="0000EE"/>
          </w:rPr>
          <w:t>February 23,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8">
        <w:r>
          <w:rPr>
            <w:rFonts w:ascii="Arial" w:cs="Arial" w:eastAsia="Arial" w:hAnsi="Arial"/>
            <w:sz w:val="18"/>
            <w:szCs w:val="18"/>
            <w:u w:val="single" w:color="auto"/>
            <w:color w:val="0000EE"/>
          </w:rPr>
          <w:t>April 27,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You may obtain copies of the documents we incorporate by reference by contacting us at the address indicated below or through the SEC as described in the accompanying prospectus under “Where to Find Additional Information.” We will provide without charge upon written or oral request, a copy of any and all of the documents that have been or may be incorporated by reference, except that exhibits to such documents will not be provided unless they are specifically incorporated by reference into such documents. Requests for copies of these documents should be directed to:</w:t>
      </w:r>
    </w:p>
    <w:p>
      <w:pPr>
        <w:spacing w:after="0" w:line="157"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Lockheed Martin Corporation</w:t>
      </w:r>
    </w:p>
    <w:p>
      <w:pPr>
        <w:spacing w:after="0" w:line="2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6801 Rockledge Drive</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Bethesda, Maryland 20817</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Telephone: (301) 897-6000</w:t>
      </w:r>
    </w:p>
    <w:p>
      <w:pPr>
        <w:spacing w:after="0" w:line="14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40"/>
          </w:cols>
          <w:pgMar w:left="320" w:top="675" w:right="5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171450</wp:posOffset>
            </wp:positionV>
            <wp:extent cx="213423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1342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Lockheed Martin Corporation</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277495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from time to time offer our Debt Securities for sale on terms and at prices determined at the time the Debt Securities are offered for sale. The terms and prices of these securities will be described in more detail in one or more supplements to this prospectus. Before investing, you should carefully read this prospectus and any related prospectus supplement or free writing prospectus. Prospectus supplements or free writing prospectuses may also add, update or change information contained in this prospectus.</w:t>
      </w:r>
    </w:p>
    <w:p>
      <w:pPr>
        <w:spacing w:after="0" w:line="18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may offer and sell these securities to or through agents, underwriters, dealers or directly to purchasers. The names of any agents, underwriters or dealers and the terms of the arrangements with such entities will be stated in the applicable prospectus supplement.</w:t>
      </w:r>
    </w:p>
    <w:p>
      <w:pPr>
        <w:spacing w:after="0" w:line="14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principal executive offices are located at 6801 Rockledge Drive, Bethesda, Maryland 20817, and our telephone number at that address is (301) 897-6000.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firstLine="440"/>
        <w:spacing w:after="0" w:line="256" w:lineRule="auto"/>
        <w:rPr>
          <w:sz w:val="20"/>
          <w:szCs w:val="20"/>
          <w:color w:val="auto"/>
        </w:rPr>
      </w:pPr>
      <w:r>
        <w:rPr>
          <w:rFonts w:ascii="Arial" w:cs="Arial" w:eastAsia="Arial" w:hAnsi="Arial"/>
          <w:sz w:val="22"/>
          <w:szCs w:val="22"/>
          <w:b w:val="1"/>
          <w:bCs w:val="1"/>
          <w:color w:val="auto"/>
        </w:rPr>
        <w:t>Investing in these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 or in any accompanying prospectus supplement or document incorporated by reference.</w:t>
      </w:r>
    </w:p>
    <w:p>
      <w:pPr>
        <w:spacing w:after="0" w:line="17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18, 2023.</w:t>
      </w:r>
    </w:p>
    <w:p>
      <w:pPr>
        <w:sectPr>
          <w:pgSz w:w="11900" w:h="16838" w:orient="portrait"/>
          <w:cols w:equalWidth="0" w:num="1">
            <w:col w:w="11100"/>
          </w:cols>
          <w:pgMar w:left="320" w:top="675" w:right="4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ABOUT THIS PROSPECTUS</w:t>
            </w:r>
          </w:p>
        </w:tc>
        <w:tc>
          <w:tcPr>
            <w:tcW w:w="64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OUR COMPANY</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3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RISK FACTORS</w:t>
            </w:r>
          </w:p>
        </w:tc>
        <w:tc>
          <w:tcPr>
            <w:tcW w:w="73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7"/>
              </w:rPr>
              <w:t>WHERE TO FIND ADDITIONAL INFORMATION</w:t>
            </w:r>
          </w:p>
        </w:tc>
        <w:tc>
          <w:tcPr>
            <w:tcW w:w="1340" w:type="dxa"/>
            <w:vAlign w:val="bottom"/>
            <w:tcBorders>
              <w:top w:val="single" w:sz="8" w:color="0000EE"/>
            </w:tcBorders>
          </w:tcPr>
          <w:p>
            <w:pPr>
              <w:spacing w:after="0"/>
              <w:rPr>
                <w:sz w:val="17"/>
                <w:szCs w:val="17"/>
                <w:color w:val="auto"/>
              </w:rPr>
            </w:pPr>
          </w:p>
        </w:tc>
        <w:tc>
          <w:tcPr>
            <w:tcW w:w="34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560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65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38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860" w:type="dxa"/>
            <w:vAlign w:val="bottom"/>
            <w:gridSpan w:val="11"/>
          </w:tcPr>
          <w:p>
            <w:pPr>
              <w:jc w:val="right"/>
              <w:ind w:right="3080"/>
              <w:spacing w:after="0"/>
              <w:rPr>
                <w:sz w:val="20"/>
                <w:szCs w:val="20"/>
                <w:color w:val="auto"/>
              </w:rPr>
            </w:pPr>
            <w:r>
              <w:rPr>
                <w:rFonts w:ascii="Arial" w:cs="Arial" w:eastAsia="Arial" w:hAnsi="Arial"/>
                <w:sz w:val="18"/>
                <w:szCs w:val="18"/>
                <w:color w:val="auto"/>
              </w:rPr>
              <w:t>1</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utilizing a “shelf” registration process. Using this process, we may offer and sell Debt Securities in one or more offerings from time to time.</w:t>
      </w:r>
    </w:p>
    <w:p>
      <w:pPr>
        <w:spacing w:after="0" w:line="14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We have not authorized anyone to give any information or to make any representations concerning the Debt Securities we may offer except those that are in this prospectus, any prospectus supplement that is delivered with this prospectus, any related free writing prospectus that we authorize, or any documents incorporated by reference into this prospectus. We take no responsibility for, and can provide no assurance as to the reliability of, any other information or representations that others may give or make to you. This prospectus is not an offer to sell or a solicitation of an offer to buy any securities other than the Debt Securities that are referred to in the prospectus supplement. This prospectus is not an offer to sell or a solicitation of an offer to buy Debt Securities in any circumstances in which the offer or solicitation is unlawful. You should not interpret the delivery of this prospectus, or any offer or sale of Debt Securities, as an indication that there has been no change in our affairs since the date of this prospectus.</w:t>
      </w:r>
    </w:p>
    <w:p>
      <w:pPr>
        <w:spacing w:after="0" w:line="1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Neither this prospectus, any accompanying prospectus supplement nor any free writing prospectus that we have authorized contain all of the information included in the registration statement. We have omitted parts of the registration statement as permitted by the SEC’s rules and regulations. For further information, we refer you to the registration statement on Form S-3 we filed with the SEC on April 18, 2023 to register Debt Securities, which can be found on the SEC’s website at http://www.sec.gov. See “Where To Find Additional Information” and “Incorporation of Certain Information by Reference” for more information. The registration statement also includes exhibits. Statements contained in this prospectus, any prospectus supplement and any free writing prospectus that we have authorized, or that are incorporated by reference into this prospectus or a prospectus supplement, about the provisions or contents of any agreement or other document are not necessarily complete. If SEC rules and regulations require that any agreement or document be filed as an exhibit to the registration statement and we file the agreement or document, you should refer to that agreement or document for a complete description of these matters.</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provides you with a general description of the Debt Securities we may offer. Each time we sell Debt Securities, we will provide a prospectus supplement or free writing prospectus that will contain specific information about the terms of that offering and the securities being offered at that time. The prospectus supplement or free writing prospectus also may add, update or change information contained in this prospectus, and any statement in this prospectus will be modified or superseded by any inconsistent statement in a prospectus supplement or free writing prospectus. You should read both this prospectus and any prospectus supplement or free writing prospectus together with the additional information described under the headings “Where To Find Additional Information” and “Incorporation of Certain Information by Reference.”</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used in this prospectus, unless otherwise indicated, “Lockheed Martin,” “we,” “our,” and “us” are used interchangeably to refer to Lockheed Martin Corporation or to Lockheed Martin Corporation and its consolidated subsidiaries, as appropriate to the context.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675"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are a Maryland corporation formed in March 1995 by combining the businesses of Lockheed Corporation and Martin Marietta Corporation. Our principal executive offices are located at 6801 Rockledge Drive, Bethesda, Maryland 20817. Our telephone number is (301) 897-6000 and our website is www.lockheedmartin.com. We make our website content available for information purposes only and it is intended to be an inactive textual reference. It should not be relied upon for investment purposes, and the information on or accessible through our website is not incorporated by reference into this prospectus and does not constitute a part of this prospectus.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An investment in our Debt Securities involves risks. We urge you to consider carefully the risks described in the documents incorporated by reference in this prospectus and, if applicable, in any prospectus supplement used in connection with an offering of Debt Securities, before making an investment decision, including those risks identified under “Part I, Item 1A. Risk Factors” in our Annual Report on Form 10-K for the year ended December 31, 2022, which are incorporated by reference in this prospectus and which may be amended, supplemented or superseded from time to time by other reports that we subsequently file with the SEC. Additional risks, including those that relate to any particular Debt Securities we offer, may be included in a prospectus supplement or free writing prospectus that we authorize from time to time, or that are incorporated by reference into this prospectus or a prospectus supplement.</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business, financial condition, results of operations and cash flows could be materially adversely affected by any of these risks. The market or trading price of our Debt Securities could decline due to any of these risks. Additional risks not presently known to us or that we currently deem immaterial also may impair our business and operations or cause the price of our Debt Securities to decline.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and the documents incorporated herein by reference contain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Numerous factors could cause our actual results to differ materially from those expressed in our forward-looking statements.</w:t>
      </w:r>
    </w:p>
    <w:p>
      <w:pPr>
        <w:spacing w:after="0" w:line="16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a discussion identifying important factors that could cause actual results to differ materially from those anticipated in the forward-looking statements, see our filings with the SEC, including, but not limited to, “Management’s Discussion and Analysis of Financial Condition and Results of Operations” and “Risk Factors” in our Annual Report on Form 10-K for the year ended December 31, 2022, our Quarterly Report on Form 10-Q for the quarter ended March 26, 2023 and in any subsequently filed documents incorporated into this prospectus by reference.</w:t>
      </w:r>
    </w:p>
    <w:p>
      <w:pPr>
        <w:spacing w:after="0" w:line="17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Except where required by applicable law, we expressly disclaim a duty to provide updates to forward-looking statements after the date of this prospectus to reflect subsequent events, changed circumstances, changes in expectations or the estimates and assumptions associated with them. You should review any additional disclosures we make regarding forward-looking information in our Forms 10-K, 10-Q and 8-K filed with the SEC and that are incorporated into this prospectus by reference as set forth in the “Incorporation of Certain Information by Reference” section below. The forward-looking statements in this prospectus are intended to be subject to the safe harbor protection provided by the federal securities laws.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67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into this prospectus certain information we file with the SEC, which means that we may disclose important information by referring you to another document that contains the information. The information incorporated by reference is considered to be a part of this prospectus, and certain information we file later with the SEC automatically will update and, to the extent inconsistent, supersede the information filed earlier. We incorporate by reference into this prospectus the documents listed below (and any amendments to these documents) and any future filings we make with the SEC under Sections 13(a), 13(c), 14 or 15(d) of the Securities Exchange Act of 1934, as amended, until the offering of the Debt Securities covered by this prospectus is completed; provided, however, that we are not incorporating by reference any documents or information, including parts of documents that we file or furnish with or otherwise submit to the SEC, that are deemed to be furnished and not filed in accordance with SEC rules.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filed with the SEC are incorporated herein by reference:</w:t>
      </w:r>
    </w:p>
    <w:p>
      <w:pPr>
        <w:spacing w:after="0" w:line="131" w:lineRule="exact"/>
        <w:rPr>
          <w:sz w:val="20"/>
          <w:szCs w:val="20"/>
          <w:color w:val="auto"/>
        </w:rPr>
      </w:pPr>
    </w:p>
    <w:p>
      <w:pPr>
        <w:jc w:val="both"/>
        <w:ind w:left="1100" w:right="440" w:hanging="433"/>
        <w:spacing w:after="0" w:line="263"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2022, including the portions of our </w:t>
      </w:r>
      <w:hyperlink r:id="rId45">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2023 annual meeting filed with the SEC on March 14, 2023, and any amendments or supplements thereto, incorporated by reference in our Annual Report on Form 10-K for the year ended December 31, 2022;</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26, 2023;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47">
        <w:r>
          <w:rPr>
            <w:rFonts w:ascii="Arial" w:cs="Arial" w:eastAsia="Arial" w:hAnsi="Arial"/>
            <w:sz w:val="18"/>
            <w:szCs w:val="18"/>
            <w:u w:val="single" w:color="auto"/>
            <w:color w:val="0000EE"/>
          </w:rPr>
          <w:t>February 23, 2023.</w:t>
        </w:r>
      </w:hyperlink>
    </w:p>
    <w:p>
      <w:pPr>
        <w:spacing w:after="0" w:line="225" w:lineRule="exact"/>
        <w:rPr>
          <w:rFonts w:ascii="Arial" w:cs="Arial" w:eastAsia="Arial" w:hAnsi="Arial"/>
          <w:sz w:val="18"/>
          <w:szCs w:val="18"/>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You may obtain copies of the documents we incorporate by reference by contacting us at the address indicated below or through the SEC as described below under “Where to Find Additional Information.” We will provide without charge upon written or oral request, a copy of any and all of the documents that have been or may be incorporated by reference, except that exhibits to such documents will not be provided unless they are specifically incorporated by reference into such documents. Requests for copies of these documents should be directed to:</w:t>
      </w:r>
    </w:p>
    <w:p>
      <w:pPr>
        <w:spacing w:after="0" w:line="17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Lockheed Martin Corporation</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6801 Rockledge Drive</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Bethesda, Maryland 20817</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Telephone: (301) 897-6000</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rFonts w:ascii="Arial" w:cs="Arial" w:eastAsia="Arial" w:hAnsi="Arial"/>
          <w:sz w:val="18"/>
          <w:szCs w:val="18"/>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you on the SEC’s website at www.sec.gov. Our SEC filings also are available free of charge from our website at www.lockheedmartin.com. We make our website content available for information purposes only and it is intended to be an inactive textual reference. It should not be relied upon for investment purposes, and the information on or accessible through our website is not incorporated by reference into this prospectus and does not constitute a part of this prospectus.</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rFonts w:ascii="Arial" w:cs="Arial" w:eastAsia="Arial" w:hAnsi="Arial"/>
          <w:sz w:val="18"/>
          <w:szCs w:val="18"/>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Except as may be described otherwise in a prospectus supplement, we expect to use the net proceeds from the sale of the Debt Securities under this prospectus for general corporate purposes. These purposes may include</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675"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repayment of indebtedness, future acquisitions, capital expenditures, dividends, stock repurchases, working capital, funding our employee benefits, including pension plans, and any other corporate purpose. Until we apply the net proceeds for specific purposes, we may invest the net proceeds in cash equivalents or short-term investments.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is a general description of the Debt Securities that may be issued from time to time by us under this prospectus. The particular terms relating to each Debt Security will be set forth in a prospectus supplement. In the description of the Debt Securities that follows, “we,” “us,” and “our” refer only to Lockheed Martin Corporation and not to any of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may issue from time to time one or more series of Debt Securities under an indenture between us and U.S. Bank Trust Company, National Association, as trustee. The indenture does not limit the amount of Debt Securities that we may issue.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Debt Securities will be our direct, unsecured and unsubordinated obligations, and may be issued either separately or together with, or upon the conversion of, or in exchange for, other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description does not purport to be complete, is only a summary of the material provisions of the indenture for the Debt Securities and is qualified in its entirety by reference to the indenture, a copy of which is filed as an exhibit to the registration statement of which this prospectus is a part. We urge you to read the indenture because it, and not this description, defines your rights as a holder of the Debt Securities. The summary below of the general terms of the Debt Securities will be supplemented by the more specific terms in the prospectus supplement for a particular series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indenture provides for the issuance of Debt Securities in one or more series. A prospectus supplement relating to a series of Debt Securities will include specific terms relating to that offering. These terms will include some or all of the following:</w:t>
      </w:r>
    </w:p>
    <w:p>
      <w:pPr>
        <w:spacing w:after="0" w:line="76" w:lineRule="exact"/>
        <w:rPr>
          <w:sz w:val="20"/>
          <w:szCs w:val="20"/>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will bear interest and the date from which such interest will accrue;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interest will be payable and the related record dates;</w:t>
      </w:r>
    </w:p>
    <w:p>
      <w:pPr>
        <w:spacing w:after="0" w:line="130" w:lineRule="exact"/>
        <w:rPr>
          <w:rFonts w:ascii="Arial" w:cs="Arial" w:eastAsia="Arial" w:hAnsi="Arial"/>
          <w:sz w:val="18"/>
          <w:szCs w:val="18"/>
          <w:color w:val="auto"/>
        </w:rPr>
      </w:pPr>
    </w:p>
    <w:p>
      <w:pPr>
        <w:ind w:left="1100" w:right="84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index, if any, used to determine the amount of payments of principal of or interest on the Debt Securities and the manner of determining the amount of such payments;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principal and interest payments on the Debt Securities will be payable;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are redeemable;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mandatory or optional sinking fund or analogous provisions;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675"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18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minimum denominations of $2,000 and integral multiples of $1,000 in excess thereof;</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in which principal and interest will be paid, if other than U.S. dollars;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deletions from, changes in or additions to the events of default or the covenants specified in the indenture;</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U.S. Bank Trust Company, National Association, any trustees, authenticating or paying agents, registrars or other agents for the Debt Securities;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will issue the Debt Securities as original issue discount securities for federal income tax purposes and any other special tax implications of the Debt Securities;</w:t>
      </w:r>
    </w:p>
    <w:p>
      <w:pPr>
        <w:spacing w:after="0" w:line="75" w:lineRule="exact"/>
        <w:rPr>
          <w:rFonts w:ascii="Arial" w:cs="Arial" w:eastAsia="Arial" w:hAnsi="Arial"/>
          <w:sz w:val="18"/>
          <w:szCs w:val="18"/>
          <w:color w:val="auto"/>
        </w:rPr>
      </w:pPr>
    </w:p>
    <w:p>
      <w:pPr>
        <w:ind w:left="1100" w:right="58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Debt Securities that shall be payable upon a declaration of acceleration; and</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and all other terms of the Debt Securities, including, but not limited to, any terms which may be required or advisable under U.S. laws or regulations or advisable in connection with the marketing of such Debt Securities.</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issue Debt Securities that are convertible into or exchangeable for our common stock or other securities of Lockheed Martin or another company. We may also continuously offer Debt Securities in a medium term note program. If we issue these types of Debt Securities, we will provide additional information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Denomination, Form, Payment and Transfer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31" w:lineRule="exact"/>
        <w:rPr>
          <w:sz w:val="20"/>
          <w:szCs w:val="20"/>
          <w:color w:val="auto"/>
        </w:rPr>
      </w:pPr>
    </w:p>
    <w:p>
      <w:pPr>
        <w:ind w:left="1100" w:right="16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 As a general rule, however, we will issue Debt Securities in the form of one or more global certificates that will be deposited with The Depository Trust Company, New York, New York (“DTC”) and registered in the name of Cede &amp; Co., as nominee of DTC. DTC will act as depositary for the global certificates.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Beneficial interests in global certificates will be shown on, and transfer of beneficial interests will be effected only through, records maintained by DTC and its participants. Therefore, if you wish to own Debt Securities that are represented by one or more global certificates, you can do so only indirectly or “beneficially” through an account with a broker, bank or other financial institution that has an account with DTC (that is, a DTC participant) or through an account directly with DTC if you are a DTC participant.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period of time the Debt Securities are represented by one or more global certificates:</w:t>
      </w:r>
    </w:p>
    <w:p>
      <w:pPr>
        <w:spacing w:after="0" w:line="131" w:lineRule="exact"/>
        <w:rPr>
          <w:sz w:val="20"/>
          <w:szCs w:val="20"/>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not be able to have the Debt Securities registered in your name;</w:t>
      </w:r>
    </w:p>
    <w:p>
      <w:pPr>
        <w:spacing w:after="0" w:line="130" w:lineRule="exact"/>
        <w:rPr>
          <w:rFonts w:ascii="Arial" w:cs="Arial" w:eastAsia="Arial" w:hAnsi="Arial"/>
          <w:sz w:val="18"/>
          <w:szCs w:val="18"/>
          <w:color w:val="auto"/>
        </w:rPr>
      </w:pPr>
    </w:p>
    <w:p>
      <w:pPr>
        <w:ind w:left="5580" w:right="4560" w:hanging="4913"/>
        <w:spacing w:after="0" w:line="490" w:lineRule="auto"/>
        <w:tabs>
          <w:tab w:leader="none" w:pos="11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you will not be able to receive a physical certificate for the Debt Securities; 6</w:t>
      </w:r>
    </w:p>
    <w:p>
      <w:pPr>
        <w:sectPr>
          <w:pgSz w:w="11900" w:h="16838" w:orient="portrait"/>
          <w:cols w:equalWidth="0" w:num="1">
            <w:col w:w="11100"/>
          </w:cols>
          <w:pgMar w:left="320" w:top="675"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340" w:hanging="433"/>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DTC will credit interest and principal payments from us to the accounts of your broker, bank or other financial institution according to their beneficial ownership as reflected in DTC’s records;</w:t>
      </w:r>
    </w:p>
    <w:p>
      <w:pPr>
        <w:spacing w:after="0" w:line="75" w:lineRule="exact"/>
        <w:rPr>
          <w:rFonts w:ascii="Arial" w:cs="Arial" w:eastAsia="Arial" w:hAnsi="Arial"/>
          <w:sz w:val="18"/>
          <w:szCs w:val="18"/>
          <w:color w:val="auto"/>
        </w:rPr>
      </w:pPr>
    </w:p>
    <w:p>
      <w:pPr>
        <w:jc w:val="both"/>
        <w:ind w:left="1100" w:right="520" w:hanging="433"/>
        <w:spacing w:after="0" w:line="311" w:lineRule="auto"/>
        <w:tabs>
          <w:tab w:leader="none" w:pos="11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obligations, as well as the obligations of the trustee and any of our agents, under the Debt Securities will run only to DTC as the registered owner of the Debt Securities. For example, once we make payment to DTC, we will have no further responsibility for the payment even if DTC or your broker, bank or other financial institution fails to pass it on so that you receive it; and</w:t>
      </w:r>
    </w:p>
    <w:p>
      <w:pPr>
        <w:spacing w:after="0" w:line="54" w:lineRule="exact"/>
        <w:rPr>
          <w:rFonts w:ascii="Arial" w:cs="Arial" w:eastAsia="Arial" w:hAnsi="Arial"/>
          <w:sz w:val="16"/>
          <w:szCs w:val="16"/>
          <w:color w:val="auto"/>
        </w:rPr>
      </w:pPr>
    </w:p>
    <w:p>
      <w:pPr>
        <w:ind w:left="1100" w:right="200" w:hanging="433"/>
        <w:spacing w:after="0" w:line="259"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your rights under the Debt Securities relating to payments, transfer, exchanges and other matters will be governed by applicable law and by the contractual arrangements between you and your broker, bank or other financial institution, and the contractual arrangements you have or your broker, bank or financial institution has with DTC. Neither we nor the trustee will have any responsibility for the actions of DTC or your broker, bank or financial institution.</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the trustee, and the paying agent have no responsibility or liability for the records relating to beneficial ownership interests in the global certificates or for the payments of principal and interest for the accounts of beneficial holders of interests in the global certificates. A global certificate generally can be transferred only as a whole, unless it is being transferred to certain nominees of DTC or it is exchanged in whole or in part for Debt Securities in certificated form in accordance with the indenture. A series of Debt Securities represented by global certificates will be exchangeable for certificated securities with the same terms in authorized denominations if:</w:t>
      </w:r>
    </w:p>
    <w:p>
      <w:pPr>
        <w:spacing w:after="0" w:line="82" w:lineRule="exact"/>
        <w:rPr>
          <w:sz w:val="20"/>
          <w:szCs w:val="20"/>
          <w:color w:val="auto"/>
        </w:rPr>
      </w:pPr>
    </w:p>
    <w:p>
      <w:pPr>
        <w:ind w:left="1100" w:right="50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the Exchange Act and we do not appoint a successor depositary within 90 days;</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such Debt Securities and the registrar has received a request from DTC to issue certificated securities in lieu of the global certificates; or</w:t>
      </w:r>
    </w:p>
    <w:p>
      <w:pPr>
        <w:spacing w:after="0" w:line="75" w:lineRule="exact"/>
        <w:rPr>
          <w:rFonts w:ascii="Arial" w:cs="Arial" w:eastAsia="Arial" w:hAnsi="Arial"/>
          <w:sz w:val="18"/>
          <w:szCs w:val="18"/>
          <w:color w:val="auto"/>
        </w:rPr>
      </w:pPr>
    </w:p>
    <w:p>
      <w:pPr>
        <w:ind w:left="1100" w:right="66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determine, in our sole discretion, that Debt Securities of a series issued in global form shall no longer be represented by global certificates.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indicate otherwise in a prospectus supplement, the following are events of default under the indenture with respect to each series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Debt Securities:</w:t>
      </w:r>
    </w:p>
    <w:p>
      <w:pPr>
        <w:spacing w:after="0" w:line="116" w:lineRule="exact"/>
        <w:rPr>
          <w:sz w:val="20"/>
          <w:szCs w:val="20"/>
          <w:color w:val="auto"/>
        </w:rPr>
      </w:pPr>
    </w:p>
    <w:p>
      <w:pPr>
        <w:ind w:left="1100" w:right="2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interest on any Debt Security of that series when the same becomes due and payable and the default continues for a period of 30 days;</w:t>
      </w:r>
    </w:p>
    <w:p>
      <w:pPr>
        <w:spacing w:after="0" w:line="75"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the principal of any Debt Security of that series when the same becomes due and payable at maturity, upon redemption or otherwise;</w:t>
      </w:r>
    </w:p>
    <w:p>
      <w:pPr>
        <w:spacing w:after="0" w:line="75" w:lineRule="exact"/>
        <w:rPr>
          <w:rFonts w:ascii="Arial" w:cs="Arial" w:eastAsia="Arial" w:hAnsi="Arial"/>
          <w:sz w:val="18"/>
          <w:szCs w:val="18"/>
          <w:color w:val="auto"/>
        </w:rPr>
      </w:pPr>
    </w:p>
    <w:p>
      <w:pPr>
        <w:ind w:left="1100" w:right="80" w:hanging="433"/>
        <w:spacing w:after="0" w:line="263"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comply with any other agreement relating to the Debt Securities of that series or in the indenture that continues for 90 days after we have received written notice of such failure from the trustee or the holders of at least 25% in aggregate principal amount of the Debt Securities of the affected series; and</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An event of default for one series of Debt Securities does not necessarily constitute an event of default for any other series. If a default occurs with respect to a series of Debt Securities and is continuing and if it is known to the trustee, the trustee shall give notice of the default to each holder of Debt Securities of that series within 90 days after it occurs. Except in the case of a default in payment on any Debt Security, the trustee may withhold the notice if and so long as a responsible officer of the trustee in good faith determines that withholding the notice is in the interests of such holders.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an event of default occurs and continues, the trustee by notice to us, or the holders of at least 25% in aggregate principal amount of the Debt Securities of the affected series by notice to us and the trustee, may declare the principal of and accrued interest, if any, on all the Debt Securities of that series to be due and payable immediately. Upon such declaration, subject to certain conditions, the holders of a majority in principal amount of the Debt Securities of that series, by notice to the trustee, may rescind an acceleration with respect to that series and its consequences.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a majority in principal amount of any series of Debt Securities may direct the time, method and place of conducting any proceeding for any remedy available to the trustee or of exercising any trust or power conferred on it with respect to that series. The trustee may refuse to follow any direction that conflicts with law or the indenture, is unduly prejudicial to the rights of other holders of Debt Securities of the same series, or would involve the trustee in personal liability. The trustee also has no obligation to exercise any of its rights at the request or direction of any of the holders, unless the holders have offered the trustee indemnity satisfactory to the trustee against any loss, liability or expense that the trustee may incur in compliance with such request or direction.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indenture, among other things, we have agreed to:</w:t>
      </w:r>
    </w:p>
    <w:p>
      <w:pPr>
        <w:spacing w:after="0" w:line="131" w:lineRule="exact"/>
        <w:rPr>
          <w:sz w:val="20"/>
          <w:szCs w:val="20"/>
          <w:color w:val="auto"/>
        </w:rPr>
      </w:pPr>
    </w:p>
    <w:p>
      <w:pPr>
        <w:ind w:left="1100" w:right="28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pay the principal of and interest, if any, on the Debt Securities on the dates and in the manner provided in the Debt Securities; and</w:t>
      </w:r>
    </w:p>
    <w:p>
      <w:pPr>
        <w:spacing w:after="0" w:line="75" w:lineRule="exact"/>
        <w:rPr>
          <w:rFonts w:ascii="Arial" w:cs="Arial" w:eastAsia="Arial" w:hAnsi="Arial"/>
          <w:sz w:val="18"/>
          <w:szCs w:val="18"/>
          <w:color w:val="auto"/>
        </w:rPr>
      </w:pPr>
    </w:p>
    <w:p>
      <w:pPr>
        <w:ind w:left="1100" w:right="320" w:hanging="433"/>
        <w:spacing w:after="0" w:line="308"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deliver to the trustee copies of our SEC reports within 15 days after we file them with the SEC and a compliance certificate within 120 days after the end of each fiscal year that certifies our compliance with all conditions and covenants under the indenture.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any other material covenants in respect of a series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indenture prohibits us from consolidating with or merging into another corporation, or transferring all or substantially all of our assets to another corporation unless:</w:t>
      </w:r>
    </w:p>
    <w:p>
      <w:pPr>
        <w:spacing w:after="0" w:line="76" w:lineRule="exact"/>
        <w:rPr>
          <w:sz w:val="20"/>
          <w:szCs w:val="20"/>
          <w:color w:val="auto"/>
        </w:rPr>
      </w:pPr>
    </w:p>
    <w:p>
      <w:pPr>
        <w:ind w:left="1100" w:right="2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resulting, surviving or transferee corporation assumes by supplemental indenture all of our obligations under the Debt Securities and the indenture;</w:t>
      </w:r>
    </w:p>
    <w:p>
      <w:pPr>
        <w:spacing w:after="0" w:line="75" w:lineRule="exact"/>
        <w:rPr>
          <w:rFonts w:ascii="Arial" w:cs="Arial" w:eastAsia="Arial" w:hAnsi="Arial"/>
          <w:sz w:val="18"/>
          <w:szCs w:val="18"/>
          <w:color w:val="auto"/>
        </w:rPr>
      </w:pPr>
    </w:p>
    <w:p>
      <w:pPr>
        <w:ind w:left="1100" w:right="3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circumstances which, after notice or lapse of time or both, would become an event of default, shall have happened and be continuing;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 legal opinion confirming that we have complied with the indenture.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enter into such a transaction and comply with these provisions, our obligations under the Debt Securities and the indenture will terminate.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Sinking Fund, Discharge and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series of Debt Securities may be redeemed or is subject to a sinking fund, the prospectus supplement will describe those terms.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indenture permits us to satisfy and discharge our obligations or defease certain of our obligations for any series of Debt Securities at any time. We may discharge our obligations with respect to a series of Debt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Securities or defease certain of our obligations with respect to a series of Debt Securities by (i) irrevocably depositing with the trustee cash or government securities sufficient to pay all sums due on that series and (ii) delivering to the trustee (a) a conditions precedent officer’s certificate and opinion of counsel and (b) in the case of defeasance only, an opinion of counsel to the effect that, based on applicable U.S. federal income tax law or a ruling published by the U.S. Internal Revenue Service, the defeasance will not be deemed, or result in, a taxable event with respect to the holders of that series. We can discharge or defease one series of Debt Securities without discharging or defeasing any other series.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Supplements and Waivers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Without notice to or consent of any holder of the Debt Securities, we may amend or supplement the indenture to, among other things, cure any ambiguity, omission, defect or inconsistency, to establish the form of any new series of Debt Securities or to clarify or make certain other changes that would not materially adversely affect the rights of any holder.</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Without notice to any holder but with the written consent of holders of not less than a majority in principal amount of the Debt Securities of each series affected, we may amend or supplement the indenture or the Debt Securities, or the holders of not less than a majority in principal amount of the Debt Securities of each series affected may waive compliance by us with any provision of the indenture or the Debt Securities of such series. However, without the consent of each holder affected, an amendment, supplement, or waiver may not:</w:t>
      </w:r>
    </w:p>
    <w:p>
      <w:pPr>
        <w:spacing w:after="0" w:line="77" w:lineRule="exact"/>
        <w:rPr>
          <w:sz w:val="20"/>
          <w:szCs w:val="20"/>
          <w:color w:val="auto"/>
        </w:rPr>
      </w:pPr>
    </w:p>
    <w:p>
      <w:pPr>
        <w:ind w:left="1100" w:hanging="433"/>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 the amount of Debt Securities of any series whose holders must consent to a particular amendment, supplement, or waiver;</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of or extend the fixed maturity date of any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portion of the principal amount of a discounted security payable upon acceleration of its maturity;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any Debt Securities payable in any currency or currency unit other than the one stated in the Debt Security.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U.S. Bank Trust Company, National Association serves as the trustee under the indenture. If we use a different trustee for any series of debt securities, the prospectus supplement will identify the trustee. We conduct other banking transactions with U.S. Bank Trust Company, National Association and its affiliates in the ordinary course of their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laws of the state of Maryland govern the indenture and the Debt Securities.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Debt Securities to or through underwriters and also directly to other purchasers or through agents.</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distribution of the Debt Securities offered under the prospectus may occur from time to time in one or more transactions at a fixed price or prices, which may be changed, or at market prices prevailing at the time of sale, at prices related to such prevailing market prices, or at negotiated prices.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675" w:right="5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connection with the sale of Debt Securities, underwriters may receive compensation from us or from purchasers of Debt Securities for whom they may act as agents in the form of discounts, concessions or commissions.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Underwriters may sell Debt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Debt Securities offered under this prospectus may be “underwriters” as defined in the Securities Act of 1933, as amended (the “Securities Act”). Any underwriters or agents will be identified and their compensation (including underwriting discount) will be described in the applicable prospectus supplement. The prospectus supplement will also describe the other terms of the offering, including any discounts or concessions allowed or re- allowed or paid to dealers and any securities exchanges on which the offered securities may be listed.</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have agreements with the underwriters, dealers and agents to indemnify them against certain liabilities, including certain liabilities under the Securities Act, or to contribute with respect to payments that the underwriters, dealers or agents may be required to make as a result of those liabilities.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applicable prospectus supplement indicates, we may authorize dealers or agents to solicit offers by certain institutions to purchase Debt Securities from us pursuant to contracts that provide for payment and delivery on a future date. We must approve all institutions, but they may include, among others:</w:t>
      </w:r>
    </w:p>
    <w:p>
      <w:pPr>
        <w:spacing w:after="0" w:line="89" w:lineRule="exact"/>
        <w:rPr>
          <w:sz w:val="20"/>
          <w:szCs w:val="20"/>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 institutional purchaser’s obligation under the contract will be subject to the condition that the purchase of the offered Debt Securities at the time of delivery is allowed by the laws that govern such purchaser. The dealers and the agents will not be responsible for the validity or performance of the contracts.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Unless otherwise indicated in the applicable prospectus supplement, legal matters in connection with the Debt Securities will be passed upon for us by Hogan Lovells US LLP, Baltimore, Maryland, and for any underwriters or agents by counsel named in the applicable prospectus supplement.</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Lockheed Martin Corporation appearing in Lockheed Martin Corporation’s Annual Report on Form 10-K for the year ended December 31, 2022, and the effectiveness of Lockheed Martin Corporation’s internal control over financial reporting as of December 31, 2022 have been audited by Ernst &amp; Young LLP, independent registered public accounting firm, as set forth in its reports thereon, which are included in our Annual Report on Form 10-K for the year ended December 31, 2022 and incorporated herein by reference. Such consolidated financial statements are incorporated herein by reference in reliance upon such reports given on the authority of such firm as experts in accounting and auditing.</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With respect to the unaudited consolidated interim financial information of Lockheed Martin Corporation for the quarter ended March 26, 2023, incorporated by reference in this prospectus, Ernst &amp; Young LLP reported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675"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that they have applied limited procedures in accordance with professional standards for a review of such information. However, their separate report dated April 18, 2023, included in Lockheed Martin Corporation’s Quarterly Report on Form 10-Q for the quarter ended March 26, 2023, and incorporated by reference herein, states that they did not audit and they do not express an opinion on such interim financial information. Accordingly, the degree of reliance on their report on such information should be restricted in light of the limited nature of the review procedures applied. Ernst &amp; Young LLP is not subject to the liability provisions of Section 11 of the Securities Act for their report on the unaudited interim financial information because that report is not a “report” or a “part” of the Registration Statement prepared or certified by Ernst &amp; Young LLP within the meaning of Sections 7 and 11 of the Securities Act.</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4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803275</wp:posOffset>
            </wp:positionV>
            <wp:extent cx="4080510" cy="61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40805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20" w:hanging="1248"/>
        <w:spacing w:after="0"/>
        <w:tabs>
          <w:tab w:leader="none" w:pos="54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w:t>
      </w:r>
    </w:p>
    <w:p>
      <w:pPr>
        <w:spacing w:after="0" w:line="4" w:lineRule="exact"/>
        <w:rPr>
          <w:sz w:val="20"/>
          <w:szCs w:val="20"/>
          <w:color w:val="auto"/>
        </w:rPr>
      </w:pPr>
    </w:p>
    <w:p>
      <w:pPr>
        <w:ind w:left="5420" w:hanging="1248"/>
        <w:spacing w:after="0"/>
        <w:tabs>
          <w:tab w:leader="none" w:pos="54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w:t>
      </w:r>
    </w:p>
    <w:p>
      <w:pPr>
        <w:ind w:left="5420" w:hanging="1248"/>
        <w:spacing w:after="0"/>
        <w:tabs>
          <w:tab w:leader="none" w:pos="54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467360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163830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Citigroup</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Barclays</w:t>
      </w:r>
    </w:p>
    <w:p>
      <w:pPr>
        <w:jc w:val="center"/>
        <w:ind w:right="-1100"/>
        <w:spacing w:after="0"/>
        <w:rPr>
          <w:sz w:val="20"/>
          <w:szCs w:val="20"/>
          <w:color w:val="auto"/>
        </w:rPr>
      </w:pPr>
      <w:r>
        <w:rPr>
          <w:rFonts w:ascii="Arial" w:cs="Arial" w:eastAsia="Arial" w:hAnsi="Arial"/>
          <w:sz w:val="22"/>
          <w:szCs w:val="22"/>
          <w:b w:val="1"/>
          <w:bCs w:val="1"/>
          <w:color w:val="auto"/>
        </w:rPr>
        <w:t>Credit Agricole CIB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40"/>
        <w:spacing w:after="0"/>
        <w:tabs>
          <w:tab w:leader="none" w:pos="5640" w:val="left"/>
        </w:tabs>
        <w:rPr>
          <w:sz w:val="20"/>
          <w:szCs w:val="20"/>
          <w:color w:val="auto"/>
        </w:rPr>
      </w:pPr>
      <w:r>
        <w:rPr>
          <w:rFonts w:ascii="Arial" w:cs="Arial" w:eastAsia="Arial" w:hAnsi="Arial"/>
          <w:sz w:val="18"/>
          <w:szCs w:val="18"/>
          <w:b w:val="1"/>
          <w:bCs w:val="1"/>
          <w:color w:val="auto"/>
        </w:rPr>
        <w:t>May</w:t>
      </w:r>
      <w:r>
        <w:rPr>
          <w:sz w:val="20"/>
          <w:szCs w:val="20"/>
          <w:color w:val="auto"/>
        </w:rPr>
        <w:tab/>
      </w:r>
      <w:r>
        <w:rPr>
          <w:rFonts w:ascii="Arial" w:cs="Arial" w:eastAsia="Arial" w:hAnsi="Arial"/>
          <w:sz w:val="16"/>
          <w:szCs w:val="16"/>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805815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866140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6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0"/>
    </w:lvl>
  </w:abstractNum>
  <w:abstractNum w:abstractNumId="9">
    <w:nsid w:val="75A2A8D4"/>
    <w:multiLevelType w:val="hybridMultilevel"/>
    <w:lvl w:ilvl="0">
      <w:lvlJc w:val="left"/>
      <w:lvlText w:val="(%1)"/>
      <w:numFmt w:val="lowerLetter"/>
      <w:start w:val="1"/>
    </w:lvl>
    <w:lvl w:ilvl="1">
      <w:lvlJc w:val="left"/>
      <w:lvlText w:val="(%2)"/>
      <w:numFmt w:val="lowerRoman"/>
      <w:start w:val="2"/>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20"/>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lvl w:ilvl="1">
      <w:lvlJc w:val="left"/>
      <w:lvlText w:val="(%2)"/>
      <w:numFmt w:val="lowerRoman"/>
      <w:start w:val="1"/>
    </w:lvl>
  </w:abstractNum>
  <w:abstractNum w:abstractNumId="18">
    <w:nsid w:val="836C40E"/>
    <w:multiLevelType w:val="hybridMultilevel"/>
    <w:lvl w:ilvl="0">
      <w:lvlJc w:val="left"/>
      <w:lvlText w:val="(%1)"/>
      <w:numFmt w:val="lowerLetter"/>
      <w:start w:val="1"/>
    </w:lvl>
    <w:lvl w:ilvl="1">
      <w:lvlJc w:val="left"/>
      <w:lvlText w:val="(%2)"/>
      <w:numFmt w:val="lowerRoman"/>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lvl w:ilvl="1">
      <w:lvlJc w:val="left"/>
      <w:lvlText w:val="(%2)"/>
      <w:numFmt w:val="lowerRoman"/>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e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jpe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44" Type="http://schemas.openxmlformats.org/officeDocument/2006/relationships/hyperlink" Target="http://www.sec.gov/ix?doc=/Archives/edgar/data/936468/000093646823000009/lmt-20221231.htm" TargetMode="External"/><Relationship Id="rId45" Type="http://schemas.openxmlformats.org/officeDocument/2006/relationships/hyperlink" Target="http://www.sec.gov/ix?doc=/Archives/edgar/data/936468/000093646823000034/lmt-20230313.htm" TargetMode="External"/><Relationship Id="rId46" Type="http://schemas.openxmlformats.org/officeDocument/2006/relationships/hyperlink" Target="http://www.sec.gov/ix?doc=/Archives/edgar/data/936468/000093646823000051/lmt-20230326.htm" TargetMode="External"/><Relationship Id="rId47" Type="http://schemas.openxmlformats.org/officeDocument/2006/relationships/hyperlink" Target="http://www.sec.gov/ix?doc=/Archives/edgar/data/936468/000093646823000017/lmt-20230222.htm" TargetMode="External"/><Relationship Id="rId48" Type="http://schemas.openxmlformats.org/officeDocument/2006/relationships/hyperlink" Target="http://www.sec.gov/ix?doc=/Archives/edgar/data/936468/000093646823000059/lm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2023-05-23T07:44:50Z</dcterms:created>
  <dcterms:modified xsi:type="dcterms:W3CDTF">2023-05-23T07:44:50Z</dcterms:modified>
</cp:coreProperties>
</file>