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197485</wp:posOffset>
            </wp:positionV>
            <wp:extent cx="1174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147955</wp:posOffset>
            </wp:positionV>
            <wp:extent cx="1174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left="2320"/>
        <w:spacing w:after="0" w:line="265" w:lineRule="auto"/>
        <w:rPr>
          <w:sz w:val="20"/>
          <w:szCs w:val="20"/>
          <w:color w:val="auto"/>
        </w:rPr>
      </w:pPr>
      <w:r>
        <w:rPr>
          <w:rFonts w:ascii="Times New Roman" w:cs="Times New Roman" w:eastAsia="Times New Roman" w:hAnsi="Times New Roman"/>
          <w:sz w:val="22"/>
          <w:szCs w:val="22"/>
          <w:b w:val="1"/>
          <w:bCs w:val="1"/>
          <w:color w:val="auto"/>
        </w:rPr>
        <w:t>FOR ANNUAL REPORTS OF EMPLOYEE STOCK PURCHASE, SAVINGS AND SIMILAR PLANS PURSUANT TO SECTION 15(d) OF THE SECURITIES EXCHANGE ACT OF 1934</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9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6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131445</wp:posOffset>
            </wp:positionV>
            <wp:extent cx="1174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Full title of the plan and the address of the plan, if different from that of the issuer named below:</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OPERATIONS SUPPORT SAVINGS PLAN</w:t>
      </w:r>
    </w:p>
    <w:p>
      <w:pPr>
        <w:spacing w:after="0" w:line="207" w:lineRule="exact"/>
        <w:rPr>
          <w:sz w:val="24"/>
          <w:szCs w:val="24"/>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6801 Rockledge Drive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Bethesda, MD 20817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1356360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6892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r>
      <w:tr>
        <w:trPr>
          <w:trHeight w:val="646"/>
        </w:trPr>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192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Operations Support Savings Plan</w:t>
            </w:r>
          </w:p>
        </w:tc>
        <w:tc>
          <w:tcPr>
            <w:tcW w:w="192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tc>
        <w:tc>
          <w:tcPr>
            <w:tcW w:w="19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2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2"/>
        </w:trPr>
        <w:tc>
          <w:tcPr>
            <w:tcW w:w="60" w:type="dxa"/>
            <w:vAlign w:val="bottom"/>
          </w:tcPr>
          <w:p>
            <w:pPr>
              <w:spacing w:after="0"/>
              <w:rPr>
                <w:sz w:val="23"/>
                <w:szCs w:val="23"/>
                <w:color w:val="auto"/>
              </w:rPr>
            </w:pPr>
          </w:p>
        </w:tc>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40" w:type="dxa"/>
            <w:vAlign w:val="bottom"/>
            <w:gridSpan w:val="4"/>
          </w:tcPr>
          <w:p>
            <w:pPr>
              <w:spacing w:after="0"/>
              <w:rPr>
                <w:sz w:val="23"/>
                <w:szCs w:val="23"/>
                <w:color w:val="auto"/>
              </w:rPr>
            </w:pPr>
          </w:p>
        </w:tc>
        <w:tc>
          <w:tcPr>
            <w:tcW w:w="19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1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7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2"/>
        </w:trPr>
        <w:tc>
          <w:tcPr>
            <w:tcW w:w="60" w:type="dxa"/>
            <w:vAlign w:val="bottom"/>
          </w:tcPr>
          <w:p>
            <w:pPr>
              <w:spacing w:after="0"/>
              <w:rPr>
                <w:sz w:val="23"/>
                <w:szCs w:val="23"/>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92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1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826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0" w:type="dxa"/>
            <w:vAlign w:val="bottom"/>
          </w:tcPr>
          <w:p>
            <w:pPr>
              <w:spacing w:after="0"/>
              <w:rPr>
                <w:sz w:val="20"/>
                <w:szCs w:val="20"/>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485"/>
        </w:trPr>
        <w:tc>
          <w:tcPr>
            <w:tcW w:w="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Support Savings Plan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Lockheed Martin Corporation Operations Support Savings Plan (the Plan) as of December 31, 2025 and 2024, the related statement of changes in net assets available for benefits for the year ended December 31, 2025, and the related notes and schedule (collectively referred to as the financial statements).</w:t>
      </w:r>
    </w:p>
    <w:p>
      <w:pPr>
        <w:spacing w:after="0" w:line="20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as of year end)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69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Operations Support Savings Plan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Statements of Net Assets Available for Benefits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99"/>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4"/>
                <w:szCs w:val="24"/>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 Lockheed Martin Corporation Defined Contribution Plans Master Trust: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352,036</w:t>
            </w:r>
          </w:p>
        </w:tc>
      </w:tr>
      <w:tr>
        <w:trPr>
          <w:trHeight w:val="230"/>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Investments in fully benefit-responsive investment contracts at contract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35,583</w:t>
            </w:r>
          </w:p>
        </w:tc>
      </w:tr>
      <w:tr>
        <w:trPr>
          <w:trHeight w:val="229"/>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3"/>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389,152</w:t>
            </w:r>
          </w:p>
        </w:tc>
      </w:tr>
      <w:tr>
        <w:trPr>
          <w:trHeight w:val="216"/>
        </w:trPr>
        <w:tc>
          <w:tcPr>
            <w:tcW w:w="82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8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804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4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Operations Support Savings Plan</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Benefits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12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8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9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389,108</w:t>
            </w:r>
          </w:p>
        </w:tc>
        <w:tc>
          <w:tcPr>
            <w:tcW w:w="0" w:type="dxa"/>
            <w:vAlign w:val="bottom"/>
          </w:tcPr>
          <w:p>
            <w:pPr>
              <w:spacing w:after="0"/>
              <w:rPr>
                <w:sz w:val="1"/>
                <w:szCs w:val="1"/>
                <w:color w:val="auto"/>
              </w:rPr>
            </w:pPr>
          </w:p>
        </w:tc>
      </w:tr>
      <w:tr>
        <w:trPr>
          <w:trHeight w:val="209"/>
        </w:trPr>
        <w:tc>
          <w:tcPr>
            <w:tcW w:w="9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Additions to net assets: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Contributions: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Participant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9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Employer</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3"/>
        </w:trPr>
        <w:tc>
          <w:tcPr>
            <w:tcW w:w="9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contributions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175"/>
        </w:trPr>
        <w:tc>
          <w:tcPr>
            <w:tcW w:w="932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Interest in net investment gain from participation in Lockheed Martin Corporation Defined Contribution Plans Master</w:t>
            </w: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3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Trust</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44,824</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9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additions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46,093</w:t>
            </w:r>
          </w:p>
        </w:tc>
        <w:tc>
          <w:tcPr>
            <w:tcW w:w="0" w:type="dxa"/>
            <w:vAlign w:val="bottom"/>
          </w:tcPr>
          <w:p>
            <w:pPr>
              <w:spacing w:after="0"/>
              <w:rPr>
                <w:sz w:val="1"/>
                <w:szCs w:val="1"/>
                <w:color w:val="auto"/>
              </w:rPr>
            </w:pPr>
          </w:p>
        </w:tc>
      </w:tr>
      <w:tr>
        <w:trPr>
          <w:trHeight w:val="257"/>
        </w:trPr>
        <w:tc>
          <w:tcPr>
            <w:tcW w:w="93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Distributions and withdrawals</w:t>
            </w:r>
          </w:p>
        </w:tc>
        <w:tc>
          <w:tcPr>
            <w:tcW w:w="1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39,643</w:t>
            </w:r>
          </w:p>
        </w:tc>
        <w:tc>
          <w:tcPr>
            <w:tcW w:w="0" w:type="dxa"/>
            <w:vAlign w:val="bottom"/>
          </w:tcPr>
          <w:p>
            <w:pPr>
              <w:spacing w:after="0"/>
              <w:rPr>
                <w:sz w:val="1"/>
                <w:szCs w:val="1"/>
                <w:color w:val="auto"/>
              </w:rPr>
            </w:pPr>
          </w:p>
        </w:tc>
      </w:tr>
      <w:tr>
        <w:trPr>
          <w:trHeight w:val="230"/>
        </w:trPr>
        <w:tc>
          <w:tcPr>
            <w:tcW w:w="9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9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deductions</w:t>
            </w:r>
          </w:p>
        </w:tc>
        <w:tc>
          <w:tcPr>
            <w:tcW w:w="1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40,202</w:t>
            </w:r>
          </w:p>
        </w:tc>
        <w:tc>
          <w:tcPr>
            <w:tcW w:w="0" w:type="dxa"/>
            <w:vAlign w:val="bottom"/>
          </w:tcPr>
          <w:p>
            <w:pPr>
              <w:spacing w:after="0"/>
              <w:rPr>
                <w:sz w:val="1"/>
                <w:szCs w:val="1"/>
                <w:color w:val="auto"/>
              </w:rPr>
            </w:pPr>
          </w:p>
        </w:tc>
      </w:tr>
      <w:tr>
        <w:trPr>
          <w:trHeight w:val="257"/>
        </w:trPr>
        <w:tc>
          <w:tcPr>
            <w:tcW w:w="932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Change in net assets</w:t>
            </w:r>
          </w:p>
        </w:tc>
        <w:tc>
          <w:tcPr>
            <w:tcW w:w="180" w:type="dxa"/>
            <w:vAlign w:val="bottom"/>
          </w:tcPr>
          <w:p>
            <w:pPr>
              <w:spacing w:after="0"/>
              <w:rPr>
                <w:sz w:val="19"/>
                <w:szCs w:val="19"/>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5,891</w:t>
            </w:r>
          </w:p>
        </w:tc>
        <w:tc>
          <w:tcPr>
            <w:tcW w:w="0" w:type="dxa"/>
            <w:vAlign w:val="bottom"/>
          </w:tcPr>
          <w:p>
            <w:pPr>
              <w:spacing w:after="0"/>
              <w:rPr>
                <w:sz w:val="1"/>
                <w:szCs w:val="1"/>
                <w:color w:val="auto"/>
              </w:rPr>
            </w:pPr>
          </w:p>
        </w:tc>
      </w:tr>
      <w:tr>
        <w:trPr>
          <w:trHeight w:val="257"/>
        </w:trPr>
        <w:tc>
          <w:tcPr>
            <w:tcW w:w="9320" w:type="dxa"/>
            <w:vAlign w:val="bottom"/>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394,999</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8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Operations Support Savings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0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following description of the Lockheed Martin Corporation Operations Support Savings Plan (the Plan) provides only general information about the Plan’s provisions. Participants should refer to the Plan document and Summary Plan Description for a more complete description of the Plan’s provisions.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covering full-time employees and eligible part-time employees of certain business units of Lockheed Martin Corporation (Lockheed Martin or the Corporation) and employees of certain collectively bargained groups. Employees in participating business units who are scheduled to work 20 hours or more per week are immediately eligible to participate in the Plan.</w:t>
      </w:r>
    </w:p>
    <w:p>
      <w:pPr>
        <w:spacing w:after="0" w:line="1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Plan includes an Employee Stock Ownership Plan (ESOP) feature. Cash dividends paid on Lockheed Martin common stock in both the ESOP Fund and the Lockheed Martin Stock Fund are automatically reinvested in those funds, unless the participant elects to receive the dividend directly as taxable income.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of the Plan, excluding receivables, are held and invested on a commingled basis in the Lockheed Martin Corporation Defined Contribution Plans Master Trust (the Master Trust) under an agreement between Lockheed Martin and State Street Bank and Trust Company (the Trustee). The record keeper is Empower. Lockheed Martin is the Plan Sponsor and the Plan Administrator.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Plan allows participants to make contributions on a before-tax, after-tax, or Roth 401(k) basis. Each calendar year, eligible participants can make contributions of up to 25% of the employee’s base pay, subject to regulatory limitations. If automatically enrolled, a participant’s contribution is set at 3% of eligible compensation in before-tax contributions. The Plan has an auto-escalation feature whereby contributions for those automatically enrolled are increased 1% each calendar year, up to 6% unless changed by the participant. The Plan permits catch-up contributions for participants turning age 50 or older by the end of the calendar year. Catch-up contributions are not eligible for Company matching contributions. The Corporation may provide a matching contribution of up to 4% of participant’s base salary, depending on the participant’s business unit and/or the contract on which the participant works, or the terms of the applicable collective bargaining agreement. Additionally, the Corporation may designate an additional amount equal to a percentage of each participant's base pay as available for contribution to the Pan on a pre-tax basis as determined based upon the particular contract on which the participant works or the terms of the applicable collective bargaining agreement. The amount of this contribution is determined annually by the Corporation or established by the terms of the applicable collective bargaining agreement. Participants are immediately vested in all employer contributions.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Contributions may be invested in one or more of the available investment funds at the participant’s election. Participants may change the investment mix of their account balance up to 6 times per calendar quarter. Participants may make an unlimited number of transfers out of the Lockheed Martin Stock Fund or the ESOP Fund.</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 option available to participants is the self-directed brokerage account (SDBA), whereby a participant may elect to invest the participant’s transferable account balance in stocks, mutual funds, bonds, or other investments of the participant’s choosing. A participant’s initial transfer to the SDBA must be at least $500, and subsequent transfers must be at least $500. No distributions, withdrawals, or loans may be made directly from the assets in the SDBA, unless the participant requests a lump sum distribution after termination of employment.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the employer’s matching and non-elective contributions, as applicable, and the respective investment earnings or losses, less expenses, of the individual funds in which the account is invested.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Participants may borrow from their total account balance a minimum of $500 and up to a maximum amount equal to the lesser of 50% of their account balance or $50,000 (minus their highest outstanding loan balance from the past 12 months, if any). The loans are secured by the balance in the participant’s account and bear interest of 1% over a published prime rate. Principal and interest are paid ratably through weekly payroll deductions. Notes receivable from participants are measured at their unpaid principal balance plus any accrued but unpaid interest.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termination of service due to death, disability or retirement, a participant or beneficiary may elect to receive his or her account balance through a number of payout options. A participant is entitled to the account balance at the time his or her employment with the Corporation 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Board of Directors of Lockheed Martin has the right to amend, suspend or terminate the Plan at any time, subject to the provisions of the Employee Retirement Income Security Act of 1974 (ERISA). In the event of Plan termination, participants will receive a payment equal to the total value of their accounts.</w:t>
      </w:r>
    </w:p>
    <w:p>
      <w:pPr>
        <w:spacing w:after="0" w:line="172" w:lineRule="exact"/>
        <w:rPr>
          <w:sz w:val="20"/>
          <w:szCs w:val="20"/>
          <w:color w:val="auto"/>
        </w:rPr>
      </w:pPr>
    </w:p>
    <w:p>
      <w:pPr>
        <w:ind w:right="7620" w:firstLine="48"/>
        <w:spacing w:after="0" w:line="464" w:lineRule="auto"/>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spacing w:after="0"/>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 of assets and liabilities and changes therein, and disclosure of contingent assets and liabilities.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Investments in the Master Trust are primarily reported at fair value. Fair value is the price that would have been received to sell an asset or paid to transfer a liability in an orderly transaction between market participants at the measurement date. Fully benefit-responsive investment contracts are reported at contract value. Contract value is the relevant measurement attributable to fully benefit-responsive investment contracts because it is the amount participants would receive if they were to initiate permitted transactions under the terms of the Plan. The contract value represents contributions plus earnings, less participant withdrawals and administrative expenses. See Note 3 for discussion of fair value measurements and fully benefit-responsive investment contracts.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Purchases and sales of securities in the Master Trust are recorded on a trade-date basis. Interest income is recorded on the accrual basis. Dividends are recorded on the ex-dividend date. Gains and losses on investments bought and sold as well as held during the year are included in interest in net investment gains from the Master Trust on the Statement of Changes in Net Assets Available for Benefits. Interest income on notes receivable from participants is recorded on the accrual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Direct administrative expenses are paid by the Master Trust and generally allocated to the Plan proportionally based on the Plan’s interest in the Master Trust’s net assets or directly if specifically related to the Plan. Certain indirect administrative expenses are paid by the Corporation and are excluded from these financial statements. Expenses paid by the Plan are shown on the Statement of Changes in Net Assets Available for Benefits.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00" w:firstLine="48"/>
        <w:spacing w:after="0" w:line="464" w:lineRule="auto"/>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General</w:t>
      </w:r>
    </w:p>
    <w:p>
      <w:pPr>
        <w:spacing w:after="0" w:line="257" w:lineRule="auto"/>
        <w:rPr>
          <w:sz w:val="20"/>
          <w:szCs w:val="20"/>
          <w:color w:val="auto"/>
        </w:rPr>
      </w:pPr>
      <w:r>
        <w:rPr>
          <w:rFonts w:ascii="Times New Roman" w:cs="Times New Roman" w:eastAsia="Times New Roman" w:hAnsi="Times New Roman"/>
          <w:sz w:val="18"/>
          <w:szCs w:val="18"/>
          <w:color w:val="auto"/>
        </w:rPr>
        <w:t>The Plan’s interest in the Master Trust is stated at the value of the underlying net assets in the Master Trust. The realized and unrealized gains and losses and investment income of the Master Trust are allocated among the participating plans included therein proportionally based on each plan’s earnings, which include unrealized gains and losses, investment income and plan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Plan’s interest in the Master Trust balance as of December 31, 2025 and 2024 (in thousands):</w:t>
      </w:r>
    </w:p>
    <w:p>
      <w:pPr>
        <w:spacing w:after="0" w:line="10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c>
          <w:tcPr>
            <w:tcW w:w="25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Master Trust</w:t>
            </w:r>
          </w:p>
        </w:tc>
        <w:tc>
          <w:tcPr>
            <w:tcW w:w="134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Plan’s Interest</w:t>
            </w:r>
          </w:p>
        </w:tc>
        <w:tc>
          <w:tcPr>
            <w:tcW w:w="100" w:type="dxa"/>
            <w:vAlign w:val="bottom"/>
          </w:tcPr>
          <w:p>
            <w:pPr>
              <w:spacing w:after="0"/>
              <w:rPr>
                <w:sz w:val="16"/>
                <w:szCs w:val="16"/>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Master Trust</w:t>
            </w:r>
          </w:p>
        </w:tc>
        <w:tc>
          <w:tcPr>
            <w:tcW w:w="1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Plan’s Interest</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in Master Trust</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8"/>
              </w:rPr>
              <w:t>in Master Trust</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0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81,029</w:t>
            </w:r>
          </w:p>
        </w:tc>
        <w:tc>
          <w:tcPr>
            <w:tcW w:w="0" w:type="dxa"/>
            <w:vAlign w:val="bottom"/>
          </w:tcPr>
          <w:p>
            <w:pPr>
              <w:spacing w:after="0"/>
              <w:rPr>
                <w:sz w:val="1"/>
                <w:szCs w:val="1"/>
                <w:color w:val="auto"/>
              </w:rPr>
            </w:pPr>
          </w:p>
        </w:tc>
      </w:tr>
      <w:tr>
        <w:trPr>
          <w:trHeight w:val="229"/>
        </w:trPr>
        <w:tc>
          <w:tcPr>
            <w:tcW w:w="52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0" w:type="dxa"/>
            <w:vAlign w:val="bottom"/>
          </w:tcPr>
          <w:p>
            <w:pPr>
              <w:spacing w:after="0"/>
              <w:rPr>
                <w:sz w:val="1"/>
                <w:szCs w:val="1"/>
                <w:color w:val="auto"/>
              </w:rPr>
            </w:pPr>
          </w:p>
        </w:tc>
      </w:tr>
      <w:tr>
        <w:trPr>
          <w:trHeight w:val="229"/>
        </w:trPr>
        <w:tc>
          <w:tcPr>
            <w:tcW w:w="52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line="223" w:lineRule="exact"/>
              <w:rPr>
                <w:sz w:val="20"/>
                <w:szCs w:val="20"/>
                <w:color w:val="auto"/>
              </w:rPr>
            </w:pPr>
            <w:r>
              <w:rPr>
                <w:rFonts w:ascii="Times New Roman" w:cs="Times New Roman" w:eastAsia="Times New Roman" w:hAnsi="Times New Roman"/>
                <w:sz w:val="18"/>
                <w:szCs w:val="18"/>
                <w:color w:val="auto"/>
              </w:rPr>
              <w:t xml:space="preserve">Total investments at fair value </w:t>
            </w:r>
            <w:r>
              <w:rPr>
                <w:rFonts w:ascii="Times New Roman" w:cs="Times New Roman" w:eastAsia="Times New Roman" w:hAnsi="Times New Roman"/>
                <w:sz w:val="23"/>
                <w:szCs w:val="23"/>
                <w:color w:val="auto"/>
                <w:vertAlign w:val="superscript"/>
              </w:rPr>
              <w:t>(c)(d)</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348,289</w:t>
            </w:r>
          </w:p>
        </w:tc>
        <w:tc>
          <w:tcPr>
            <w:tcW w:w="0" w:type="dxa"/>
            <w:vAlign w:val="bottom"/>
          </w:tcPr>
          <w:p>
            <w:pPr>
              <w:spacing w:after="0"/>
              <w:rPr>
                <w:sz w:val="1"/>
                <w:szCs w:val="1"/>
                <w:color w:val="auto"/>
              </w:rPr>
            </w:pPr>
          </w:p>
        </w:tc>
      </w:tr>
      <w:tr>
        <w:trPr>
          <w:trHeight w:val="324"/>
        </w:trPr>
        <w:tc>
          <w:tcPr>
            <w:tcW w:w="5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4,887,387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35,583</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and dividends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(e)</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payables </w:t>
            </w:r>
            <w:r>
              <w:rPr>
                <w:rFonts w:ascii="Times New Roman" w:cs="Times New Roman" w:eastAsia="Times New Roman" w:hAnsi="Times New Roman"/>
                <w:sz w:val="23"/>
                <w:szCs w:val="23"/>
                <w:color w:val="auto"/>
                <w:vertAlign w:val="superscript"/>
              </w:rPr>
              <w:t>(e)</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line="223" w:lineRule="exact"/>
              <w:rPr>
                <w:sz w:val="20"/>
                <w:szCs w:val="20"/>
                <w:color w:val="auto"/>
              </w:rPr>
            </w:pPr>
            <w:r>
              <w:rPr>
                <w:rFonts w:ascii="Times New Roman" w:cs="Times New Roman" w:eastAsia="Times New Roman" w:hAnsi="Times New Roman"/>
                <w:sz w:val="18"/>
                <w:szCs w:val="18"/>
                <w:color w:val="auto"/>
              </w:rPr>
              <w:t xml:space="preserve">Total net assets </w:t>
            </w:r>
            <w:r>
              <w:rPr>
                <w:rFonts w:ascii="Times New Roman" w:cs="Times New Roman" w:eastAsia="Times New Roman" w:hAnsi="Times New Roman"/>
                <w:sz w:val="23"/>
                <w:szCs w:val="23"/>
                <w:color w:val="auto"/>
                <w:vertAlign w:val="superscript"/>
              </w:rPr>
              <w:t>(d)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60,409,112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398,229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55,985,178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383,977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2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157" w:lineRule="exact"/>
        <w:rPr>
          <w:rFonts w:ascii="Arial" w:cs="Arial" w:eastAsia="Arial" w:hAnsi="Arial"/>
          <w:sz w:val="23"/>
          <w:szCs w:val="23"/>
          <w:color w:val="auto"/>
          <w:vertAlign w:val="superscript"/>
        </w:rPr>
      </w:pPr>
    </w:p>
    <w:p>
      <w:pPr>
        <w:ind w:left="340" w:right="60" w:hanging="332"/>
        <w:spacing w:after="0" w:line="239" w:lineRule="auto"/>
        <w:tabs>
          <w:tab w:leader="none" w:pos="335"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Plan’s reported total investments at fair value as of December 31, 2025 and 2024 has a variance of $4.4 million and $(3.7) million, respectively, to the reported Interest in Lockheed Martin Corporation Defined Contribution Plans Master Trust of Investments at fair value on the Statements of Net Assets Available for Benefits (see page 3). These amounts are the net result between certain accruals recorded by either the Master Trust or the Plan separately at year-end.</w:t>
      </w:r>
    </w:p>
    <w:p>
      <w:pPr>
        <w:spacing w:after="0" w:line="157" w:lineRule="exact"/>
        <w:rPr>
          <w:rFonts w:ascii="Times New Roman" w:cs="Times New Roman" w:eastAsia="Times New Roman" w:hAnsi="Times New Roman"/>
          <w:sz w:val="23"/>
          <w:szCs w:val="23"/>
          <w:color w:val="auto"/>
          <w:vertAlign w:val="superscript"/>
        </w:rPr>
      </w:pPr>
    </w:p>
    <w:p>
      <w:pPr>
        <w:ind w:left="340" w:right="100" w:hanging="332"/>
        <w:spacing w:after="0" w:line="235"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investments at fair value and total net assets on the Master Trust’s balance included $1.7 million and $1.5 million of the Allcomp Inc. 401(k) Profit Sharing Plan balance as of December 31, 2025 and 2024, respectively. Effective April 19, 2022, this Plan became a participating plan in the Master Trust. Since the Plan has less than 100 participants, an audit is not required and accordingly financial statements were not prepared.</w:t>
      </w:r>
    </w:p>
    <w:p>
      <w:pPr>
        <w:spacing w:after="0" w:line="142"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unsettled trades, other receivables/payables, market values on foreign currency, other cash positions on futures.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Plan, through the Master Trust, invests in the Lockheed Martin Investment Management Company (LMIMCo) Stable Value Fund which holds synthetic guaranteed investment contracts (synthetic GICs) that are fully benefit-responsive and managed separate accounts. A synthetic GIC, also known as a wrap contract, is an investment contract issued by an insurance company or other financial institution paired with an underlying investment or investments, usually a portfolio of high quality fixed income securities. These investment contracts provide the realized and unrealized gains and losses on the underlying investments that are amortized over the duration of the underlying investments through adjustments to the future interest-crediting rates. The primary factors affecting the future interest-crediting rates of the wrap contracts include the level of market interest rates, the amount and timing of participant contributions, transfers, and withdrawals into or out of the wrap contracts, the investment returns generated by the investments that back the wrap contracts, and the duration of the underlying investments covered by the wrap contracts. The future interest-crediting rates may not be less than 0% and are adjusted monthly or quarterly based on the yield to maturity of the underlying investments, a market value to contract value ratio of the underlying investments, and the durations of the underlying investments. The contracts are fully benefit-responsive, which guarantees that all qualified participant withdrawals will occur at contract value.</w:t>
      </w:r>
    </w:p>
    <w:p>
      <w:pPr>
        <w:spacing w:after="0" w:line="1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certain circumstances, the amount withdrawn from the investment contract would be payable at fair value rather than at contract value. These events include termination of the Plan, a material adverse change to the provisions of the Plan, a withdrawal from a wrap contract in order to switch to a different investment provider, or adoption of a successor plan that does not meet the wrap contract issuer’s underwriting criteria for issuance of a duplicate wrap contract. The Plan Administrator does not believe that the occurrence of any of these events is probable. Also, the following events would permit the contract issuers to terminate the contracts prior to their scheduled maturity date: the Plan’s loss of its qualified status, uncured material breaches of responsibilities, or material and adverse changes to the provisions of the Plan. If one of these events were to occur, the contract issuer could terminate the contract at the fair value of the underlying investments.</w:t>
      </w:r>
    </w:p>
    <w:p>
      <w:pPr>
        <w:spacing w:after="0" w:line="16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 Master Trust invests in a Government Short-Term Investment Fund, consisting of U.S. Treasury obligations and commercial paper, which is used as a temporary investment to hold contributions from the day the cash is transferred from the Corporation to the Trustee until the day the cash is invested in a particular fund. The related earnings from the Government Short-Term Investment Fund are used to pay certain expenses related to participant accounts.</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order to provide appropriate liquidity to meet ongoing daily cash outflow requirements for the Lockheed Martin Stock Fund, ESOP Fund, and the other investment funds that are investment alternatives for the Plan that are beneficiaries of the Master Trust, the Master Trust may be able to receive advances from the LMIMCo Stable Value Fund or the Corporation. The LMIMCo Stable Value Fund may make an advance only after considering its own liquidity needs. Any investment fund that receives an advance will compensate the LMIMCo Stable Value Fund for income lost due to any such advance by paying interest on such advance. The interest is compounded daily based on an annual rate equal to the interest crediting rate of the short-term investment portion of the LMIMCo Stable Value Fund. The Lockheed Martin Stock Fund and ESOP Fund may borrow, without interest, up to $200 million from the Corporation, as evidenced by a promissory note, which requires repayment within three business days after the advance. As of December 31, 2025 and 2024, there were no such advances payable to the Corporation. Occasionally, the Master Trust invests in derivative financial instruments for liquidity or asset allocation purposes. As of December 31, 2025 and 2024, there were no material investments in derivatives.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Assets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market-based framework or hierarchy for measuring fair value, and requires disclosures regarding fair value measurements. The standard is applicable whenever assets and liabilities are measured and included in the financial statements at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established in the standard prioritizes the inputs used in valuation techniques into three levels as follows:</w:t>
      </w:r>
    </w:p>
    <w:p>
      <w:pPr>
        <w:spacing w:after="0" w:line="185" w:lineRule="exact"/>
        <w:rPr>
          <w:sz w:val="20"/>
          <w:szCs w:val="20"/>
          <w:color w:val="auto"/>
        </w:rPr>
      </w:pPr>
    </w:p>
    <w:p>
      <w:pPr>
        <w:ind w:left="340" w:hanging="29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ind w:left="460" w:hanging="412"/>
        <w:spacing w:after="0" w:line="312" w:lineRule="auto"/>
        <w:tabs>
          <w:tab w:leader="none" w:pos="34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Level 1 prices, such as quoted prices for similar instruments in active markets, quoted prices for identical or similar instruments in inactive markets, and amounts derived from valuation models where all significant inputs are observable in active markets; and</w:t>
      </w:r>
    </w:p>
    <w:p>
      <w:pPr>
        <w:spacing w:after="0" w:line="99" w:lineRule="exact"/>
        <w:rPr>
          <w:rFonts w:ascii="Times New Roman" w:cs="Times New Roman" w:eastAsia="Times New Roman" w:hAnsi="Times New Roman"/>
          <w:sz w:val="17"/>
          <w:szCs w:val="17"/>
          <w:color w:val="auto"/>
        </w:rPr>
      </w:pPr>
    </w:p>
    <w:p>
      <w:pPr>
        <w:ind w:left="460" w:right="20" w:hanging="412"/>
        <w:spacing w:after="0" w:line="282" w:lineRule="auto"/>
        <w:tabs>
          <w:tab w:leader="none" w:pos="2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valuation models are supported by little or no market activity that one or more significant inputs are unobservable and require us to develop relevant assumptions.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656,715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r>
      <w:tr>
        <w:trPr>
          <w:trHeight w:val="230"/>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r>
      <w:tr>
        <w:trPr>
          <w:trHeight w:val="223"/>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24,052,295</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31,444,086</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55,496,381</w:t>
            </w:r>
          </w:p>
        </w:tc>
      </w:tr>
      <w:tr>
        <w:trPr>
          <w:trHeight w:val="230"/>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29"/>
        </w:trPr>
        <w:tc>
          <w:tcPr>
            <w:tcW w:w="6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4,887,387</w:t>
            </w:r>
          </w:p>
        </w:tc>
      </w:tr>
      <w:tr>
        <w:trPr>
          <w:trHeight w:val="248"/>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60,409,112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dividend income earned by the Master Trust for the year ended December 31, 2025 was $764.0 million. The net appreciation for the year ended December 31, 2025 was $6.1 billion.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r>
      <w:tr>
        <w:trPr>
          <w:trHeight w:val="223"/>
        </w:trPr>
        <w:tc>
          <w:tcPr>
            <w:tcW w:w="6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22,460,872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28,517,456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50,978,328</w:t>
            </w:r>
          </w:p>
        </w:tc>
      </w:tr>
      <w:tr>
        <w:trPr>
          <w:trHeight w:val="230"/>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r>
      <w:tr>
        <w:trPr>
          <w:trHeight w:val="230"/>
        </w:trPr>
        <w:tc>
          <w:tcPr>
            <w:tcW w:w="6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4,991,458</w:t>
            </w:r>
          </w:p>
        </w:tc>
      </w:tr>
      <w:tr>
        <w:trPr>
          <w:trHeight w:val="248"/>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55,985,178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13"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equivalents and short-term investment funds categorized as Level 1 are mostly comprised of short-term money-market instruments and are valued at cost, which approximates fair value. Cash equivalents and short-term investment funds categorized as Level 2 are short-term government securities consisting of U.S. Treasuries and U.S. agency issues.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Common and preferred stocks categorized as Level 1 are traded on active national and international exchanges and are valued at closing prices on the last trading day of the year. For common and preferred stocks not traded on an active exchange, or if the closing price is not available, the Trustee obtains indicative quotes from a pricing vendor, broker or investment manager. These stocks are categorized as Level 2 if the custodian obtains corroborated quotes from a pricing vendor.</w:t>
      </w:r>
    </w:p>
    <w:p>
      <w:pPr>
        <w:spacing w:after="0" w:line="15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Common/collective trusts (CCTs) and registered investment companies (e.g., mutual funds, exchange-traded funds (ETFs), etc.) are investment vehicles valued using the Net Asset Value (NAV) provided by the fund managers. The NAV is the total value of the fund divided by the number of shares outstanding and is based on the fair value of underlying investments held by the CCTs. CCTs are</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traded at NAV, determined daily or monthly. CCTs are categorized as Level 2 because the NAVs, although readily determinable, are not published on an active exchange nor publicly available. Registered investment companies are traded at NAV, determined and published daily, and are categorized as Level 1 or categorized as Level 2 if the NAVs, although readily determinable, are not published on an active exchange nor publicly available.</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debt securities, U.S. Government securities and other investments categorized as Level 2 are valued by the Trustee using pricing models that use verifiable observable market data (e.g., interest rates and yield curves observable at commonly quoted intervals), bids provided by brokers or dealers, or quoted prices of securities with similar characteristics. The Trustee obtains pricing based on indicative quotes or bid evaluations from vendors, brokers or the investment manager.</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SDBA investments categorized as Level 1 are primarily cash equivalents, common stock, ETFs, and mutual funds. As of December 31, 2025 and 2024, this account included Lockheed Martin common stock of $18.2 million and $16.7 million, respectively.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management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Parties-in-Interest Transactions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Plan makes certain investments through the Master Trust, which are considered to be party-in-interest transactions for which a statutory exemption from the prohibited transaction regulation exists.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Master Trust held 23,515,534 and 24,895,062 shares of the Corporation’s common stock as of December 31, 2025 and 2024, respectively. Dividends earned by the Master Trust on the Corporation’s common stock were $322.1 million for the year ended December 31, 2025.</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Master Trust engages certain divisions of State Street Corporation for different services. State Street Bank and Trust Company is engaged by the Master Trust as its trustee and to provide custodial services. State Street Global Markets, LLC provides brokerage services while State Street Global Advisors (SSgA) provides investment management and is an independent fiduciary for the Company Stock Fund and the ESOP Fund. Additionally, SSgA manages the money market portfolio of the LMIMCo Stable Value Fund and the Master Trust uses the State Street Government Short Term Investment Fund (managed by SSgA) as its sweep vehicle.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Master Trust invests in common stock from Charles Schwab Corporation, who provides the brokerage services for the SDBA investment option under the Plan.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Master Trust owed the Corporation $6.0 million and $6.3 million as of December 31, 2025 and 2024, respectively, for certain expenses paid by the Corporation in providing services to the Plan and certain other plans.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notes receivable from participants are considered to be party-in-interest transactions for which a statutory exemption from the prohibited transaction regulation exists.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Income Tax Status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Corporation by letter dated October 23, 2013, that the Plan is designed in accordance with applicable sections of the Internal Revenue Code (IRC) and, therefore, the related trust is exempt from taxation. Under current IRS determination letter procedures, there is no opportunity for the Plan to obtain a more recent letter from the IRS. The Plan has been amended since issuance of the determination letter. However, the Plan Administrator and the Corporation’s counsel believe that the current design and operations of the Plan are in compliance with the applicable provisions of the IRC.</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GAAP requires management to evaluate tax positions taken by the Plan to determine whether the Plan has taken any uncertain positions that more likely than not would not be sustained upon examination by the IRS. The Plan Administrator has analyzed the tax positions taken by the Plan, and has concluded that as of December 31, 2025, there were no uncertain positions taken or expected to be taken that would require recognition of a liability or asset or disclosure in the financial statements. The Plan is subject to routine audits by taxing jurisdictions, but no tax audits are in progress. The Plan Administrator believes the Plan is no longer subject to income tax examinations for years prior to 2022.</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changes in net assets available for benefits for the year ended December 31, 2025, per the financial statements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5500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 per</w:t>
            </w:r>
          </w:p>
        </w:tc>
        <w:tc>
          <w:tcPr>
            <w:tcW w:w="300" w:type="dxa"/>
            <w:vAlign w:val="bottom"/>
            <w:shd w:val="clear" w:color="auto" w:fill="CCEEFF"/>
          </w:tcPr>
          <w:p>
            <w:pPr>
              <w:spacing w:after="0"/>
              <w:rPr>
                <w:sz w:val="21"/>
                <w:szCs w:val="21"/>
                <w:color w:val="auto"/>
              </w:rPr>
            </w:pPr>
          </w:p>
        </w:tc>
        <w:tc>
          <w:tcPr>
            <w:tcW w:w="136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Amounts per Form</w:t>
            </w: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net investment gain of master trust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44,402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differences arose from the classification of certain administrative expenses, interest income on notes receivable from participants, which are included in the net investment gain in the Master Trust for Form 5500 reporting purposes.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Lockheed Martin Corporation Operations Support Savings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Employer Identification Number 52-1893632, Plan Number 033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5500, Schedule H, Line 4i – Schedule of Assets (Held at End of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(b)</w:t>
            </w:r>
          </w:p>
        </w:tc>
        <w:tc>
          <w:tcPr>
            <w:tcW w:w="5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center"/>
              <w:ind w:right="204"/>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53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Description of Investment, Including Maturity Date,</w:t>
            </w:r>
          </w:p>
        </w:tc>
        <w:tc>
          <w:tcPr>
            <w:tcW w:w="180" w:type="dxa"/>
            <w:vAlign w:val="bottom"/>
          </w:tcPr>
          <w:p>
            <w:pPr>
              <w:spacing w:after="0"/>
              <w:rPr>
                <w:sz w:val="12"/>
                <w:szCs w:val="12"/>
                <w:color w:val="auto"/>
              </w:rPr>
            </w:pPr>
          </w:p>
        </w:tc>
        <w:tc>
          <w:tcPr>
            <w:tcW w:w="980" w:type="dxa"/>
            <w:vAlign w:val="bottom"/>
            <w:gridSpan w:val="3"/>
            <w:vMerge w:val="restart"/>
          </w:tcPr>
          <w:p>
            <w:pPr>
              <w:jc w:val="center"/>
              <w:ind w:right="510"/>
              <w:spacing w:after="0"/>
              <w:rPr>
                <w:sz w:val="20"/>
                <w:szCs w:val="20"/>
                <w:color w:val="auto"/>
              </w:rPr>
            </w:pPr>
            <w:r>
              <w:rPr>
                <w:rFonts w:ascii="Times New Roman" w:cs="Times New Roman" w:eastAsia="Times New Roman" w:hAnsi="Times New Roman"/>
                <w:sz w:val="14"/>
                <w:szCs w:val="14"/>
                <w:color w:val="auto"/>
              </w:rPr>
              <w:t>(d)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w:t>
            </w:r>
          </w:p>
        </w:tc>
        <w:tc>
          <w:tcPr>
            <w:tcW w:w="3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Identity of Issue, Borrower, Lessor, or Similar</w:t>
            </w:r>
          </w:p>
        </w:tc>
        <w:tc>
          <w:tcPr>
            <w:tcW w:w="5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Rate of</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98"/>
        </w:trPr>
        <w:tc>
          <w:tcPr>
            <w:tcW w:w="440" w:type="dxa"/>
            <w:vAlign w:val="bottom"/>
            <w:gridSpan w:val="2"/>
            <w:vMerge w:val="continue"/>
          </w:tcPr>
          <w:p>
            <w:pPr>
              <w:spacing w:after="0"/>
              <w:rPr>
                <w:sz w:val="17"/>
                <w:szCs w:val="17"/>
                <w:color w:val="auto"/>
              </w:rPr>
            </w:pPr>
          </w:p>
        </w:tc>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Party</w:t>
            </w:r>
          </w:p>
        </w:tc>
        <w:tc>
          <w:tcPr>
            <w:tcW w:w="5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Interest, Collateral, Par, or Maturity Value</w:t>
            </w:r>
          </w:p>
        </w:tc>
        <w:tc>
          <w:tcPr>
            <w:tcW w:w="180" w:type="dxa"/>
            <w:vAlign w:val="bottom"/>
          </w:tcPr>
          <w:p>
            <w:pPr>
              <w:spacing w:after="0"/>
              <w:rPr>
                <w:sz w:val="17"/>
                <w:szCs w:val="17"/>
                <w:color w:val="auto"/>
              </w:rPr>
            </w:pPr>
          </w:p>
        </w:tc>
        <w:tc>
          <w:tcPr>
            <w:tcW w:w="980" w:type="dxa"/>
            <w:vAlign w:val="bottom"/>
            <w:gridSpan w:val="3"/>
          </w:tcPr>
          <w:p>
            <w:pPr>
              <w:jc w:val="center"/>
              <w:ind w:right="470"/>
              <w:spacing w:after="0"/>
              <w:rPr>
                <w:sz w:val="20"/>
                <w:szCs w:val="20"/>
                <w:color w:val="auto"/>
              </w:rPr>
            </w:pPr>
            <w:r>
              <w:rPr>
                <w:rFonts w:ascii="Times New Roman" w:cs="Times New Roman" w:eastAsia="Times New Roman" w:hAnsi="Times New Roman"/>
                <w:sz w:val="14"/>
                <w:szCs w:val="14"/>
                <w:color w:val="auto"/>
              </w:rPr>
              <w:t>Cost</w:t>
            </w:r>
          </w:p>
        </w:tc>
        <w:tc>
          <w:tcPr>
            <w:tcW w:w="1080" w:type="dxa"/>
            <w:vAlign w:val="bottom"/>
          </w:tcPr>
          <w:p>
            <w:pPr>
              <w:jc w:val="center"/>
              <w:ind w:right="224"/>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8"/>
        </w:trPr>
        <w:tc>
          <w:tcPr>
            <w:tcW w:w="3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00" w:type="dxa"/>
            <w:vAlign w:val="bottom"/>
            <w:tcBorders>
              <w:top w:val="single" w:sz="8" w:color="CCEEFF"/>
            </w:tcBorders>
            <w:shd w:val="clear" w:color="auto" w:fill="CCEEFF"/>
          </w:tcPr>
          <w:p>
            <w:pPr>
              <w:spacing w:after="0"/>
              <w:rPr>
                <w:sz w:val="19"/>
                <w:szCs w:val="19"/>
                <w:color w:val="auto"/>
              </w:rPr>
            </w:pPr>
          </w:p>
        </w:tc>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 ranging from 4.25% to 9.75%; varying maturities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27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for which a statutory exemption exists.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Exhibit</w:t>
      </w:r>
    </w:p>
    <w:p>
      <w:pPr>
        <w:ind w:left="20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30" w:lineRule="exact"/>
        <w:rPr>
          <w:sz w:val="20"/>
          <w:szCs w:val="20"/>
          <w:color w:val="auto"/>
        </w:rPr>
      </w:pPr>
    </w:p>
    <w:p>
      <w:pPr>
        <w:ind w:left="1000" w:hanging="63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Lockheed Martin Corporation, as Plan Administrator, has duly caused this annual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Lockheed Martin Corporation Operations Support Savings Plan, by</w:t>
      </w:r>
    </w:p>
    <w:p>
      <w:pPr>
        <w:ind w:left="5960"/>
        <w:spacing w:after="0"/>
        <w:rPr>
          <w:sz w:val="20"/>
          <w:szCs w:val="20"/>
          <w:color w:val="auto"/>
        </w:rPr>
      </w:pPr>
      <w:r>
        <w:rPr>
          <w:rFonts w:ascii="Times New Roman" w:cs="Times New Roman" w:eastAsia="Times New Roman" w:hAnsi="Times New Roman"/>
          <w:sz w:val="18"/>
          <w:szCs w:val="18"/>
          <w:color w:val="auto"/>
        </w:rPr>
        <w:t>Lockheed Martin Corporation as Plan Administrator</w:t>
      </w:r>
    </w:p>
    <w:p>
      <w:pPr>
        <w:spacing w:after="0" w:line="232"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7"/>
          <w:szCs w:val="17"/>
          <w:color w:val="auto"/>
        </w:rPr>
        <w:t>by: /s/ Nicholas Lossia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Nicholas Lossia</w:t>
      </w:r>
    </w:p>
    <w:p>
      <w:pPr>
        <w:ind w:left="5960"/>
        <w:spacing w:after="0"/>
        <w:rPr>
          <w:sz w:val="20"/>
          <w:szCs w:val="20"/>
          <w:color w:val="auto"/>
        </w:rPr>
      </w:pPr>
      <w:r>
        <w:rPr>
          <w:rFonts w:ascii="Times New Roman" w:cs="Times New Roman" w:eastAsia="Times New Roman" w:hAnsi="Times New Roman"/>
          <w:sz w:val="18"/>
          <w:szCs w:val="18"/>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121" w:right="6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333-237831 and 333-188118) pertaining to the Lockheed Martin Corporation Operations Support Savings Plan of our report dated June 24, 2026, with respect to the financial statements and supplemental schedule of the Lockheed Martin Corporation Operations Support Savings Plan included in this Annual Report (Form 11-K) for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2026-06-24T16:59:18Z</dcterms:created>
  <dcterms:modified xsi:type="dcterms:W3CDTF">2026-06-24T16:59:18Z</dcterms:modified>
</cp:coreProperties>
</file>