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383540</wp:posOffset>
            </wp:positionV>
            <wp:extent cx="70034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UNITED STATES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2885440</wp:posOffset>
            </wp:positionH>
            <wp:positionV relativeFrom="paragraph">
              <wp:posOffset>53340</wp:posOffset>
            </wp:positionV>
            <wp:extent cx="13716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28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2885440</wp:posOffset>
            </wp:positionH>
            <wp:positionV relativeFrom="paragraph">
              <wp:posOffset>79375</wp:posOffset>
            </wp:positionV>
            <wp:extent cx="13716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spacing w:after="0"/>
        <w:rPr>
          <w:sz w:val="20"/>
          <w:szCs w:val="20"/>
          <w:color w:val="auto"/>
        </w:rPr>
      </w:pPr>
      <w:r>
        <w:rPr>
          <w:rFonts w:ascii="Arial" w:cs="Arial" w:eastAsia="Arial" w:hAnsi="Arial"/>
          <w:sz w:val="17"/>
          <w:szCs w:val="17"/>
          <w:color w:val="auto"/>
        </w:rPr>
        <w:t>(Mark One)</w:t>
      </w:r>
    </w:p>
    <w:p>
      <w:pPr>
        <w:spacing w:after="0" w:line="48" w:lineRule="exact"/>
        <w:rPr>
          <w:sz w:val="24"/>
          <w:szCs w:val="24"/>
          <w:color w:val="auto"/>
        </w:rPr>
      </w:pPr>
    </w:p>
    <w:p>
      <w:pPr>
        <w:ind w:left="300" w:hanging="231"/>
        <w:spacing w:after="0"/>
        <w:tabs>
          <w:tab w:leader="none" w:pos="300" w:val="left"/>
        </w:tabs>
        <w:numPr>
          <w:ilvl w:val="0"/>
          <w:numId w:val="1"/>
        </w:numPr>
        <w:rPr>
          <w:rFonts w:ascii="MS PGothic" w:cs="MS PGothic" w:eastAsia="MS PGothic" w:hAnsi="MS PGothic"/>
          <w:sz w:val="18"/>
          <w:szCs w:val="18"/>
          <w:color w:val="auto"/>
        </w:rPr>
      </w:pPr>
      <w:r>
        <w:rPr>
          <w:rFonts w:ascii="Arial" w:cs="Arial" w:eastAsia="Arial" w:hAnsi="Arial"/>
          <w:sz w:val="17"/>
          <w:szCs w:val="17"/>
          <w:color w:val="auto"/>
        </w:rPr>
        <w:t>QUARTERLY REPORT PURSUANT TO SECTION 13 OR 15(d) OF THE SECURITIES EXCHANGE ACT OF 1934</w:t>
      </w:r>
    </w:p>
    <w:p>
      <w:pPr>
        <w:spacing w:after="0" w:line="68" w:lineRule="exact"/>
        <w:rPr>
          <w:rFonts w:ascii="MS PGothic" w:cs="MS PGothic" w:eastAsia="MS PGothic" w:hAnsi="MS PGothic"/>
          <w:sz w:val="18"/>
          <w:szCs w:val="18"/>
          <w:color w:val="auto"/>
        </w:rPr>
      </w:pPr>
    </w:p>
    <w:p>
      <w:pPr>
        <w:ind w:left="3560"/>
        <w:spacing w:after="0"/>
        <w:rPr>
          <w:rFonts w:ascii="MS PGothic" w:cs="MS PGothic" w:eastAsia="MS PGothic" w:hAnsi="MS PGothic"/>
          <w:sz w:val="18"/>
          <w:szCs w:val="18"/>
          <w:color w:val="auto"/>
        </w:rPr>
      </w:pPr>
      <w:r>
        <w:rPr>
          <w:rFonts w:ascii="Arial" w:cs="Arial" w:eastAsia="Arial" w:hAnsi="Arial"/>
          <w:sz w:val="17"/>
          <w:szCs w:val="17"/>
          <w:b w:val="1"/>
          <w:bCs w:val="1"/>
          <w:color w:val="auto"/>
        </w:rPr>
        <w:t>For the quarterly period ended September 26, 2021</w:t>
      </w:r>
    </w:p>
    <w:p>
      <w:pPr>
        <w:spacing w:after="0" w:line="8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58" w:lineRule="exact"/>
        <w:rPr>
          <w:sz w:val="24"/>
          <w:szCs w:val="24"/>
          <w:color w:val="auto"/>
        </w:rPr>
      </w:pPr>
    </w:p>
    <w:p>
      <w:pPr>
        <w:ind w:left="3820" w:right="2200" w:hanging="3751"/>
        <w:spacing w:after="0" w:line="458" w:lineRule="auto"/>
        <w:tabs>
          <w:tab w:leader="none" w:pos="315" w:val="left"/>
        </w:tabs>
        <w:numPr>
          <w:ilvl w:val="0"/>
          <w:numId w:val="2"/>
        </w:numPr>
        <w:rPr>
          <w:rFonts w:ascii="MS PGothic" w:cs="MS PGothic" w:eastAsia="MS PGothic" w:hAnsi="MS PGothic"/>
          <w:sz w:val="18"/>
          <w:szCs w:val="18"/>
          <w:color w:val="auto"/>
        </w:rPr>
      </w:pPr>
      <w:r>
        <w:rPr>
          <w:rFonts w:ascii="Arial" w:cs="Arial" w:eastAsia="Arial" w:hAnsi="Arial"/>
          <w:sz w:val="17"/>
          <w:szCs w:val="17"/>
          <w:color w:val="auto"/>
        </w:rPr>
        <w:t>TRANSITION REPORT PURSUANT TO SECTION 13 OR 15(d) OF THE SECURITIES EXCHANGE ACT OF 1934 For the transition period from ______ to ______</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Commission file number: 1-11437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2902585</wp:posOffset>
            </wp:positionH>
            <wp:positionV relativeFrom="paragraph">
              <wp:posOffset>19050</wp:posOffset>
            </wp:positionV>
            <wp:extent cx="13373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18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LOCKHEED MARTIN CORPORATION</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26"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1420" w:type="dxa"/>
            <w:vAlign w:val="bottom"/>
          </w:tcPr>
          <w:p>
            <w:pPr>
              <w:spacing w:after="0"/>
              <w:rPr>
                <w:sz w:val="18"/>
                <w:szCs w:val="18"/>
                <w:color w:val="auto"/>
              </w:rPr>
            </w:pPr>
          </w:p>
        </w:tc>
        <w:tc>
          <w:tcPr>
            <w:tcW w:w="1960" w:type="dxa"/>
            <w:vAlign w:val="bottom"/>
            <w:gridSpan w:val="3"/>
          </w:tcPr>
          <w:p>
            <w:pPr>
              <w:jc w:val="center"/>
              <w:ind w:right="440"/>
              <w:spacing w:after="0"/>
              <w:rPr>
                <w:sz w:val="20"/>
                <w:szCs w:val="20"/>
                <w:color w:val="auto"/>
              </w:rPr>
            </w:pPr>
            <w:r>
              <w:rPr>
                <w:rFonts w:ascii="Arial" w:cs="Arial" w:eastAsia="Arial" w:hAnsi="Arial"/>
                <w:sz w:val="16"/>
                <w:szCs w:val="16"/>
                <w:b w:val="1"/>
                <w:bCs w:val="1"/>
                <w:color w:val="auto"/>
              </w:rPr>
              <w:t>Maryland</w:t>
            </w:r>
          </w:p>
        </w:tc>
        <w:tc>
          <w:tcPr>
            <w:tcW w:w="1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0" w:type="dxa"/>
            <w:vAlign w:val="bottom"/>
          </w:tcPr>
          <w:p>
            <w:pPr>
              <w:jc w:val="right"/>
              <w:ind w:right="879"/>
              <w:spacing w:after="0"/>
              <w:rPr>
                <w:sz w:val="20"/>
                <w:szCs w:val="20"/>
                <w:color w:val="auto"/>
              </w:rPr>
            </w:pPr>
            <w:r>
              <w:rPr>
                <w:rFonts w:ascii="Arial" w:cs="Arial" w:eastAsia="Arial" w:hAnsi="Arial"/>
                <w:sz w:val="16"/>
                <w:szCs w:val="16"/>
                <w:b w:val="1"/>
                <w:bCs w:val="1"/>
                <w:color w:val="auto"/>
              </w:rPr>
              <w:t>52-1893632</w:t>
            </w:r>
          </w:p>
        </w:tc>
      </w:tr>
      <w:tr>
        <w:trPr>
          <w:trHeight w:val="183"/>
        </w:trPr>
        <w:tc>
          <w:tcPr>
            <w:tcW w:w="3380" w:type="dxa"/>
            <w:vAlign w:val="bottom"/>
            <w:gridSpan w:val="4"/>
          </w:tcPr>
          <w:p>
            <w:pPr>
              <w:jc w:val="center"/>
              <w:ind w:left="899"/>
              <w:spacing w:after="0"/>
              <w:rPr>
                <w:sz w:val="20"/>
                <w:szCs w:val="20"/>
                <w:color w:val="auto"/>
              </w:rPr>
            </w:pPr>
            <w:r>
              <w:rPr>
                <w:rFonts w:ascii="Arial" w:cs="Arial" w:eastAsia="Arial" w:hAnsi="Arial"/>
                <w:sz w:val="16"/>
                <w:szCs w:val="16"/>
                <w:color w:val="auto"/>
              </w:rPr>
              <w:t>(State or other jurisdiction of</w:t>
            </w:r>
          </w:p>
        </w:tc>
        <w:tc>
          <w:tcPr>
            <w:tcW w:w="1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0" w:type="dxa"/>
            <w:vAlign w:val="bottom"/>
          </w:tcPr>
          <w:p>
            <w:pPr>
              <w:jc w:val="center"/>
              <w:ind w:left="339"/>
              <w:spacing w:after="0"/>
              <w:rPr>
                <w:sz w:val="20"/>
                <w:szCs w:val="20"/>
                <w:color w:val="auto"/>
              </w:rPr>
            </w:pPr>
            <w:r>
              <w:rPr>
                <w:rFonts w:ascii="Arial" w:cs="Arial" w:eastAsia="Arial" w:hAnsi="Arial"/>
                <w:sz w:val="16"/>
                <w:szCs w:val="16"/>
                <w:color w:val="auto"/>
              </w:rPr>
              <w:t>(I.R.S. Employer Identification No.)</w:t>
            </w:r>
          </w:p>
        </w:tc>
      </w:tr>
      <w:tr>
        <w:trPr>
          <w:trHeight w:val="195"/>
        </w:trPr>
        <w:tc>
          <w:tcPr>
            <w:tcW w:w="3380" w:type="dxa"/>
            <w:vAlign w:val="bottom"/>
            <w:gridSpan w:val="4"/>
          </w:tcPr>
          <w:p>
            <w:pPr>
              <w:jc w:val="center"/>
              <w:ind w:left="899"/>
              <w:spacing w:after="0"/>
              <w:rPr>
                <w:sz w:val="20"/>
                <w:szCs w:val="20"/>
                <w:color w:val="auto"/>
              </w:rPr>
            </w:pPr>
            <w:r>
              <w:rPr>
                <w:rFonts w:ascii="Arial" w:cs="Arial" w:eastAsia="Arial" w:hAnsi="Arial"/>
                <w:sz w:val="16"/>
                <w:szCs w:val="16"/>
                <w:color w:val="auto"/>
              </w:rPr>
              <w:t>incorporation or organization)</w:t>
            </w:r>
          </w:p>
        </w:tc>
        <w:tc>
          <w:tcPr>
            <w:tcW w:w="1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0" w:type="dxa"/>
            <w:vAlign w:val="bottom"/>
          </w:tcPr>
          <w:p>
            <w:pPr>
              <w:spacing w:after="0"/>
              <w:rPr>
                <w:sz w:val="16"/>
                <w:szCs w:val="16"/>
                <w:color w:val="auto"/>
              </w:rPr>
            </w:pPr>
          </w:p>
        </w:tc>
      </w:tr>
      <w:tr>
        <w:trPr>
          <w:trHeight w:val="364"/>
        </w:trPr>
        <w:tc>
          <w:tcPr>
            <w:tcW w:w="2240" w:type="dxa"/>
            <w:vAlign w:val="bottom"/>
            <w:gridSpan w:val="2"/>
          </w:tcPr>
          <w:p>
            <w:pPr>
              <w:ind w:left="300"/>
              <w:spacing w:after="0"/>
              <w:rPr>
                <w:sz w:val="20"/>
                <w:szCs w:val="20"/>
                <w:color w:val="auto"/>
              </w:rPr>
            </w:pPr>
            <w:r>
              <w:rPr>
                <w:rFonts w:ascii="Arial" w:cs="Arial" w:eastAsia="Arial" w:hAnsi="Arial"/>
                <w:sz w:val="16"/>
                <w:szCs w:val="16"/>
                <w:b w:val="1"/>
                <w:bCs w:val="1"/>
                <w:color w:val="auto"/>
              </w:rPr>
              <w:t>6801 Rockledge Drive,</w:t>
            </w:r>
          </w:p>
        </w:tc>
        <w:tc>
          <w:tcPr>
            <w:tcW w:w="1140" w:type="dxa"/>
            <w:vAlign w:val="bottom"/>
            <w:gridSpan w:val="2"/>
          </w:tcPr>
          <w:p>
            <w:pPr>
              <w:ind w:left="220"/>
              <w:spacing w:after="0"/>
              <w:rPr>
                <w:sz w:val="20"/>
                <w:szCs w:val="20"/>
                <w:color w:val="auto"/>
              </w:rPr>
            </w:pPr>
            <w:r>
              <w:rPr>
                <w:rFonts w:ascii="Arial" w:cs="Arial" w:eastAsia="Arial" w:hAnsi="Arial"/>
                <w:sz w:val="16"/>
                <w:szCs w:val="16"/>
                <w:b w:val="1"/>
                <w:bCs w:val="1"/>
                <w:color w:val="auto"/>
              </w:rPr>
              <w:t>Bethesda,</w:t>
            </w:r>
          </w:p>
        </w:tc>
        <w:tc>
          <w:tcPr>
            <w:tcW w:w="4200" w:type="dxa"/>
            <w:vAlign w:val="bottom"/>
            <w:gridSpan w:val="5"/>
          </w:tcPr>
          <w:p>
            <w:pPr>
              <w:ind w:left="140"/>
              <w:spacing w:after="0"/>
              <w:rPr>
                <w:sz w:val="20"/>
                <w:szCs w:val="20"/>
                <w:color w:val="auto"/>
              </w:rPr>
            </w:pPr>
            <w:r>
              <w:rPr>
                <w:rFonts w:ascii="Arial" w:cs="Arial" w:eastAsia="Arial" w:hAnsi="Arial"/>
                <w:sz w:val="16"/>
                <w:szCs w:val="16"/>
                <w:b w:val="1"/>
                <w:bCs w:val="1"/>
                <w:color w:val="auto"/>
              </w:rPr>
              <w:t>Maryland</w:t>
            </w:r>
          </w:p>
        </w:tc>
        <w:tc>
          <w:tcPr>
            <w:tcW w:w="3200" w:type="dxa"/>
            <w:vAlign w:val="bottom"/>
          </w:tcPr>
          <w:p>
            <w:pPr>
              <w:jc w:val="right"/>
              <w:ind w:right="1079"/>
              <w:spacing w:after="0"/>
              <w:rPr>
                <w:sz w:val="20"/>
                <w:szCs w:val="20"/>
                <w:color w:val="auto"/>
              </w:rPr>
            </w:pPr>
            <w:r>
              <w:rPr>
                <w:rFonts w:ascii="Arial" w:cs="Arial" w:eastAsia="Arial" w:hAnsi="Arial"/>
                <w:sz w:val="16"/>
                <w:szCs w:val="16"/>
                <w:b w:val="1"/>
                <w:bCs w:val="1"/>
                <w:color w:val="auto"/>
              </w:rPr>
              <w:t>20817</w:t>
            </w:r>
          </w:p>
        </w:tc>
      </w:tr>
      <w:tr>
        <w:trPr>
          <w:trHeight w:val="216"/>
        </w:trPr>
        <w:tc>
          <w:tcPr>
            <w:tcW w:w="7580" w:type="dxa"/>
            <w:vAlign w:val="bottom"/>
            <w:gridSpan w:val="9"/>
          </w:tcPr>
          <w:p>
            <w:pPr>
              <w:jc w:val="center"/>
              <w:ind w:right="3220"/>
              <w:spacing w:after="0"/>
              <w:rPr>
                <w:sz w:val="20"/>
                <w:szCs w:val="20"/>
                <w:color w:val="auto"/>
              </w:rPr>
            </w:pPr>
            <w:r>
              <w:rPr>
                <w:rFonts w:ascii="Arial" w:cs="Arial" w:eastAsia="Arial" w:hAnsi="Arial"/>
                <w:sz w:val="16"/>
                <w:szCs w:val="16"/>
                <w:color w:val="auto"/>
              </w:rPr>
              <w:t>(Address of principal executive offices)</w:t>
            </w:r>
          </w:p>
        </w:tc>
        <w:tc>
          <w:tcPr>
            <w:tcW w:w="3200" w:type="dxa"/>
            <w:vAlign w:val="bottom"/>
          </w:tcPr>
          <w:p>
            <w:pPr>
              <w:jc w:val="center"/>
              <w:ind w:left="339"/>
              <w:spacing w:after="0"/>
              <w:rPr>
                <w:sz w:val="20"/>
                <w:szCs w:val="20"/>
                <w:color w:val="auto"/>
              </w:rPr>
            </w:pPr>
            <w:r>
              <w:rPr>
                <w:rFonts w:ascii="Arial" w:cs="Arial" w:eastAsia="Arial" w:hAnsi="Arial"/>
                <w:sz w:val="16"/>
                <w:szCs w:val="16"/>
                <w:color w:val="auto"/>
              </w:rPr>
              <w:t>(Zip Code)</w:t>
            </w:r>
          </w:p>
        </w:tc>
      </w:tr>
      <w:tr>
        <w:trPr>
          <w:trHeight w:val="399"/>
        </w:trPr>
        <w:tc>
          <w:tcPr>
            <w:tcW w:w="1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360" w:type="dxa"/>
            <w:vAlign w:val="bottom"/>
            <w:gridSpan w:val="4"/>
          </w:tcPr>
          <w:p>
            <w:pPr>
              <w:jc w:val="center"/>
              <w:ind w:left="1059"/>
              <w:spacing w:after="0"/>
              <w:rPr>
                <w:sz w:val="20"/>
                <w:szCs w:val="20"/>
                <w:color w:val="auto"/>
              </w:rPr>
            </w:pPr>
            <w:r>
              <w:rPr>
                <w:rFonts w:ascii="Arial" w:cs="Arial" w:eastAsia="Arial" w:hAnsi="Arial"/>
                <w:sz w:val="16"/>
                <w:szCs w:val="16"/>
                <w:b w:val="1"/>
                <w:bCs w:val="1"/>
                <w:color w:val="auto"/>
              </w:rPr>
              <w:t>(301) 897-6000</w:t>
            </w:r>
          </w:p>
        </w:tc>
        <w:tc>
          <w:tcPr>
            <w:tcW w:w="84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195"/>
        </w:trPr>
        <w:tc>
          <w:tcPr>
            <w:tcW w:w="1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0" w:type="dxa"/>
            <w:vAlign w:val="bottom"/>
            <w:gridSpan w:val="5"/>
          </w:tcPr>
          <w:p>
            <w:pPr>
              <w:jc w:val="center"/>
              <w:ind w:left="179"/>
              <w:spacing w:after="0"/>
              <w:rPr>
                <w:sz w:val="20"/>
                <w:szCs w:val="20"/>
                <w:color w:val="auto"/>
              </w:rPr>
            </w:pPr>
            <w:r>
              <w:rPr>
                <w:rFonts w:ascii="Arial" w:cs="Arial" w:eastAsia="Arial" w:hAnsi="Arial"/>
                <w:sz w:val="16"/>
                <w:szCs w:val="16"/>
                <w:color w:val="auto"/>
              </w:rPr>
              <w:t>(Registrant’s telephone number, including area code)</w:t>
            </w:r>
          </w:p>
        </w:tc>
        <w:tc>
          <w:tcPr>
            <w:tcW w:w="3200" w:type="dxa"/>
            <w:vAlign w:val="bottom"/>
          </w:tcPr>
          <w:p>
            <w:pPr>
              <w:spacing w:after="0"/>
              <w:rPr>
                <w:sz w:val="16"/>
                <w:szCs w:val="16"/>
                <w:color w:val="auto"/>
              </w:rPr>
            </w:pPr>
          </w:p>
        </w:tc>
      </w:tr>
      <w:tr>
        <w:trPr>
          <w:trHeight w:val="47"/>
        </w:trPr>
        <w:tc>
          <w:tcPr>
            <w:tcW w:w="1420" w:type="dxa"/>
            <w:vAlign w:val="bottom"/>
          </w:tcPr>
          <w:p>
            <w:pPr>
              <w:spacing w:after="0"/>
              <w:rPr>
                <w:sz w:val="4"/>
                <w:szCs w:val="4"/>
                <w:color w:val="auto"/>
              </w:rPr>
            </w:pPr>
          </w:p>
        </w:tc>
        <w:tc>
          <w:tcPr>
            <w:tcW w:w="1280" w:type="dxa"/>
            <w:vAlign w:val="bottom"/>
            <w:gridSpan w:val="2"/>
          </w:tcPr>
          <w:p>
            <w:pPr>
              <w:spacing w:after="0"/>
              <w:rPr>
                <w:sz w:val="4"/>
                <w:szCs w:val="4"/>
                <w:color w:val="auto"/>
              </w:rPr>
            </w:pPr>
          </w:p>
        </w:tc>
        <w:tc>
          <w:tcPr>
            <w:tcW w:w="1880" w:type="dxa"/>
            <w:vAlign w:val="bottom"/>
            <w:gridSpan w:val="2"/>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40" w:type="dxa"/>
            <w:vAlign w:val="bottom"/>
          </w:tcPr>
          <w:p>
            <w:pPr>
              <w:spacing w:after="0"/>
              <w:rPr>
                <w:sz w:val="4"/>
                <w:szCs w:val="4"/>
                <w:color w:val="auto"/>
              </w:rPr>
            </w:pPr>
          </w:p>
        </w:tc>
        <w:tc>
          <w:tcPr>
            <w:tcW w:w="3200" w:type="dxa"/>
            <w:vAlign w:val="bottom"/>
          </w:tcPr>
          <w:p>
            <w:pPr>
              <w:spacing w:after="0"/>
              <w:rPr>
                <w:sz w:val="4"/>
                <w:szCs w:val="4"/>
                <w:color w:val="auto"/>
              </w:rPr>
            </w:pPr>
          </w:p>
        </w:tc>
      </w:tr>
      <w:tr>
        <w:trPr>
          <w:trHeight w:val="406"/>
        </w:trPr>
        <w:tc>
          <w:tcPr>
            <w:tcW w:w="7580" w:type="dxa"/>
            <w:vAlign w:val="bottom"/>
            <w:gridSpan w:val="9"/>
          </w:tcPr>
          <w:p>
            <w:pPr>
              <w:jc w:val="center"/>
              <w:ind w:right="3460"/>
              <w:spacing w:after="0"/>
              <w:rPr>
                <w:sz w:val="20"/>
                <w:szCs w:val="20"/>
                <w:color w:val="auto"/>
              </w:rPr>
            </w:pPr>
            <w:r>
              <w:rPr>
                <w:rFonts w:ascii="Arial" w:cs="Arial" w:eastAsia="Arial" w:hAnsi="Arial"/>
                <w:sz w:val="16"/>
                <w:szCs w:val="16"/>
                <w:color w:val="auto"/>
              </w:rPr>
              <w:t>Securities registered pursuant to Section 12(b) of the Act:</w:t>
            </w:r>
          </w:p>
        </w:tc>
        <w:tc>
          <w:tcPr>
            <w:tcW w:w="3200" w:type="dxa"/>
            <w:vAlign w:val="bottom"/>
          </w:tcPr>
          <w:p>
            <w:pPr>
              <w:spacing w:after="0"/>
              <w:rPr>
                <w:sz w:val="24"/>
                <w:szCs w:val="24"/>
                <w:color w:val="auto"/>
              </w:rPr>
            </w:pPr>
          </w:p>
        </w:tc>
      </w:tr>
      <w:tr>
        <w:trPr>
          <w:trHeight w:val="195"/>
        </w:trPr>
        <w:tc>
          <w:tcPr>
            <w:tcW w:w="1420" w:type="dxa"/>
            <w:vAlign w:val="bottom"/>
          </w:tcPr>
          <w:p>
            <w:pPr>
              <w:spacing w:after="0"/>
              <w:rPr>
                <w:sz w:val="16"/>
                <w:szCs w:val="16"/>
                <w:color w:val="auto"/>
              </w:rPr>
            </w:pPr>
          </w:p>
        </w:tc>
        <w:tc>
          <w:tcPr>
            <w:tcW w:w="1960" w:type="dxa"/>
            <w:vAlign w:val="bottom"/>
            <w:gridSpan w:val="3"/>
          </w:tcPr>
          <w:p>
            <w:pPr>
              <w:jc w:val="center"/>
              <w:ind w:right="680"/>
              <w:spacing w:after="0"/>
              <w:rPr>
                <w:sz w:val="20"/>
                <w:szCs w:val="20"/>
                <w:color w:val="auto"/>
              </w:rPr>
            </w:pPr>
            <w:r>
              <w:rPr>
                <w:rFonts w:ascii="Arial" w:cs="Arial" w:eastAsia="Arial" w:hAnsi="Arial"/>
                <w:sz w:val="16"/>
                <w:szCs w:val="16"/>
                <w:color w:val="auto"/>
                <w:w w:val="99"/>
              </w:rPr>
              <w:t>Title of each class</w:t>
            </w:r>
          </w:p>
        </w:tc>
        <w:tc>
          <w:tcPr>
            <w:tcW w:w="1200" w:type="dxa"/>
            <w:vAlign w:val="bottom"/>
          </w:tcPr>
          <w:p>
            <w:pPr>
              <w:spacing w:after="0"/>
              <w:rPr>
                <w:sz w:val="16"/>
                <w:szCs w:val="16"/>
                <w:color w:val="auto"/>
              </w:rPr>
            </w:pPr>
          </w:p>
        </w:tc>
        <w:tc>
          <w:tcPr>
            <w:tcW w:w="3000" w:type="dxa"/>
            <w:vAlign w:val="bottom"/>
            <w:gridSpan w:val="4"/>
          </w:tcPr>
          <w:p>
            <w:pPr>
              <w:jc w:val="center"/>
              <w:ind w:right="940"/>
              <w:spacing w:after="0"/>
              <w:rPr>
                <w:sz w:val="20"/>
                <w:szCs w:val="20"/>
                <w:color w:val="auto"/>
              </w:rPr>
            </w:pPr>
            <w:r>
              <w:rPr>
                <w:rFonts w:ascii="Arial" w:cs="Arial" w:eastAsia="Arial" w:hAnsi="Arial"/>
                <w:sz w:val="16"/>
                <w:szCs w:val="16"/>
                <w:color w:val="auto"/>
              </w:rPr>
              <w:t>Trading Symbol</w:t>
            </w:r>
          </w:p>
        </w:tc>
        <w:tc>
          <w:tcPr>
            <w:tcW w:w="3200" w:type="dxa"/>
            <w:vAlign w:val="bottom"/>
          </w:tcPr>
          <w:p>
            <w:pPr>
              <w:jc w:val="center"/>
              <w:spacing w:after="0"/>
              <w:rPr>
                <w:sz w:val="20"/>
                <w:szCs w:val="20"/>
                <w:color w:val="auto"/>
              </w:rPr>
            </w:pPr>
            <w:r>
              <w:rPr>
                <w:rFonts w:ascii="Arial" w:cs="Arial" w:eastAsia="Arial" w:hAnsi="Arial"/>
                <w:sz w:val="16"/>
                <w:szCs w:val="16"/>
                <w:color w:val="auto"/>
              </w:rPr>
              <w:t>Name of each exchange on which registered</w:t>
            </w:r>
          </w:p>
        </w:tc>
      </w:tr>
      <w:tr>
        <w:trPr>
          <w:trHeight w:val="20"/>
        </w:trPr>
        <w:tc>
          <w:tcPr>
            <w:tcW w:w="1420" w:type="dxa"/>
            <w:vAlign w:val="bottom"/>
          </w:tcPr>
          <w:p>
            <w:pPr>
              <w:spacing w:after="0" w:line="20" w:lineRule="exact"/>
              <w:rPr>
                <w:sz w:val="1"/>
                <w:szCs w:val="1"/>
                <w:color w:val="auto"/>
              </w:rPr>
            </w:pPr>
          </w:p>
        </w:tc>
        <w:tc>
          <w:tcPr>
            <w:tcW w:w="1280" w:type="dxa"/>
            <w:vAlign w:val="bottom"/>
            <w:gridSpan w:val="2"/>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3200" w:type="dxa"/>
            <w:vAlign w:val="bottom"/>
            <w:shd w:val="clear" w:color="auto" w:fill="000000"/>
          </w:tcPr>
          <w:p>
            <w:pPr>
              <w:spacing w:after="0" w:line="20" w:lineRule="exact"/>
              <w:rPr>
                <w:sz w:val="1"/>
                <w:szCs w:val="1"/>
                <w:color w:val="auto"/>
              </w:rPr>
            </w:pPr>
          </w:p>
        </w:tc>
      </w:tr>
      <w:tr>
        <w:trPr>
          <w:trHeight w:val="230"/>
        </w:trPr>
        <w:tc>
          <w:tcPr>
            <w:tcW w:w="3380" w:type="dxa"/>
            <w:vAlign w:val="bottom"/>
            <w:gridSpan w:val="4"/>
          </w:tcPr>
          <w:p>
            <w:pPr>
              <w:jc w:val="center"/>
              <w:ind w:left="659"/>
              <w:spacing w:after="0"/>
              <w:rPr>
                <w:sz w:val="20"/>
                <w:szCs w:val="20"/>
                <w:color w:val="auto"/>
              </w:rPr>
            </w:pPr>
            <w:r>
              <w:rPr>
                <w:rFonts w:ascii="Arial" w:cs="Arial" w:eastAsia="Arial" w:hAnsi="Arial"/>
                <w:sz w:val="16"/>
                <w:szCs w:val="16"/>
                <w:color w:val="auto"/>
              </w:rPr>
              <w:t>Common Stock, $1 par value</w:t>
            </w:r>
          </w:p>
        </w:tc>
        <w:tc>
          <w:tcPr>
            <w:tcW w:w="1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540" w:type="dxa"/>
            <w:vAlign w:val="bottom"/>
            <w:gridSpan w:val="3"/>
          </w:tcPr>
          <w:p>
            <w:pPr>
              <w:jc w:val="center"/>
              <w:ind w:right="1400"/>
              <w:spacing w:after="0"/>
              <w:rPr>
                <w:sz w:val="20"/>
                <w:szCs w:val="20"/>
                <w:color w:val="auto"/>
              </w:rPr>
            </w:pPr>
            <w:r>
              <w:rPr>
                <w:rFonts w:ascii="Arial" w:cs="Arial" w:eastAsia="Arial" w:hAnsi="Arial"/>
                <w:sz w:val="16"/>
                <w:szCs w:val="16"/>
                <w:color w:val="auto"/>
              </w:rPr>
              <w:t>LMT</w:t>
            </w:r>
          </w:p>
        </w:tc>
        <w:tc>
          <w:tcPr>
            <w:tcW w:w="320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210" w:lineRule="exact"/>
        <w:rPr>
          <w:sz w:val="24"/>
          <w:szCs w:val="24"/>
          <w:color w:val="auto"/>
        </w:rPr>
      </w:pPr>
    </w:p>
    <w:p>
      <w:pPr>
        <w:jc w:val="both"/>
        <w:ind w:right="440"/>
        <w:spacing w:after="0" w:line="204"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highlight w:val="black"/>
        </w:rPr>
        <w:t>☐</w:t>
      </w:r>
    </w:p>
    <w:p>
      <w:pPr>
        <w:spacing w:after="0" w:line="132" w:lineRule="exact"/>
        <w:rPr>
          <w:sz w:val="24"/>
          <w:szCs w:val="24"/>
          <w:color w:val="auto"/>
        </w:rPr>
      </w:pPr>
    </w:p>
    <w:p>
      <w:pPr>
        <w:ind w:right="460"/>
        <w:spacing w:after="0" w:line="20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highlight w:val="black"/>
        </w:rPr>
        <w:t>☐</w:t>
      </w:r>
    </w:p>
    <w:p>
      <w:pPr>
        <w:spacing w:after="0" w:line="119" w:lineRule="exact"/>
        <w:rPr>
          <w:sz w:val="24"/>
          <w:szCs w:val="24"/>
          <w:color w:val="auto"/>
        </w:rPr>
      </w:pPr>
    </w:p>
    <w:p>
      <w:pPr>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5" w:lineRule="exact"/>
        <w:rPr>
          <w:sz w:val="24"/>
          <w:szCs w:val="24"/>
          <w:color w:val="auto"/>
        </w:rPr>
      </w:pPr>
    </w:p>
    <w:p>
      <w:pPr>
        <w:spacing w:after="0" w:line="196"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 </w:t>
      </w:r>
      <w:r>
        <w:rPr>
          <w:rFonts w:ascii="MS PGothic" w:cs="MS PGothic" w:eastAsia="MS PGothic" w:hAnsi="MS PGothic"/>
          <w:sz w:val="17"/>
          <w:szCs w:val="17"/>
          <w:color w:val="auto"/>
          <w:highlight w:val="black"/>
        </w:rPr>
        <w:t>☐</w:t>
      </w:r>
      <w:r>
        <w:rPr>
          <w:rFonts w:ascii="Arial" w:cs="Arial" w:eastAsia="Arial" w:hAnsi="Arial"/>
          <w:sz w:val="16"/>
          <w:szCs w:val="16"/>
          <w:color w:val="auto"/>
        </w:rPr>
        <w:t xml:space="preserve"> Non–accelerated filer </w:t>
      </w:r>
      <w:r>
        <w:rPr>
          <w:rFonts w:ascii="MS PGothic" w:cs="MS PGothic" w:eastAsia="MS PGothic" w:hAnsi="MS PGothic"/>
          <w:sz w:val="17"/>
          <w:szCs w:val="17"/>
          <w:color w:val="auto"/>
          <w:highlight w:val="black"/>
        </w:rPr>
        <w:t>☐</w:t>
      </w:r>
      <w:r>
        <w:rPr>
          <w:rFonts w:ascii="Arial" w:cs="Arial" w:eastAsia="Arial" w:hAnsi="Arial"/>
          <w:sz w:val="16"/>
          <w:szCs w:val="16"/>
          <w:color w:val="auto"/>
        </w:rPr>
        <w:t xml:space="preserve"> Smaller reporting company </w:t>
      </w:r>
      <w:r>
        <w:rPr>
          <w:rFonts w:ascii="MS PGothic" w:cs="MS PGothic" w:eastAsia="MS PGothic" w:hAnsi="MS PGothic"/>
          <w:sz w:val="17"/>
          <w:szCs w:val="17"/>
          <w:color w:val="auto"/>
        </w:rPr>
        <w:t>☐</w:t>
      </w:r>
      <w:r>
        <w:rPr>
          <w:rFonts w:ascii="Arial" w:cs="Arial" w:eastAsia="Arial" w:hAnsi="Arial"/>
          <w:sz w:val="16"/>
          <w:szCs w:val="16"/>
          <w:color w:val="auto"/>
        </w:rPr>
        <w:t xml:space="preserve"> Emerging growth company </w:t>
      </w:r>
      <w:r>
        <w:rPr>
          <w:rFonts w:ascii="MS PGothic" w:cs="MS PGothic" w:eastAsia="MS PGothic" w:hAnsi="MS PGothic"/>
          <w:sz w:val="17"/>
          <w:szCs w:val="17"/>
          <w:color w:val="auto"/>
        </w:rPr>
        <w:t>☐</w:t>
      </w:r>
    </w:p>
    <w:p>
      <w:pPr>
        <w:spacing w:after="0" w:line="218" w:lineRule="exact"/>
        <w:rPr>
          <w:sz w:val="24"/>
          <w:szCs w:val="24"/>
          <w:color w:val="auto"/>
        </w:rPr>
      </w:pPr>
    </w:p>
    <w:p>
      <w:pPr>
        <w:ind w:right="120"/>
        <w:spacing w:after="0" w:line="212"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highlight w:val="black"/>
        </w:rPr>
        <w:t>☐</w:t>
      </w:r>
    </w:p>
    <w:p>
      <w:pPr>
        <w:spacing w:after="0" w:line="69" w:lineRule="exact"/>
        <w:rPr>
          <w:sz w:val="24"/>
          <w:szCs w:val="24"/>
          <w:color w:val="auto"/>
        </w:rPr>
      </w:pPr>
    </w:p>
    <w:p>
      <w:pPr>
        <w:ind w:right="2160"/>
        <w:spacing w:after="0" w:line="30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There were 275,786,440 shares of our common stock, $1 par value per share, outstanding as of October 20,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822960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Lockheed Martin Corporation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26, 2021</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Table of Contents</w:t>
      </w:r>
    </w:p>
    <w:p>
      <w:pPr>
        <w:spacing w:after="0" w:line="28" w:lineRule="exact"/>
        <w:rPr>
          <w:sz w:val="20"/>
          <w:szCs w:val="20"/>
          <w:color w:val="auto"/>
        </w:rPr>
      </w:pPr>
    </w:p>
    <w:p>
      <w:pPr>
        <w:ind w:left="10700"/>
        <w:spacing w:after="0"/>
        <w:rPr>
          <w:sz w:val="20"/>
          <w:szCs w:val="20"/>
          <w:color w:val="auto"/>
        </w:rPr>
      </w:pPr>
      <w:r>
        <w:rPr>
          <w:rFonts w:ascii="Arial" w:cs="Arial" w:eastAsia="Arial" w:hAnsi="Arial"/>
          <w:sz w:val="18"/>
          <w:szCs w:val="18"/>
          <w:b w:val="1"/>
          <w:bCs w:val="1"/>
          <w:color w:val="2C2C2C"/>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6725920</wp:posOffset>
            </wp:positionH>
            <wp:positionV relativeFrom="paragraph">
              <wp:posOffset>20320</wp:posOffset>
            </wp:positionV>
            <wp:extent cx="4114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11480" cy="8255"/>
                    </a:xfrm>
                    <a:prstGeom prst="rect">
                      <a:avLst/>
                    </a:prstGeom>
                    <a:noFill/>
                  </pic:spPr>
                </pic:pic>
              </a:graphicData>
            </a:graphic>
          </wp:anchor>
        </w:drawing>
      </w:r>
    </w:p>
    <w:p>
      <w:pPr>
        <w:spacing w:after="0" w:line="273" w:lineRule="exact"/>
        <w:rPr>
          <w:sz w:val="20"/>
          <w:szCs w:val="20"/>
          <w:color w:val="auto"/>
        </w:rPr>
      </w:pPr>
    </w:p>
    <w:p>
      <w:pPr>
        <w:ind w:left="2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PART I. FINANCIAL INFORMATION</w:t>
        </w:r>
      </w:hyperlink>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720" w:type="dxa"/>
            <w:vAlign w:val="bottom"/>
            <w:gridSpan w:val="2"/>
          </w:tcPr>
          <w:p>
            <w:pPr>
              <w:ind w:left="700"/>
              <w:spacing w:after="0"/>
              <w:rPr>
                <w:sz w:val="20"/>
                <w:szCs w:val="20"/>
                <w:color w:val="auto"/>
              </w:rPr>
            </w:pPr>
            <w:r>
              <w:rPr>
                <w:rFonts w:ascii="Arial" w:cs="Arial" w:eastAsia="Arial" w:hAnsi="Arial"/>
                <w:sz w:val="18"/>
                <w:szCs w:val="18"/>
                <w:color w:val="2C2C2C"/>
              </w:rPr>
              <w:t>ITEM 1.</w:t>
            </w:r>
          </w:p>
        </w:tc>
        <w:tc>
          <w:tcPr>
            <w:tcW w:w="8960" w:type="dxa"/>
            <w:vAlign w:val="bottom"/>
            <w:gridSpan w:val="22"/>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Financial Statements (Unaudited)</w:t>
              </w:r>
            </w:hyperlink>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960" w:type="dxa"/>
            <w:vAlign w:val="bottom"/>
            <w:gridSpan w:val="22"/>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Consolidated Statements of Earnings for the Quarters and Nine Months Ended September 26, 2021 and</w:t>
              </w:r>
            </w:hyperlink>
          </w:p>
        </w:tc>
        <w:tc>
          <w:tcPr>
            <w:tcW w:w="540" w:type="dxa"/>
            <w:vAlign w:val="bottom"/>
            <w:vMerge w:val="restart"/>
          </w:tcPr>
          <w:p>
            <w:pPr>
              <w:jc w:val="right"/>
              <w:spacing w:after="0"/>
              <w:rPr>
                <w:rFonts w:ascii="Arial" w:cs="Arial" w:eastAsia="Arial" w:hAnsi="Arial"/>
                <w:sz w:val="18"/>
                <w:szCs w:val="18"/>
                <w:color w:val="2C2C2C"/>
              </w:rPr>
            </w:pPr>
            <w:hyperlink w:anchor="page3">
              <w:r>
                <w:rPr>
                  <w:rFonts w:ascii="Arial" w:cs="Arial" w:eastAsia="Arial" w:hAnsi="Arial"/>
                  <w:sz w:val="18"/>
                  <w:szCs w:val="18"/>
                  <w:color w:val="2C2C2C"/>
                </w:rPr>
                <w:t>3</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812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w:anchor="page3">
              <w:r>
                <w:rPr>
                  <w:rFonts w:ascii="Arial" w:cs="Arial" w:eastAsia="Arial" w:hAnsi="Arial"/>
                  <w:sz w:val="18"/>
                  <w:szCs w:val="18"/>
                  <w:color w:val="0000FF"/>
                </w:rPr>
                <w:t>September 27, 2020</w:t>
              </w:r>
            </w:hyperlink>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960" w:type="dxa"/>
            <w:vAlign w:val="bottom"/>
            <w:gridSpan w:val="22"/>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Consolidated Statements of Comprehensive Income for the Quarters and Nine Months Ended September 26,</w:t>
              </w:r>
            </w:hyperlink>
          </w:p>
        </w:tc>
        <w:tc>
          <w:tcPr>
            <w:tcW w:w="540" w:type="dxa"/>
            <w:vAlign w:val="bottom"/>
            <w:vMerge w:val="restart"/>
          </w:tcPr>
          <w:p>
            <w:pPr>
              <w:jc w:val="right"/>
              <w:spacing w:after="0"/>
              <w:rPr>
                <w:rFonts w:ascii="Arial" w:cs="Arial" w:eastAsia="Arial" w:hAnsi="Arial"/>
                <w:sz w:val="18"/>
                <w:szCs w:val="18"/>
                <w:color w:val="2C2C2C"/>
              </w:rPr>
            </w:pPr>
            <w:hyperlink w:anchor="page3">
              <w:r>
                <w:rPr>
                  <w:rFonts w:ascii="Arial" w:cs="Arial" w:eastAsia="Arial" w:hAnsi="Arial"/>
                  <w:sz w:val="18"/>
                  <w:szCs w:val="18"/>
                  <w:color w:val="2C2C2C"/>
                </w:rPr>
                <w:t>4</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852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w:anchor="page3">
              <w:r>
                <w:rPr>
                  <w:rFonts w:ascii="Arial" w:cs="Arial" w:eastAsia="Arial" w:hAnsi="Arial"/>
                  <w:sz w:val="18"/>
                  <w:szCs w:val="18"/>
                  <w:color w:val="0000FF"/>
                </w:rPr>
                <w:t>2021 and September 27, 2020</w:t>
              </w:r>
            </w:hyperlink>
          </w:p>
        </w:tc>
        <w:tc>
          <w:tcPr>
            <w:tcW w:w="30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440" w:type="dxa"/>
            <w:vAlign w:val="bottom"/>
            <w:tcBorders>
              <w:bottom w:val="single" w:sz="8" w:color="0000FF"/>
            </w:tcBorders>
            <w:gridSpan w:val="15"/>
          </w:tcPr>
          <w:p>
            <w:pPr>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Consolidated Balance Sheets as of September 26, 2021 and December 31, 2020</w:t>
              </w:r>
            </w:hyperlink>
          </w:p>
        </w:tc>
        <w:tc>
          <w:tcPr>
            <w:tcW w:w="2520" w:type="dxa"/>
            <w:vAlign w:val="bottom"/>
            <w:gridSpan w:val="7"/>
          </w:tcPr>
          <w:p>
            <w:pPr>
              <w:spacing w:after="0"/>
              <w:rPr>
                <w:sz w:val="22"/>
                <w:szCs w:val="22"/>
                <w:color w:val="auto"/>
              </w:rPr>
            </w:pPr>
          </w:p>
        </w:tc>
        <w:tc>
          <w:tcPr>
            <w:tcW w:w="540" w:type="dxa"/>
            <w:vAlign w:val="bottom"/>
          </w:tcPr>
          <w:p>
            <w:pPr>
              <w:jc w:val="right"/>
              <w:spacing w:after="0"/>
              <w:rPr>
                <w:rFonts w:ascii="Arial" w:cs="Arial" w:eastAsia="Arial" w:hAnsi="Arial"/>
                <w:sz w:val="18"/>
                <w:szCs w:val="18"/>
                <w:color w:val="2C2C2C"/>
              </w:rPr>
            </w:pPr>
            <w:hyperlink w:anchor="page4">
              <w:r>
                <w:rPr>
                  <w:rFonts w:ascii="Arial" w:cs="Arial" w:eastAsia="Arial" w:hAnsi="Arial"/>
                  <w:sz w:val="18"/>
                  <w:szCs w:val="18"/>
                  <w:color w:val="2C2C2C"/>
                </w:rPr>
                <w:t>5</w:t>
              </w:r>
            </w:hyperlink>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960" w:type="dxa"/>
            <w:vAlign w:val="bottom"/>
            <w:gridSpan w:val="22"/>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Consolidated Statements of Cash Flows for the Nine Months Ended September 26, 2021 and September 27,</w:t>
              </w:r>
            </w:hyperlink>
          </w:p>
        </w:tc>
        <w:tc>
          <w:tcPr>
            <w:tcW w:w="540" w:type="dxa"/>
            <w:vAlign w:val="bottom"/>
            <w:vMerge w:val="restart"/>
          </w:tcPr>
          <w:p>
            <w:pPr>
              <w:jc w:val="right"/>
              <w:spacing w:after="0"/>
              <w:rPr>
                <w:rFonts w:ascii="Arial" w:cs="Arial" w:eastAsia="Arial" w:hAnsi="Arial"/>
                <w:sz w:val="18"/>
                <w:szCs w:val="18"/>
                <w:color w:val="2C2C2C"/>
              </w:rPr>
            </w:pPr>
            <w:hyperlink w:anchor="page5">
              <w:r>
                <w:rPr>
                  <w:rFonts w:ascii="Arial" w:cs="Arial" w:eastAsia="Arial" w:hAnsi="Arial"/>
                  <w:sz w:val="18"/>
                  <w:szCs w:val="18"/>
                  <w:color w:val="2C2C2C"/>
                </w:rPr>
                <w:t>6</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Borders>
              <w:top w:val="single" w:sz="8" w:color="0000FF"/>
            </w:tcBorders>
            <w:gridSpan w:val="2"/>
          </w:tcPr>
          <w:p>
            <w:pPr>
              <w:ind w:left="140"/>
              <w:spacing w:after="0" w:line="156" w:lineRule="exact"/>
              <w:rPr>
                <w:rFonts w:ascii="Arial" w:cs="Arial" w:eastAsia="Arial" w:hAnsi="Arial"/>
                <w:sz w:val="18"/>
                <w:szCs w:val="18"/>
                <w:color w:val="0000FF"/>
                <w:w w:val="94"/>
              </w:rPr>
            </w:pPr>
            <w:hyperlink w:anchor="page5">
              <w:r>
                <w:rPr>
                  <w:rFonts w:ascii="Arial" w:cs="Arial" w:eastAsia="Arial" w:hAnsi="Arial"/>
                  <w:sz w:val="18"/>
                  <w:szCs w:val="18"/>
                  <w:color w:val="0000FF"/>
                  <w:w w:val="94"/>
                </w:rPr>
                <w:t>2020</w:t>
              </w:r>
            </w:hyperlink>
          </w:p>
        </w:tc>
        <w:tc>
          <w:tcPr>
            <w:tcW w:w="6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40" w:type="dxa"/>
            <w:vAlign w:val="bottom"/>
            <w:tcBorders>
              <w:top w:val="single" w:sz="8" w:color="0000FF"/>
            </w:tcBorders>
          </w:tcPr>
          <w:p>
            <w:pPr>
              <w:spacing w:after="0"/>
              <w:rPr>
                <w:sz w:val="13"/>
                <w:szCs w:val="13"/>
                <w:color w:val="auto"/>
              </w:rPr>
            </w:pPr>
          </w:p>
        </w:tc>
        <w:tc>
          <w:tcPr>
            <w:tcW w:w="11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62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12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960" w:type="dxa"/>
            <w:vAlign w:val="bottom"/>
            <w:gridSpan w:val="22"/>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Consolidated Statements of Equity for the Quarters Ended September 26, 2021 and September 27, 2020</w:t>
              </w:r>
            </w:hyperlink>
          </w:p>
        </w:tc>
        <w:tc>
          <w:tcPr>
            <w:tcW w:w="540" w:type="dxa"/>
            <w:vAlign w:val="bottom"/>
          </w:tcPr>
          <w:p>
            <w:pPr>
              <w:jc w:val="right"/>
              <w:spacing w:after="0"/>
              <w:rPr>
                <w:rFonts w:ascii="Arial" w:cs="Arial" w:eastAsia="Arial" w:hAnsi="Arial"/>
                <w:sz w:val="18"/>
                <w:szCs w:val="18"/>
                <w:color w:val="2C2C2C"/>
              </w:rPr>
            </w:pPr>
            <w:hyperlink w:anchor="page6">
              <w:r>
                <w:rPr>
                  <w:rFonts w:ascii="Arial" w:cs="Arial" w:eastAsia="Arial" w:hAnsi="Arial"/>
                  <w:sz w:val="18"/>
                  <w:szCs w:val="18"/>
                  <w:color w:val="2C2C2C"/>
                </w:rPr>
                <w:t>7</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520" w:type="dxa"/>
            <w:vAlign w:val="bottom"/>
            <w:gridSpan w:val="3"/>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40" w:type="dxa"/>
            <w:vAlign w:val="bottom"/>
            <w:gridSpan w:val="2"/>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640" w:type="dxa"/>
            <w:vAlign w:val="bottom"/>
            <w:tcBorders>
              <w:bottom w:val="single" w:sz="8" w:color="0000FF"/>
            </w:tcBorders>
            <w:gridSpan w:val="20"/>
          </w:tcPr>
          <w:p>
            <w:pPr>
              <w:spacing w:after="0"/>
              <w:rPr>
                <w:rFonts w:ascii="Arial" w:cs="Arial" w:eastAsia="Arial" w:hAnsi="Arial"/>
                <w:sz w:val="18"/>
                <w:szCs w:val="18"/>
                <w:color w:val="0000FF"/>
                <w:w w:val="99"/>
              </w:rPr>
            </w:pPr>
            <w:hyperlink w:anchor="page7">
              <w:r>
                <w:rPr>
                  <w:rFonts w:ascii="Arial" w:cs="Arial" w:eastAsia="Arial" w:hAnsi="Arial"/>
                  <w:sz w:val="18"/>
                  <w:szCs w:val="18"/>
                  <w:color w:val="0000FF"/>
                  <w:w w:val="99"/>
                </w:rPr>
                <w:t>Consolidated Statements of Equity for the Nine Months Ended September 26, 2021 and September 27, 2020</w:t>
              </w:r>
            </w:hyperlink>
          </w:p>
        </w:tc>
        <w:tc>
          <w:tcPr>
            <w:tcW w:w="320" w:type="dxa"/>
            <w:vAlign w:val="bottom"/>
            <w:gridSpan w:val="2"/>
          </w:tcPr>
          <w:p>
            <w:pPr>
              <w:spacing w:after="0"/>
              <w:rPr>
                <w:sz w:val="22"/>
                <w:szCs w:val="22"/>
                <w:color w:val="auto"/>
              </w:rPr>
            </w:pPr>
          </w:p>
        </w:tc>
        <w:tc>
          <w:tcPr>
            <w:tcW w:w="540" w:type="dxa"/>
            <w:vAlign w:val="bottom"/>
          </w:tcPr>
          <w:p>
            <w:pPr>
              <w:jc w:val="right"/>
              <w:spacing w:after="0"/>
              <w:rPr>
                <w:rFonts w:ascii="Arial" w:cs="Arial" w:eastAsia="Arial" w:hAnsi="Arial"/>
                <w:sz w:val="18"/>
                <w:szCs w:val="18"/>
                <w:color w:val="2C2C2C"/>
              </w:rPr>
            </w:pPr>
            <w:hyperlink w:anchor="page7">
              <w:r>
                <w:rPr>
                  <w:rFonts w:ascii="Arial" w:cs="Arial" w:eastAsia="Arial" w:hAnsi="Arial"/>
                  <w:sz w:val="18"/>
                  <w:szCs w:val="18"/>
                  <w:color w:val="2C2C2C"/>
                </w:rPr>
                <w:t>8</w:t>
              </w:r>
            </w:hyperlink>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480" w:type="dxa"/>
            <w:vAlign w:val="bottom"/>
            <w:tcBorders>
              <w:bottom w:val="single" w:sz="8" w:color="0000FF"/>
            </w:tcBorders>
            <w:gridSpan w:val="11"/>
          </w:tcPr>
          <w:p>
            <w:pPr>
              <w:spacing w:after="0"/>
              <w:rPr>
                <w:rFonts w:ascii="Arial" w:cs="Arial" w:eastAsia="Arial" w:hAnsi="Arial"/>
                <w:sz w:val="18"/>
                <w:szCs w:val="18"/>
                <w:color w:val="0000FF"/>
                <w:w w:val="98"/>
              </w:rPr>
            </w:pPr>
            <w:hyperlink w:anchor="page8">
              <w:r>
                <w:rPr>
                  <w:rFonts w:ascii="Arial" w:cs="Arial" w:eastAsia="Arial" w:hAnsi="Arial"/>
                  <w:sz w:val="18"/>
                  <w:szCs w:val="18"/>
                  <w:color w:val="0000FF"/>
                  <w:w w:val="98"/>
                </w:rPr>
                <w:t>Notes to Consolidated Financial Statements</w:t>
              </w:r>
            </w:hyperlink>
          </w:p>
        </w:tc>
        <w:tc>
          <w:tcPr>
            <w:tcW w:w="5480" w:type="dxa"/>
            <w:vAlign w:val="bottom"/>
            <w:gridSpan w:val="11"/>
          </w:tcPr>
          <w:p>
            <w:pPr>
              <w:spacing w:after="0"/>
              <w:rPr>
                <w:sz w:val="22"/>
                <w:szCs w:val="22"/>
                <w:color w:val="auto"/>
              </w:rPr>
            </w:pPr>
          </w:p>
        </w:tc>
        <w:tc>
          <w:tcPr>
            <w:tcW w:w="540" w:type="dxa"/>
            <w:vAlign w:val="bottom"/>
          </w:tcPr>
          <w:p>
            <w:pPr>
              <w:jc w:val="right"/>
              <w:spacing w:after="0"/>
              <w:rPr>
                <w:rFonts w:ascii="Arial" w:cs="Arial" w:eastAsia="Arial" w:hAnsi="Arial"/>
                <w:sz w:val="18"/>
                <w:szCs w:val="18"/>
                <w:color w:val="2C2C2C"/>
              </w:rPr>
            </w:pPr>
            <w:hyperlink w:anchor="page8">
              <w:r>
                <w:rPr>
                  <w:rFonts w:ascii="Arial" w:cs="Arial" w:eastAsia="Arial" w:hAnsi="Arial"/>
                  <w:sz w:val="18"/>
                  <w:szCs w:val="18"/>
                  <w:color w:val="2C2C2C"/>
                </w:rPr>
                <w:t>9</w:t>
              </w:r>
            </w:hyperlink>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580" w:type="dxa"/>
            <w:vAlign w:val="bottom"/>
            <w:tcBorders>
              <w:bottom w:val="single" w:sz="8" w:color="0000FF"/>
            </w:tcBorders>
            <w:gridSpan w:val="12"/>
          </w:tcPr>
          <w:p>
            <w:pPr>
              <w:spacing w:after="0"/>
              <w:rPr>
                <w:rFonts w:ascii="Arial" w:cs="Arial" w:eastAsia="Arial" w:hAnsi="Arial"/>
                <w:sz w:val="18"/>
                <w:szCs w:val="18"/>
                <w:color w:val="0000FF"/>
                <w:w w:val="99"/>
              </w:rPr>
            </w:pPr>
            <w:hyperlink w:anchor="page28">
              <w:r>
                <w:rPr>
                  <w:rFonts w:ascii="Arial" w:cs="Arial" w:eastAsia="Arial" w:hAnsi="Arial"/>
                  <w:sz w:val="18"/>
                  <w:szCs w:val="18"/>
                  <w:color w:val="0000FF"/>
                  <w:w w:val="99"/>
                </w:rPr>
                <w:t>Report of Independent Registered Public Accounting Firm</w:t>
              </w:r>
            </w:hyperlink>
          </w:p>
        </w:tc>
        <w:tc>
          <w:tcPr>
            <w:tcW w:w="4380" w:type="dxa"/>
            <w:vAlign w:val="bottom"/>
            <w:gridSpan w:val="10"/>
          </w:tcPr>
          <w:p>
            <w:pPr>
              <w:spacing w:after="0"/>
              <w:rPr>
                <w:sz w:val="22"/>
                <w:szCs w:val="22"/>
                <w:color w:val="auto"/>
              </w:rPr>
            </w:pPr>
          </w:p>
        </w:tc>
        <w:tc>
          <w:tcPr>
            <w:tcW w:w="540" w:type="dxa"/>
            <w:vAlign w:val="bottom"/>
          </w:tcPr>
          <w:p>
            <w:pPr>
              <w:jc w:val="right"/>
              <w:spacing w:after="0"/>
              <w:rPr>
                <w:rFonts w:ascii="Arial" w:cs="Arial" w:eastAsia="Arial" w:hAnsi="Arial"/>
                <w:sz w:val="18"/>
                <w:szCs w:val="18"/>
                <w:color w:val="2C2C2C"/>
              </w:rPr>
            </w:pPr>
            <w:hyperlink w:anchor="page28">
              <w:r>
                <w:rPr>
                  <w:rFonts w:ascii="Arial" w:cs="Arial" w:eastAsia="Arial" w:hAnsi="Arial"/>
                  <w:sz w:val="18"/>
                  <w:szCs w:val="18"/>
                  <w:color w:val="2C2C2C"/>
                </w:rPr>
                <w:t>29</w:t>
              </w:r>
            </w:hyperlink>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720" w:type="dxa"/>
            <w:vAlign w:val="bottom"/>
            <w:gridSpan w:val="2"/>
          </w:tcPr>
          <w:p>
            <w:pPr>
              <w:ind w:left="700"/>
              <w:spacing w:after="0"/>
              <w:rPr>
                <w:sz w:val="20"/>
                <w:szCs w:val="20"/>
                <w:color w:val="auto"/>
              </w:rPr>
            </w:pPr>
            <w:r>
              <w:rPr>
                <w:rFonts w:ascii="Arial" w:cs="Arial" w:eastAsia="Arial" w:hAnsi="Arial"/>
                <w:sz w:val="18"/>
                <w:szCs w:val="18"/>
                <w:color w:val="2C2C2C"/>
              </w:rPr>
              <w:t>ITEM 2.</w:t>
            </w:r>
          </w:p>
        </w:tc>
        <w:tc>
          <w:tcPr>
            <w:tcW w:w="7060" w:type="dxa"/>
            <w:vAlign w:val="bottom"/>
            <w:tcBorders>
              <w:bottom w:val="single" w:sz="8" w:color="0000FF"/>
            </w:tcBorders>
            <w:gridSpan w:val="16"/>
          </w:tcPr>
          <w:p>
            <w:pPr>
              <w:spacing w:after="0"/>
              <w:rPr>
                <w:rFonts w:ascii="Arial" w:cs="Arial" w:eastAsia="Arial" w:hAnsi="Arial"/>
                <w:sz w:val="18"/>
                <w:szCs w:val="18"/>
                <w:color w:val="0000FF"/>
                <w:w w:val="99"/>
              </w:rPr>
            </w:pPr>
            <w:hyperlink w:anchor="page29">
              <w:r>
                <w:rPr>
                  <w:rFonts w:ascii="Arial" w:cs="Arial" w:eastAsia="Arial" w:hAnsi="Arial"/>
                  <w:sz w:val="18"/>
                  <w:szCs w:val="18"/>
                  <w:color w:val="0000FF"/>
                  <w:w w:val="99"/>
                </w:rPr>
                <w:t>Management’s Discussion and Analysis of Financial Condition and Results of Operations</w:t>
              </w:r>
            </w:hyperlink>
          </w:p>
        </w:tc>
        <w:tc>
          <w:tcPr>
            <w:tcW w:w="1900" w:type="dxa"/>
            <w:vAlign w:val="bottom"/>
            <w:gridSpan w:val="6"/>
          </w:tcPr>
          <w:p>
            <w:pPr>
              <w:spacing w:after="0"/>
              <w:rPr>
                <w:sz w:val="22"/>
                <w:szCs w:val="22"/>
                <w:color w:val="auto"/>
              </w:rPr>
            </w:pPr>
          </w:p>
        </w:tc>
        <w:tc>
          <w:tcPr>
            <w:tcW w:w="540" w:type="dxa"/>
            <w:vAlign w:val="bottom"/>
          </w:tcPr>
          <w:p>
            <w:pPr>
              <w:jc w:val="right"/>
              <w:spacing w:after="0"/>
              <w:rPr>
                <w:rFonts w:ascii="Arial" w:cs="Arial" w:eastAsia="Arial" w:hAnsi="Arial"/>
                <w:sz w:val="18"/>
                <w:szCs w:val="18"/>
                <w:color w:val="2C2C2C"/>
              </w:rPr>
            </w:pPr>
            <w:hyperlink w:anchor="page29">
              <w:r>
                <w:rPr>
                  <w:rFonts w:ascii="Arial" w:cs="Arial" w:eastAsia="Arial" w:hAnsi="Arial"/>
                  <w:sz w:val="18"/>
                  <w:szCs w:val="18"/>
                  <w:color w:val="2C2C2C"/>
                </w:rPr>
                <w:t>30</w:t>
              </w:r>
            </w:hyperlink>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720" w:type="dxa"/>
            <w:vAlign w:val="bottom"/>
            <w:gridSpan w:val="2"/>
          </w:tcPr>
          <w:p>
            <w:pPr>
              <w:ind w:left="700"/>
              <w:spacing w:after="0"/>
              <w:rPr>
                <w:sz w:val="20"/>
                <w:szCs w:val="20"/>
                <w:color w:val="auto"/>
              </w:rPr>
            </w:pPr>
            <w:r>
              <w:rPr>
                <w:rFonts w:ascii="Arial" w:cs="Arial" w:eastAsia="Arial" w:hAnsi="Arial"/>
                <w:sz w:val="18"/>
                <w:szCs w:val="18"/>
                <w:color w:val="2C2C2C"/>
              </w:rPr>
              <w:t>ITEM 3.</w:t>
            </w:r>
          </w:p>
        </w:tc>
        <w:tc>
          <w:tcPr>
            <w:tcW w:w="8960" w:type="dxa"/>
            <w:vAlign w:val="bottom"/>
            <w:gridSpan w:val="22"/>
          </w:tcPr>
          <w:p>
            <w:pPr>
              <w:spacing w:after="0"/>
              <w:rPr>
                <w:rFonts w:ascii="Arial" w:cs="Arial" w:eastAsia="Arial" w:hAnsi="Arial"/>
                <w:sz w:val="18"/>
                <w:szCs w:val="18"/>
                <w:color w:val="0000FF"/>
              </w:rPr>
            </w:pPr>
            <w:hyperlink w:anchor="page51">
              <w:r>
                <w:rPr>
                  <w:rFonts w:ascii="Arial" w:cs="Arial" w:eastAsia="Arial" w:hAnsi="Arial"/>
                  <w:sz w:val="18"/>
                  <w:szCs w:val="18"/>
                  <w:color w:val="0000FF"/>
                </w:rPr>
                <w:t>Quantitative and Qualitative Disclosures About Market Risk</w:t>
              </w:r>
            </w:hyperlink>
          </w:p>
        </w:tc>
        <w:tc>
          <w:tcPr>
            <w:tcW w:w="540" w:type="dxa"/>
            <w:vAlign w:val="bottom"/>
          </w:tcPr>
          <w:p>
            <w:pPr>
              <w:jc w:val="right"/>
              <w:spacing w:after="0"/>
              <w:rPr>
                <w:rFonts w:ascii="Arial" w:cs="Arial" w:eastAsia="Arial" w:hAnsi="Arial"/>
                <w:sz w:val="18"/>
                <w:szCs w:val="18"/>
                <w:color w:val="2C2C2C"/>
              </w:rPr>
            </w:pPr>
            <w:hyperlink w:anchor="page51">
              <w:r>
                <w:rPr>
                  <w:rFonts w:ascii="Arial" w:cs="Arial" w:eastAsia="Arial" w:hAnsi="Arial"/>
                  <w:sz w:val="18"/>
                  <w:szCs w:val="18"/>
                  <w:color w:val="2C2C2C"/>
                </w:rPr>
                <w:t>51</w:t>
              </w:r>
            </w:hyperlink>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720" w:type="dxa"/>
            <w:vAlign w:val="bottom"/>
            <w:gridSpan w:val="2"/>
          </w:tcPr>
          <w:p>
            <w:pPr>
              <w:ind w:left="700"/>
              <w:spacing w:after="0"/>
              <w:rPr>
                <w:sz w:val="20"/>
                <w:szCs w:val="20"/>
                <w:color w:val="auto"/>
              </w:rPr>
            </w:pPr>
            <w:r>
              <w:rPr>
                <w:rFonts w:ascii="Arial" w:cs="Arial" w:eastAsia="Arial" w:hAnsi="Arial"/>
                <w:sz w:val="18"/>
                <w:szCs w:val="18"/>
                <w:color w:val="2C2C2C"/>
              </w:rPr>
              <w:t>ITEM 4.</w:t>
            </w:r>
          </w:p>
        </w:tc>
        <w:tc>
          <w:tcPr>
            <w:tcW w:w="4680" w:type="dxa"/>
            <w:vAlign w:val="bottom"/>
            <w:tcBorders>
              <w:top w:val="single" w:sz="8" w:color="0000FF"/>
            </w:tcBorders>
            <w:gridSpan w:val="13"/>
          </w:tcPr>
          <w:p>
            <w:pPr>
              <w:spacing w:after="0"/>
              <w:rPr>
                <w:rFonts w:ascii="Arial" w:cs="Arial" w:eastAsia="Arial" w:hAnsi="Arial"/>
                <w:sz w:val="18"/>
                <w:szCs w:val="18"/>
                <w:color w:val="0000FF"/>
              </w:rPr>
            </w:pPr>
            <w:hyperlink w:anchor="page51">
              <w:r>
                <w:rPr>
                  <w:rFonts w:ascii="Arial" w:cs="Arial" w:eastAsia="Arial" w:hAnsi="Arial"/>
                  <w:sz w:val="18"/>
                  <w:szCs w:val="18"/>
                  <w:color w:val="0000FF"/>
                </w:rPr>
                <w:t>Controls and Procedures</w:t>
              </w:r>
            </w:hyperlink>
          </w:p>
        </w:tc>
        <w:tc>
          <w:tcPr>
            <w:tcW w:w="4280" w:type="dxa"/>
            <w:vAlign w:val="bottom"/>
            <w:gridSpan w:val="9"/>
          </w:tcPr>
          <w:p>
            <w:pPr>
              <w:spacing w:after="0"/>
              <w:rPr>
                <w:sz w:val="22"/>
                <w:szCs w:val="22"/>
                <w:color w:val="auto"/>
              </w:rPr>
            </w:pPr>
          </w:p>
        </w:tc>
        <w:tc>
          <w:tcPr>
            <w:tcW w:w="540" w:type="dxa"/>
            <w:vAlign w:val="bottom"/>
          </w:tcPr>
          <w:p>
            <w:pPr>
              <w:jc w:val="right"/>
              <w:spacing w:after="0"/>
              <w:rPr>
                <w:rFonts w:ascii="Arial" w:cs="Arial" w:eastAsia="Arial" w:hAnsi="Arial"/>
                <w:sz w:val="18"/>
                <w:szCs w:val="18"/>
                <w:color w:val="2C2C2C"/>
              </w:rPr>
            </w:pPr>
            <w:hyperlink w:anchor="page51">
              <w:r>
                <w:rPr>
                  <w:rFonts w:ascii="Arial" w:cs="Arial" w:eastAsia="Arial" w:hAnsi="Arial"/>
                  <w:sz w:val="18"/>
                  <w:szCs w:val="18"/>
                  <w:color w:val="2C2C2C"/>
                </w:rPr>
                <w:t>51</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860" w:type="dxa"/>
            <w:vAlign w:val="bottom"/>
            <w:gridSpan w:val="6"/>
          </w:tcPr>
          <w:p>
            <w:pPr>
              <w:spacing w:after="0" w:line="20" w:lineRule="exact"/>
              <w:rPr>
                <w:sz w:val="1"/>
                <w:szCs w:val="1"/>
                <w:color w:val="auto"/>
              </w:rPr>
            </w:pPr>
          </w:p>
        </w:tc>
        <w:tc>
          <w:tcPr>
            <w:tcW w:w="4140" w:type="dxa"/>
            <w:vAlign w:val="bottom"/>
            <w:gridSpan w:val="8"/>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10680" w:type="dxa"/>
            <w:vAlign w:val="bottom"/>
            <w:gridSpan w:val="24"/>
          </w:tcPr>
          <w:p>
            <w:pPr>
              <w:spacing w:after="0"/>
              <w:rPr>
                <w:rFonts w:ascii="Arial" w:cs="Arial" w:eastAsia="Arial" w:hAnsi="Arial"/>
                <w:sz w:val="18"/>
                <w:szCs w:val="18"/>
                <w:b w:val="1"/>
                <w:bCs w:val="1"/>
                <w:color w:val="0000FF"/>
              </w:rPr>
            </w:pPr>
            <w:hyperlink w:anchor="page53">
              <w:r>
                <w:rPr>
                  <w:rFonts w:ascii="Arial" w:cs="Arial" w:eastAsia="Arial" w:hAnsi="Arial"/>
                  <w:sz w:val="18"/>
                  <w:szCs w:val="18"/>
                  <w:b w:val="1"/>
                  <w:bCs w:val="1"/>
                  <w:color w:val="0000FF"/>
                </w:rPr>
                <w:t>PART II. OTHER INFORMATION</w:t>
              </w:r>
            </w:hyperlink>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360" w:type="dxa"/>
            <w:vAlign w:val="bottom"/>
            <w:gridSpan w:val="8"/>
          </w:tcPr>
          <w:p>
            <w:pPr>
              <w:spacing w:after="0" w:line="20" w:lineRule="exact"/>
              <w:rPr>
                <w:sz w:val="1"/>
                <w:szCs w:val="1"/>
                <w:color w:val="auto"/>
              </w:rPr>
            </w:pPr>
          </w:p>
        </w:tc>
        <w:tc>
          <w:tcPr>
            <w:tcW w:w="4140" w:type="dxa"/>
            <w:vAlign w:val="bottom"/>
            <w:gridSpan w:val="8"/>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1720" w:type="dxa"/>
            <w:vAlign w:val="bottom"/>
            <w:gridSpan w:val="2"/>
          </w:tcPr>
          <w:p>
            <w:pPr>
              <w:ind w:left="700"/>
              <w:spacing w:after="0"/>
              <w:rPr>
                <w:sz w:val="20"/>
                <w:szCs w:val="20"/>
                <w:color w:val="auto"/>
              </w:rPr>
            </w:pPr>
            <w:r>
              <w:rPr>
                <w:rFonts w:ascii="Arial" w:cs="Arial" w:eastAsia="Arial" w:hAnsi="Arial"/>
                <w:sz w:val="18"/>
                <w:szCs w:val="18"/>
                <w:color w:val="2C2C2C"/>
              </w:rPr>
              <w:t>ITEM 1.</w:t>
            </w:r>
          </w:p>
        </w:tc>
        <w:tc>
          <w:tcPr>
            <w:tcW w:w="8960" w:type="dxa"/>
            <w:vAlign w:val="bottom"/>
            <w:gridSpan w:val="22"/>
          </w:tcPr>
          <w:p>
            <w:pPr>
              <w:spacing w:after="0"/>
              <w:rPr>
                <w:rFonts w:ascii="Arial" w:cs="Arial" w:eastAsia="Arial" w:hAnsi="Arial"/>
                <w:sz w:val="18"/>
                <w:szCs w:val="18"/>
                <w:color w:val="0000FF"/>
              </w:rPr>
            </w:pPr>
            <w:hyperlink w:anchor="page53">
              <w:r>
                <w:rPr>
                  <w:rFonts w:ascii="Arial" w:cs="Arial" w:eastAsia="Arial" w:hAnsi="Arial"/>
                  <w:sz w:val="18"/>
                  <w:szCs w:val="18"/>
                  <w:color w:val="0000FF"/>
                </w:rPr>
                <w:t>Legal Proceedings</w:t>
              </w:r>
            </w:hyperlink>
          </w:p>
        </w:tc>
        <w:tc>
          <w:tcPr>
            <w:tcW w:w="540" w:type="dxa"/>
            <w:vAlign w:val="bottom"/>
          </w:tcPr>
          <w:p>
            <w:pPr>
              <w:jc w:val="right"/>
              <w:spacing w:after="0"/>
              <w:rPr>
                <w:rFonts w:ascii="Arial" w:cs="Arial" w:eastAsia="Arial" w:hAnsi="Arial"/>
                <w:sz w:val="18"/>
                <w:szCs w:val="18"/>
                <w:color w:val="2C2C2C"/>
              </w:rPr>
            </w:pPr>
            <w:hyperlink w:anchor="page53">
              <w:r>
                <w:rPr>
                  <w:rFonts w:ascii="Arial" w:cs="Arial" w:eastAsia="Arial" w:hAnsi="Arial"/>
                  <w:sz w:val="18"/>
                  <w:szCs w:val="18"/>
                  <w:color w:val="2C2C2C"/>
                </w:rPr>
                <w:t>53</w:t>
              </w:r>
            </w:hyperlink>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720" w:type="dxa"/>
            <w:vAlign w:val="bottom"/>
            <w:gridSpan w:val="2"/>
          </w:tcPr>
          <w:p>
            <w:pPr>
              <w:ind w:left="700"/>
              <w:spacing w:after="0"/>
              <w:rPr>
                <w:sz w:val="20"/>
                <w:szCs w:val="20"/>
                <w:color w:val="auto"/>
              </w:rPr>
            </w:pPr>
            <w:r>
              <w:rPr>
                <w:rFonts w:ascii="Arial" w:cs="Arial" w:eastAsia="Arial" w:hAnsi="Arial"/>
                <w:sz w:val="18"/>
                <w:szCs w:val="18"/>
                <w:color w:val="2C2C2C"/>
              </w:rPr>
              <w:t>ITEM 1A.</w:t>
            </w:r>
          </w:p>
        </w:tc>
        <w:tc>
          <w:tcPr>
            <w:tcW w:w="980" w:type="dxa"/>
            <w:vAlign w:val="bottom"/>
            <w:tcBorders>
              <w:top w:val="single" w:sz="8" w:color="0000FF"/>
              <w:bottom w:val="single" w:sz="8" w:color="0000FF"/>
            </w:tcBorders>
            <w:gridSpan w:val="5"/>
          </w:tcPr>
          <w:p>
            <w:pPr>
              <w:spacing w:after="0"/>
              <w:rPr>
                <w:rFonts w:ascii="Arial" w:cs="Arial" w:eastAsia="Arial" w:hAnsi="Arial"/>
                <w:sz w:val="18"/>
                <w:szCs w:val="18"/>
                <w:color w:val="0000FF"/>
                <w:w w:val="95"/>
              </w:rPr>
            </w:pPr>
            <w:hyperlink w:anchor="page54">
              <w:r>
                <w:rPr>
                  <w:rFonts w:ascii="Arial" w:cs="Arial" w:eastAsia="Arial" w:hAnsi="Arial"/>
                  <w:sz w:val="18"/>
                  <w:szCs w:val="18"/>
                  <w:color w:val="0000FF"/>
                  <w:w w:val="95"/>
                </w:rPr>
                <w:t>Risk Factors</w:t>
              </w:r>
            </w:hyperlink>
          </w:p>
        </w:tc>
        <w:tc>
          <w:tcPr>
            <w:tcW w:w="480" w:type="dxa"/>
            <w:vAlign w:val="bottom"/>
            <w:tcBorders>
              <w:top w:val="single" w:sz="8" w:color="0000FF"/>
            </w:tcBorders>
          </w:tcPr>
          <w:p>
            <w:pPr>
              <w:spacing w:after="0"/>
              <w:rPr>
                <w:sz w:val="22"/>
                <w:szCs w:val="22"/>
                <w:color w:val="auto"/>
              </w:rPr>
            </w:pPr>
          </w:p>
        </w:tc>
        <w:tc>
          <w:tcPr>
            <w:tcW w:w="7500" w:type="dxa"/>
            <w:vAlign w:val="bottom"/>
            <w:gridSpan w:val="16"/>
          </w:tcPr>
          <w:p>
            <w:pPr>
              <w:spacing w:after="0"/>
              <w:rPr>
                <w:sz w:val="22"/>
                <w:szCs w:val="22"/>
                <w:color w:val="auto"/>
              </w:rPr>
            </w:pPr>
          </w:p>
        </w:tc>
        <w:tc>
          <w:tcPr>
            <w:tcW w:w="540" w:type="dxa"/>
            <w:vAlign w:val="bottom"/>
          </w:tcPr>
          <w:p>
            <w:pPr>
              <w:jc w:val="right"/>
              <w:spacing w:after="0"/>
              <w:rPr>
                <w:rFonts w:ascii="Arial" w:cs="Arial" w:eastAsia="Arial" w:hAnsi="Arial"/>
                <w:sz w:val="18"/>
                <w:szCs w:val="18"/>
                <w:color w:val="2C2C2C"/>
              </w:rPr>
            </w:pPr>
            <w:hyperlink w:anchor="page54">
              <w:r>
                <w:rPr>
                  <w:rFonts w:ascii="Arial" w:cs="Arial" w:eastAsia="Arial" w:hAnsi="Arial"/>
                  <w:sz w:val="18"/>
                  <w:szCs w:val="18"/>
                  <w:color w:val="2C2C2C"/>
                </w:rPr>
                <w:t>54</w:t>
              </w:r>
            </w:hyperlink>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720" w:type="dxa"/>
            <w:vAlign w:val="bottom"/>
            <w:gridSpan w:val="2"/>
          </w:tcPr>
          <w:p>
            <w:pPr>
              <w:ind w:left="700"/>
              <w:spacing w:after="0"/>
              <w:rPr>
                <w:sz w:val="20"/>
                <w:szCs w:val="20"/>
                <w:color w:val="auto"/>
              </w:rPr>
            </w:pPr>
            <w:r>
              <w:rPr>
                <w:rFonts w:ascii="Arial" w:cs="Arial" w:eastAsia="Arial" w:hAnsi="Arial"/>
                <w:sz w:val="18"/>
                <w:szCs w:val="18"/>
                <w:color w:val="2C2C2C"/>
              </w:rPr>
              <w:t>ITEM 2.</w:t>
            </w:r>
          </w:p>
        </w:tc>
        <w:tc>
          <w:tcPr>
            <w:tcW w:w="8960" w:type="dxa"/>
            <w:vAlign w:val="bottom"/>
            <w:gridSpan w:val="22"/>
          </w:tcPr>
          <w:p>
            <w:pPr>
              <w:spacing w:after="0"/>
              <w:rPr>
                <w:rFonts w:ascii="Arial" w:cs="Arial" w:eastAsia="Arial" w:hAnsi="Arial"/>
                <w:sz w:val="18"/>
                <w:szCs w:val="18"/>
                <w:color w:val="0000FF"/>
              </w:rPr>
            </w:pPr>
            <w:hyperlink w:anchor="page55">
              <w:r>
                <w:rPr>
                  <w:rFonts w:ascii="Arial" w:cs="Arial" w:eastAsia="Arial" w:hAnsi="Arial"/>
                  <w:sz w:val="18"/>
                  <w:szCs w:val="18"/>
                  <w:color w:val="0000FF"/>
                </w:rPr>
                <w:t>Unregistered Sales of Equity Securities and Use of Proceeds</w:t>
              </w:r>
            </w:hyperlink>
          </w:p>
        </w:tc>
        <w:tc>
          <w:tcPr>
            <w:tcW w:w="540" w:type="dxa"/>
            <w:vAlign w:val="bottom"/>
          </w:tcPr>
          <w:p>
            <w:pPr>
              <w:jc w:val="right"/>
              <w:spacing w:after="0"/>
              <w:rPr>
                <w:rFonts w:ascii="Arial" w:cs="Arial" w:eastAsia="Arial" w:hAnsi="Arial"/>
                <w:sz w:val="18"/>
                <w:szCs w:val="18"/>
                <w:color w:val="2C2C2C"/>
              </w:rPr>
            </w:pPr>
            <w:hyperlink w:anchor="page55">
              <w:r>
                <w:rPr>
                  <w:rFonts w:ascii="Arial" w:cs="Arial" w:eastAsia="Arial" w:hAnsi="Arial"/>
                  <w:sz w:val="18"/>
                  <w:szCs w:val="18"/>
                  <w:color w:val="2C2C2C"/>
                </w:rPr>
                <w:t>55</w:t>
              </w:r>
            </w:hyperlink>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720" w:type="dxa"/>
            <w:vAlign w:val="bottom"/>
            <w:gridSpan w:val="2"/>
          </w:tcPr>
          <w:p>
            <w:pPr>
              <w:ind w:left="700"/>
              <w:spacing w:after="0"/>
              <w:rPr>
                <w:sz w:val="20"/>
                <w:szCs w:val="20"/>
                <w:color w:val="auto"/>
              </w:rPr>
            </w:pPr>
            <w:r>
              <w:rPr>
                <w:rFonts w:ascii="Arial" w:cs="Arial" w:eastAsia="Arial" w:hAnsi="Arial"/>
                <w:sz w:val="18"/>
                <w:szCs w:val="18"/>
                <w:color w:val="2C2C2C"/>
              </w:rPr>
              <w:t>ITEM 6.</w:t>
            </w:r>
          </w:p>
        </w:tc>
        <w:tc>
          <w:tcPr>
            <w:tcW w:w="4820" w:type="dxa"/>
            <w:vAlign w:val="bottom"/>
            <w:tcBorders>
              <w:top w:val="single" w:sz="8" w:color="0000FF"/>
            </w:tcBorders>
            <w:gridSpan w:val="14"/>
          </w:tcPr>
          <w:p>
            <w:pPr>
              <w:spacing w:after="0"/>
              <w:rPr>
                <w:rFonts w:ascii="Arial" w:cs="Arial" w:eastAsia="Arial" w:hAnsi="Arial"/>
                <w:sz w:val="18"/>
                <w:szCs w:val="18"/>
                <w:color w:val="0000FF"/>
              </w:rPr>
            </w:pPr>
            <w:hyperlink w:anchor="page55">
              <w:r>
                <w:rPr>
                  <w:rFonts w:ascii="Arial" w:cs="Arial" w:eastAsia="Arial" w:hAnsi="Arial"/>
                  <w:sz w:val="18"/>
                  <w:szCs w:val="18"/>
                  <w:color w:val="0000FF"/>
                </w:rPr>
                <w:t>Exhibits</w:t>
              </w:r>
            </w:hyperlink>
          </w:p>
        </w:tc>
        <w:tc>
          <w:tcPr>
            <w:tcW w:w="4140" w:type="dxa"/>
            <w:vAlign w:val="bottom"/>
            <w:gridSpan w:val="8"/>
          </w:tcPr>
          <w:p>
            <w:pPr>
              <w:spacing w:after="0"/>
              <w:rPr>
                <w:sz w:val="22"/>
                <w:szCs w:val="22"/>
                <w:color w:val="auto"/>
              </w:rPr>
            </w:pPr>
          </w:p>
        </w:tc>
        <w:tc>
          <w:tcPr>
            <w:tcW w:w="540" w:type="dxa"/>
            <w:vAlign w:val="bottom"/>
          </w:tcPr>
          <w:p>
            <w:pPr>
              <w:jc w:val="right"/>
              <w:spacing w:after="0"/>
              <w:rPr>
                <w:rFonts w:ascii="Arial" w:cs="Arial" w:eastAsia="Arial" w:hAnsi="Arial"/>
                <w:sz w:val="18"/>
                <w:szCs w:val="18"/>
                <w:color w:val="2C2C2C"/>
              </w:rPr>
            </w:pPr>
            <w:hyperlink w:anchor="page55">
              <w:r>
                <w:rPr>
                  <w:rFonts w:ascii="Arial" w:cs="Arial" w:eastAsia="Arial" w:hAnsi="Arial"/>
                  <w:sz w:val="18"/>
                  <w:szCs w:val="18"/>
                  <w:color w:val="2C2C2C"/>
                </w:rPr>
                <w:t>56</w:t>
              </w:r>
            </w:hyperlink>
          </w:p>
        </w:tc>
        <w:tc>
          <w:tcPr>
            <w:tcW w:w="0" w:type="dxa"/>
            <w:vAlign w:val="bottom"/>
          </w:tcPr>
          <w:p>
            <w:pPr>
              <w:spacing w:after="0"/>
              <w:rPr>
                <w:sz w:val="1"/>
                <w:szCs w:val="1"/>
                <w:color w:val="auto"/>
              </w:rPr>
            </w:pPr>
          </w:p>
        </w:tc>
      </w:tr>
      <w:tr>
        <w:trPr>
          <w:trHeight w:val="479"/>
        </w:trPr>
        <w:tc>
          <w:tcPr>
            <w:tcW w:w="20" w:type="dxa"/>
            <w:vAlign w:val="bottom"/>
          </w:tcPr>
          <w:p>
            <w:pPr>
              <w:spacing w:after="0"/>
              <w:rPr>
                <w:sz w:val="24"/>
                <w:szCs w:val="24"/>
                <w:color w:val="auto"/>
              </w:rPr>
            </w:pPr>
          </w:p>
        </w:tc>
        <w:tc>
          <w:tcPr>
            <w:tcW w:w="1720" w:type="dxa"/>
            <w:vAlign w:val="bottom"/>
            <w:gridSpan w:val="2"/>
          </w:tcPr>
          <w:p>
            <w:pPr>
              <w:spacing w:after="0"/>
              <w:rPr>
                <w:rFonts w:ascii="Arial" w:cs="Arial" w:eastAsia="Arial" w:hAnsi="Arial"/>
                <w:sz w:val="18"/>
                <w:szCs w:val="18"/>
                <w:b w:val="1"/>
                <w:bCs w:val="1"/>
                <w:color w:val="0000FF"/>
              </w:rPr>
            </w:pPr>
            <w:hyperlink w:anchor="page56">
              <w:r>
                <w:rPr>
                  <w:rFonts w:ascii="Arial" w:cs="Arial" w:eastAsia="Arial" w:hAnsi="Arial"/>
                  <w:sz w:val="18"/>
                  <w:szCs w:val="18"/>
                  <w:b w:val="1"/>
                  <w:bCs w:val="1"/>
                  <w:color w:val="0000FF"/>
                </w:rPr>
                <w:t>SIGNATURE</w:t>
              </w:r>
            </w:hyperlink>
          </w:p>
        </w:tc>
        <w:tc>
          <w:tcPr>
            <w:tcW w:w="1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jc w:val="right"/>
              <w:spacing w:after="0"/>
              <w:rPr>
                <w:rFonts w:ascii="Arial" w:cs="Arial" w:eastAsia="Arial" w:hAnsi="Arial"/>
                <w:sz w:val="18"/>
                <w:szCs w:val="18"/>
                <w:color w:val="2C2C2C"/>
              </w:rPr>
            </w:pPr>
            <w:hyperlink w:anchor="page56">
              <w:r>
                <w:rPr>
                  <w:rFonts w:ascii="Arial" w:cs="Arial" w:eastAsia="Arial" w:hAnsi="Arial"/>
                  <w:sz w:val="18"/>
                  <w:szCs w:val="18"/>
                  <w:color w:val="2C2C2C"/>
                </w:rPr>
                <w:t>57</w:t>
              </w:r>
            </w:hyperlink>
          </w:p>
        </w:tc>
        <w:tc>
          <w:tcPr>
            <w:tcW w:w="0" w:type="dxa"/>
            <w:vAlign w:val="bottom"/>
          </w:tcPr>
          <w:p>
            <w:pPr>
              <w:spacing w:after="0"/>
              <w:rPr>
                <w:sz w:val="1"/>
                <w:szCs w:val="1"/>
                <w:color w:val="auto"/>
              </w:rPr>
            </w:pPr>
          </w:p>
        </w:tc>
      </w:tr>
      <w:tr>
        <w:trPr>
          <w:trHeight w:val="1890"/>
        </w:trPr>
        <w:tc>
          <w:tcPr>
            <w:tcW w:w="20" w:type="dxa"/>
            <w:vAlign w:val="bottom"/>
            <w:tcBorders>
              <w:bottom w:val="single" w:sz="8" w:color="9A9A9A"/>
            </w:tcBorders>
          </w:tcPr>
          <w:p>
            <w:pPr>
              <w:spacing w:after="0"/>
              <w:rPr>
                <w:sz w:val="24"/>
                <w:szCs w:val="24"/>
                <w:color w:val="auto"/>
              </w:rPr>
            </w:pPr>
          </w:p>
        </w:tc>
        <w:tc>
          <w:tcPr>
            <w:tcW w:w="1060" w:type="dxa"/>
            <w:vAlign w:val="bottom"/>
            <w:tcBorders>
              <w:top w:val="single" w:sz="8" w:color="0000FF"/>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Lockheed Martin Corporation</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Earnings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millions, except per share data)</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5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3"/>
          </w:tcPr>
          <w:p>
            <w:pPr>
              <w:jc w:val="right"/>
              <w:ind w:right="1090"/>
              <w:spacing w:after="0"/>
              <w:rPr>
                <w:sz w:val="20"/>
                <w:szCs w:val="20"/>
                <w:color w:val="auto"/>
              </w:rPr>
            </w:pPr>
            <w:r>
              <w:rPr>
                <w:rFonts w:ascii="Arial" w:cs="Arial" w:eastAsia="Arial" w:hAnsi="Arial"/>
                <w:sz w:val="18"/>
                <w:szCs w:val="18"/>
                <w:b w:val="1"/>
                <w:bCs w:val="1"/>
                <w:color w:val="auto"/>
              </w:rPr>
              <w:t>Quarters Ended</w:t>
            </w:r>
          </w:p>
        </w:tc>
        <w:tc>
          <w:tcPr>
            <w:tcW w:w="28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3"/>
          </w:tcPr>
          <w:p>
            <w:pPr>
              <w:ind w:left="44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69"/>
        </w:trPr>
        <w:tc>
          <w:tcPr>
            <w:tcW w:w="4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jc w:val="right"/>
              <w:ind w:right="70"/>
              <w:spacing w:after="0" w:line="169" w:lineRule="exact"/>
              <w:rPr>
                <w:sz w:val="20"/>
                <w:szCs w:val="20"/>
                <w:color w:val="auto"/>
              </w:rPr>
            </w:pPr>
            <w:r>
              <w:rPr>
                <w:rFonts w:ascii="Arial" w:cs="Arial" w:eastAsia="Arial" w:hAnsi="Arial"/>
                <w:sz w:val="18"/>
                <w:szCs w:val="18"/>
                <w:b w:val="1"/>
                <w:bCs w:val="1"/>
                <w:color w:val="auto"/>
                <w:w w:val="99"/>
              </w:rPr>
              <w:t>September 26,</w:t>
            </w:r>
          </w:p>
        </w:tc>
        <w:tc>
          <w:tcPr>
            <w:tcW w:w="300" w:type="dxa"/>
            <w:vAlign w:val="bottom"/>
          </w:tcPr>
          <w:p>
            <w:pPr>
              <w:spacing w:after="0"/>
              <w:rPr>
                <w:sz w:val="14"/>
                <w:szCs w:val="14"/>
                <w:color w:val="auto"/>
              </w:rPr>
            </w:pPr>
          </w:p>
        </w:tc>
        <w:tc>
          <w:tcPr>
            <w:tcW w:w="1420" w:type="dxa"/>
            <w:vAlign w:val="bottom"/>
          </w:tcPr>
          <w:p>
            <w:pPr>
              <w:jc w:val="right"/>
              <w:ind w:right="70"/>
              <w:spacing w:after="0" w:line="169" w:lineRule="exact"/>
              <w:rPr>
                <w:sz w:val="20"/>
                <w:szCs w:val="20"/>
                <w:color w:val="auto"/>
              </w:rPr>
            </w:pPr>
            <w:r>
              <w:rPr>
                <w:rFonts w:ascii="Arial" w:cs="Arial" w:eastAsia="Arial" w:hAnsi="Arial"/>
                <w:sz w:val="18"/>
                <w:szCs w:val="18"/>
                <w:b w:val="1"/>
                <w:bCs w:val="1"/>
                <w:color w:val="auto"/>
              </w:rPr>
              <w:t>September 27,</w:t>
            </w:r>
          </w:p>
        </w:tc>
        <w:tc>
          <w:tcPr>
            <w:tcW w:w="280" w:type="dxa"/>
            <w:vAlign w:val="bottom"/>
          </w:tcPr>
          <w:p>
            <w:pPr>
              <w:spacing w:after="0"/>
              <w:rPr>
                <w:sz w:val="14"/>
                <w:szCs w:val="14"/>
                <w:color w:val="auto"/>
              </w:rPr>
            </w:pPr>
          </w:p>
        </w:tc>
        <w:tc>
          <w:tcPr>
            <w:tcW w:w="1420" w:type="dxa"/>
            <w:vAlign w:val="bottom"/>
          </w:tcPr>
          <w:p>
            <w:pPr>
              <w:jc w:val="right"/>
              <w:ind w:right="70"/>
              <w:spacing w:after="0" w:line="169" w:lineRule="exact"/>
              <w:rPr>
                <w:sz w:val="20"/>
                <w:szCs w:val="20"/>
                <w:color w:val="auto"/>
              </w:rPr>
            </w:pPr>
            <w:r>
              <w:rPr>
                <w:rFonts w:ascii="Arial" w:cs="Arial" w:eastAsia="Arial" w:hAnsi="Arial"/>
                <w:sz w:val="18"/>
                <w:szCs w:val="18"/>
                <w:b w:val="1"/>
                <w:bCs w:val="1"/>
                <w:color w:val="auto"/>
              </w:rPr>
              <w:t>September 26,</w:t>
            </w:r>
          </w:p>
        </w:tc>
        <w:tc>
          <w:tcPr>
            <w:tcW w:w="280" w:type="dxa"/>
            <w:vAlign w:val="bottom"/>
          </w:tcPr>
          <w:p>
            <w:pPr>
              <w:spacing w:after="0"/>
              <w:rPr>
                <w:sz w:val="14"/>
                <w:szCs w:val="14"/>
                <w:color w:val="auto"/>
              </w:rPr>
            </w:pPr>
          </w:p>
        </w:tc>
        <w:tc>
          <w:tcPr>
            <w:tcW w:w="1420" w:type="dxa"/>
            <w:vAlign w:val="bottom"/>
          </w:tcPr>
          <w:p>
            <w:pPr>
              <w:jc w:val="right"/>
              <w:ind w:right="70"/>
              <w:spacing w:after="0" w:line="169" w:lineRule="exact"/>
              <w:rPr>
                <w:sz w:val="20"/>
                <w:szCs w:val="20"/>
                <w:color w:val="auto"/>
              </w:rPr>
            </w:pPr>
            <w:r>
              <w:rPr>
                <w:rFonts w:ascii="Arial" w:cs="Arial" w:eastAsia="Arial" w:hAnsi="Arial"/>
                <w:sz w:val="18"/>
                <w:szCs w:val="18"/>
                <w:b w:val="1"/>
                <w:bCs w:val="1"/>
                <w:color w:val="auto"/>
              </w:rPr>
              <w:t>September 27,</w:t>
            </w:r>
          </w:p>
        </w:tc>
        <w:tc>
          <w:tcPr>
            <w:tcW w:w="0" w:type="dxa"/>
            <w:vAlign w:val="bottom"/>
          </w:tcPr>
          <w:p>
            <w:pPr>
              <w:spacing w:after="0"/>
              <w:rPr>
                <w:sz w:val="1"/>
                <w:szCs w:val="1"/>
                <w:color w:val="auto"/>
              </w:rPr>
            </w:pPr>
          </w:p>
        </w:tc>
      </w:tr>
      <w:tr>
        <w:trPr>
          <w:trHeight w:val="229"/>
        </w:trPr>
        <w:tc>
          <w:tcPr>
            <w:tcW w:w="45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tcPr>
          <w:p>
            <w:pPr>
              <w:ind w:left="140"/>
              <w:spacing w:after="0"/>
              <w:rPr>
                <w:sz w:val="20"/>
                <w:szCs w:val="20"/>
                <w:color w:val="auto"/>
              </w:rPr>
            </w:pPr>
            <w:r>
              <w:rPr>
                <w:rFonts w:ascii="Arial" w:cs="Arial" w:eastAsia="Arial" w:hAnsi="Arial"/>
                <w:sz w:val="18"/>
                <w:szCs w:val="18"/>
                <w:color w:val="auto"/>
              </w:rPr>
              <w:t>Products</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400" w:type="dxa"/>
            <w:vAlign w:val="bottom"/>
          </w:tcPr>
          <w:p>
            <w:pPr>
              <w:jc w:val="right"/>
              <w:ind w:right="410"/>
              <w:spacing w:after="0"/>
              <w:rPr>
                <w:sz w:val="20"/>
                <w:szCs w:val="20"/>
                <w:color w:val="auto"/>
              </w:rPr>
            </w:pPr>
            <w:r>
              <w:rPr>
                <w:rFonts w:ascii="Arial" w:cs="Arial" w:eastAsia="Arial" w:hAnsi="Arial"/>
                <w:sz w:val="18"/>
                <w:szCs w:val="18"/>
                <w:b w:val="1"/>
                <w:bCs w:val="1"/>
                <w:color w:val="auto"/>
              </w:rPr>
              <w:t>13,475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430"/>
              <w:spacing w:after="0"/>
              <w:rPr>
                <w:sz w:val="20"/>
                <w:szCs w:val="20"/>
                <w:color w:val="auto"/>
              </w:rPr>
            </w:pPr>
            <w:r>
              <w:rPr>
                <w:rFonts w:ascii="Arial" w:cs="Arial" w:eastAsia="Arial" w:hAnsi="Arial"/>
                <w:sz w:val="18"/>
                <w:szCs w:val="18"/>
                <w:color w:val="auto"/>
              </w:rPr>
              <w:t>13,869</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20" w:type="dxa"/>
            <w:vAlign w:val="bottom"/>
          </w:tcPr>
          <w:p>
            <w:pPr>
              <w:jc w:val="right"/>
              <w:ind w:right="410"/>
              <w:spacing w:after="0"/>
              <w:rPr>
                <w:sz w:val="20"/>
                <w:szCs w:val="20"/>
                <w:color w:val="auto"/>
              </w:rPr>
            </w:pPr>
            <w:r>
              <w:rPr>
                <w:rFonts w:ascii="Arial" w:cs="Arial" w:eastAsia="Arial" w:hAnsi="Arial"/>
                <w:sz w:val="18"/>
                <w:szCs w:val="18"/>
                <w:b w:val="1"/>
                <w:bCs w:val="1"/>
                <w:color w:val="auto"/>
              </w:rPr>
              <w:t>41,486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410"/>
              <w:spacing w:after="0"/>
              <w:rPr>
                <w:sz w:val="20"/>
                <w:szCs w:val="20"/>
                <w:color w:val="auto"/>
              </w:rPr>
            </w:pPr>
            <w:r>
              <w:rPr>
                <w:rFonts w:ascii="Arial" w:cs="Arial" w:eastAsia="Arial" w:hAnsi="Arial"/>
                <w:sz w:val="18"/>
                <w:szCs w:val="18"/>
                <w:color w:val="auto"/>
              </w:rPr>
              <w:t>40,607</w:t>
            </w:r>
          </w:p>
        </w:tc>
        <w:tc>
          <w:tcPr>
            <w:tcW w:w="0" w:type="dxa"/>
            <w:vAlign w:val="bottom"/>
          </w:tcPr>
          <w:p>
            <w:pPr>
              <w:spacing w:after="0"/>
              <w:rPr>
                <w:sz w:val="1"/>
                <w:szCs w:val="1"/>
                <w:color w:val="auto"/>
              </w:rPr>
            </w:pPr>
          </w:p>
        </w:tc>
      </w:tr>
      <w:tr>
        <w:trPr>
          <w:trHeight w:val="230"/>
        </w:trPr>
        <w:tc>
          <w:tcPr>
            <w:tcW w:w="45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Services</w:t>
            </w: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2,553</w:t>
            </w:r>
          </w:p>
        </w:tc>
        <w:tc>
          <w:tcPr>
            <w:tcW w:w="3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2,626</w:t>
            </w:r>
          </w:p>
        </w:tc>
        <w:tc>
          <w:tcPr>
            <w:tcW w:w="2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7,829</w:t>
            </w:r>
          </w:p>
        </w:tc>
        <w:tc>
          <w:tcPr>
            <w:tcW w:w="2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7,759</w:t>
            </w:r>
          </w:p>
        </w:tc>
        <w:tc>
          <w:tcPr>
            <w:tcW w:w="0" w:type="dxa"/>
            <w:vAlign w:val="bottom"/>
          </w:tcPr>
          <w:p>
            <w:pPr>
              <w:spacing w:after="0"/>
              <w:rPr>
                <w:sz w:val="1"/>
                <w:szCs w:val="1"/>
                <w:color w:val="auto"/>
              </w:rPr>
            </w:pPr>
          </w:p>
        </w:tc>
      </w:tr>
      <w:tr>
        <w:trPr>
          <w:trHeight w:val="223"/>
        </w:trPr>
        <w:tc>
          <w:tcPr>
            <w:tcW w:w="458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Total net sales</w:t>
            </w: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16,028</w:t>
            </w:r>
          </w:p>
        </w:tc>
        <w:tc>
          <w:tcPr>
            <w:tcW w:w="3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16,495</w:t>
            </w: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49,315</w:t>
            </w: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48,366</w:t>
            </w:r>
          </w:p>
        </w:tc>
        <w:tc>
          <w:tcPr>
            <w:tcW w:w="0" w:type="dxa"/>
            <w:vAlign w:val="bottom"/>
          </w:tcPr>
          <w:p>
            <w:pPr>
              <w:spacing w:after="0"/>
              <w:rPr>
                <w:sz w:val="1"/>
                <w:szCs w:val="1"/>
                <w:color w:val="auto"/>
              </w:rPr>
            </w:pPr>
          </w:p>
        </w:tc>
      </w:tr>
      <w:tr>
        <w:trPr>
          <w:trHeight w:val="223"/>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 of sales</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tcPr>
          <w:p>
            <w:pPr>
              <w:ind w:left="140"/>
              <w:spacing w:after="0"/>
              <w:rPr>
                <w:sz w:val="20"/>
                <w:szCs w:val="20"/>
                <w:color w:val="auto"/>
              </w:rPr>
            </w:pPr>
            <w:r>
              <w:rPr>
                <w:rFonts w:ascii="Arial" w:cs="Arial" w:eastAsia="Arial" w:hAnsi="Arial"/>
                <w:sz w:val="18"/>
                <w:szCs w:val="18"/>
                <w:color w:val="auto"/>
              </w:rPr>
              <w:t>Products</w:t>
            </w:r>
          </w:p>
        </w:tc>
        <w:tc>
          <w:tcPr>
            <w:tcW w:w="140" w:type="dxa"/>
            <w:vAlign w:val="bottom"/>
          </w:tcPr>
          <w:p>
            <w:pPr>
              <w:spacing w:after="0"/>
              <w:rPr>
                <w:sz w:val="19"/>
                <w:szCs w:val="19"/>
                <w:color w:val="auto"/>
              </w:rPr>
            </w:pPr>
          </w:p>
        </w:tc>
        <w:tc>
          <w:tcPr>
            <w:tcW w:w="1400" w:type="dxa"/>
            <w:vAlign w:val="bottom"/>
          </w:tcPr>
          <w:p>
            <w:pPr>
              <w:jc w:val="right"/>
              <w:ind w:right="370"/>
              <w:spacing w:after="0"/>
              <w:rPr>
                <w:sz w:val="20"/>
                <w:szCs w:val="20"/>
                <w:color w:val="auto"/>
              </w:rPr>
            </w:pPr>
            <w:r>
              <w:rPr>
                <w:rFonts w:ascii="Arial" w:cs="Arial" w:eastAsia="Arial" w:hAnsi="Arial"/>
                <w:sz w:val="18"/>
                <w:szCs w:val="18"/>
                <w:b w:val="1"/>
                <w:bCs w:val="1"/>
                <w:color w:val="auto"/>
              </w:rPr>
              <w:t>(11,838)</w:t>
            </w:r>
          </w:p>
        </w:tc>
        <w:tc>
          <w:tcPr>
            <w:tcW w:w="300" w:type="dxa"/>
            <w:vAlign w:val="bottom"/>
          </w:tcPr>
          <w:p>
            <w:pPr>
              <w:spacing w:after="0"/>
              <w:rPr>
                <w:sz w:val="19"/>
                <w:szCs w:val="19"/>
                <w:color w:val="auto"/>
              </w:rPr>
            </w:pPr>
          </w:p>
        </w:tc>
        <w:tc>
          <w:tcPr>
            <w:tcW w:w="1420" w:type="dxa"/>
            <w:vAlign w:val="bottom"/>
          </w:tcPr>
          <w:p>
            <w:pPr>
              <w:jc w:val="right"/>
              <w:ind w:right="390"/>
              <w:spacing w:after="0"/>
              <w:rPr>
                <w:sz w:val="20"/>
                <w:szCs w:val="20"/>
                <w:color w:val="auto"/>
              </w:rPr>
            </w:pPr>
            <w:r>
              <w:rPr>
                <w:rFonts w:ascii="Arial" w:cs="Arial" w:eastAsia="Arial" w:hAnsi="Arial"/>
                <w:sz w:val="18"/>
                <w:szCs w:val="18"/>
                <w:color w:val="auto"/>
              </w:rPr>
              <w:t>(12,370)</w:t>
            </w:r>
          </w:p>
        </w:tc>
        <w:tc>
          <w:tcPr>
            <w:tcW w:w="280" w:type="dxa"/>
            <w:vAlign w:val="bottom"/>
          </w:tcPr>
          <w:p>
            <w:pPr>
              <w:spacing w:after="0"/>
              <w:rPr>
                <w:sz w:val="19"/>
                <w:szCs w:val="19"/>
                <w:color w:val="auto"/>
              </w:rPr>
            </w:pPr>
          </w:p>
        </w:tc>
        <w:tc>
          <w:tcPr>
            <w:tcW w:w="1420" w:type="dxa"/>
            <w:vAlign w:val="bottom"/>
          </w:tcPr>
          <w:p>
            <w:pPr>
              <w:jc w:val="right"/>
              <w:ind w:right="370"/>
              <w:spacing w:after="0"/>
              <w:rPr>
                <w:sz w:val="20"/>
                <w:szCs w:val="20"/>
                <w:color w:val="auto"/>
              </w:rPr>
            </w:pPr>
            <w:r>
              <w:rPr>
                <w:rFonts w:ascii="Arial" w:cs="Arial" w:eastAsia="Arial" w:hAnsi="Arial"/>
                <w:sz w:val="18"/>
                <w:szCs w:val="18"/>
                <w:b w:val="1"/>
                <w:bCs w:val="1"/>
                <w:color w:val="auto"/>
              </w:rPr>
              <w:t>(36,985)</w:t>
            </w:r>
          </w:p>
        </w:tc>
        <w:tc>
          <w:tcPr>
            <w:tcW w:w="280" w:type="dxa"/>
            <w:vAlign w:val="bottom"/>
          </w:tcPr>
          <w:p>
            <w:pPr>
              <w:spacing w:after="0"/>
              <w:rPr>
                <w:sz w:val="19"/>
                <w:szCs w:val="19"/>
                <w:color w:val="auto"/>
              </w:rPr>
            </w:pPr>
          </w:p>
        </w:tc>
        <w:tc>
          <w:tcPr>
            <w:tcW w:w="1420" w:type="dxa"/>
            <w:vAlign w:val="bottom"/>
          </w:tcPr>
          <w:p>
            <w:pPr>
              <w:jc w:val="right"/>
              <w:ind w:right="370"/>
              <w:spacing w:after="0"/>
              <w:rPr>
                <w:sz w:val="20"/>
                <w:szCs w:val="20"/>
                <w:color w:val="auto"/>
              </w:rPr>
            </w:pPr>
            <w:r>
              <w:rPr>
                <w:rFonts w:ascii="Arial" w:cs="Arial" w:eastAsia="Arial" w:hAnsi="Arial"/>
                <w:sz w:val="18"/>
                <w:szCs w:val="18"/>
                <w:color w:val="auto"/>
              </w:rPr>
              <w:t>(36,204)</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Services</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(2,332)</w:t>
            </w: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(2,363)</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(7,000)</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(6,915)</w:t>
            </w:r>
          </w:p>
        </w:tc>
        <w:tc>
          <w:tcPr>
            <w:tcW w:w="0" w:type="dxa"/>
            <w:vAlign w:val="bottom"/>
          </w:tcPr>
          <w:p>
            <w:pPr>
              <w:spacing w:after="0"/>
              <w:rPr>
                <w:sz w:val="1"/>
                <w:szCs w:val="1"/>
                <w:color w:val="auto"/>
              </w:rPr>
            </w:pPr>
          </w:p>
        </w:tc>
      </w:tr>
      <w:tr>
        <w:trPr>
          <w:trHeight w:val="229"/>
        </w:trPr>
        <w:tc>
          <w:tcPr>
            <w:tcW w:w="4580" w:type="dxa"/>
            <w:vAlign w:val="bottom"/>
          </w:tcPr>
          <w:p>
            <w:pPr>
              <w:ind w:left="140"/>
              <w:spacing w:after="0"/>
              <w:rPr>
                <w:sz w:val="20"/>
                <w:szCs w:val="20"/>
                <w:color w:val="auto"/>
              </w:rPr>
            </w:pPr>
            <w:r>
              <w:rPr>
                <w:rFonts w:ascii="Arial" w:cs="Arial" w:eastAsia="Arial" w:hAnsi="Arial"/>
                <w:sz w:val="18"/>
                <w:szCs w:val="18"/>
                <w:color w:val="auto"/>
              </w:rPr>
              <w:t>Severance and restructuring charges</w:t>
            </w:r>
          </w:p>
        </w:tc>
        <w:tc>
          <w:tcPr>
            <w:tcW w:w="140" w:type="dxa"/>
            <w:vAlign w:val="bottom"/>
          </w:tcPr>
          <w:p>
            <w:pPr>
              <w:spacing w:after="0"/>
              <w:rPr>
                <w:sz w:val="19"/>
                <w:szCs w:val="19"/>
                <w:color w:val="auto"/>
              </w:rPr>
            </w:pPr>
          </w:p>
        </w:tc>
        <w:tc>
          <w:tcPr>
            <w:tcW w:w="1400" w:type="dxa"/>
            <w:vAlign w:val="bottom"/>
          </w:tcPr>
          <w:p>
            <w:pPr>
              <w:jc w:val="right"/>
              <w:ind w:right="41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14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20" w:type="dxa"/>
            <w:vAlign w:val="bottom"/>
          </w:tcPr>
          <w:p>
            <w:pPr>
              <w:jc w:val="right"/>
              <w:ind w:right="370"/>
              <w:spacing w:after="0"/>
              <w:rPr>
                <w:sz w:val="20"/>
                <w:szCs w:val="20"/>
                <w:color w:val="auto"/>
              </w:rPr>
            </w:pPr>
            <w:r>
              <w:rPr>
                <w:rFonts w:ascii="Arial" w:cs="Arial" w:eastAsia="Arial" w:hAnsi="Arial"/>
                <w:sz w:val="18"/>
                <w:szCs w:val="18"/>
                <w:b w:val="1"/>
                <w:bCs w:val="1"/>
                <w:color w:val="auto"/>
              </w:rPr>
              <w:t>(36)</w:t>
            </w:r>
          </w:p>
        </w:tc>
        <w:tc>
          <w:tcPr>
            <w:tcW w:w="280" w:type="dxa"/>
            <w:vAlign w:val="bottom"/>
          </w:tcPr>
          <w:p>
            <w:pPr>
              <w:spacing w:after="0"/>
              <w:rPr>
                <w:sz w:val="19"/>
                <w:szCs w:val="19"/>
                <w:color w:val="auto"/>
              </w:rPr>
            </w:pPr>
          </w:p>
        </w:tc>
        <w:tc>
          <w:tcPr>
            <w:tcW w:w="142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Other unallocated, net</w:t>
            </w: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444</w:t>
            </w:r>
          </w:p>
        </w:tc>
        <w:tc>
          <w:tcPr>
            <w:tcW w:w="3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374</w:t>
            </w:r>
          </w:p>
        </w:tc>
        <w:tc>
          <w:tcPr>
            <w:tcW w:w="2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1,345</w:t>
            </w:r>
          </w:p>
        </w:tc>
        <w:tc>
          <w:tcPr>
            <w:tcW w:w="2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1,193</w:t>
            </w:r>
          </w:p>
        </w:tc>
        <w:tc>
          <w:tcPr>
            <w:tcW w:w="0" w:type="dxa"/>
            <w:vAlign w:val="bottom"/>
          </w:tcPr>
          <w:p>
            <w:pPr>
              <w:spacing w:after="0"/>
              <w:rPr>
                <w:sz w:val="1"/>
                <w:szCs w:val="1"/>
                <w:color w:val="auto"/>
              </w:rPr>
            </w:pPr>
          </w:p>
        </w:tc>
      </w:tr>
      <w:tr>
        <w:trPr>
          <w:trHeight w:val="223"/>
        </w:trPr>
        <w:tc>
          <w:tcPr>
            <w:tcW w:w="458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Total cost of sales</w:t>
            </w: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(13,726)</w:t>
            </w:r>
          </w:p>
        </w:tc>
        <w:tc>
          <w:tcPr>
            <w:tcW w:w="3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(14,359)</w:t>
            </w: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(42,676)</w:t>
            </w: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(41,926)</w:t>
            </w:r>
          </w:p>
        </w:tc>
        <w:tc>
          <w:tcPr>
            <w:tcW w:w="0" w:type="dxa"/>
            <w:vAlign w:val="bottom"/>
          </w:tcPr>
          <w:p>
            <w:pPr>
              <w:spacing w:after="0"/>
              <w:rPr>
                <w:sz w:val="1"/>
                <w:szCs w:val="1"/>
                <w:color w:val="auto"/>
              </w:rPr>
            </w:pPr>
          </w:p>
        </w:tc>
      </w:tr>
      <w:tr>
        <w:trPr>
          <w:trHeight w:val="223"/>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2,302</w:t>
            </w: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2,136</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6,639</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6,440</w:t>
            </w:r>
          </w:p>
        </w:tc>
        <w:tc>
          <w:tcPr>
            <w:tcW w:w="0" w:type="dxa"/>
            <w:vAlign w:val="bottom"/>
          </w:tcPr>
          <w:p>
            <w:pPr>
              <w:spacing w:after="0"/>
              <w:rPr>
                <w:sz w:val="1"/>
                <w:szCs w:val="1"/>
                <w:color w:val="auto"/>
              </w:rPr>
            </w:pPr>
          </w:p>
        </w:tc>
      </w:tr>
      <w:tr>
        <w:trPr>
          <w:trHeight w:val="229"/>
        </w:trPr>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(expense) income, net</w:t>
            </w: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(8)</w:t>
            </w:r>
          </w:p>
        </w:tc>
        <w:tc>
          <w:tcPr>
            <w:tcW w:w="3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11</w:t>
            </w: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29</w:t>
            </w: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3"/>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profit</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2,294</w:t>
            </w: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2,147</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6,668</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6,355</w:t>
            </w:r>
          </w:p>
        </w:tc>
        <w:tc>
          <w:tcPr>
            <w:tcW w:w="0" w:type="dxa"/>
            <w:vAlign w:val="bottom"/>
          </w:tcPr>
          <w:p>
            <w:pPr>
              <w:spacing w:after="0"/>
              <w:rPr>
                <w:sz w:val="1"/>
                <w:szCs w:val="1"/>
                <w:color w:val="auto"/>
              </w:rPr>
            </w:pP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9"/>
                <w:szCs w:val="19"/>
                <w:color w:val="auto"/>
              </w:rPr>
            </w:pPr>
          </w:p>
        </w:tc>
        <w:tc>
          <w:tcPr>
            <w:tcW w:w="1400" w:type="dxa"/>
            <w:vAlign w:val="bottom"/>
          </w:tcPr>
          <w:p>
            <w:pPr>
              <w:jc w:val="right"/>
              <w:ind w:right="370"/>
              <w:spacing w:after="0"/>
              <w:rPr>
                <w:sz w:val="20"/>
                <w:szCs w:val="20"/>
                <w:color w:val="auto"/>
              </w:rPr>
            </w:pPr>
            <w:r>
              <w:rPr>
                <w:rFonts w:ascii="Arial" w:cs="Arial" w:eastAsia="Arial" w:hAnsi="Arial"/>
                <w:sz w:val="18"/>
                <w:szCs w:val="18"/>
                <w:b w:val="1"/>
                <w:bCs w:val="1"/>
                <w:color w:val="auto"/>
              </w:rPr>
              <w:t>(141)</w:t>
            </w:r>
          </w:p>
        </w:tc>
        <w:tc>
          <w:tcPr>
            <w:tcW w:w="300" w:type="dxa"/>
            <w:vAlign w:val="bottom"/>
          </w:tcPr>
          <w:p>
            <w:pPr>
              <w:spacing w:after="0"/>
              <w:rPr>
                <w:sz w:val="19"/>
                <w:szCs w:val="19"/>
                <w:color w:val="auto"/>
              </w:rPr>
            </w:pPr>
          </w:p>
        </w:tc>
        <w:tc>
          <w:tcPr>
            <w:tcW w:w="1420" w:type="dxa"/>
            <w:vAlign w:val="bottom"/>
          </w:tcPr>
          <w:p>
            <w:pPr>
              <w:jc w:val="right"/>
              <w:ind w:right="390"/>
              <w:spacing w:after="0"/>
              <w:rPr>
                <w:sz w:val="20"/>
                <w:szCs w:val="20"/>
                <w:color w:val="auto"/>
              </w:rPr>
            </w:pPr>
            <w:r>
              <w:rPr>
                <w:rFonts w:ascii="Arial" w:cs="Arial" w:eastAsia="Arial" w:hAnsi="Arial"/>
                <w:sz w:val="18"/>
                <w:szCs w:val="18"/>
                <w:color w:val="auto"/>
              </w:rPr>
              <w:t>(145)</w:t>
            </w:r>
          </w:p>
        </w:tc>
        <w:tc>
          <w:tcPr>
            <w:tcW w:w="280" w:type="dxa"/>
            <w:vAlign w:val="bottom"/>
          </w:tcPr>
          <w:p>
            <w:pPr>
              <w:spacing w:after="0"/>
              <w:rPr>
                <w:sz w:val="19"/>
                <w:szCs w:val="19"/>
                <w:color w:val="auto"/>
              </w:rPr>
            </w:pPr>
          </w:p>
        </w:tc>
        <w:tc>
          <w:tcPr>
            <w:tcW w:w="1420" w:type="dxa"/>
            <w:vAlign w:val="bottom"/>
          </w:tcPr>
          <w:p>
            <w:pPr>
              <w:jc w:val="right"/>
              <w:ind w:right="370"/>
              <w:spacing w:after="0"/>
              <w:rPr>
                <w:sz w:val="20"/>
                <w:szCs w:val="20"/>
                <w:color w:val="auto"/>
              </w:rPr>
            </w:pPr>
            <w:r>
              <w:rPr>
                <w:rFonts w:ascii="Arial" w:cs="Arial" w:eastAsia="Arial" w:hAnsi="Arial"/>
                <w:sz w:val="18"/>
                <w:szCs w:val="18"/>
                <w:b w:val="1"/>
                <w:bCs w:val="1"/>
                <w:color w:val="auto"/>
              </w:rPr>
              <w:t>(423)</w:t>
            </w:r>
          </w:p>
        </w:tc>
        <w:tc>
          <w:tcPr>
            <w:tcW w:w="280" w:type="dxa"/>
            <w:vAlign w:val="bottom"/>
          </w:tcPr>
          <w:p>
            <w:pPr>
              <w:spacing w:after="0"/>
              <w:rPr>
                <w:sz w:val="19"/>
                <w:szCs w:val="19"/>
                <w:color w:val="auto"/>
              </w:rPr>
            </w:pPr>
          </w:p>
        </w:tc>
        <w:tc>
          <w:tcPr>
            <w:tcW w:w="1420" w:type="dxa"/>
            <w:vAlign w:val="bottom"/>
          </w:tcPr>
          <w:p>
            <w:pPr>
              <w:jc w:val="right"/>
              <w:ind w:right="37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Non-service FAS pension (expense) income</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(1,572)</w:t>
            </w: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54</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(1,385)</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29"/>
        </w:trPr>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non-operating income (expense), net</w:t>
            </w: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98</w:t>
            </w:r>
          </w:p>
        </w:tc>
        <w:tc>
          <w:tcPr>
            <w:tcW w:w="3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w:t>
            </w: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82"/>
        </w:trPr>
        <w:tc>
          <w:tcPr>
            <w:tcW w:w="458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Earnings from continuing operations before income</w:t>
            </w:r>
          </w:p>
        </w:tc>
        <w:tc>
          <w:tcPr>
            <w:tcW w:w="14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679</w:t>
            </w:r>
          </w:p>
        </w:tc>
        <w:tc>
          <w:tcPr>
            <w:tcW w:w="3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5,060</w:t>
            </w:r>
          </w:p>
        </w:tc>
        <w:tc>
          <w:tcPr>
            <w:tcW w:w="28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taxes</w:t>
            </w:r>
          </w:p>
        </w:tc>
        <w:tc>
          <w:tcPr>
            <w:tcW w:w="140" w:type="dxa"/>
            <w:vAlign w:val="bottom"/>
            <w:shd w:val="clear" w:color="auto" w:fill="CCEEFF"/>
          </w:tcPr>
          <w:p>
            <w:pPr>
              <w:spacing w:after="0"/>
              <w:rPr>
                <w:sz w:val="18"/>
                <w:szCs w:val="18"/>
                <w:color w:val="auto"/>
              </w:rPr>
            </w:pPr>
          </w:p>
        </w:tc>
        <w:tc>
          <w:tcPr>
            <w:tcW w:w="140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2,056</w:t>
            </w:r>
          </w:p>
        </w:tc>
        <w:tc>
          <w:tcPr>
            <w:tcW w:w="280" w:type="dxa"/>
            <w:vAlign w:val="bottom"/>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6,048</w:t>
            </w:r>
          </w:p>
        </w:tc>
        <w:tc>
          <w:tcPr>
            <w:tcW w:w="0" w:type="dxa"/>
            <w:vAlign w:val="bottom"/>
          </w:tcPr>
          <w:p>
            <w:pPr>
              <w:spacing w:after="0"/>
              <w:rPr>
                <w:sz w:val="1"/>
                <w:szCs w:val="1"/>
                <w:color w:val="auto"/>
              </w:rPr>
            </w:pPr>
          </w:p>
        </w:tc>
      </w:tr>
      <w:tr>
        <w:trPr>
          <w:trHeight w:val="230"/>
        </w:trPr>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 expense</w:t>
            </w: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(65)</w:t>
            </w:r>
          </w:p>
        </w:tc>
        <w:tc>
          <w:tcPr>
            <w:tcW w:w="3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(303)</w:t>
            </w: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(794)</w:t>
            </w: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23"/>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 from continuing operations</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614</w:t>
            </w: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1,753</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4,266</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5,096</w:t>
            </w:r>
          </w:p>
        </w:tc>
        <w:tc>
          <w:tcPr>
            <w:tcW w:w="0" w:type="dxa"/>
            <w:vAlign w:val="bottom"/>
          </w:tcPr>
          <w:p>
            <w:pPr>
              <w:spacing w:after="0"/>
              <w:rPr>
                <w:sz w:val="1"/>
                <w:szCs w:val="1"/>
                <w:color w:val="auto"/>
              </w:rPr>
            </w:pPr>
          </w:p>
        </w:tc>
      </w:tr>
      <w:tr>
        <w:trPr>
          <w:trHeight w:val="229"/>
        </w:trPr>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loss from discontinued operations</w:t>
            </w: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(55)</w:t>
            </w: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3"/>
        </w:trPr>
        <w:tc>
          <w:tcPr>
            <w:tcW w:w="4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earnings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614</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1,698</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4,266</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5,041</w:t>
            </w:r>
          </w:p>
        </w:tc>
        <w:tc>
          <w:tcPr>
            <w:tcW w:w="0" w:type="dxa"/>
            <w:vAlign w:val="bottom"/>
          </w:tcPr>
          <w:p>
            <w:pPr>
              <w:spacing w:after="0"/>
              <w:rPr>
                <w:sz w:val="1"/>
                <w:szCs w:val="1"/>
                <w:color w:val="auto"/>
              </w:rPr>
            </w:pPr>
          </w:p>
        </w:tc>
      </w:tr>
      <w:tr>
        <w:trPr>
          <w:trHeight w:val="236"/>
        </w:trPr>
        <w:tc>
          <w:tcPr>
            <w:tcW w:w="4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Earnings (loss) per common share</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Basic</w:t>
            </w: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Continuing operations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00" w:type="dxa"/>
            <w:vAlign w:val="bottom"/>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2.22</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6.28</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20" w:type="dxa"/>
            <w:vAlign w:val="bottom"/>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15.37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18.19</w:t>
            </w:r>
          </w:p>
        </w:tc>
        <w:tc>
          <w:tcPr>
            <w:tcW w:w="0" w:type="dxa"/>
            <w:vAlign w:val="bottom"/>
          </w:tcPr>
          <w:p>
            <w:pPr>
              <w:spacing w:after="0"/>
              <w:rPr>
                <w:sz w:val="1"/>
                <w:szCs w:val="1"/>
                <w:color w:val="auto"/>
              </w:rPr>
            </w:pPr>
          </w:p>
        </w:tc>
      </w:tr>
      <w:tr>
        <w:trPr>
          <w:trHeight w:val="230"/>
        </w:trPr>
        <w:tc>
          <w:tcPr>
            <w:tcW w:w="45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Discontinued operations</w:t>
            </w: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(0.20)</w:t>
            </w: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23"/>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 per common share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00" w:type="dxa"/>
            <w:vAlign w:val="bottom"/>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2.22</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6.08</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20" w:type="dxa"/>
            <w:vAlign w:val="bottom"/>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15.37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17.99</w:t>
            </w:r>
          </w:p>
        </w:tc>
        <w:tc>
          <w:tcPr>
            <w:tcW w:w="0" w:type="dxa"/>
            <w:vAlign w:val="bottom"/>
          </w:tcPr>
          <w:p>
            <w:pPr>
              <w:spacing w:after="0"/>
              <w:rPr>
                <w:sz w:val="1"/>
                <w:szCs w:val="1"/>
                <w:color w:val="auto"/>
              </w:rPr>
            </w:pPr>
          </w:p>
        </w:tc>
      </w:tr>
      <w:tr>
        <w:trPr>
          <w:trHeight w:val="230"/>
        </w:trPr>
        <w:tc>
          <w:tcPr>
            <w:tcW w:w="4580" w:type="dxa"/>
            <w:vAlign w:val="bottom"/>
          </w:tcPr>
          <w:p>
            <w:pPr>
              <w:ind w:left="20"/>
              <w:spacing w:after="0"/>
              <w:rPr>
                <w:sz w:val="20"/>
                <w:szCs w:val="20"/>
                <w:color w:val="auto"/>
              </w:rPr>
            </w:pPr>
            <w:r>
              <w:rPr>
                <w:rFonts w:ascii="Arial" w:cs="Arial" w:eastAsia="Arial" w:hAnsi="Arial"/>
                <w:sz w:val="18"/>
                <w:szCs w:val="18"/>
                <w:color w:val="auto"/>
              </w:rPr>
              <w:t>Diluted</w:t>
            </w: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Continuing operations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00" w:type="dxa"/>
            <w:vAlign w:val="bottom"/>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2.21</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6.25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20" w:type="dxa"/>
            <w:vAlign w:val="bottom"/>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15.32</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18.12</w:t>
            </w:r>
          </w:p>
        </w:tc>
        <w:tc>
          <w:tcPr>
            <w:tcW w:w="0" w:type="dxa"/>
            <w:vAlign w:val="bottom"/>
          </w:tcPr>
          <w:p>
            <w:pPr>
              <w:spacing w:after="0"/>
              <w:rPr>
                <w:sz w:val="1"/>
                <w:szCs w:val="1"/>
                <w:color w:val="auto"/>
              </w:rPr>
            </w:pPr>
          </w:p>
        </w:tc>
      </w:tr>
      <w:tr>
        <w:trPr>
          <w:trHeight w:val="230"/>
        </w:trPr>
        <w:tc>
          <w:tcPr>
            <w:tcW w:w="45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Discontinued operations</w:t>
            </w: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(0.20)</w:t>
            </w: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23"/>
        </w:trPr>
        <w:tc>
          <w:tcPr>
            <w:tcW w:w="4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Diluted earnings per common share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2.21</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6.05</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15.32</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17.92</w:t>
            </w:r>
          </w:p>
        </w:tc>
        <w:tc>
          <w:tcPr>
            <w:tcW w:w="0" w:type="dxa"/>
            <w:vAlign w:val="bottom"/>
          </w:tcPr>
          <w:p>
            <w:pPr>
              <w:spacing w:after="0"/>
              <w:rPr>
                <w:sz w:val="1"/>
                <w:szCs w:val="1"/>
                <w:color w:val="auto"/>
              </w:rPr>
            </w:pPr>
          </w:p>
        </w:tc>
      </w:tr>
      <w:tr>
        <w:trPr>
          <w:trHeight w:val="236"/>
        </w:trPr>
        <w:tc>
          <w:tcPr>
            <w:tcW w:w="4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dividends paid per common share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2.60</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2.40</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7.80</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418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9"/>
        </w:trPr>
        <w:tc>
          <w:tcPr>
            <w:tcW w:w="1400" w:type="dxa"/>
            <w:vAlign w:val="bottom"/>
            <w:tcBorders>
              <w:top w:val="single" w:sz="8" w:color="0000FF"/>
            </w:tcBorders>
          </w:tcPr>
          <w:p>
            <w:pPr>
              <w:spacing w:after="0"/>
              <w:rPr>
                <w:sz w:val="24"/>
                <w:szCs w:val="24"/>
                <w:color w:val="auto"/>
              </w:rPr>
            </w:pPr>
          </w:p>
        </w:tc>
        <w:tc>
          <w:tcPr>
            <w:tcW w:w="2780" w:type="dxa"/>
            <w:vAlign w:val="bottom"/>
          </w:tcPr>
          <w:p>
            <w:pPr>
              <w:spacing w:after="0"/>
              <w:rPr>
                <w:sz w:val="24"/>
                <w:szCs w:val="24"/>
                <w:color w:val="auto"/>
              </w:rPr>
            </w:pPr>
          </w:p>
        </w:tc>
        <w:tc>
          <w:tcPr>
            <w:tcW w:w="3800" w:type="dxa"/>
            <w:vAlign w:val="bottom"/>
            <w:gridSpan w:val="5"/>
          </w:tcPr>
          <w:p>
            <w:pPr>
              <w:jc w:val="center"/>
              <w:ind w:right="830"/>
              <w:spacing w:after="0"/>
              <w:rPr>
                <w:sz w:val="20"/>
                <w:szCs w:val="20"/>
                <w:color w:val="auto"/>
              </w:rPr>
            </w:pPr>
            <w:r>
              <w:rPr>
                <w:rFonts w:ascii="Arial" w:cs="Arial" w:eastAsia="Arial" w:hAnsi="Arial"/>
                <w:sz w:val="18"/>
                <w:szCs w:val="18"/>
                <w:b w:val="1"/>
                <w:bCs w:val="1"/>
                <w:color w:val="auto"/>
              </w:rPr>
              <w:t>Lockheed Martin Corporation</w:t>
            </w: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6580" w:type="dxa"/>
            <w:vAlign w:val="bottom"/>
            <w:gridSpan w:val="6"/>
          </w:tcPr>
          <w:p>
            <w:pPr>
              <w:jc w:val="center"/>
              <w:ind w:left="1790"/>
              <w:spacing w:after="0"/>
              <w:rPr>
                <w:sz w:val="20"/>
                <w:szCs w:val="20"/>
                <w:color w:val="auto"/>
              </w:rPr>
            </w:pPr>
            <w:r>
              <w:rPr>
                <w:rFonts w:ascii="Arial" w:cs="Arial" w:eastAsia="Arial" w:hAnsi="Arial"/>
                <w:sz w:val="18"/>
                <w:szCs w:val="18"/>
                <w:b w:val="1"/>
                <w:bCs w:val="1"/>
                <w:color w:val="auto"/>
                <w:w w:val="99"/>
              </w:rPr>
              <w:t>Consolidated Statements of Comprehensive Income</w:t>
            </w: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40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3800" w:type="dxa"/>
            <w:vAlign w:val="bottom"/>
            <w:gridSpan w:val="5"/>
          </w:tcPr>
          <w:p>
            <w:pPr>
              <w:jc w:val="center"/>
              <w:ind w:right="810"/>
              <w:spacing w:after="0"/>
              <w:rPr>
                <w:sz w:val="20"/>
                <w:szCs w:val="20"/>
                <w:color w:val="auto"/>
              </w:rPr>
            </w:pPr>
            <w:r>
              <w:rPr>
                <w:rFonts w:ascii="Arial" w:cs="Arial" w:eastAsia="Arial" w:hAnsi="Arial"/>
                <w:sz w:val="18"/>
                <w:szCs w:val="18"/>
                <w:b w:val="1"/>
                <w:bCs w:val="1"/>
                <w:color w:val="auto"/>
                <w:w w:val="99"/>
              </w:rPr>
              <w:t>(unaudited; in millions)</w:t>
            </w: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7"/>
        </w:trPr>
        <w:tc>
          <w:tcPr>
            <w:tcW w:w="14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3"/>
          </w:tcPr>
          <w:p>
            <w:pPr>
              <w:jc w:val="right"/>
              <w:ind w:right="850"/>
              <w:spacing w:after="0"/>
              <w:rPr>
                <w:sz w:val="20"/>
                <w:szCs w:val="20"/>
                <w:color w:val="auto"/>
              </w:rPr>
            </w:pPr>
            <w:r>
              <w:rPr>
                <w:rFonts w:ascii="Arial" w:cs="Arial" w:eastAsia="Arial" w:hAnsi="Arial"/>
                <w:sz w:val="18"/>
                <w:szCs w:val="18"/>
                <w:b w:val="1"/>
                <w:bCs w:val="1"/>
                <w:color w:val="auto"/>
              </w:rPr>
              <w:t>Quarters Ended</w:t>
            </w:r>
          </w:p>
        </w:tc>
        <w:tc>
          <w:tcPr>
            <w:tcW w:w="20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3"/>
          </w:tcPr>
          <w:p>
            <w:pPr>
              <w:jc w:val="right"/>
              <w:ind w:right="71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69"/>
        </w:trPr>
        <w:tc>
          <w:tcPr>
            <w:tcW w:w="14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jc w:val="right"/>
              <w:ind w:right="70"/>
              <w:spacing w:after="0" w:line="169" w:lineRule="exact"/>
              <w:rPr>
                <w:sz w:val="20"/>
                <w:szCs w:val="20"/>
                <w:color w:val="auto"/>
              </w:rPr>
            </w:pPr>
            <w:r>
              <w:rPr>
                <w:rFonts w:ascii="Arial" w:cs="Arial" w:eastAsia="Arial" w:hAnsi="Arial"/>
                <w:sz w:val="18"/>
                <w:szCs w:val="18"/>
                <w:b w:val="1"/>
                <w:bCs w:val="1"/>
                <w:color w:val="auto"/>
              </w:rPr>
              <w:t>September 26,</w:t>
            </w:r>
          </w:p>
        </w:tc>
        <w:tc>
          <w:tcPr>
            <w:tcW w:w="200" w:type="dxa"/>
            <w:vAlign w:val="bottom"/>
          </w:tcPr>
          <w:p>
            <w:pPr>
              <w:spacing w:after="0"/>
              <w:rPr>
                <w:sz w:val="14"/>
                <w:szCs w:val="14"/>
                <w:color w:val="auto"/>
              </w:rPr>
            </w:pPr>
          </w:p>
        </w:tc>
        <w:tc>
          <w:tcPr>
            <w:tcW w:w="1420" w:type="dxa"/>
            <w:vAlign w:val="bottom"/>
          </w:tcPr>
          <w:p>
            <w:pPr>
              <w:jc w:val="right"/>
              <w:ind w:right="50"/>
              <w:spacing w:after="0" w:line="169" w:lineRule="exact"/>
              <w:rPr>
                <w:sz w:val="20"/>
                <w:szCs w:val="20"/>
                <w:color w:val="auto"/>
              </w:rPr>
            </w:pPr>
            <w:r>
              <w:rPr>
                <w:rFonts w:ascii="Arial" w:cs="Arial" w:eastAsia="Arial" w:hAnsi="Arial"/>
                <w:sz w:val="18"/>
                <w:szCs w:val="18"/>
                <w:b w:val="1"/>
                <w:bCs w:val="1"/>
                <w:color w:val="auto"/>
              </w:rPr>
              <w:t>September 27,</w:t>
            </w:r>
          </w:p>
        </w:tc>
        <w:tc>
          <w:tcPr>
            <w:tcW w:w="200" w:type="dxa"/>
            <w:vAlign w:val="bottom"/>
          </w:tcPr>
          <w:p>
            <w:pPr>
              <w:spacing w:after="0"/>
              <w:rPr>
                <w:sz w:val="14"/>
                <w:szCs w:val="14"/>
                <w:color w:val="auto"/>
              </w:rPr>
            </w:pPr>
          </w:p>
        </w:tc>
        <w:tc>
          <w:tcPr>
            <w:tcW w:w="1440" w:type="dxa"/>
            <w:vAlign w:val="bottom"/>
          </w:tcPr>
          <w:p>
            <w:pPr>
              <w:jc w:val="right"/>
              <w:ind w:right="90"/>
              <w:spacing w:after="0" w:line="169" w:lineRule="exact"/>
              <w:rPr>
                <w:sz w:val="20"/>
                <w:szCs w:val="20"/>
                <w:color w:val="auto"/>
              </w:rPr>
            </w:pPr>
            <w:r>
              <w:rPr>
                <w:rFonts w:ascii="Arial" w:cs="Arial" w:eastAsia="Arial" w:hAnsi="Arial"/>
                <w:sz w:val="18"/>
                <w:szCs w:val="18"/>
                <w:b w:val="1"/>
                <w:bCs w:val="1"/>
                <w:color w:val="auto"/>
              </w:rPr>
              <w:t>September 26,</w:t>
            </w:r>
          </w:p>
        </w:tc>
        <w:tc>
          <w:tcPr>
            <w:tcW w:w="200" w:type="dxa"/>
            <w:vAlign w:val="bottom"/>
          </w:tcPr>
          <w:p>
            <w:pPr>
              <w:spacing w:after="0"/>
              <w:rPr>
                <w:sz w:val="14"/>
                <w:szCs w:val="14"/>
                <w:color w:val="auto"/>
              </w:rPr>
            </w:pPr>
          </w:p>
        </w:tc>
        <w:tc>
          <w:tcPr>
            <w:tcW w:w="1420" w:type="dxa"/>
            <w:vAlign w:val="bottom"/>
          </w:tcPr>
          <w:p>
            <w:pPr>
              <w:jc w:val="right"/>
              <w:ind w:right="70"/>
              <w:spacing w:after="0" w:line="169" w:lineRule="exact"/>
              <w:rPr>
                <w:sz w:val="20"/>
                <w:szCs w:val="20"/>
                <w:color w:val="auto"/>
              </w:rPr>
            </w:pPr>
            <w:r>
              <w:rPr>
                <w:rFonts w:ascii="Arial" w:cs="Arial" w:eastAsia="Arial" w:hAnsi="Arial"/>
                <w:sz w:val="18"/>
                <w:szCs w:val="18"/>
                <w:b w:val="1"/>
                <w:bCs w:val="1"/>
                <w:color w:val="auto"/>
              </w:rPr>
              <w:t>September 27,</w:t>
            </w:r>
          </w:p>
        </w:tc>
        <w:tc>
          <w:tcPr>
            <w:tcW w:w="0" w:type="dxa"/>
            <w:vAlign w:val="bottom"/>
          </w:tcPr>
          <w:p>
            <w:pPr>
              <w:spacing w:after="0"/>
              <w:rPr>
                <w:sz w:val="1"/>
                <w:szCs w:val="1"/>
                <w:color w:val="auto"/>
              </w:rPr>
            </w:pPr>
          </w:p>
        </w:tc>
      </w:tr>
      <w:tr>
        <w:trPr>
          <w:trHeight w:val="229"/>
        </w:trPr>
        <w:tc>
          <w:tcPr>
            <w:tcW w:w="140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4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614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1,698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4,266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5,041</w:t>
            </w:r>
          </w:p>
        </w:tc>
        <w:tc>
          <w:tcPr>
            <w:tcW w:w="0" w:type="dxa"/>
            <w:vAlign w:val="bottom"/>
          </w:tcPr>
          <w:p>
            <w:pPr>
              <w:spacing w:after="0"/>
              <w:rPr>
                <w:sz w:val="1"/>
                <w:szCs w:val="1"/>
                <w:color w:val="auto"/>
              </w:rPr>
            </w:pPr>
          </w:p>
        </w:tc>
      </w:tr>
      <w:tr>
        <w:trPr>
          <w:trHeight w:val="229"/>
        </w:trPr>
        <w:tc>
          <w:tcPr>
            <w:tcW w:w="4180" w:type="dxa"/>
            <w:vAlign w:val="bottom"/>
            <w:gridSpan w:val="2"/>
          </w:tcPr>
          <w:p>
            <w:pPr>
              <w:ind w:left="20"/>
              <w:spacing w:after="0"/>
              <w:rPr>
                <w:sz w:val="20"/>
                <w:szCs w:val="20"/>
                <w:color w:val="auto"/>
              </w:rPr>
            </w:pPr>
            <w:r>
              <w:rPr>
                <w:rFonts w:ascii="Arial" w:cs="Arial" w:eastAsia="Arial" w:hAnsi="Arial"/>
                <w:sz w:val="18"/>
                <w:szCs w:val="18"/>
                <w:color w:val="auto"/>
              </w:rPr>
              <w:t>Other comprehensive income, net of tax</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Postretirement benefit plans</w:t>
            </w:r>
          </w:p>
        </w:tc>
        <w:tc>
          <w:tcPr>
            <w:tcW w:w="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180" w:type="dxa"/>
            <w:vAlign w:val="bottom"/>
            <w:gridSpan w:val="2"/>
          </w:tcPr>
          <w:p>
            <w:pPr>
              <w:ind w:left="300"/>
              <w:spacing w:after="0" w:line="189" w:lineRule="exact"/>
              <w:rPr>
                <w:sz w:val="20"/>
                <w:szCs w:val="20"/>
                <w:color w:val="auto"/>
              </w:rPr>
            </w:pPr>
            <w:r>
              <w:rPr>
                <w:rFonts w:ascii="Arial" w:cs="Arial" w:eastAsia="Arial" w:hAnsi="Arial"/>
                <w:sz w:val="18"/>
                <w:szCs w:val="18"/>
                <w:color w:val="auto"/>
              </w:rPr>
              <w:t>Net actuarial gain recognized due to plan</w:t>
            </w: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2,258</w:t>
            </w:r>
          </w:p>
        </w:tc>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2,258</w:t>
            </w:r>
          </w:p>
        </w:tc>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180" w:type="dxa"/>
            <w:vAlign w:val="bottom"/>
            <w:gridSpan w:val="2"/>
          </w:tcPr>
          <w:p>
            <w:pPr>
              <w:ind w:left="400"/>
              <w:spacing w:after="0"/>
              <w:rPr>
                <w:sz w:val="20"/>
                <w:szCs w:val="20"/>
                <w:color w:val="auto"/>
              </w:rPr>
            </w:pPr>
            <w:r>
              <w:rPr>
                <w:rFonts w:ascii="Arial" w:cs="Arial" w:eastAsia="Arial" w:hAnsi="Arial"/>
                <w:sz w:val="18"/>
                <w:szCs w:val="18"/>
                <w:color w:val="auto"/>
              </w:rPr>
              <w:t>remeasurements, net of $613 million tax</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4180" w:type="dxa"/>
            <w:vAlign w:val="bottom"/>
            <w:gridSpan w:val="2"/>
            <w:shd w:val="clear" w:color="auto" w:fill="CCEEFF"/>
          </w:tcPr>
          <w:p>
            <w:pPr>
              <w:ind w:left="300"/>
              <w:spacing w:after="0" w:line="189" w:lineRule="exact"/>
              <w:rPr>
                <w:sz w:val="20"/>
                <w:szCs w:val="20"/>
                <w:color w:val="auto"/>
              </w:rPr>
            </w:pPr>
            <w:r>
              <w:rPr>
                <w:rFonts w:ascii="Arial" w:cs="Arial" w:eastAsia="Arial" w:hAnsi="Arial"/>
                <w:sz w:val="18"/>
                <w:szCs w:val="18"/>
                <w:color w:val="auto"/>
              </w:rPr>
              <w:t>Pension settlement charge, net of $355 million</w:t>
            </w: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1,310</w:t>
            </w:r>
          </w:p>
        </w:tc>
        <w:tc>
          <w:tcPr>
            <w:tcW w:w="2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1,310</w:t>
            </w:r>
          </w:p>
        </w:tc>
        <w:tc>
          <w:tcPr>
            <w:tcW w:w="2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1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tax</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4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4180" w:type="dxa"/>
            <w:vAlign w:val="bottom"/>
            <w:gridSpan w:val="2"/>
          </w:tcPr>
          <w:p>
            <w:pPr>
              <w:ind w:left="300"/>
              <w:spacing w:after="0" w:line="189" w:lineRule="exact"/>
              <w:rPr>
                <w:sz w:val="20"/>
                <w:szCs w:val="20"/>
                <w:color w:val="auto"/>
              </w:rPr>
            </w:pPr>
            <w:r>
              <w:rPr>
                <w:rFonts w:ascii="Arial" w:cs="Arial" w:eastAsia="Arial" w:hAnsi="Arial"/>
                <w:sz w:val="18"/>
                <w:szCs w:val="18"/>
                <w:color w:val="auto"/>
              </w:rPr>
              <w:t>Amortization of previously deferred</w:t>
            </w: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107</w:t>
            </w:r>
          </w:p>
        </w:tc>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387</w:t>
            </w:r>
          </w:p>
        </w:tc>
        <w:tc>
          <w:tcPr>
            <w:tcW w:w="2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180" w:type="dxa"/>
            <w:vAlign w:val="bottom"/>
            <w:gridSpan w:val="2"/>
          </w:tcPr>
          <w:p>
            <w:pPr>
              <w:ind w:left="400"/>
              <w:spacing w:after="0"/>
              <w:rPr>
                <w:sz w:val="20"/>
                <w:szCs w:val="20"/>
                <w:color w:val="auto"/>
              </w:rPr>
            </w:pPr>
            <w:r>
              <w:rPr>
                <w:rFonts w:ascii="Arial" w:cs="Arial" w:eastAsia="Arial" w:hAnsi="Arial"/>
                <w:sz w:val="18"/>
                <w:szCs w:val="18"/>
                <w:color w:val="auto"/>
              </w:rPr>
              <w:t>postretirement benefit plan costs</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110</w:t>
            </w:r>
          </w:p>
        </w:tc>
        <w:tc>
          <w:tcPr>
            <w:tcW w:w="200" w:type="dxa"/>
            <w:vAlign w:val="bottom"/>
          </w:tcPr>
          <w:p>
            <w:pPr>
              <w:spacing w:after="0"/>
              <w:rPr>
                <w:sz w:val="18"/>
                <w:szCs w:val="18"/>
                <w:color w:val="auto"/>
              </w:rPr>
            </w:pPr>
          </w:p>
        </w:tc>
        <w:tc>
          <w:tcPr>
            <w:tcW w:w="14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30"/>
        </w:trPr>
        <w:tc>
          <w:tcPr>
            <w:tcW w:w="4180" w:type="dxa"/>
            <w:vAlign w:val="bottom"/>
            <w:tcBorders>
              <w:bottom w:val="single" w:sz="8" w:color="auto"/>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net</w:t>
            </w:r>
          </w:p>
        </w:tc>
        <w:tc>
          <w:tcPr>
            <w:tcW w:w="6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w:t>
            </w: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w:t>
            </w: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3"/>
        </w:trPr>
        <w:tc>
          <w:tcPr>
            <w:tcW w:w="4180" w:type="dxa"/>
            <w:vAlign w:val="bottom"/>
            <w:tcBorders>
              <w:bottom w:val="single" w:sz="8" w:color="auto"/>
            </w:tcBorders>
            <w:gridSpan w:val="2"/>
          </w:tcPr>
          <w:p>
            <w:pPr>
              <w:ind w:left="360"/>
              <w:spacing w:after="0"/>
              <w:rPr>
                <w:sz w:val="20"/>
                <w:szCs w:val="20"/>
                <w:color w:val="auto"/>
              </w:rPr>
            </w:pPr>
            <w:r>
              <w:rPr>
                <w:rFonts w:ascii="Arial" w:cs="Arial" w:eastAsia="Arial" w:hAnsi="Arial"/>
                <w:sz w:val="18"/>
                <w:szCs w:val="18"/>
                <w:color w:val="auto"/>
              </w:rPr>
              <w:t>Other comprehensive income, net of tax</w:t>
            </w:r>
          </w:p>
        </w:tc>
        <w:tc>
          <w:tcPr>
            <w:tcW w:w="6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3,620</w:t>
            </w: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144</w:t>
            </w: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3,904</w:t>
            </w: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30"/>
        </w:trPr>
        <w:tc>
          <w:tcPr>
            <w:tcW w:w="418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7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4,234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1,842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8,170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5,336</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3840" w:type="dxa"/>
            <w:vAlign w:val="bottom"/>
            <w:gridSpan w:val="3"/>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40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889"/>
        </w:trPr>
        <w:tc>
          <w:tcPr>
            <w:tcW w:w="20" w:type="dxa"/>
            <w:vAlign w:val="bottom"/>
            <w:tcBorders>
              <w:top w:val="single" w:sz="8" w:color="0000FF"/>
            </w:tcBorders>
          </w:tcPr>
          <w:p>
            <w:pPr>
              <w:spacing w:after="0"/>
              <w:rPr>
                <w:sz w:val="24"/>
                <w:szCs w:val="24"/>
                <w:color w:val="auto"/>
              </w:rPr>
            </w:pPr>
          </w:p>
        </w:tc>
        <w:tc>
          <w:tcPr>
            <w:tcW w:w="1380" w:type="dxa"/>
            <w:vAlign w:val="bottom"/>
            <w:tcBorders>
              <w:top w:val="single" w:sz="8" w:color="0000FF"/>
            </w:tcBorders>
          </w:tcPr>
          <w:p>
            <w:pPr>
              <w:spacing w:after="0"/>
              <w:rPr>
                <w:sz w:val="24"/>
                <w:szCs w:val="24"/>
                <w:color w:val="auto"/>
              </w:rPr>
            </w:pPr>
          </w:p>
        </w:tc>
        <w:tc>
          <w:tcPr>
            <w:tcW w:w="2440" w:type="dxa"/>
            <w:vAlign w:val="bottom"/>
          </w:tcPr>
          <w:p>
            <w:pPr>
              <w:spacing w:after="0"/>
              <w:rPr>
                <w:sz w:val="24"/>
                <w:szCs w:val="24"/>
                <w:color w:val="auto"/>
              </w:rPr>
            </w:pPr>
          </w:p>
        </w:tc>
        <w:tc>
          <w:tcPr>
            <w:tcW w:w="4060" w:type="dxa"/>
            <w:vAlign w:val="bottom"/>
          </w:tcPr>
          <w:p>
            <w:pPr>
              <w:jc w:val="right"/>
              <w:ind w:right="930"/>
              <w:spacing w:after="0"/>
              <w:rPr>
                <w:sz w:val="20"/>
                <w:szCs w:val="20"/>
                <w:color w:val="auto"/>
              </w:rPr>
            </w:pPr>
            <w:r>
              <w:rPr>
                <w:rFonts w:ascii="Arial" w:cs="Arial" w:eastAsia="Arial" w:hAnsi="Arial"/>
                <w:sz w:val="18"/>
                <w:szCs w:val="18"/>
                <w:b w:val="1"/>
                <w:bCs w:val="1"/>
                <w:color w:val="auto"/>
              </w:rPr>
              <w:t>Lockheed Martin Corporation</w:t>
            </w:r>
          </w:p>
        </w:tc>
        <w:tc>
          <w:tcPr>
            <w:tcW w:w="1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4060" w:type="dxa"/>
            <w:vAlign w:val="bottom"/>
          </w:tcPr>
          <w:p>
            <w:pPr>
              <w:jc w:val="right"/>
              <w:ind w:right="930"/>
              <w:spacing w:after="0"/>
              <w:rPr>
                <w:sz w:val="20"/>
                <w:szCs w:val="20"/>
                <w:color w:val="auto"/>
              </w:rPr>
            </w:pPr>
            <w:r>
              <w:rPr>
                <w:rFonts w:ascii="Arial" w:cs="Arial" w:eastAsia="Arial" w:hAnsi="Arial"/>
                <w:sz w:val="18"/>
                <w:szCs w:val="18"/>
                <w:b w:val="1"/>
                <w:bCs w:val="1"/>
                <w:color w:val="auto"/>
              </w:rPr>
              <w:t>Consolidated Balance Sheets</w:t>
            </w:r>
          </w:p>
        </w:tc>
        <w:tc>
          <w:tcPr>
            <w:tcW w:w="1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39"/>
        </w:trPr>
        <w:tc>
          <w:tcPr>
            <w:tcW w:w="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4060" w:type="dxa"/>
            <w:vAlign w:val="bottom"/>
          </w:tcPr>
          <w:p>
            <w:pPr>
              <w:jc w:val="right"/>
              <w:ind w:right="930"/>
              <w:spacing w:after="0"/>
              <w:rPr>
                <w:sz w:val="20"/>
                <w:szCs w:val="20"/>
                <w:color w:val="auto"/>
              </w:rPr>
            </w:pPr>
            <w:r>
              <w:rPr>
                <w:rFonts w:ascii="Arial" w:cs="Arial" w:eastAsia="Arial" w:hAnsi="Arial"/>
                <w:sz w:val="18"/>
                <w:szCs w:val="18"/>
                <w:b w:val="1"/>
                <w:bCs w:val="1"/>
                <w:color w:val="auto"/>
              </w:rPr>
              <w:t>(in millions, except par value)</w:t>
            </w:r>
          </w:p>
        </w:tc>
        <w:tc>
          <w:tcPr>
            <w:tcW w:w="1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03"/>
        </w:trPr>
        <w:tc>
          <w:tcPr>
            <w:tcW w:w="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1520" w:type="dxa"/>
            <w:vAlign w:val="bottom"/>
          </w:tcPr>
          <w:p>
            <w:pPr>
              <w:jc w:val="center"/>
              <w:ind w:right="150"/>
              <w:spacing w:after="0" w:line="202" w:lineRule="exact"/>
              <w:rPr>
                <w:sz w:val="20"/>
                <w:szCs w:val="20"/>
                <w:color w:val="auto"/>
              </w:rPr>
            </w:pPr>
            <w:r>
              <w:rPr>
                <w:rFonts w:ascii="Arial" w:cs="Arial" w:eastAsia="Arial" w:hAnsi="Arial"/>
                <w:sz w:val="18"/>
                <w:szCs w:val="18"/>
                <w:b w:val="1"/>
                <w:bCs w:val="1"/>
                <w:color w:val="auto"/>
              </w:rPr>
              <w:t>September 26,</w:t>
            </w:r>
          </w:p>
        </w:tc>
        <w:tc>
          <w:tcPr>
            <w:tcW w:w="400" w:type="dxa"/>
            <w:vAlign w:val="bottom"/>
          </w:tcPr>
          <w:p>
            <w:pPr>
              <w:spacing w:after="0"/>
              <w:rPr>
                <w:sz w:val="17"/>
                <w:szCs w:val="17"/>
                <w:color w:val="auto"/>
              </w:rPr>
            </w:pPr>
          </w:p>
        </w:tc>
        <w:tc>
          <w:tcPr>
            <w:tcW w:w="140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December 31,</w:t>
            </w:r>
          </w:p>
        </w:tc>
      </w:tr>
      <w:tr>
        <w:trPr>
          <w:trHeight w:val="229"/>
        </w:trPr>
        <w:tc>
          <w:tcPr>
            <w:tcW w:w="20" w:type="dxa"/>
            <w:vAlign w:val="bottom"/>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tcPr>
          <w:p>
            <w:pPr>
              <w:spacing w:after="0"/>
              <w:rPr>
                <w:sz w:val="19"/>
                <w:szCs w:val="19"/>
                <w:color w:val="auto"/>
              </w:rPr>
            </w:pPr>
          </w:p>
        </w:tc>
        <w:tc>
          <w:tcPr>
            <w:tcW w:w="40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9"/>
              </w:rPr>
              <w:t>2021</w:t>
            </w: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r>
      <w:tr>
        <w:trPr>
          <w:trHeight w:val="223"/>
        </w:trPr>
        <w:tc>
          <w:tcPr>
            <w:tcW w:w="20" w:type="dxa"/>
            <w:vAlign w:val="bottom"/>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440" w:type="dxa"/>
            <w:vAlign w:val="bottom"/>
            <w:shd w:val="clear" w:color="auto" w:fill="CCEEFF"/>
          </w:tcPr>
          <w:p>
            <w:pPr>
              <w:spacing w:after="0"/>
              <w:rPr>
                <w:sz w:val="19"/>
                <w:szCs w:val="19"/>
                <w:color w:val="auto"/>
              </w:rPr>
            </w:pPr>
          </w:p>
        </w:tc>
        <w:tc>
          <w:tcPr>
            <w:tcW w:w="4060" w:type="dxa"/>
            <w:vAlign w:val="bottom"/>
            <w:shd w:val="clear" w:color="auto" w:fill="CCEEFF"/>
          </w:tcPr>
          <w:p>
            <w:pPr>
              <w:spacing w:after="0"/>
              <w:rPr>
                <w:sz w:val="19"/>
                <w:szCs w:val="19"/>
                <w:color w:val="auto"/>
              </w:rPr>
            </w:pPr>
          </w:p>
        </w:tc>
        <w:tc>
          <w:tcPr>
            <w:tcW w:w="1520" w:type="dxa"/>
            <w:vAlign w:val="bottom"/>
            <w:shd w:val="clear" w:color="auto" w:fill="CCEEFF"/>
          </w:tcPr>
          <w:p>
            <w:pPr>
              <w:jc w:val="center"/>
              <w:ind w:right="150"/>
              <w:spacing w:after="0"/>
              <w:rPr>
                <w:sz w:val="20"/>
                <w:szCs w:val="20"/>
                <w:color w:val="auto"/>
              </w:rPr>
            </w:pPr>
            <w:r>
              <w:rPr>
                <w:rFonts w:ascii="Arial" w:cs="Arial" w:eastAsia="Arial" w:hAnsi="Arial"/>
                <w:sz w:val="18"/>
                <w:szCs w:val="18"/>
                <w:b w:val="1"/>
                <w:bCs w:val="1"/>
                <w:color w:val="auto"/>
                <w:w w:val="97"/>
              </w:rPr>
              <w:t>(unaudited)</w:t>
            </w: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820" w:type="dxa"/>
            <w:vAlign w:val="bottom"/>
            <w:gridSpan w:val="2"/>
          </w:tcPr>
          <w:p>
            <w:pPr>
              <w:ind w:left="20"/>
              <w:spacing w:after="0"/>
              <w:rPr>
                <w:sz w:val="20"/>
                <w:szCs w:val="20"/>
                <w:color w:val="auto"/>
              </w:rPr>
            </w:pPr>
            <w:r>
              <w:rPr>
                <w:rFonts w:ascii="Arial" w:cs="Arial" w:eastAsia="Arial" w:hAnsi="Arial"/>
                <w:sz w:val="18"/>
                <w:szCs w:val="18"/>
                <w:b w:val="1"/>
                <w:bCs w:val="1"/>
                <w:color w:val="auto"/>
              </w:rPr>
              <w:t>Assets</w:t>
            </w:r>
          </w:p>
        </w:tc>
        <w:tc>
          <w:tcPr>
            <w:tcW w:w="40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40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820" w:type="dxa"/>
            <w:vAlign w:val="bottom"/>
            <w:gridSpan w:val="2"/>
          </w:tcPr>
          <w:p>
            <w:pPr>
              <w:ind w:left="140"/>
              <w:spacing w:after="0"/>
              <w:rPr>
                <w:sz w:val="20"/>
                <w:szCs w:val="20"/>
                <w:color w:val="auto"/>
              </w:rPr>
            </w:pPr>
            <w:r>
              <w:rPr>
                <w:rFonts w:ascii="Arial" w:cs="Arial" w:eastAsia="Arial" w:hAnsi="Arial"/>
                <w:sz w:val="18"/>
                <w:szCs w:val="18"/>
                <w:color w:val="auto"/>
              </w:rPr>
              <w:t>Cash and cash equivalents</w:t>
            </w:r>
          </w:p>
        </w:tc>
        <w:tc>
          <w:tcPr>
            <w:tcW w:w="40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520" w:type="dxa"/>
            <w:vAlign w:val="bottom"/>
          </w:tcPr>
          <w:p>
            <w:pPr>
              <w:jc w:val="right"/>
              <w:ind w:right="570"/>
              <w:spacing w:after="0"/>
              <w:rPr>
                <w:sz w:val="20"/>
                <w:szCs w:val="20"/>
                <w:color w:val="auto"/>
              </w:rPr>
            </w:pPr>
            <w:r>
              <w:rPr>
                <w:rFonts w:ascii="Arial" w:cs="Arial" w:eastAsia="Arial" w:hAnsi="Arial"/>
                <w:sz w:val="18"/>
                <w:szCs w:val="18"/>
                <w:b w:val="1"/>
                <w:bCs w:val="1"/>
                <w:color w:val="auto"/>
              </w:rPr>
              <w:t>2,727</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470"/>
              <w:spacing w:after="0"/>
              <w:rPr>
                <w:sz w:val="20"/>
                <w:szCs w:val="20"/>
                <w:color w:val="auto"/>
              </w:rPr>
            </w:pPr>
            <w:r>
              <w:rPr>
                <w:rFonts w:ascii="Arial" w:cs="Arial" w:eastAsia="Arial" w:hAnsi="Arial"/>
                <w:sz w:val="18"/>
                <w:szCs w:val="18"/>
                <w:color w:val="auto"/>
              </w:rPr>
              <w:t>3,160</w:t>
            </w:r>
          </w:p>
        </w:tc>
      </w:tr>
      <w:tr>
        <w:trPr>
          <w:trHeight w:val="230"/>
        </w:trPr>
        <w:tc>
          <w:tcPr>
            <w:tcW w:w="20" w:type="dxa"/>
            <w:vAlign w:val="bottom"/>
          </w:tcPr>
          <w:p>
            <w:pPr>
              <w:spacing w:after="0"/>
              <w:rPr>
                <w:sz w:val="19"/>
                <w:szCs w:val="19"/>
                <w:color w:val="auto"/>
              </w:rPr>
            </w:pPr>
          </w:p>
        </w:tc>
        <w:tc>
          <w:tcPr>
            <w:tcW w:w="3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Receivables, net</w:t>
            </w:r>
          </w:p>
        </w:tc>
        <w:tc>
          <w:tcPr>
            <w:tcW w:w="406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570"/>
              <w:spacing w:after="0"/>
              <w:rPr>
                <w:sz w:val="20"/>
                <w:szCs w:val="20"/>
                <w:color w:val="auto"/>
              </w:rPr>
            </w:pPr>
            <w:r>
              <w:rPr>
                <w:rFonts w:ascii="Arial" w:cs="Arial" w:eastAsia="Arial" w:hAnsi="Arial"/>
                <w:sz w:val="18"/>
                <w:szCs w:val="18"/>
                <w:b w:val="1"/>
                <w:bCs w:val="1"/>
                <w:color w:val="auto"/>
              </w:rPr>
              <w:t>2,267</w:t>
            </w: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1,978</w:t>
            </w:r>
          </w:p>
        </w:tc>
      </w:tr>
      <w:tr>
        <w:trPr>
          <w:trHeight w:val="229"/>
        </w:trPr>
        <w:tc>
          <w:tcPr>
            <w:tcW w:w="20" w:type="dxa"/>
            <w:vAlign w:val="bottom"/>
          </w:tcPr>
          <w:p>
            <w:pPr>
              <w:spacing w:after="0"/>
              <w:rPr>
                <w:sz w:val="19"/>
                <w:szCs w:val="19"/>
                <w:color w:val="auto"/>
              </w:rPr>
            </w:pPr>
          </w:p>
        </w:tc>
        <w:tc>
          <w:tcPr>
            <w:tcW w:w="3820" w:type="dxa"/>
            <w:vAlign w:val="bottom"/>
            <w:gridSpan w:val="2"/>
          </w:tcPr>
          <w:p>
            <w:pPr>
              <w:ind w:left="140"/>
              <w:spacing w:after="0"/>
              <w:rPr>
                <w:sz w:val="20"/>
                <w:szCs w:val="20"/>
                <w:color w:val="auto"/>
              </w:rPr>
            </w:pPr>
            <w:r>
              <w:rPr>
                <w:rFonts w:ascii="Arial" w:cs="Arial" w:eastAsia="Arial" w:hAnsi="Arial"/>
                <w:sz w:val="18"/>
                <w:szCs w:val="18"/>
                <w:color w:val="auto"/>
              </w:rPr>
              <w:t>Contract assets</w:t>
            </w:r>
          </w:p>
        </w:tc>
        <w:tc>
          <w:tcPr>
            <w:tcW w:w="4060" w:type="dxa"/>
            <w:vAlign w:val="bottom"/>
          </w:tcPr>
          <w:p>
            <w:pPr>
              <w:spacing w:after="0"/>
              <w:rPr>
                <w:sz w:val="19"/>
                <w:szCs w:val="19"/>
                <w:color w:val="auto"/>
              </w:rPr>
            </w:pPr>
          </w:p>
        </w:tc>
        <w:tc>
          <w:tcPr>
            <w:tcW w:w="1520" w:type="dxa"/>
            <w:vAlign w:val="bottom"/>
          </w:tcPr>
          <w:p>
            <w:pPr>
              <w:jc w:val="right"/>
              <w:ind w:right="570"/>
              <w:spacing w:after="0"/>
              <w:rPr>
                <w:sz w:val="20"/>
                <w:szCs w:val="20"/>
                <w:color w:val="auto"/>
              </w:rPr>
            </w:pPr>
            <w:r>
              <w:rPr>
                <w:rFonts w:ascii="Arial" w:cs="Arial" w:eastAsia="Arial" w:hAnsi="Arial"/>
                <w:sz w:val="18"/>
                <w:szCs w:val="18"/>
                <w:b w:val="1"/>
                <w:bCs w:val="1"/>
                <w:color w:val="auto"/>
              </w:rPr>
              <w:t>12,697</w:t>
            </w:r>
          </w:p>
        </w:tc>
        <w:tc>
          <w:tcPr>
            <w:tcW w:w="400" w:type="dxa"/>
            <w:vAlign w:val="bottom"/>
          </w:tcPr>
          <w:p>
            <w:pPr>
              <w:spacing w:after="0"/>
              <w:rPr>
                <w:sz w:val="19"/>
                <w:szCs w:val="19"/>
                <w:color w:val="auto"/>
              </w:rPr>
            </w:pPr>
          </w:p>
        </w:tc>
        <w:tc>
          <w:tcPr>
            <w:tcW w:w="1400" w:type="dxa"/>
            <w:vAlign w:val="bottom"/>
          </w:tcPr>
          <w:p>
            <w:pPr>
              <w:jc w:val="right"/>
              <w:ind w:right="470"/>
              <w:spacing w:after="0"/>
              <w:rPr>
                <w:sz w:val="20"/>
                <w:szCs w:val="20"/>
                <w:color w:val="auto"/>
              </w:rPr>
            </w:pPr>
            <w:r>
              <w:rPr>
                <w:rFonts w:ascii="Arial" w:cs="Arial" w:eastAsia="Arial" w:hAnsi="Arial"/>
                <w:sz w:val="18"/>
                <w:szCs w:val="18"/>
                <w:color w:val="auto"/>
              </w:rPr>
              <w:t>9,545</w:t>
            </w:r>
          </w:p>
        </w:tc>
      </w:tr>
      <w:tr>
        <w:trPr>
          <w:trHeight w:val="229"/>
        </w:trPr>
        <w:tc>
          <w:tcPr>
            <w:tcW w:w="20" w:type="dxa"/>
            <w:vAlign w:val="bottom"/>
          </w:tcPr>
          <w:p>
            <w:pPr>
              <w:spacing w:after="0"/>
              <w:rPr>
                <w:sz w:val="19"/>
                <w:szCs w:val="19"/>
                <w:color w:val="auto"/>
              </w:rPr>
            </w:pPr>
          </w:p>
        </w:tc>
        <w:tc>
          <w:tcPr>
            <w:tcW w:w="3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Inventories</w:t>
            </w:r>
          </w:p>
        </w:tc>
        <w:tc>
          <w:tcPr>
            <w:tcW w:w="406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570"/>
              <w:spacing w:after="0"/>
              <w:rPr>
                <w:sz w:val="20"/>
                <w:szCs w:val="20"/>
                <w:color w:val="auto"/>
              </w:rPr>
            </w:pPr>
            <w:r>
              <w:rPr>
                <w:rFonts w:ascii="Arial" w:cs="Arial" w:eastAsia="Arial" w:hAnsi="Arial"/>
                <w:sz w:val="18"/>
                <w:szCs w:val="18"/>
                <w:b w:val="1"/>
                <w:bCs w:val="1"/>
                <w:color w:val="auto"/>
              </w:rPr>
              <w:t>2,903</w:t>
            </w: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3,545</w:t>
            </w:r>
          </w:p>
        </w:tc>
      </w:tr>
      <w:tr>
        <w:trPr>
          <w:trHeight w:val="230"/>
        </w:trPr>
        <w:tc>
          <w:tcPr>
            <w:tcW w:w="20" w:type="dxa"/>
            <w:vAlign w:val="bottom"/>
          </w:tcPr>
          <w:p>
            <w:pPr>
              <w:spacing w:after="0"/>
              <w:rPr>
                <w:sz w:val="19"/>
                <w:szCs w:val="19"/>
                <w:color w:val="auto"/>
              </w:rPr>
            </w:pPr>
          </w:p>
        </w:tc>
        <w:tc>
          <w:tcPr>
            <w:tcW w:w="382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Other current assets</w:t>
            </w:r>
          </w:p>
        </w:tc>
        <w:tc>
          <w:tcPr>
            <w:tcW w:w="40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763</w:t>
            </w: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1,150</w:t>
            </w:r>
          </w:p>
        </w:tc>
      </w:tr>
      <w:tr>
        <w:trPr>
          <w:trHeight w:val="223"/>
        </w:trPr>
        <w:tc>
          <w:tcPr>
            <w:tcW w:w="20" w:type="dxa"/>
            <w:vAlign w:val="bottom"/>
          </w:tcPr>
          <w:p>
            <w:pPr>
              <w:spacing w:after="0"/>
              <w:rPr>
                <w:sz w:val="19"/>
                <w:szCs w:val="19"/>
                <w:color w:val="auto"/>
              </w:rPr>
            </w:pPr>
          </w:p>
        </w:tc>
        <w:tc>
          <w:tcPr>
            <w:tcW w:w="3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406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570"/>
              <w:spacing w:after="0"/>
              <w:rPr>
                <w:sz w:val="20"/>
                <w:szCs w:val="20"/>
                <w:color w:val="auto"/>
              </w:rPr>
            </w:pPr>
            <w:r>
              <w:rPr>
                <w:rFonts w:ascii="Arial" w:cs="Arial" w:eastAsia="Arial" w:hAnsi="Arial"/>
                <w:sz w:val="18"/>
                <w:szCs w:val="18"/>
                <w:b w:val="1"/>
                <w:bCs w:val="1"/>
                <w:color w:val="auto"/>
              </w:rPr>
              <w:t>21,357</w:t>
            </w: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19,378</w:t>
            </w:r>
          </w:p>
        </w:tc>
      </w:tr>
      <w:tr>
        <w:trPr>
          <w:trHeight w:val="230"/>
        </w:trPr>
        <w:tc>
          <w:tcPr>
            <w:tcW w:w="20" w:type="dxa"/>
            <w:vAlign w:val="bottom"/>
          </w:tcPr>
          <w:p>
            <w:pPr>
              <w:spacing w:after="0"/>
              <w:rPr>
                <w:sz w:val="19"/>
                <w:szCs w:val="19"/>
                <w:color w:val="auto"/>
              </w:rPr>
            </w:pPr>
          </w:p>
        </w:tc>
        <w:tc>
          <w:tcPr>
            <w:tcW w:w="3820" w:type="dxa"/>
            <w:vAlign w:val="bottom"/>
            <w:gridSpan w:val="2"/>
          </w:tcPr>
          <w:p>
            <w:pPr>
              <w:ind w:left="20"/>
              <w:spacing w:after="0"/>
              <w:rPr>
                <w:sz w:val="20"/>
                <w:szCs w:val="20"/>
                <w:color w:val="auto"/>
              </w:rPr>
            </w:pPr>
            <w:r>
              <w:rPr>
                <w:rFonts w:ascii="Arial" w:cs="Arial" w:eastAsia="Arial" w:hAnsi="Arial"/>
                <w:sz w:val="18"/>
                <w:szCs w:val="18"/>
                <w:color w:val="auto"/>
              </w:rPr>
              <w:t>Property, plant and equipment, net</w:t>
            </w:r>
          </w:p>
        </w:tc>
        <w:tc>
          <w:tcPr>
            <w:tcW w:w="4060" w:type="dxa"/>
            <w:vAlign w:val="bottom"/>
          </w:tcPr>
          <w:p>
            <w:pPr>
              <w:spacing w:after="0"/>
              <w:rPr>
                <w:sz w:val="19"/>
                <w:szCs w:val="19"/>
                <w:color w:val="auto"/>
              </w:rPr>
            </w:pPr>
          </w:p>
        </w:tc>
        <w:tc>
          <w:tcPr>
            <w:tcW w:w="1520" w:type="dxa"/>
            <w:vAlign w:val="bottom"/>
          </w:tcPr>
          <w:p>
            <w:pPr>
              <w:jc w:val="right"/>
              <w:ind w:right="570"/>
              <w:spacing w:after="0"/>
              <w:rPr>
                <w:sz w:val="20"/>
                <w:szCs w:val="20"/>
                <w:color w:val="auto"/>
              </w:rPr>
            </w:pPr>
            <w:r>
              <w:rPr>
                <w:rFonts w:ascii="Arial" w:cs="Arial" w:eastAsia="Arial" w:hAnsi="Arial"/>
                <w:sz w:val="18"/>
                <w:szCs w:val="18"/>
                <w:b w:val="1"/>
                <w:bCs w:val="1"/>
                <w:color w:val="auto"/>
              </w:rPr>
              <w:t>7,332</w:t>
            </w:r>
          </w:p>
        </w:tc>
        <w:tc>
          <w:tcPr>
            <w:tcW w:w="400" w:type="dxa"/>
            <w:vAlign w:val="bottom"/>
          </w:tcPr>
          <w:p>
            <w:pPr>
              <w:spacing w:after="0"/>
              <w:rPr>
                <w:sz w:val="19"/>
                <w:szCs w:val="19"/>
                <w:color w:val="auto"/>
              </w:rPr>
            </w:pPr>
          </w:p>
        </w:tc>
        <w:tc>
          <w:tcPr>
            <w:tcW w:w="1400" w:type="dxa"/>
            <w:vAlign w:val="bottom"/>
          </w:tcPr>
          <w:p>
            <w:pPr>
              <w:jc w:val="right"/>
              <w:ind w:right="470"/>
              <w:spacing w:after="0"/>
              <w:rPr>
                <w:sz w:val="20"/>
                <w:szCs w:val="20"/>
                <w:color w:val="auto"/>
              </w:rPr>
            </w:pPr>
            <w:r>
              <w:rPr>
                <w:rFonts w:ascii="Arial" w:cs="Arial" w:eastAsia="Arial" w:hAnsi="Arial"/>
                <w:sz w:val="18"/>
                <w:szCs w:val="18"/>
                <w:color w:val="auto"/>
              </w:rPr>
              <w:t>7,213</w:t>
            </w:r>
          </w:p>
        </w:tc>
      </w:tr>
      <w:tr>
        <w:trPr>
          <w:trHeight w:val="229"/>
        </w:trPr>
        <w:tc>
          <w:tcPr>
            <w:tcW w:w="20" w:type="dxa"/>
            <w:vAlign w:val="bottom"/>
          </w:tcPr>
          <w:p>
            <w:pPr>
              <w:spacing w:after="0"/>
              <w:rPr>
                <w:sz w:val="19"/>
                <w:szCs w:val="19"/>
                <w:color w:val="auto"/>
              </w:rPr>
            </w:pPr>
          </w:p>
        </w:tc>
        <w:tc>
          <w:tcPr>
            <w:tcW w:w="3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406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570"/>
              <w:spacing w:after="0"/>
              <w:rPr>
                <w:sz w:val="20"/>
                <w:szCs w:val="20"/>
                <w:color w:val="auto"/>
              </w:rPr>
            </w:pPr>
            <w:r>
              <w:rPr>
                <w:rFonts w:ascii="Arial" w:cs="Arial" w:eastAsia="Arial" w:hAnsi="Arial"/>
                <w:sz w:val="18"/>
                <w:szCs w:val="18"/>
                <w:b w:val="1"/>
                <w:bCs w:val="1"/>
                <w:color w:val="auto"/>
              </w:rPr>
              <w:t>10,815</w:t>
            </w: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10,806</w:t>
            </w:r>
          </w:p>
        </w:tc>
      </w:tr>
      <w:tr>
        <w:trPr>
          <w:trHeight w:val="229"/>
        </w:trPr>
        <w:tc>
          <w:tcPr>
            <w:tcW w:w="20" w:type="dxa"/>
            <w:vAlign w:val="bottom"/>
          </w:tcPr>
          <w:p>
            <w:pPr>
              <w:spacing w:after="0"/>
              <w:rPr>
                <w:sz w:val="19"/>
                <w:szCs w:val="19"/>
                <w:color w:val="auto"/>
              </w:rPr>
            </w:pPr>
          </w:p>
        </w:tc>
        <w:tc>
          <w:tcPr>
            <w:tcW w:w="3820" w:type="dxa"/>
            <w:vAlign w:val="bottom"/>
            <w:gridSpan w:val="2"/>
          </w:tcPr>
          <w:p>
            <w:pPr>
              <w:ind w:left="20"/>
              <w:spacing w:after="0"/>
              <w:rPr>
                <w:sz w:val="20"/>
                <w:szCs w:val="20"/>
                <w:color w:val="auto"/>
              </w:rPr>
            </w:pPr>
            <w:r>
              <w:rPr>
                <w:rFonts w:ascii="Arial" w:cs="Arial" w:eastAsia="Arial" w:hAnsi="Arial"/>
                <w:sz w:val="18"/>
                <w:szCs w:val="18"/>
                <w:color w:val="auto"/>
              </w:rPr>
              <w:t>Intangible assets, net</w:t>
            </w:r>
          </w:p>
        </w:tc>
        <w:tc>
          <w:tcPr>
            <w:tcW w:w="4060" w:type="dxa"/>
            <w:vAlign w:val="bottom"/>
          </w:tcPr>
          <w:p>
            <w:pPr>
              <w:spacing w:after="0"/>
              <w:rPr>
                <w:sz w:val="19"/>
                <w:szCs w:val="19"/>
                <w:color w:val="auto"/>
              </w:rPr>
            </w:pPr>
          </w:p>
        </w:tc>
        <w:tc>
          <w:tcPr>
            <w:tcW w:w="1520" w:type="dxa"/>
            <w:vAlign w:val="bottom"/>
          </w:tcPr>
          <w:p>
            <w:pPr>
              <w:jc w:val="right"/>
              <w:ind w:right="570"/>
              <w:spacing w:after="0"/>
              <w:rPr>
                <w:sz w:val="20"/>
                <w:szCs w:val="20"/>
                <w:color w:val="auto"/>
              </w:rPr>
            </w:pPr>
            <w:r>
              <w:rPr>
                <w:rFonts w:ascii="Arial" w:cs="Arial" w:eastAsia="Arial" w:hAnsi="Arial"/>
                <w:sz w:val="18"/>
                <w:szCs w:val="18"/>
                <w:b w:val="1"/>
                <w:bCs w:val="1"/>
                <w:color w:val="auto"/>
              </w:rPr>
              <w:t>2,768</w:t>
            </w:r>
          </w:p>
        </w:tc>
        <w:tc>
          <w:tcPr>
            <w:tcW w:w="400" w:type="dxa"/>
            <w:vAlign w:val="bottom"/>
          </w:tcPr>
          <w:p>
            <w:pPr>
              <w:spacing w:after="0"/>
              <w:rPr>
                <w:sz w:val="19"/>
                <w:szCs w:val="19"/>
                <w:color w:val="auto"/>
              </w:rPr>
            </w:pPr>
          </w:p>
        </w:tc>
        <w:tc>
          <w:tcPr>
            <w:tcW w:w="1400" w:type="dxa"/>
            <w:vAlign w:val="bottom"/>
          </w:tcPr>
          <w:p>
            <w:pPr>
              <w:jc w:val="right"/>
              <w:ind w:right="470"/>
              <w:spacing w:after="0"/>
              <w:rPr>
                <w:sz w:val="20"/>
                <w:szCs w:val="20"/>
                <w:color w:val="auto"/>
              </w:rPr>
            </w:pPr>
            <w:r>
              <w:rPr>
                <w:rFonts w:ascii="Arial" w:cs="Arial" w:eastAsia="Arial" w:hAnsi="Arial"/>
                <w:sz w:val="18"/>
                <w:szCs w:val="18"/>
                <w:color w:val="auto"/>
              </w:rPr>
              <w:t>3,012</w:t>
            </w:r>
          </w:p>
        </w:tc>
      </w:tr>
      <w:tr>
        <w:trPr>
          <w:trHeight w:val="230"/>
        </w:trPr>
        <w:tc>
          <w:tcPr>
            <w:tcW w:w="20" w:type="dxa"/>
            <w:vAlign w:val="bottom"/>
          </w:tcPr>
          <w:p>
            <w:pPr>
              <w:spacing w:after="0"/>
              <w:rPr>
                <w:sz w:val="19"/>
                <w:szCs w:val="19"/>
                <w:color w:val="auto"/>
              </w:rPr>
            </w:pPr>
          </w:p>
        </w:tc>
        <w:tc>
          <w:tcPr>
            <w:tcW w:w="3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406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570"/>
              <w:spacing w:after="0"/>
              <w:rPr>
                <w:sz w:val="20"/>
                <w:szCs w:val="20"/>
                <w:color w:val="auto"/>
              </w:rPr>
            </w:pPr>
            <w:r>
              <w:rPr>
                <w:rFonts w:ascii="Arial" w:cs="Arial" w:eastAsia="Arial" w:hAnsi="Arial"/>
                <w:sz w:val="18"/>
                <w:szCs w:val="18"/>
                <w:b w:val="1"/>
                <w:bCs w:val="1"/>
                <w:color w:val="auto"/>
              </w:rPr>
              <w:t>2,664</w:t>
            </w: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3,475</w:t>
            </w:r>
          </w:p>
        </w:tc>
      </w:tr>
      <w:tr>
        <w:trPr>
          <w:trHeight w:val="229"/>
        </w:trPr>
        <w:tc>
          <w:tcPr>
            <w:tcW w:w="20" w:type="dxa"/>
            <w:vAlign w:val="bottom"/>
          </w:tcPr>
          <w:p>
            <w:pPr>
              <w:spacing w:after="0"/>
              <w:rPr>
                <w:sz w:val="19"/>
                <w:szCs w:val="19"/>
                <w:color w:val="auto"/>
              </w:rPr>
            </w:pPr>
          </w:p>
        </w:tc>
        <w:tc>
          <w:tcPr>
            <w:tcW w:w="38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Other noncurrent assets</w:t>
            </w:r>
          </w:p>
        </w:tc>
        <w:tc>
          <w:tcPr>
            <w:tcW w:w="40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6,907</w:t>
            </w: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6,826</w:t>
            </w:r>
          </w:p>
        </w:tc>
      </w:tr>
      <w:tr>
        <w:trPr>
          <w:trHeight w:val="223"/>
        </w:trPr>
        <w:tc>
          <w:tcPr>
            <w:tcW w:w="20" w:type="dxa"/>
            <w:vAlign w:val="bottom"/>
          </w:tcPr>
          <w:p>
            <w:pPr>
              <w:spacing w:after="0"/>
              <w:rPr>
                <w:sz w:val="19"/>
                <w:szCs w:val="19"/>
                <w:color w:val="auto"/>
              </w:rPr>
            </w:pPr>
          </w:p>
        </w:tc>
        <w:tc>
          <w:tcPr>
            <w:tcW w:w="3820" w:type="dxa"/>
            <w:vAlign w:val="bottom"/>
            <w:tcBorders>
              <w:bottom w:val="single" w:sz="8" w:color="auto"/>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4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52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b w:val="1"/>
                <w:bCs w:val="1"/>
                <w:color w:val="auto"/>
              </w:rPr>
              <w:t>51,843</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50,710</w:t>
            </w:r>
          </w:p>
        </w:tc>
      </w:tr>
      <w:tr>
        <w:trPr>
          <w:trHeight w:val="223"/>
        </w:trPr>
        <w:tc>
          <w:tcPr>
            <w:tcW w:w="20" w:type="dxa"/>
            <w:vAlign w:val="bottom"/>
          </w:tcPr>
          <w:p>
            <w:pPr>
              <w:spacing w:after="0"/>
              <w:rPr>
                <w:sz w:val="19"/>
                <w:szCs w:val="19"/>
                <w:color w:val="auto"/>
              </w:rPr>
            </w:pPr>
          </w:p>
        </w:tc>
        <w:tc>
          <w:tcPr>
            <w:tcW w:w="3820" w:type="dxa"/>
            <w:vAlign w:val="bottom"/>
            <w:gridSpan w:val="2"/>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40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40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820" w:type="dxa"/>
            <w:vAlign w:val="bottom"/>
            <w:gridSpan w:val="2"/>
          </w:tcPr>
          <w:p>
            <w:pPr>
              <w:ind w:left="140"/>
              <w:spacing w:after="0"/>
              <w:rPr>
                <w:sz w:val="20"/>
                <w:szCs w:val="20"/>
                <w:color w:val="auto"/>
              </w:rPr>
            </w:pPr>
            <w:r>
              <w:rPr>
                <w:rFonts w:ascii="Arial" w:cs="Arial" w:eastAsia="Arial" w:hAnsi="Arial"/>
                <w:sz w:val="18"/>
                <w:szCs w:val="18"/>
                <w:color w:val="auto"/>
              </w:rPr>
              <w:t>Accounts payable</w:t>
            </w:r>
          </w:p>
        </w:tc>
        <w:tc>
          <w:tcPr>
            <w:tcW w:w="40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520" w:type="dxa"/>
            <w:vAlign w:val="bottom"/>
          </w:tcPr>
          <w:p>
            <w:pPr>
              <w:jc w:val="right"/>
              <w:ind w:right="570"/>
              <w:spacing w:after="0"/>
              <w:rPr>
                <w:sz w:val="20"/>
                <w:szCs w:val="20"/>
                <w:color w:val="auto"/>
              </w:rPr>
            </w:pPr>
            <w:r>
              <w:rPr>
                <w:rFonts w:ascii="Arial" w:cs="Arial" w:eastAsia="Arial" w:hAnsi="Arial"/>
                <w:sz w:val="18"/>
                <w:szCs w:val="18"/>
                <w:b w:val="1"/>
                <w:bCs w:val="1"/>
                <w:color w:val="auto"/>
              </w:rPr>
              <w:t>1,520</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470"/>
              <w:spacing w:after="0"/>
              <w:rPr>
                <w:sz w:val="20"/>
                <w:szCs w:val="20"/>
                <w:color w:val="auto"/>
              </w:rPr>
            </w:pPr>
            <w:r>
              <w:rPr>
                <w:rFonts w:ascii="Arial" w:cs="Arial" w:eastAsia="Arial" w:hAnsi="Arial"/>
                <w:sz w:val="18"/>
                <w:szCs w:val="18"/>
                <w:color w:val="auto"/>
              </w:rPr>
              <w:t>880</w:t>
            </w:r>
          </w:p>
        </w:tc>
      </w:tr>
      <w:tr>
        <w:trPr>
          <w:trHeight w:val="229"/>
        </w:trPr>
        <w:tc>
          <w:tcPr>
            <w:tcW w:w="20" w:type="dxa"/>
            <w:vAlign w:val="bottom"/>
          </w:tcPr>
          <w:p>
            <w:pPr>
              <w:spacing w:after="0"/>
              <w:rPr>
                <w:sz w:val="19"/>
                <w:szCs w:val="19"/>
                <w:color w:val="auto"/>
              </w:rPr>
            </w:pPr>
          </w:p>
        </w:tc>
        <w:tc>
          <w:tcPr>
            <w:tcW w:w="3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Contract liabilities</w:t>
            </w:r>
          </w:p>
        </w:tc>
        <w:tc>
          <w:tcPr>
            <w:tcW w:w="406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570"/>
              <w:spacing w:after="0"/>
              <w:rPr>
                <w:sz w:val="20"/>
                <w:szCs w:val="20"/>
                <w:color w:val="auto"/>
              </w:rPr>
            </w:pPr>
            <w:r>
              <w:rPr>
                <w:rFonts w:ascii="Arial" w:cs="Arial" w:eastAsia="Arial" w:hAnsi="Arial"/>
                <w:sz w:val="18"/>
                <w:szCs w:val="18"/>
                <w:b w:val="1"/>
                <w:bCs w:val="1"/>
                <w:color w:val="auto"/>
              </w:rPr>
              <w:t>7,515</w:t>
            </w: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7,545</w:t>
            </w:r>
          </w:p>
        </w:tc>
      </w:tr>
      <w:tr>
        <w:trPr>
          <w:trHeight w:val="230"/>
        </w:trPr>
        <w:tc>
          <w:tcPr>
            <w:tcW w:w="20" w:type="dxa"/>
            <w:vAlign w:val="bottom"/>
          </w:tcPr>
          <w:p>
            <w:pPr>
              <w:spacing w:after="0"/>
              <w:rPr>
                <w:sz w:val="19"/>
                <w:szCs w:val="19"/>
                <w:color w:val="auto"/>
              </w:rPr>
            </w:pPr>
          </w:p>
        </w:tc>
        <w:tc>
          <w:tcPr>
            <w:tcW w:w="3820" w:type="dxa"/>
            <w:vAlign w:val="bottom"/>
            <w:gridSpan w:val="2"/>
          </w:tcPr>
          <w:p>
            <w:pPr>
              <w:ind w:left="140"/>
              <w:spacing w:after="0"/>
              <w:rPr>
                <w:sz w:val="20"/>
                <w:szCs w:val="20"/>
                <w:color w:val="auto"/>
              </w:rPr>
            </w:pPr>
            <w:r>
              <w:rPr>
                <w:rFonts w:ascii="Arial" w:cs="Arial" w:eastAsia="Arial" w:hAnsi="Arial"/>
                <w:sz w:val="18"/>
                <w:szCs w:val="18"/>
                <w:color w:val="auto"/>
              </w:rPr>
              <w:t>Salaries, benefits and payroll taxes</w:t>
            </w:r>
          </w:p>
        </w:tc>
        <w:tc>
          <w:tcPr>
            <w:tcW w:w="4060" w:type="dxa"/>
            <w:vAlign w:val="bottom"/>
          </w:tcPr>
          <w:p>
            <w:pPr>
              <w:spacing w:after="0"/>
              <w:rPr>
                <w:sz w:val="19"/>
                <w:szCs w:val="19"/>
                <w:color w:val="auto"/>
              </w:rPr>
            </w:pPr>
          </w:p>
        </w:tc>
        <w:tc>
          <w:tcPr>
            <w:tcW w:w="1520" w:type="dxa"/>
            <w:vAlign w:val="bottom"/>
          </w:tcPr>
          <w:p>
            <w:pPr>
              <w:jc w:val="right"/>
              <w:ind w:right="570"/>
              <w:spacing w:after="0"/>
              <w:rPr>
                <w:sz w:val="20"/>
                <w:szCs w:val="20"/>
                <w:color w:val="auto"/>
              </w:rPr>
            </w:pPr>
            <w:r>
              <w:rPr>
                <w:rFonts w:ascii="Arial" w:cs="Arial" w:eastAsia="Arial" w:hAnsi="Arial"/>
                <w:sz w:val="18"/>
                <w:szCs w:val="18"/>
                <w:b w:val="1"/>
                <w:bCs w:val="1"/>
                <w:color w:val="auto"/>
              </w:rPr>
              <w:t>3,122</w:t>
            </w:r>
          </w:p>
        </w:tc>
        <w:tc>
          <w:tcPr>
            <w:tcW w:w="400" w:type="dxa"/>
            <w:vAlign w:val="bottom"/>
          </w:tcPr>
          <w:p>
            <w:pPr>
              <w:spacing w:after="0"/>
              <w:rPr>
                <w:sz w:val="19"/>
                <w:szCs w:val="19"/>
                <w:color w:val="auto"/>
              </w:rPr>
            </w:pPr>
          </w:p>
        </w:tc>
        <w:tc>
          <w:tcPr>
            <w:tcW w:w="1400" w:type="dxa"/>
            <w:vAlign w:val="bottom"/>
          </w:tcPr>
          <w:p>
            <w:pPr>
              <w:jc w:val="right"/>
              <w:ind w:right="470"/>
              <w:spacing w:after="0"/>
              <w:rPr>
                <w:sz w:val="20"/>
                <w:szCs w:val="20"/>
                <w:color w:val="auto"/>
              </w:rPr>
            </w:pPr>
            <w:r>
              <w:rPr>
                <w:rFonts w:ascii="Arial" w:cs="Arial" w:eastAsia="Arial" w:hAnsi="Arial"/>
                <w:sz w:val="18"/>
                <w:szCs w:val="18"/>
                <w:color w:val="auto"/>
              </w:rPr>
              <w:t>3,163</w:t>
            </w:r>
          </w:p>
        </w:tc>
      </w:tr>
      <w:tr>
        <w:trPr>
          <w:trHeight w:val="229"/>
        </w:trPr>
        <w:tc>
          <w:tcPr>
            <w:tcW w:w="20" w:type="dxa"/>
            <w:vAlign w:val="bottom"/>
          </w:tcPr>
          <w:p>
            <w:pPr>
              <w:spacing w:after="0"/>
              <w:rPr>
                <w:sz w:val="19"/>
                <w:szCs w:val="19"/>
                <w:color w:val="auto"/>
              </w:rPr>
            </w:pPr>
          </w:p>
        </w:tc>
        <w:tc>
          <w:tcPr>
            <w:tcW w:w="3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Current maturities of long-term debt</w:t>
            </w:r>
          </w:p>
        </w:tc>
        <w:tc>
          <w:tcPr>
            <w:tcW w:w="406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570"/>
              <w:spacing w:after="0"/>
              <w:rPr>
                <w:sz w:val="20"/>
                <w:szCs w:val="20"/>
                <w:color w:val="auto"/>
              </w:rPr>
            </w:pPr>
            <w:r>
              <w:rPr>
                <w:rFonts w:ascii="Arial" w:cs="Arial" w:eastAsia="Arial" w:hAnsi="Arial"/>
                <w:sz w:val="18"/>
                <w:szCs w:val="18"/>
                <w:b w:val="1"/>
                <w:bCs w:val="1"/>
                <w:color w:val="auto"/>
              </w:rPr>
              <w:t>6</w:t>
            </w: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500</w:t>
            </w:r>
          </w:p>
        </w:tc>
      </w:tr>
      <w:tr>
        <w:trPr>
          <w:trHeight w:val="230"/>
        </w:trPr>
        <w:tc>
          <w:tcPr>
            <w:tcW w:w="20" w:type="dxa"/>
            <w:vAlign w:val="bottom"/>
          </w:tcPr>
          <w:p>
            <w:pPr>
              <w:spacing w:after="0"/>
              <w:rPr>
                <w:sz w:val="19"/>
                <w:szCs w:val="19"/>
                <w:color w:val="auto"/>
              </w:rPr>
            </w:pPr>
          </w:p>
        </w:tc>
        <w:tc>
          <w:tcPr>
            <w:tcW w:w="382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Other current liabilities</w:t>
            </w:r>
          </w:p>
        </w:tc>
        <w:tc>
          <w:tcPr>
            <w:tcW w:w="40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2,863</w:t>
            </w: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1,845</w:t>
            </w:r>
          </w:p>
        </w:tc>
      </w:tr>
      <w:tr>
        <w:trPr>
          <w:trHeight w:val="223"/>
        </w:trPr>
        <w:tc>
          <w:tcPr>
            <w:tcW w:w="20" w:type="dxa"/>
            <w:vAlign w:val="bottom"/>
          </w:tcPr>
          <w:p>
            <w:pPr>
              <w:spacing w:after="0"/>
              <w:rPr>
                <w:sz w:val="19"/>
                <w:szCs w:val="19"/>
                <w:color w:val="auto"/>
              </w:rPr>
            </w:pPr>
          </w:p>
        </w:tc>
        <w:tc>
          <w:tcPr>
            <w:tcW w:w="3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406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570"/>
              <w:spacing w:after="0"/>
              <w:rPr>
                <w:sz w:val="20"/>
                <w:szCs w:val="20"/>
                <w:color w:val="auto"/>
              </w:rPr>
            </w:pPr>
            <w:r>
              <w:rPr>
                <w:rFonts w:ascii="Arial" w:cs="Arial" w:eastAsia="Arial" w:hAnsi="Arial"/>
                <w:sz w:val="18"/>
                <w:szCs w:val="18"/>
                <w:b w:val="1"/>
                <w:bCs w:val="1"/>
                <w:color w:val="auto"/>
              </w:rPr>
              <w:t>15,026</w:t>
            </w: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13,933</w:t>
            </w:r>
          </w:p>
        </w:tc>
      </w:tr>
      <w:tr>
        <w:trPr>
          <w:trHeight w:val="230"/>
        </w:trPr>
        <w:tc>
          <w:tcPr>
            <w:tcW w:w="20" w:type="dxa"/>
            <w:vAlign w:val="bottom"/>
          </w:tcPr>
          <w:p>
            <w:pPr>
              <w:spacing w:after="0"/>
              <w:rPr>
                <w:sz w:val="19"/>
                <w:szCs w:val="19"/>
                <w:color w:val="auto"/>
              </w:rPr>
            </w:pPr>
          </w:p>
        </w:tc>
        <w:tc>
          <w:tcPr>
            <w:tcW w:w="3820" w:type="dxa"/>
            <w:vAlign w:val="bottom"/>
            <w:gridSpan w:val="2"/>
          </w:tcPr>
          <w:p>
            <w:pPr>
              <w:ind w:left="20"/>
              <w:spacing w:after="0"/>
              <w:rPr>
                <w:sz w:val="20"/>
                <w:szCs w:val="20"/>
                <w:color w:val="auto"/>
              </w:rPr>
            </w:pPr>
            <w:r>
              <w:rPr>
                <w:rFonts w:ascii="Arial" w:cs="Arial" w:eastAsia="Arial" w:hAnsi="Arial"/>
                <w:sz w:val="18"/>
                <w:szCs w:val="18"/>
                <w:color w:val="auto"/>
              </w:rPr>
              <w:t>Long-term debt, net</w:t>
            </w:r>
          </w:p>
        </w:tc>
        <w:tc>
          <w:tcPr>
            <w:tcW w:w="4060" w:type="dxa"/>
            <w:vAlign w:val="bottom"/>
          </w:tcPr>
          <w:p>
            <w:pPr>
              <w:spacing w:after="0"/>
              <w:rPr>
                <w:sz w:val="19"/>
                <w:szCs w:val="19"/>
                <w:color w:val="auto"/>
              </w:rPr>
            </w:pPr>
          </w:p>
        </w:tc>
        <w:tc>
          <w:tcPr>
            <w:tcW w:w="1520" w:type="dxa"/>
            <w:vAlign w:val="bottom"/>
          </w:tcPr>
          <w:p>
            <w:pPr>
              <w:jc w:val="right"/>
              <w:ind w:right="570"/>
              <w:spacing w:after="0"/>
              <w:rPr>
                <w:sz w:val="20"/>
                <w:szCs w:val="20"/>
                <w:color w:val="auto"/>
              </w:rPr>
            </w:pPr>
            <w:r>
              <w:rPr>
                <w:rFonts w:ascii="Arial" w:cs="Arial" w:eastAsia="Arial" w:hAnsi="Arial"/>
                <w:sz w:val="18"/>
                <w:szCs w:val="18"/>
                <w:b w:val="1"/>
                <w:bCs w:val="1"/>
                <w:color w:val="auto"/>
              </w:rPr>
              <w:t>11,668</w:t>
            </w:r>
          </w:p>
        </w:tc>
        <w:tc>
          <w:tcPr>
            <w:tcW w:w="400" w:type="dxa"/>
            <w:vAlign w:val="bottom"/>
          </w:tcPr>
          <w:p>
            <w:pPr>
              <w:spacing w:after="0"/>
              <w:rPr>
                <w:sz w:val="19"/>
                <w:szCs w:val="19"/>
                <w:color w:val="auto"/>
              </w:rPr>
            </w:pPr>
          </w:p>
        </w:tc>
        <w:tc>
          <w:tcPr>
            <w:tcW w:w="1400" w:type="dxa"/>
            <w:vAlign w:val="bottom"/>
          </w:tcPr>
          <w:p>
            <w:pPr>
              <w:jc w:val="right"/>
              <w:ind w:right="470"/>
              <w:spacing w:after="0"/>
              <w:rPr>
                <w:sz w:val="20"/>
                <w:szCs w:val="20"/>
                <w:color w:val="auto"/>
              </w:rPr>
            </w:pPr>
            <w:r>
              <w:rPr>
                <w:rFonts w:ascii="Arial" w:cs="Arial" w:eastAsia="Arial" w:hAnsi="Arial"/>
                <w:sz w:val="18"/>
                <w:szCs w:val="18"/>
                <w:color w:val="auto"/>
              </w:rPr>
              <w:t>11,669</w:t>
            </w:r>
          </w:p>
        </w:tc>
      </w:tr>
      <w:tr>
        <w:trPr>
          <w:trHeight w:val="230"/>
        </w:trPr>
        <w:tc>
          <w:tcPr>
            <w:tcW w:w="20" w:type="dxa"/>
            <w:vAlign w:val="bottom"/>
          </w:tcPr>
          <w:p>
            <w:pPr>
              <w:spacing w:after="0"/>
              <w:rPr>
                <w:sz w:val="19"/>
                <w:szCs w:val="19"/>
                <w:color w:val="auto"/>
              </w:rPr>
            </w:pPr>
          </w:p>
        </w:tc>
        <w:tc>
          <w:tcPr>
            <w:tcW w:w="3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pension liabilities</w:t>
            </w:r>
          </w:p>
        </w:tc>
        <w:tc>
          <w:tcPr>
            <w:tcW w:w="406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570"/>
              <w:spacing w:after="0"/>
              <w:rPr>
                <w:sz w:val="20"/>
                <w:szCs w:val="20"/>
                <w:color w:val="auto"/>
              </w:rPr>
            </w:pPr>
            <w:r>
              <w:rPr>
                <w:rFonts w:ascii="Arial" w:cs="Arial" w:eastAsia="Arial" w:hAnsi="Arial"/>
                <w:sz w:val="18"/>
                <w:szCs w:val="18"/>
                <w:b w:val="1"/>
                <w:bCs w:val="1"/>
                <w:color w:val="auto"/>
              </w:rPr>
              <w:t>9,351</w:t>
            </w: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12,874</w:t>
            </w:r>
          </w:p>
        </w:tc>
      </w:tr>
      <w:tr>
        <w:trPr>
          <w:trHeight w:val="230"/>
        </w:trPr>
        <w:tc>
          <w:tcPr>
            <w:tcW w:w="20" w:type="dxa"/>
            <w:vAlign w:val="bottom"/>
          </w:tcPr>
          <w:p>
            <w:pPr>
              <w:spacing w:after="0"/>
              <w:rPr>
                <w:sz w:val="19"/>
                <w:szCs w:val="19"/>
                <w:color w:val="auto"/>
              </w:rPr>
            </w:pPr>
          </w:p>
        </w:tc>
        <w:tc>
          <w:tcPr>
            <w:tcW w:w="38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Other noncurrent liabilities</w:t>
            </w:r>
          </w:p>
        </w:tc>
        <w:tc>
          <w:tcPr>
            <w:tcW w:w="40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6,167</w:t>
            </w: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6,196</w:t>
            </w:r>
          </w:p>
        </w:tc>
      </w:tr>
      <w:tr>
        <w:trPr>
          <w:trHeight w:val="223"/>
        </w:trPr>
        <w:tc>
          <w:tcPr>
            <w:tcW w:w="20" w:type="dxa"/>
            <w:vAlign w:val="bottom"/>
          </w:tcPr>
          <w:p>
            <w:pPr>
              <w:spacing w:after="0"/>
              <w:rPr>
                <w:sz w:val="19"/>
                <w:szCs w:val="19"/>
                <w:color w:val="auto"/>
              </w:rPr>
            </w:pPr>
          </w:p>
        </w:tc>
        <w:tc>
          <w:tcPr>
            <w:tcW w:w="3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406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570"/>
              <w:spacing w:after="0"/>
              <w:rPr>
                <w:sz w:val="20"/>
                <w:szCs w:val="20"/>
                <w:color w:val="auto"/>
              </w:rPr>
            </w:pPr>
            <w:r>
              <w:rPr>
                <w:rFonts w:ascii="Arial" w:cs="Arial" w:eastAsia="Arial" w:hAnsi="Arial"/>
                <w:sz w:val="18"/>
                <w:szCs w:val="18"/>
                <w:b w:val="1"/>
                <w:bCs w:val="1"/>
                <w:color w:val="auto"/>
              </w:rPr>
              <w:t>42,212</w:t>
            </w: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44,672</w:t>
            </w:r>
          </w:p>
        </w:tc>
      </w:tr>
      <w:tr>
        <w:trPr>
          <w:trHeight w:val="229"/>
        </w:trPr>
        <w:tc>
          <w:tcPr>
            <w:tcW w:w="20" w:type="dxa"/>
            <w:vAlign w:val="bottom"/>
          </w:tcPr>
          <w:p>
            <w:pPr>
              <w:spacing w:after="0"/>
              <w:rPr>
                <w:sz w:val="19"/>
                <w:szCs w:val="19"/>
                <w:color w:val="auto"/>
              </w:rPr>
            </w:pPr>
          </w:p>
        </w:tc>
        <w:tc>
          <w:tcPr>
            <w:tcW w:w="3820" w:type="dxa"/>
            <w:vAlign w:val="bottom"/>
            <w:gridSpan w:val="2"/>
          </w:tcPr>
          <w:p>
            <w:pPr>
              <w:ind w:left="20"/>
              <w:spacing w:after="0"/>
              <w:rPr>
                <w:sz w:val="20"/>
                <w:szCs w:val="20"/>
                <w:color w:val="auto"/>
              </w:rPr>
            </w:pPr>
            <w:r>
              <w:rPr>
                <w:rFonts w:ascii="Arial" w:cs="Arial" w:eastAsia="Arial" w:hAnsi="Arial"/>
                <w:sz w:val="18"/>
                <w:szCs w:val="18"/>
                <w:color w:val="auto"/>
              </w:rPr>
              <w:t>Stockholders’ equity</w:t>
            </w:r>
          </w:p>
        </w:tc>
        <w:tc>
          <w:tcPr>
            <w:tcW w:w="40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Common stock, $1 par value per share</w:t>
            </w:r>
          </w:p>
        </w:tc>
        <w:tc>
          <w:tcPr>
            <w:tcW w:w="406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570"/>
              <w:spacing w:after="0"/>
              <w:rPr>
                <w:sz w:val="20"/>
                <w:szCs w:val="20"/>
                <w:color w:val="auto"/>
              </w:rPr>
            </w:pPr>
            <w:r>
              <w:rPr>
                <w:rFonts w:ascii="Arial" w:cs="Arial" w:eastAsia="Arial" w:hAnsi="Arial"/>
                <w:sz w:val="18"/>
                <w:szCs w:val="18"/>
                <w:b w:val="1"/>
                <w:bCs w:val="1"/>
                <w:color w:val="auto"/>
              </w:rPr>
              <w:t>274</w:t>
            </w: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279</w:t>
            </w:r>
          </w:p>
        </w:tc>
      </w:tr>
      <w:tr>
        <w:trPr>
          <w:trHeight w:val="230"/>
        </w:trPr>
        <w:tc>
          <w:tcPr>
            <w:tcW w:w="20" w:type="dxa"/>
            <w:vAlign w:val="bottom"/>
          </w:tcPr>
          <w:p>
            <w:pPr>
              <w:spacing w:after="0"/>
              <w:rPr>
                <w:sz w:val="19"/>
                <w:szCs w:val="19"/>
                <w:color w:val="auto"/>
              </w:rPr>
            </w:pPr>
          </w:p>
        </w:tc>
        <w:tc>
          <w:tcPr>
            <w:tcW w:w="3820" w:type="dxa"/>
            <w:vAlign w:val="bottom"/>
            <w:gridSpan w:val="2"/>
          </w:tcPr>
          <w:p>
            <w:pPr>
              <w:ind w:left="140"/>
              <w:spacing w:after="0"/>
              <w:rPr>
                <w:sz w:val="20"/>
                <w:szCs w:val="20"/>
                <w:color w:val="auto"/>
              </w:rPr>
            </w:pPr>
            <w:r>
              <w:rPr>
                <w:rFonts w:ascii="Arial" w:cs="Arial" w:eastAsia="Arial" w:hAnsi="Arial"/>
                <w:sz w:val="18"/>
                <w:szCs w:val="18"/>
                <w:color w:val="auto"/>
              </w:rPr>
              <w:t>Additional paid-in capital</w:t>
            </w:r>
          </w:p>
        </w:tc>
        <w:tc>
          <w:tcPr>
            <w:tcW w:w="4060" w:type="dxa"/>
            <w:vAlign w:val="bottom"/>
          </w:tcPr>
          <w:p>
            <w:pPr>
              <w:spacing w:after="0"/>
              <w:rPr>
                <w:sz w:val="19"/>
                <w:szCs w:val="19"/>
                <w:color w:val="auto"/>
              </w:rPr>
            </w:pPr>
          </w:p>
        </w:tc>
        <w:tc>
          <w:tcPr>
            <w:tcW w:w="1520" w:type="dxa"/>
            <w:vAlign w:val="bottom"/>
          </w:tcPr>
          <w:p>
            <w:pPr>
              <w:jc w:val="right"/>
              <w:ind w:right="570"/>
              <w:spacing w:after="0"/>
              <w:rPr>
                <w:sz w:val="20"/>
                <w:szCs w:val="20"/>
                <w:color w:val="auto"/>
              </w:rPr>
            </w:pPr>
            <w:r>
              <w:rPr>
                <w:rFonts w:ascii="Arial" w:cs="Arial" w:eastAsia="Arial" w:hAnsi="Arial"/>
                <w:sz w:val="18"/>
                <w:szCs w:val="18"/>
                <w:b w:val="1"/>
                <w:bCs w:val="1"/>
                <w:color w:val="auto"/>
              </w:rPr>
              <w:t>98</w:t>
            </w:r>
          </w:p>
        </w:tc>
        <w:tc>
          <w:tcPr>
            <w:tcW w:w="400" w:type="dxa"/>
            <w:vAlign w:val="bottom"/>
          </w:tcPr>
          <w:p>
            <w:pPr>
              <w:spacing w:after="0"/>
              <w:rPr>
                <w:sz w:val="19"/>
                <w:szCs w:val="19"/>
                <w:color w:val="auto"/>
              </w:rPr>
            </w:pPr>
          </w:p>
        </w:tc>
        <w:tc>
          <w:tcPr>
            <w:tcW w:w="1400" w:type="dxa"/>
            <w:vAlign w:val="bottom"/>
          </w:tcPr>
          <w:p>
            <w:pPr>
              <w:jc w:val="right"/>
              <w:ind w:right="470"/>
              <w:spacing w:after="0"/>
              <w:rPr>
                <w:sz w:val="20"/>
                <w:szCs w:val="20"/>
                <w:color w:val="auto"/>
              </w:rPr>
            </w:pPr>
            <w:r>
              <w:rPr>
                <w:rFonts w:ascii="Arial" w:cs="Arial" w:eastAsia="Arial" w:hAnsi="Arial"/>
                <w:sz w:val="18"/>
                <w:szCs w:val="18"/>
                <w:color w:val="auto"/>
              </w:rPr>
              <w:t>221</w:t>
            </w:r>
          </w:p>
        </w:tc>
      </w:tr>
      <w:tr>
        <w:trPr>
          <w:trHeight w:val="230"/>
        </w:trPr>
        <w:tc>
          <w:tcPr>
            <w:tcW w:w="20" w:type="dxa"/>
            <w:vAlign w:val="bottom"/>
          </w:tcPr>
          <w:p>
            <w:pPr>
              <w:spacing w:after="0"/>
              <w:rPr>
                <w:sz w:val="19"/>
                <w:szCs w:val="19"/>
                <w:color w:val="auto"/>
              </w:rPr>
            </w:pPr>
          </w:p>
        </w:tc>
        <w:tc>
          <w:tcPr>
            <w:tcW w:w="3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Retained earnings</w:t>
            </w:r>
          </w:p>
        </w:tc>
        <w:tc>
          <w:tcPr>
            <w:tcW w:w="406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570"/>
              <w:spacing w:after="0"/>
              <w:rPr>
                <w:sz w:val="20"/>
                <w:szCs w:val="20"/>
                <w:color w:val="auto"/>
              </w:rPr>
            </w:pPr>
            <w:r>
              <w:rPr>
                <w:rFonts w:ascii="Arial" w:cs="Arial" w:eastAsia="Arial" w:hAnsi="Arial"/>
                <w:sz w:val="18"/>
                <w:szCs w:val="18"/>
                <w:b w:val="1"/>
                <w:bCs w:val="1"/>
                <w:color w:val="auto"/>
              </w:rPr>
              <w:t>21,476</w:t>
            </w: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21,636</w:t>
            </w:r>
          </w:p>
        </w:tc>
      </w:tr>
      <w:tr>
        <w:trPr>
          <w:trHeight w:val="230"/>
        </w:trPr>
        <w:tc>
          <w:tcPr>
            <w:tcW w:w="20" w:type="dxa"/>
            <w:vAlign w:val="bottom"/>
          </w:tcPr>
          <w:p>
            <w:pPr>
              <w:spacing w:after="0"/>
              <w:rPr>
                <w:sz w:val="19"/>
                <w:szCs w:val="19"/>
                <w:color w:val="auto"/>
              </w:rPr>
            </w:pPr>
          </w:p>
        </w:tc>
        <w:tc>
          <w:tcPr>
            <w:tcW w:w="382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Accumulated other comprehensive loss</w:t>
            </w:r>
          </w:p>
        </w:tc>
        <w:tc>
          <w:tcPr>
            <w:tcW w:w="40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(12,217)</w:t>
            </w: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(16,121)</w:t>
            </w:r>
          </w:p>
        </w:tc>
      </w:tr>
      <w:tr>
        <w:trPr>
          <w:trHeight w:val="223"/>
        </w:trPr>
        <w:tc>
          <w:tcPr>
            <w:tcW w:w="20" w:type="dxa"/>
            <w:vAlign w:val="bottom"/>
          </w:tcPr>
          <w:p>
            <w:pPr>
              <w:spacing w:after="0"/>
              <w:rPr>
                <w:sz w:val="19"/>
                <w:szCs w:val="19"/>
                <w:color w:val="auto"/>
              </w:rPr>
            </w:pPr>
          </w:p>
        </w:tc>
        <w:tc>
          <w:tcPr>
            <w:tcW w:w="3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stockholders’ equity</w:t>
            </w:r>
          </w:p>
        </w:tc>
        <w:tc>
          <w:tcPr>
            <w:tcW w:w="406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570"/>
              <w:spacing w:after="0"/>
              <w:rPr>
                <w:sz w:val="20"/>
                <w:szCs w:val="20"/>
                <w:color w:val="auto"/>
              </w:rPr>
            </w:pPr>
            <w:r>
              <w:rPr>
                <w:rFonts w:ascii="Arial" w:cs="Arial" w:eastAsia="Arial" w:hAnsi="Arial"/>
                <w:sz w:val="18"/>
                <w:szCs w:val="18"/>
                <w:b w:val="1"/>
                <w:bCs w:val="1"/>
                <w:color w:val="auto"/>
              </w:rPr>
              <w:t>9,631</w:t>
            </w: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6,015</w:t>
            </w:r>
          </w:p>
        </w:tc>
      </w:tr>
      <w:tr>
        <w:trPr>
          <w:trHeight w:val="229"/>
        </w:trPr>
        <w:tc>
          <w:tcPr>
            <w:tcW w:w="20" w:type="dxa"/>
            <w:vAlign w:val="bottom"/>
          </w:tcPr>
          <w:p>
            <w:pPr>
              <w:spacing w:after="0"/>
              <w:rPr>
                <w:sz w:val="19"/>
                <w:szCs w:val="19"/>
                <w:color w:val="auto"/>
              </w:rPr>
            </w:pPr>
          </w:p>
        </w:tc>
        <w:tc>
          <w:tcPr>
            <w:tcW w:w="38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Noncontrolling interests in subsidiary</w:t>
            </w:r>
          </w:p>
        </w:tc>
        <w:tc>
          <w:tcPr>
            <w:tcW w:w="40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23</w:t>
            </w:r>
          </w:p>
        </w:tc>
      </w:tr>
      <w:tr>
        <w:trPr>
          <w:trHeight w:val="223"/>
        </w:trPr>
        <w:tc>
          <w:tcPr>
            <w:tcW w:w="20" w:type="dxa"/>
            <w:vAlign w:val="bottom"/>
          </w:tcPr>
          <w:p>
            <w:pPr>
              <w:spacing w:after="0"/>
              <w:rPr>
                <w:sz w:val="19"/>
                <w:szCs w:val="19"/>
                <w:color w:val="auto"/>
              </w:rPr>
            </w:pPr>
          </w:p>
        </w:tc>
        <w:tc>
          <w:tcPr>
            <w:tcW w:w="3820" w:type="dxa"/>
            <w:vAlign w:val="bottom"/>
            <w:tcBorders>
              <w:bottom w:val="single" w:sz="8" w:color="auto"/>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equity</w:t>
            </w:r>
          </w:p>
        </w:tc>
        <w:tc>
          <w:tcPr>
            <w:tcW w:w="40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b w:val="1"/>
                <w:bCs w:val="1"/>
                <w:color w:val="auto"/>
              </w:rPr>
              <w:t>9,631</w:t>
            </w:r>
          </w:p>
        </w:tc>
        <w:tc>
          <w:tcPr>
            <w:tcW w:w="4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6,038</w:t>
            </w:r>
          </w:p>
        </w:tc>
      </w:tr>
      <w:tr>
        <w:trPr>
          <w:trHeight w:val="230"/>
        </w:trPr>
        <w:tc>
          <w:tcPr>
            <w:tcW w:w="20" w:type="dxa"/>
            <w:vAlign w:val="bottom"/>
          </w:tcPr>
          <w:p>
            <w:pPr>
              <w:spacing w:after="0"/>
              <w:rPr>
                <w:sz w:val="20"/>
                <w:szCs w:val="20"/>
                <w:color w:val="auto"/>
              </w:rPr>
            </w:pPr>
          </w:p>
        </w:tc>
        <w:tc>
          <w:tcPr>
            <w:tcW w:w="3820" w:type="dxa"/>
            <w:vAlign w:val="bottom"/>
            <w:tcBorders>
              <w:bottom w:val="single" w:sz="8" w:color="auto"/>
            </w:tcBorders>
            <w:gridSpan w:val="2"/>
          </w:tcPr>
          <w:p>
            <w:pPr>
              <w:ind w:left="340"/>
              <w:spacing w:after="0"/>
              <w:rPr>
                <w:sz w:val="20"/>
                <w:szCs w:val="20"/>
                <w:color w:val="auto"/>
              </w:rPr>
            </w:pPr>
            <w:r>
              <w:rPr>
                <w:rFonts w:ascii="Arial" w:cs="Arial" w:eastAsia="Arial" w:hAnsi="Arial"/>
                <w:sz w:val="18"/>
                <w:szCs w:val="18"/>
                <w:color w:val="auto"/>
              </w:rPr>
              <w:t>Total liabilities and equity</w:t>
            </w:r>
          </w:p>
        </w:tc>
        <w:tc>
          <w:tcPr>
            <w:tcW w:w="4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5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51,843</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50,710</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7960" w:type="dxa"/>
            <w:vAlign w:val="bottom"/>
            <w:gridSpan w:val="3"/>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889"/>
        </w:trPr>
        <w:tc>
          <w:tcPr>
            <w:tcW w:w="20" w:type="dxa"/>
            <w:vAlign w:val="bottom"/>
            <w:tcBorders>
              <w:top w:val="single" w:sz="8" w:color="0000FF"/>
            </w:tcBorders>
          </w:tcPr>
          <w:p>
            <w:pPr>
              <w:spacing w:after="0"/>
              <w:rPr>
                <w:sz w:val="24"/>
                <w:szCs w:val="24"/>
                <w:color w:val="auto"/>
              </w:rPr>
            </w:pPr>
          </w:p>
        </w:tc>
        <w:tc>
          <w:tcPr>
            <w:tcW w:w="1380" w:type="dxa"/>
            <w:vAlign w:val="bottom"/>
            <w:tcBorders>
              <w:top w:val="single" w:sz="8" w:color="0000FF"/>
            </w:tcBorders>
          </w:tcPr>
          <w:p>
            <w:pPr>
              <w:spacing w:after="0"/>
              <w:rPr>
                <w:sz w:val="24"/>
                <w:szCs w:val="24"/>
                <w:color w:val="auto"/>
              </w:rPr>
            </w:pPr>
          </w:p>
        </w:tc>
        <w:tc>
          <w:tcPr>
            <w:tcW w:w="6560" w:type="dxa"/>
            <w:vAlign w:val="bottom"/>
          </w:tcPr>
          <w:p>
            <w:pPr>
              <w:jc w:val="center"/>
              <w:ind w:left="1790"/>
              <w:spacing w:after="0"/>
              <w:rPr>
                <w:sz w:val="20"/>
                <w:szCs w:val="20"/>
                <w:color w:val="auto"/>
              </w:rPr>
            </w:pPr>
            <w:r>
              <w:rPr>
                <w:rFonts w:ascii="Arial" w:cs="Arial" w:eastAsia="Arial" w:hAnsi="Arial"/>
                <w:sz w:val="18"/>
                <w:szCs w:val="18"/>
                <w:b w:val="1"/>
                <w:bCs w:val="1"/>
                <w:color w:val="auto"/>
              </w:rPr>
              <w:t>Lockheed Martin Corporation</w:t>
            </w: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560" w:type="dxa"/>
            <w:vAlign w:val="bottom"/>
          </w:tcPr>
          <w:p>
            <w:pPr>
              <w:jc w:val="center"/>
              <w:ind w:left="1790"/>
              <w:spacing w:after="0"/>
              <w:rPr>
                <w:sz w:val="20"/>
                <w:szCs w:val="20"/>
                <w:color w:val="auto"/>
              </w:rPr>
            </w:pPr>
            <w:r>
              <w:rPr>
                <w:rFonts w:ascii="Arial" w:cs="Arial" w:eastAsia="Arial" w:hAnsi="Arial"/>
                <w:sz w:val="18"/>
                <w:szCs w:val="18"/>
                <w:b w:val="1"/>
                <w:bCs w:val="1"/>
                <w:color w:val="auto"/>
              </w:rPr>
              <w:t>Consolidated Statements of Cash Flows</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9"/>
        </w:trPr>
        <w:tc>
          <w:tcPr>
            <w:tcW w:w="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560" w:type="dxa"/>
            <w:vAlign w:val="bottom"/>
          </w:tcPr>
          <w:p>
            <w:pPr>
              <w:jc w:val="center"/>
              <w:ind w:left="1810"/>
              <w:spacing w:after="0"/>
              <w:rPr>
                <w:sz w:val="20"/>
                <w:szCs w:val="20"/>
                <w:color w:val="auto"/>
              </w:rPr>
            </w:pPr>
            <w:r>
              <w:rPr>
                <w:rFonts w:ascii="Arial" w:cs="Arial" w:eastAsia="Arial" w:hAnsi="Arial"/>
                <w:sz w:val="18"/>
                <w:szCs w:val="18"/>
                <w:b w:val="1"/>
                <w:bCs w:val="1"/>
                <w:color w:val="auto"/>
                <w:w w:val="99"/>
              </w:rPr>
              <w:t>(unaudited; in millions)</w:t>
            </w: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57"/>
        </w:trPr>
        <w:tc>
          <w:tcPr>
            <w:tcW w:w="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65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3120" w:type="dxa"/>
            <w:vAlign w:val="bottom"/>
            <w:tcBorders>
              <w:bottom w:val="single" w:sz="8" w:color="auto"/>
            </w:tcBorders>
            <w:gridSpan w:val="3"/>
          </w:tcPr>
          <w:p>
            <w:pPr>
              <w:jc w:val="right"/>
              <w:ind w:right="690"/>
              <w:spacing w:after="0"/>
              <w:rPr>
                <w:sz w:val="20"/>
                <w:szCs w:val="20"/>
                <w:color w:val="auto"/>
              </w:rPr>
            </w:pPr>
            <w:r>
              <w:rPr>
                <w:rFonts w:ascii="Arial" w:cs="Arial" w:eastAsia="Arial" w:hAnsi="Arial"/>
                <w:sz w:val="18"/>
                <w:szCs w:val="18"/>
                <w:b w:val="1"/>
                <w:bCs w:val="1"/>
                <w:color w:val="auto"/>
              </w:rPr>
              <w:t>Nine Months Ended</w:t>
            </w:r>
          </w:p>
        </w:tc>
      </w:tr>
      <w:tr>
        <w:trPr>
          <w:trHeight w:val="169"/>
        </w:trPr>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jc w:val="right"/>
              <w:ind w:right="70"/>
              <w:spacing w:after="0" w:line="169" w:lineRule="exact"/>
              <w:rPr>
                <w:sz w:val="20"/>
                <w:szCs w:val="20"/>
                <w:color w:val="auto"/>
              </w:rPr>
            </w:pPr>
            <w:r>
              <w:rPr>
                <w:rFonts w:ascii="Arial" w:cs="Arial" w:eastAsia="Arial" w:hAnsi="Arial"/>
                <w:sz w:val="18"/>
                <w:szCs w:val="18"/>
                <w:b w:val="1"/>
                <w:bCs w:val="1"/>
                <w:color w:val="auto"/>
              </w:rPr>
              <w:t>September 26,</w:t>
            </w:r>
          </w:p>
        </w:tc>
        <w:tc>
          <w:tcPr>
            <w:tcW w:w="280" w:type="dxa"/>
            <w:vAlign w:val="bottom"/>
          </w:tcPr>
          <w:p>
            <w:pPr>
              <w:spacing w:after="0"/>
              <w:rPr>
                <w:sz w:val="14"/>
                <w:szCs w:val="14"/>
                <w:color w:val="auto"/>
              </w:rPr>
            </w:pPr>
          </w:p>
        </w:tc>
        <w:tc>
          <w:tcPr>
            <w:tcW w:w="1420" w:type="dxa"/>
            <w:vAlign w:val="bottom"/>
          </w:tcPr>
          <w:p>
            <w:pPr>
              <w:jc w:val="right"/>
              <w:ind w:right="70"/>
              <w:spacing w:after="0" w:line="169" w:lineRule="exact"/>
              <w:rPr>
                <w:sz w:val="20"/>
                <w:szCs w:val="20"/>
                <w:color w:val="auto"/>
              </w:rPr>
            </w:pPr>
            <w:r>
              <w:rPr>
                <w:rFonts w:ascii="Arial" w:cs="Arial" w:eastAsia="Arial" w:hAnsi="Arial"/>
                <w:sz w:val="18"/>
                <w:szCs w:val="18"/>
                <w:b w:val="1"/>
                <w:bCs w:val="1"/>
                <w:color w:val="auto"/>
              </w:rPr>
              <w:t>September 27,</w:t>
            </w:r>
          </w:p>
        </w:tc>
      </w:tr>
      <w:tr>
        <w:trPr>
          <w:trHeight w:val="229"/>
        </w:trPr>
        <w:tc>
          <w:tcPr>
            <w:tcW w:w="20" w:type="dxa"/>
            <w:vAlign w:val="bottom"/>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65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r>
      <w:tr>
        <w:trPr>
          <w:trHeight w:val="223"/>
        </w:trPr>
        <w:tc>
          <w:tcPr>
            <w:tcW w:w="20" w:type="dxa"/>
            <w:vAlign w:val="bottom"/>
          </w:tcPr>
          <w:p>
            <w:pPr>
              <w:spacing w:after="0"/>
              <w:rPr>
                <w:sz w:val="19"/>
                <w:szCs w:val="19"/>
                <w:color w:val="auto"/>
              </w:rPr>
            </w:pPr>
          </w:p>
        </w:tc>
        <w:tc>
          <w:tcPr>
            <w:tcW w:w="79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940" w:type="dxa"/>
            <w:vAlign w:val="bottom"/>
            <w:gridSpan w:val="2"/>
          </w:tcPr>
          <w:p>
            <w:pPr>
              <w:ind w:left="20"/>
              <w:spacing w:after="0"/>
              <w:rPr>
                <w:sz w:val="20"/>
                <w:szCs w:val="20"/>
                <w:color w:val="auto"/>
              </w:rPr>
            </w:pPr>
            <w:r>
              <w:rPr>
                <w:rFonts w:ascii="Arial" w:cs="Arial" w:eastAsia="Arial" w:hAnsi="Arial"/>
                <w:sz w:val="18"/>
                <w:szCs w:val="18"/>
                <w:color w:val="auto"/>
              </w:rPr>
              <w:t>Net earnings</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Pr>
          <w:p>
            <w:pPr>
              <w:jc w:val="right"/>
              <w:ind w:right="430"/>
              <w:spacing w:after="0"/>
              <w:rPr>
                <w:sz w:val="20"/>
                <w:szCs w:val="20"/>
                <w:color w:val="auto"/>
              </w:rPr>
            </w:pPr>
            <w:r>
              <w:rPr>
                <w:rFonts w:ascii="Arial" w:cs="Arial" w:eastAsia="Arial" w:hAnsi="Arial"/>
                <w:sz w:val="18"/>
                <w:szCs w:val="18"/>
                <w:b w:val="1"/>
                <w:bCs w:val="1"/>
                <w:color w:val="auto"/>
              </w:rPr>
              <w:t>4,266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430"/>
              <w:spacing w:after="0"/>
              <w:rPr>
                <w:sz w:val="20"/>
                <w:szCs w:val="20"/>
                <w:color w:val="auto"/>
              </w:rPr>
            </w:pPr>
            <w:r>
              <w:rPr>
                <w:rFonts w:ascii="Arial" w:cs="Arial" w:eastAsia="Arial" w:hAnsi="Arial"/>
                <w:sz w:val="18"/>
                <w:szCs w:val="18"/>
                <w:color w:val="auto"/>
              </w:rPr>
              <w:t>5,041</w:t>
            </w:r>
          </w:p>
        </w:tc>
      </w:tr>
      <w:tr>
        <w:trPr>
          <w:trHeight w:val="229"/>
        </w:trPr>
        <w:tc>
          <w:tcPr>
            <w:tcW w:w="20" w:type="dxa"/>
            <w:vAlign w:val="bottom"/>
          </w:tcPr>
          <w:p>
            <w:pPr>
              <w:spacing w:after="0"/>
              <w:rPr>
                <w:sz w:val="19"/>
                <w:szCs w:val="19"/>
                <w:color w:val="auto"/>
              </w:rPr>
            </w:pPr>
          </w:p>
        </w:tc>
        <w:tc>
          <w:tcPr>
            <w:tcW w:w="7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940" w:type="dxa"/>
            <w:vAlign w:val="bottom"/>
            <w:gridSpan w:val="2"/>
          </w:tcPr>
          <w:p>
            <w:pPr>
              <w:ind w:left="34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9"/>
                <w:szCs w:val="19"/>
                <w:color w:val="auto"/>
              </w:rPr>
            </w:pPr>
          </w:p>
        </w:tc>
        <w:tc>
          <w:tcPr>
            <w:tcW w:w="1420" w:type="dxa"/>
            <w:vAlign w:val="bottom"/>
          </w:tcPr>
          <w:p>
            <w:pPr>
              <w:jc w:val="right"/>
              <w:ind w:right="430"/>
              <w:spacing w:after="0"/>
              <w:rPr>
                <w:sz w:val="20"/>
                <w:szCs w:val="20"/>
                <w:color w:val="auto"/>
              </w:rPr>
            </w:pPr>
            <w:r>
              <w:rPr>
                <w:rFonts w:ascii="Arial" w:cs="Arial" w:eastAsia="Arial" w:hAnsi="Arial"/>
                <w:sz w:val="18"/>
                <w:szCs w:val="18"/>
                <w:b w:val="1"/>
                <w:bCs w:val="1"/>
                <w:color w:val="auto"/>
              </w:rPr>
              <w:t>999</w:t>
            </w:r>
          </w:p>
        </w:tc>
        <w:tc>
          <w:tcPr>
            <w:tcW w:w="280" w:type="dxa"/>
            <w:vAlign w:val="bottom"/>
          </w:tcPr>
          <w:p>
            <w:pPr>
              <w:spacing w:after="0"/>
              <w:rPr>
                <w:sz w:val="19"/>
                <w:szCs w:val="19"/>
                <w:color w:val="auto"/>
              </w:rPr>
            </w:pPr>
          </w:p>
        </w:tc>
        <w:tc>
          <w:tcPr>
            <w:tcW w:w="1420" w:type="dxa"/>
            <w:vAlign w:val="bottom"/>
          </w:tcPr>
          <w:p>
            <w:pPr>
              <w:jc w:val="right"/>
              <w:ind w:right="430"/>
              <w:spacing w:after="0"/>
              <w:rPr>
                <w:sz w:val="20"/>
                <w:szCs w:val="20"/>
                <w:color w:val="auto"/>
              </w:rPr>
            </w:pPr>
            <w:r>
              <w:rPr>
                <w:rFonts w:ascii="Arial" w:cs="Arial" w:eastAsia="Arial" w:hAnsi="Arial"/>
                <w:sz w:val="18"/>
                <w:szCs w:val="18"/>
                <w:color w:val="auto"/>
              </w:rPr>
              <w:t>927</w:t>
            </w:r>
          </w:p>
        </w:tc>
      </w:tr>
      <w:tr>
        <w:trPr>
          <w:trHeight w:val="229"/>
        </w:trPr>
        <w:tc>
          <w:tcPr>
            <w:tcW w:w="20" w:type="dxa"/>
            <w:vAlign w:val="bottom"/>
          </w:tcPr>
          <w:p>
            <w:pPr>
              <w:spacing w:after="0"/>
              <w:rPr>
                <w:sz w:val="19"/>
                <w:szCs w:val="19"/>
                <w:color w:val="auto"/>
              </w:rPr>
            </w:pPr>
          </w:p>
        </w:tc>
        <w:tc>
          <w:tcPr>
            <w:tcW w:w="7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189</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182</w:t>
            </w:r>
          </w:p>
        </w:tc>
      </w:tr>
      <w:tr>
        <w:trPr>
          <w:trHeight w:val="230"/>
        </w:trPr>
        <w:tc>
          <w:tcPr>
            <w:tcW w:w="20" w:type="dxa"/>
            <w:vAlign w:val="bottom"/>
          </w:tcPr>
          <w:p>
            <w:pPr>
              <w:spacing w:after="0"/>
              <w:rPr>
                <w:sz w:val="19"/>
                <w:szCs w:val="19"/>
                <w:color w:val="auto"/>
              </w:rPr>
            </w:pPr>
          </w:p>
        </w:tc>
        <w:tc>
          <w:tcPr>
            <w:tcW w:w="7940" w:type="dxa"/>
            <w:vAlign w:val="bottom"/>
            <w:gridSpan w:val="2"/>
          </w:tcPr>
          <w:p>
            <w:pPr>
              <w:ind w:left="340"/>
              <w:spacing w:after="0"/>
              <w:rPr>
                <w:sz w:val="20"/>
                <w:szCs w:val="20"/>
                <w:color w:val="auto"/>
              </w:rPr>
            </w:pPr>
            <w:r>
              <w:rPr>
                <w:rFonts w:ascii="Arial" w:cs="Arial" w:eastAsia="Arial" w:hAnsi="Arial"/>
                <w:sz w:val="18"/>
                <w:szCs w:val="18"/>
                <w:color w:val="auto"/>
              </w:rPr>
              <w:t>Equity method investment impairment</w:t>
            </w:r>
          </w:p>
        </w:tc>
        <w:tc>
          <w:tcPr>
            <w:tcW w:w="140" w:type="dxa"/>
            <w:vAlign w:val="bottom"/>
          </w:tcPr>
          <w:p>
            <w:pPr>
              <w:spacing w:after="0"/>
              <w:rPr>
                <w:sz w:val="19"/>
                <w:szCs w:val="19"/>
                <w:color w:val="auto"/>
              </w:rPr>
            </w:pPr>
          </w:p>
        </w:tc>
        <w:tc>
          <w:tcPr>
            <w:tcW w:w="142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1420" w:type="dxa"/>
            <w:vAlign w:val="bottom"/>
          </w:tcPr>
          <w:p>
            <w:pPr>
              <w:jc w:val="right"/>
              <w:ind w:right="430"/>
              <w:spacing w:after="0"/>
              <w:rPr>
                <w:sz w:val="20"/>
                <w:szCs w:val="20"/>
                <w:color w:val="auto"/>
              </w:rPr>
            </w:pPr>
            <w:r>
              <w:rPr>
                <w:rFonts w:ascii="Arial" w:cs="Arial" w:eastAsia="Arial" w:hAnsi="Arial"/>
                <w:sz w:val="18"/>
                <w:szCs w:val="18"/>
                <w:color w:val="auto"/>
              </w:rPr>
              <w:t>128</w:t>
            </w:r>
          </w:p>
        </w:tc>
      </w:tr>
      <w:tr>
        <w:trPr>
          <w:trHeight w:val="229"/>
        </w:trPr>
        <w:tc>
          <w:tcPr>
            <w:tcW w:w="20" w:type="dxa"/>
            <w:vAlign w:val="bottom"/>
          </w:tcPr>
          <w:p>
            <w:pPr>
              <w:spacing w:after="0"/>
              <w:rPr>
                <w:sz w:val="19"/>
                <w:szCs w:val="19"/>
                <w:color w:val="auto"/>
              </w:rPr>
            </w:pPr>
          </w:p>
        </w:tc>
        <w:tc>
          <w:tcPr>
            <w:tcW w:w="7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Tax resolution related to former IS&amp;GS business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55</w:t>
            </w:r>
          </w:p>
        </w:tc>
      </w:tr>
      <w:tr>
        <w:trPr>
          <w:trHeight w:val="229"/>
        </w:trPr>
        <w:tc>
          <w:tcPr>
            <w:tcW w:w="20" w:type="dxa"/>
            <w:vAlign w:val="bottom"/>
          </w:tcPr>
          <w:p>
            <w:pPr>
              <w:spacing w:after="0"/>
              <w:rPr>
                <w:sz w:val="19"/>
                <w:szCs w:val="19"/>
                <w:color w:val="auto"/>
              </w:rPr>
            </w:pPr>
          </w:p>
        </w:tc>
        <w:tc>
          <w:tcPr>
            <w:tcW w:w="7940" w:type="dxa"/>
            <w:vAlign w:val="bottom"/>
            <w:gridSpan w:val="2"/>
          </w:tcPr>
          <w:p>
            <w:pPr>
              <w:ind w:left="340"/>
              <w:spacing w:after="0"/>
              <w:rPr>
                <w:sz w:val="20"/>
                <w:szCs w:val="20"/>
                <w:color w:val="auto"/>
              </w:rPr>
            </w:pPr>
            <w:r>
              <w:rPr>
                <w:rFonts w:ascii="Arial" w:cs="Arial" w:eastAsia="Arial" w:hAnsi="Arial"/>
                <w:sz w:val="18"/>
                <w:szCs w:val="18"/>
                <w:color w:val="auto"/>
              </w:rPr>
              <w:t>Pension settlement charge</w:t>
            </w:r>
          </w:p>
        </w:tc>
        <w:tc>
          <w:tcPr>
            <w:tcW w:w="140" w:type="dxa"/>
            <w:vAlign w:val="bottom"/>
          </w:tcPr>
          <w:p>
            <w:pPr>
              <w:spacing w:after="0"/>
              <w:rPr>
                <w:sz w:val="19"/>
                <w:szCs w:val="19"/>
                <w:color w:val="auto"/>
              </w:rPr>
            </w:pPr>
          </w:p>
        </w:tc>
        <w:tc>
          <w:tcPr>
            <w:tcW w:w="1420" w:type="dxa"/>
            <w:vAlign w:val="bottom"/>
          </w:tcPr>
          <w:p>
            <w:pPr>
              <w:jc w:val="right"/>
              <w:ind w:right="430"/>
              <w:spacing w:after="0"/>
              <w:rPr>
                <w:sz w:val="20"/>
                <w:szCs w:val="20"/>
                <w:color w:val="auto"/>
              </w:rPr>
            </w:pPr>
            <w:r>
              <w:rPr>
                <w:rFonts w:ascii="Arial" w:cs="Arial" w:eastAsia="Arial" w:hAnsi="Arial"/>
                <w:sz w:val="18"/>
                <w:szCs w:val="18"/>
                <w:b w:val="1"/>
                <w:bCs w:val="1"/>
                <w:color w:val="auto"/>
              </w:rPr>
              <w:t>1,665</w:t>
            </w:r>
          </w:p>
        </w:tc>
        <w:tc>
          <w:tcPr>
            <w:tcW w:w="280" w:type="dxa"/>
            <w:vAlign w:val="bottom"/>
          </w:tcPr>
          <w:p>
            <w:pPr>
              <w:spacing w:after="0"/>
              <w:rPr>
                <w:sz w:val="19"/>
                <w:szCs w:val="19"/>
                <w:color w:val="auto"/>
              </w:rPr>
            </w:pPr>
          </w:p>
        </w:tc>
        <w:tc>
          <w:tcPr>
            <w:tcW w:w="1420" w:type="dxa"/>
            <w:vAlign w:val="bottom"/>
          </w:tcPr>
          <w:p>
            <w:pPr>
              <w:jc w:val="right"/>
              <w:ind w:right="43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7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Severance and restructuring charges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36</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7940" w:type="dxa"/>
            <w:vAlign w:val="bottom"/>
            <w:gridSpan w:val="2"/>
          </w:tcPr>
          <w:p>
            <w:pPr>
              <w:ind w:left="340"/>
              <w:spacing w:after="0"/>
              <w:rPr>
                <w:sz w:val="20"/>
                <w:szCs w:val="20"/>
                <w:color w:val="auto"/>
              </w:rPr>
            </w:pPr>
            <w:r>
              <w:rPr>
                <w:rFonts w:ascii="Arial" w:cs="Arial" w:eastAsia="Arial" w:hAnsi="Arial"/>
                <w:sz w:val="18"/>
                <w:szCs w:val="18"/>
                <w:color w:val="auto"/>
              </w:rPr>
              <w:t>Changes in assets and liabilities</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9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Receivables, net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(289)</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(143)</w:t>
            </w:r>
          </w:p>
        </w:tc>
      </w:tr>
      <w:tr>
        <w:trPr>
          <w:trHeight w:val="230"/>
        </w:trPr>
        <w:tc>
          <w:tcPr>
            <w:tcW w:w="20" w:type="dxa"/>
            <w:vAlign w:val="bottom"/>
          </w:tcPr>
          <w:p>
            <w:pPr>
              <w:spacing w:after="0"/>
              <w:rPr>
                <w:sz w:val="19"/>
                <w:szCs w:val="19"/>
                <w:color w:val="auto"/>
              </w:rPr>
            </w:pPr>
          </w:p>
        </w:tc>
        <w:tc>
          <w:tcPr>
            <w:tcW w:w="7940" w:type="dxa"/>
            <w:vAlign w:val="bottom"/>
            <w:gridSpan w:val="2"/>
          </w:tcPr>
          <w:p>
            <w:pPr>
              <w:ind w:left="660"/>
              <w:spacing w:after="0"/>
              <w:rPr>
                <w:sz w:val="20"/>
                <w:szCs w:val="20"/>
                <w:color w:val="auto"/>
              </w:rPr>
            </w:pPr>
            <w:r>
              <w:rPr>
                <w:rFonts w:ascii="Arial" w:cs="Arial" w:eastAsia="Arial" w:hAnsi="Arial"/>
                <w:sz w:val="18"/>
                <w:szCs w:val="18"/>
                <w:color w:val="auto"/>
              </w:rPr>
              <w:t>Contract assets</w:t>
            </w:r>
          </w:p>
        </w:tc>
        <w:tc>
          <w:tcPr>
            <w:tcW w:w="140" w:type="dxa"/>
            <w:vAlign w:val="bottom"/>
          </w:tcPr>
          <w:p>
            <w:pPr>
              <w:spacing w:after="0"/>
              <w:rPr>
                <w:sz w:val="19"/>
                <w:szCs w:val="19"/>
                <w:color w:val="auto"/>
              </w:rPr>
            </w:pPr>
          </w:p>
        </w:tc>
        <w:tc>
          <w:tcPr>
            <w:tcW w:w="1420" w:type="dxa"/>
            <w:vAlign w:val="bottom"/>
          </w:tcPr>
          <w:p>
            <w:pPr>
              <w:jc w:val="right"/>
              <w:ind w:right="370"/>
              <w:spacing w:after="0"/>
              <w:rPr>
                <w:sz w:val="20"/>
                <w:szCs w:val="20"/>
                <w:color w:val="auto"/>
              </w:rPr>
            </w:pPr>
            <w:r>
              <w:rPr>
                <w:rFonts w:ascii="Arial" w:cs="Arial" w:eastAsia="Arial" w:hAnsi="Arial"/>
                <w:sz w:val="18"/>
                <w:szCs w:val="18"/>
                <w:b w:val="1"/>
                <w:bCs w:val="1"/>
                <w:color w:val="auto"/>
              </w:rPr>
              <w:t>(3,152)</w:t>
            </w:r>
          </w:p>
        </w:tc>
        <w:tc>
          <w:tcPr>
            <w:tcW w:w="280" w:type="dxa"/>
            <w:vAlign w:val="bottom"/>
          </w:tcPr>
          <w:p>
            <w:pPr>
              <w:spacing w:after="0"/>
              <w:rPr>
                <w:sz w:val="19"/>
                <w:szCs w:val="19"/>
                <w:color w:val="auto"/>
              </w:rPr>
            </w:pPr>
          </w:p>
        </w:tc>
        <w:tc>
          <w:tcPr>
            <w:tcW w:w="1420" w:type="dxa"/>
            <w:vAlign w:val="bottom"/>
          </w:tcPr>
          <w:p>
            <w:pPr>
              <w:jc w:val="right"/>
              <w:ind w:right="390"/>
              <w:spacing w:after="0"/>
              <w:rPr>
                <w:sz w:val="20"/>
                <w:szCs w:val="20"/>
                <w:color w:val="auto"/>
              </w:rPr>
            </w:pPr>
            <w:r>
              <w:rPr>
                <w:rFonts w:ascii="Arial" w:cs="Arial" w:eastAsia="Arial" w:hAnsi="Arial"/>
                <w:sz w:val="18"/>
                <w:szCs w:val="18"/>
                <w:color w:val="auto"/>
              </w:rPr>
              <w:t>(1,294)</w:t>
            </w:r>
          </w:p>
        </w:tc>
      </w:tr>
      <w:tr>
        <w:trPr>
          <w:trHeight w:val="229"/>
        </w:trPr>
        <w:tc>
          <w:tcPr>
            <w:tcW w:w="20" w:type="dxa"/>
            <w:vAlign w:val="bottom"/>
          </w:tcPr>
          <w:p>
            <w:pPr>
              <w:spacing w:after="0"/>
              <w:rPr>
                <w:sz w:val="19"/>
                <w:szCs w:val="19"/>
                <w:color w:val="auto"/>
              </w:rPr>
            </w:pPr>
          </w:p>
        </w:tc>
        <w:tc>
          <w:tcPr>
            <w:tcW w:w="79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Inventories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642</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326</w:t>
            </w:r>
          </w:p>
        </w:tc>
      </w:tr>
      <w:tr>
        <w:trPr>
          <w:trHeight w:val="230"/>
        </w:trPr>
        <w:tc>
          <w:tcPr>
            <w:tcW w:w="20" w:type="dxa"/>
            <w:vAlign w:val="bottom"/>
          </w:tcPr>
          <w:p>
            <w:pPr>
              <w:spacing w:after="0"/>
              <w:rPr>
                <w:sz w:val="19"/>
                <w:szCs w:val="19"/>
                <w:color w:val="auto"/>
              </w:rPr>
            </w:pPr>
          </w:p>
        </w:tc>
        <w:tc>
          <w:tcPr>
            <w:tcW w:w="7940" w:type="dxa"/>
            <w:vAlign w:val="bottom"/>
            <w:gridSpan w:val="2"/>
          </w:tcPr>
          <w:p>
            <w:pPr>
              <w:ind w:left="66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19"/>
                <w:szCs w:val="19"/>
                <w:color w:val="auto"/>
              </w:rPr>
            </w:pPr>
          </w:p>
        </w:tc>
        <w:tc>
          <w:tcPr>
            <w:tcW w:w="1420" w:type="dxa"/>
            <w:vAlign w:val="bottom"/>
          </w:tcPr>
          <w:p>
            <w:pPr>
              <w:jc w:val="right"/>
              <w:ind w:right="430"/>
              <w:spacing w:after="0"/>
              <w:rPr>
                <w:sz w:val="20"/>
                <w:szCs w:val="20"/>
                <w:color w:val="auto"/>
              </w:rPr>
            </w:pPr>
            <w:r>
              <w:rPr>
                <w:rFonts w:ascii="Arial" w:cs="Arial" w:eastAsia="Arial" w:hAnsi="Arial"/>
                <w:sz w:val="18"/>
                <w:szCs w:val="18"/>
                <w:b w:val="1"/>
                <w:bCs w:val="1"/>
                <w:color w:val="auto"/>
              </w:rPr>
              <w:t>653</w:t>
            </w:r>
          </w:p>
        </w:tc>
        <w:tc>
          <w:tcPr>
            <w:tcW w:w="280" w:type="dxa"/>
            <w:vAlign w:val="bottom"/>
          </w:tcPr>
          <w:p>
            <w:pPr>
              <w:spacing w:after="0"/>
              <w:rPr>
                <w:sz w:val="19"/>
                <w:szCs w:val="19"/>
                <w:color w:val="auto"/>
              </w:rPr>
            </w:pPr>
          </w:p>
        </w:tc>
        <w:tc>
          <w:tcPr>
            <w:tcW w:w="1420" w:type="dxa"/>
            <w:vAlign w:val="bottom"/>
          </w:tcPr>
          <w:p>
            <w:pPr>
              <w:jc w:val="right"/>
              <w:ind w:right="430"/>
              <w:spacing w:after="0"/>
              <w:rPr>
                <w:sz w:val="20"/>
                <w:szCs w:val="20"/>
                <w:color w:val="auto"/>
              </w:rPr>
            </w:pPr>
            <w:r>
              <w:rPr>
                <w:rFonts w:ascii="Arial" w:cs="Arial" w:eastAsia="Arial" w:hAnsi="Arial"/>
                <w:sz w:val="18"/>
                <w:szCs w:val="18"/>
                <w:color w:val="auto"/>
              </w:rPr>
              <w:t>247</w:t>
            </w:r>
          </w:p>
        </w:tc>
      </w:tr>
      <w:tr>
        <w:trPr>
          <w:trHeight w:val="229"/>
        </w:trPr>
        <w:tc>
          <w:tcPr>
            <w:tcW w:w="20" w:type="dxa"/>
            <w:vAlign w:val="bottom"/>
          </w:tcPr>
          <w:p>
            <w:pPr>
              <w:spacing w:after="0"/>
              <w:rPr>
                <w:sz w:val="19"/>
                <w:szCs w:val="19"/>
                <w:color w:val="auto"/>
              </w:rPr>
            </w:pPr>
          </w:p>
        </w:tc>
        <w:tc>
          <w:tcPr>
            <w:tcW w:w="79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Contract liabilities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(30)</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300</w:t>
            </w:r>
          </w:p>
        </w:tc>
      </w:tr>
      <w:tr>
        <w:trPr>
          <w:trHeight w:val="229"/>
        </w:trPr>
        <w:tc>
          <w:tcPr>
            <w:tcW w:w="20" w:type="dxa"/>
            <w:vAlign w:val="bottom"/>
          </w:tcPr>
          <w:p>
            <w:pPr>
              <w:spacing w:after="0"/>
              <w:rPr>
                <w:sz w:val="19"/>
                <w:szCs w:val="19"/>
                <w:color w:val="auto"/>
              </w:rPr>
            </w:pPr>
          </w:p>
        </w:tc>
        <w:tc>
          <w:tcPr>
            <w:tcW w:w="7940" w:type="dxa"/>
            <w:vAlign w:val="bottom"/>
            <w:gridSpan w:val="2"/>
          </w:tcPr>
          <w:p>
            <w:pPr>
              <w:ind w:left="660"/>
              <w:spacing w:after="0"/>
              <w:rPr>
                <w:sz w:val="20"/>
                <w:szCs w:val="20"/>
                <w:color w:val="auto"/>
              </w:rPr>
            </w:pPr>
            <w:r>
              <w:rPr>
                <w:rFonts w:ascii="Arial" w:cs="Arial" w:eastAsia="Arial" w:hAnsi="Arial"/>
                <w:sz w:val="18"/>
                <w:szCs w:val="18"/>
                <w:color w:val="auto"/>
              </w:rPr>
              <w:t>Income taxes</w:t>
            </w:r>
          </w:p>
        </w:tc>
        <w:tc>
          <w:tcPr>
            <w:tcW w:w="140" w:type="dxa"/>
            <w:vAlign w:val="bottom"/>
          </w:tcPr>
          <w:p>
            <w:pPr>
              <w:spacing w:after="0"/>
              <w:rPr>
                <w:sz w:val="19"/>
                <w:szCs w:val="19"/>
                <w:color w:val="auto"/>
              </w:rPr>
            </w:pPr>
          </w:p>
        </w:tc>
        <w:tc>
          <w:tcPr>
            <w:tcW w:w="1420" w:type="dxa"/>
            <w:vAlign w:val="bottom"/>
          </w:tcPr>
          <w:p>
            <w:pPr>
              <w:jc w:val="right"/>
              <w:ind w:right="430"/>
              <w:spacing w:after="0"/>
              <w:rPr>
                <w:sz w:val="20"/>
                <w:szCs w:val="20"/>
                <w:color w:val="auto"/>
              </w:rPr>
            </w:pPr>
            <w:r>
              <w:rPr>
                <w:rFonts w:ascii="Arial" w:cs="Arial" w:eastAsia="Arial" w:hAnsi="Arial"/>
                <w:sz w:val="18"/>
                <w:szCs w:val="18"/>
                <w:b w:val="1"/>
                <w:bCs w:val="1"/>
                <w:color w:val="auto"/>
              </w:rPr>
              <w:t>55</w:t>
            </w:r>
          </w:p>
        </w:tc>
        <w:tc>
          <w:tcPr>
            <w:tcW w:w="280" w:type="dxa"/>
            <w:vAlign w:val="bottom"/>
          </w:tcPr>
          <w:p>
            <w:pPr>
              <w:spacing w:after="0"/>
              <w:rPr>
                <w:sz w:val="19"/>
                <w:szCs w:val="19"/>
                <w:color w:val="auto"/>
              </w:rPr>
            </w:pPr>
          </w:p>
        </w:tc>
        <w:tc>
          <w:tcPr>
            <w:tcW w:w="1420" w:type="dxa"/>
            <w:vAlign w:val="bottom"/>
          </w:tcPr>
          <w:p>
            <w:pPr>
              <w:jc w:val="right"/>
              <w:ind w:right="430"/>
              <w:spacing w:after="0"/>
              <w:rPr>
                <w:sz w:val="20"/>
                <w:szCs w:val="20"/>
                <w:color w:val="auto"/>
              </w:rPr>
            </w:pPr>
            <w:r>
              <w:rPr>
                <w:rFonts w:ascii="Arial" w:cs="Arial" w:eastAsia="Arial" w:hAnsi="Arial"/>
                <w:sz w:val="18"/>
                <w:szCs w:val="18"/>
                <w:color w:val="auto"/>
              </w:rPr>
              <w:t>58</w:t>
            </w:r>
          </w:p>
        </w:tc>
      </w:tr>
      <w:tr>
        <w:trPr>
          <w:trHeight w:val="230"/>
        </w:trPr>
        <w:tc>
          <w:tcPr>
            <w:tcW w:w="20" w:type="dxa"/>
            <w:vAlign w:val="bottom"/>
          </w:tcPr>
          <w:p>
            <w:pPr>
              <w:spacing w:after="0"/>
              <w:rPr>
                <w:sz w:val="19"/>
                <w:szCs w:val="19"/>
                <w:color w:val="auto"/>
              </w:rPr>
            </w:pPr>
          </w:p>
        </w:tc>
        <w:tc>
          <w:tcPr>
            <w:tcW w:w="79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Postretirement benefit plans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(200)</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(130)</w:t>
            </w:r>
          </w:p>
        </w:tc>
      </w:tr>
      <w:tr>
        <w:trPr>
          <w:trHeight w:val="229"/>
        </w:trPr>
        <w:tc>
          <w:tcPr>
            <w:tcW w:w="20" w:type="dxa"/>
            <w:vAlign w:val="bottom"/>
          </w:tcPr>
          <w:p>
            <w:pPr>
              <w:spacing w:after="0"/>
              <w:rPr>
                <w:sz w:val="19"/>
                <w:szCs w:val="19"/>
                <w:color w:val="auto"/>
              </w:rPr>
            </w:pPr>
          </w:p>
        </w:tc>
        <w:tc>
          <w:tcPr>
            <w:tcW w:w="7940" w:type="dxa"/>
            <w:vAlign w:val="bottom"/>
            <w:tcBorders>
              <w:bottom w:val="single" w:sz="8" w:color="auto"/>
            </w:tcBorders>
            <w:gridSpan w:val="2"/>
          </w:tcPr>
          <w:p>
            <w:pPr>
              <w:ind w:left="340"/>
              <w:spacing w:after="0"/>
              <w:rPr>
                <w:sz w:val="20"/>
                <w:szCs w:val="20"/>
                <w:color w:val="auto"/>
              </w:rPr>
            </w:pPr>
            <w:r>
              <w:rPr>
                <w:rFonts w:ascii="Arial" w:cs="Arial" w:eastAsia="Arial" w:hAnsi="Arial"/>
                <w:sz w:val="18"/>
                <w:szCs w:val="18"/>
                <w:color w:val="auto"/>
              </w:rPr>
              <w:t>Other, net</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119</w:t>
            </w: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679</w:t>
            </w:r>
          </w:p>
        </w:tc>
      </w:tr>
      <w:tr>
        <w:trPr>
          <w:trHeight w:val="223"/>
        </w:trPr>
        <w:tc>
          <w:tcPr>
            <w:tcW w:w="20" w:type="dxa"/>
            <w:vAlign w:val="bottom"/>
          </w:tcPr>
          <w:p>
            <w:pPr>
              <w:spacing w:after="0"/>
              <w:rPr>
                <w:sz w:val="19"/>
                <w:szCs w:val="19"/>
                <w:color w:val="auto"/>
              </w:rPr>
            </w:pPr>
          </w:p>
        </w:tc>
        <w:tc>
          <w:tcPr>
            <w:tcW w:w="7940" w:type="dxa"/>
            <w:vAlign w:val="bottom"/>
            <w:tcBorders>
              <w:bottom w:val="single" w:sz="8" w:color="auto"/>
            </w:tcBorders>
            <w:gridSpan w:val="2"/>
            <w:shd w:val="clear" w:color="auto" w:fill="CCEEFF"/>
          </w:tcPr>
          <w:p>
            <w:pPr>
              <w:ind w:left="660"/>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4,953</w:t>
            </w:r>
          </w:p>
        </w:tc>
        <w:tc>
          <w:tcPr>
            <w:tcW w:w="2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6,376</w:t>
            </w:r>
          </w:p>
        </w:tc>
      </w:tr>
      <w:tr>
        <w:trPr>
          <w:trHeight w:val="223"/>
        </w:trPr>
        <w:tc>
          <w:tcPr>
            <w:tcW w:w="20" w:type="dxa"/>
            <w:vAlign w:val="bottom"/>
          </w:tcPr>
          <w:p>
            <w:pPr>
              <w:spacing w:after="0"/>
              <w:rPr>
                <w:sz w:val="19"/>
                <w:szCs w:val="19"/>
                <w:color w:val="auto"/>
              </w:rPr>
            </w:pPr>
          </w:p>
        </w:tc>
        <w:tc>
          <w:tcPr>
            <w:tcW w:w="7940" w:type="dxa"/>
            <w:vAlign w:val="bottom"/>
            <w:gridSpan w:val="2"/>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(915)</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(1,044)</w:t>
            </w:r>
          </w:p>
        </w:tc>
      </w:tr>
      <w:tr>
        <w:trPr>
          <w:trHeight w:val="230"/>
        </w:trPr>
        <w:tc>
          <w:tcPr>
            <w:tcW w:w="20" w:type="dxa"/>
            <w:vAlign w:val="bottom"/>
          </w:tcPr>
          <w:p>
            <w:pPr>
              <w:spacing w:after="0"/>
              <w:rPr>
                <w:sz w:val="19"/>
                <w:szCs w:val="19"/>
                <w:color w:val="auto"/>
              </w:rPr>
            </w:pPr>
          </w:p>
        </w:tc>
        <w:tc>
          <w:tcPr>
            <w:tcW w:w="79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Other, net</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296</w:t>
            </w: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27</w:t>
            </w:r>
          </w:p>
        </w:tc>
      </w:tr>
      <w:tr>
        <w:trPr>
          <w:trHeight w:val="223"/>
        </w:trPr>
        <w:tc>
          <w:tcPr>
            <w:tcW w:w="20" w:type="dxa"/>
            <w:vAlign w:val="bottom"/>
          </w:tcPr>
          <w:p>
            <w:pPr>
              <w:spacing w:after="0"/>
              <w:rPr>
                <w:sz w:val="19"/>
                <w:szCs w:val="19"/>
                <w:color w:val="auto"/>
              </w:rPr>
            </w:pPr>
          </w:p>
        </w:tc>
        <w:tc>
          <w:tcPr>
            <w:tcW w:w="7940" w:type="dxa"/>
            <w:vAlign w:val="bottom"/>
            <w:tcBorders>
              <w:bottom w:val="single" w:sz="8" w:color="auto"/>
            </w:tcBorders>
            <w:gridSpan w:val="2"/>
            <w:shd w:val="clear" w:color="auto" w:fill="CCEEFF"/>
          </w:tcPr>
          <w:p>
            <w:pPr>
              <w:ind w:left="660"/>
              <w:spacing w:after="0"/>
              <w:rPr>
                <w:sz w:val="20"/>
                <w:szCs w:val="20"/>
                <w:color w:val="auto"/>
              </w:rPr>
            </w:pPr>
            <w:r>
              <w:rPr>
                <w:rFonts w:ascii="Arial" w:cs="Arial" w:eastAsia="Arial" w:hAnsi="Arial"/>
                <w:sz w:val="18"/>
                <w:szCs w:val="18"/>
                <w:color w:val="auto"/>
              </w:rPr>
              <w:t>Net cash used for investing activities</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(619)</w:t>
            </w:r>
          </w:p>
        </w:tc>
        <w:tc>
          <w:tcPr>
            <w:tcW w:w="2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(1,017)</w:t>
            </w:r>
          </w:p>
        </w:tc>
      </w:tr>
      <w:tr>
        <w:trPr>
          <w:trHeight w:val="223"/>
        </w:trPr>
        <w:tc>
          <w:tcPr>
            <w:tcW w:w="20" w:type="dxa"/>
            <w:vAlign w:val="bottom"/>
          </w:tcPr>
          <w:p>
            <w:pPr>
              <w:spacing w:after="0"/>
              <w:rPr>
                <w:sz w:val="19"/>
                <w:szCs w:val="19"/>
                <w:color w:val="auto"/>
              </w:rPr>
            </w:pPr>
          </w:p>
        </w:tc>
        <w:tc>
          <w:tcPr>
            <w:tcW w:w="7940" w:type="dxa"/>
            <w:vAlign w:val="bottom"/>
            <w:gridSpan w:val="2"/>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Dividends paid</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(2,178)</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(2,036)</w:t>
            </w:r>
          </w:p>
        </w:tc>
      </w:tr>
      <w:tr>
        <w:trPr>
          <w:trHeight w:val="230"/>
        </w:trPr>
        <w:tc>
          <w:tcPr>
            <w:tcW w:w="20" w:type="dxa"/>
            <w:vAlign w:val="bottom"/>
          </w:tcPr>
          <w:p>
            <w:pPr>
              <w:spacing w:after="0"/>
              <w:rPr>
                <w:sz w:val="19"/>
                <w:szCs w:val="19"/>
                <w:color w:val="auto"/>
              </w:rPr>
            </w:pPr>
          </w:p>
        </w:tc>
        <w:tc>
          <w:tcPr>
            <w:tcW w:w="7940" w:type="dxa"/>
            <w:vAlign w:val="bottom"/>
            <w:gridSpan w:val="2"/>
          </w:tcPr>
          <w:p>
            <w:pPr>
              <w:ind w:left="20"/>
              <w:spacing w:after="0"/>
              <w:rPr>
                <w:sz w:val="20"/>
                <w:szCs w:val="20"/>
                <w:color w:val="auto"/>
              </w:rPr>
            </w:pPr>
            <w:r>
              <w:rPr>
                <w:rFonts w:ascii="Arial" w:cs="Arial" w:eastAsia="Arial" w:hAnsi="Arial"/>
                <w:sz w:val="18"/>
                <w:szCs w:val="18"/>
                <w:color w:val="auto"/>
              </w:rPr>
              <w:t>Repurchases of common stock</w:t>
            </w:r>
          </w:p>
        </w:tc>
        <w:tc>
          <w:tcPr>
            <w:tcW w:w="140" w:type="dxa"/>
            <w:vAlign w:val="bottom"/>
          </w:tcPr>
          <w:p>
            <w:pPr>
              <w:spacing w:after="0"/>
              <w:rPr>
                <w:sz w:val="19"/>
                <w:szCs w:val="19"/>
                <w:color w:val="auto"/>
              </w:rPr>
            </w:pPr>
          </w:p>
        </w:tc>
        <w:tc>
          <w:tcPr>
            <w:tcW w:w="1420" w:type="dxa"/>
            <w:vAlign w:val="bottom"/>
          </w:tcPr>
          <w:p>
            <w:pPr>
              <w:jc w:val="right"/>
              <w:ind w:right="370"/>
              <w:spacing w:after="0"/>
              <w:rPr>
                <w:sz w:val="20"/>
                <w:szCs w:val="20"/>
                <w:color w:val="auto"/>
              </w:rPr>
            </w:pPr>
            <w:r>
              <w:rPr>
                <w:rFonts w:ascii="Arial" w:cs="Arial" w:eastAsia="Arial" w:hAnsi="Arial"/>
                <w:sz w:val="18"/>
                <w:szCs w:val="18"/>
                <w:b w:val="1"/>
                <w:bCs w:val="1"/>
                <w:color w:val="auto"/>
              </w:rPr>
              <w:t>(2,000)</w:t>
            </w:r>
          </w:p>
        </w:tc>
        <w:tc>
          <w:tcPr>
            <w:tcW w:w="280" w:type="dxa"/>
            <w:vAlign w:val="bottom"/>
          </w:tcPr>
          <w:p>
            <w:pPr>
              <w:spacing w:after="0"/>
              <w:rPr>
                <w:sz w:val="19"/>
                <w:szCs w:val="19"/>
                <w:color w:val="auto"/>
              </w:rPr>
            </w:pPr>
          </w:p>
        </w:tc>
        <w:tc>
          <w:tcPr>
            <w:tcW w:w="1420" w:type="dxa"/>
            <w:vAlign w:val="bottom"/>
          </w:tcPr>
          <w:p>
            <w:pPr>
              <w:jc w:val="right"/>
              <w:ind w:right="390"/>
              <w:spacing w:after="0"/>
              <w:rPr>
                <w:sz w:val="20"/>
                <w:szCs w:val="20"/>
                <w:color w:val="auto"/>
              </w:rPr>
            </w:pPr>
            <w:r>
              <w:rPr>
                <w:rFonts w:ascii="Arial" w:cs="Arial" w:eastAsia="Arial" w:hAnsi="Arial"/>
                <w:sz w:val="18"/>
                <w:szCs w:val="18"/>
                <w:color w:val="auto"/>
              </w:rPr>
              <w:t>(1,100)</w:t>
            </w:r>
          </w:p>
        </w:tc>
      </w:tr>
      <w:tr>
        <w:trPr>
          <w:trHeight w:val="230"/>
        </w:trPr>
        <w:tc>
          <w:tcPr>
            <w:tcW w:w="20" w:type="dxa"/>
            <w:vAlign w:val="bottom"/>
          </w:tcPr>
          <w:p>
            <w:pPr>
              <w:spacing w:after="0"/>
              <w:rPr>
                <w:sz w:val="19"/>
                <w:szCs w:val="19"/>
                <w:color w:val="auto"/>
              </w:rPr>
            </w:pPr>
          </w:p>
        </w:tc>
        <w:tc>
          <w:tcPr>
            <w:tcW w:w="7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Issuance of long-term debt, net of related costs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1,131</w:t>
            </w:r>
          </w:p>
        </w:tc>
      </w:tr>
      <w:tr>
        <w:trPr>
          <w:trHeight w:val="229"/>
        </w:trPr>
        <w:tc>
          <w:tcPr>
            <w:tcW w:w="20" w:type="dxa"/>
            <w:vAlign w:val="bottom"/>
          </w:tcPr>
          <w:p>
            <w:pPr>
              <w:spacing w:after="0"/>
              <w:rPr>
                <w:sz w:val="19"/>
                <w:szCs w:val="19"/>
                <w:color w:val="auto"/>
              </w:rPr>
            </w:pPr>
          </w:p>
        </w:tc>
        <w:tc>
          <w:tcPr>
            <w:tcW w:w="7940" w:type="dxa"/>
            <w:vAlign w:val="bottom"/>
            <w:gridSpan w:val="2"/>
          </w:tcPr>
          <w:p>
            <w:pPr>
              <w:ind w:left="20"/>
              <w:spacing w:after="0"/>
              <w:rPr>
                <w:sz w:val="20"/>
                <w:szCs w:val="20"/>
                <w:color w:val="auto"/>
              </w:rPr>
            </w:pPr>
            <w:r>
              <w:rPr>
                <w:rFonts w:ascii="Arial" w:cs="Arial" w:eastAsia="Arial" w:hAnsi="Arial"/>
                <w:sz w:val="18"/>
                <w:szCs w:val="18"/>
                <w:color w:val="auto"/>
              </w:rPr>
              <w:t>Repayments of long-term debt</w:t>
            </w:r>
          </w:p>
        </w:tc>
        <w:tc>
          <w:tcPr>
            <w:tcW w:w="140" w:type="dxa"/>
            <w:vAlign w:val="bottom"/>
          </w:tcPr>
          <w:p>
            <w:pPr>
              <w:spacing w:after="0"/>
              <w:rPr>
                <w:sz w:val="19"/>
                <w:szCs w:val="19"/>
                <w:color w:val="auto"/>
              </w:rPr>
            </w:pPr>
          </w:p>
        </w:tc>
        <w:tc>
          <w:tcPr>
            <w:tcW w:w="1420" w:type="dxa"/>
            <w:vAlign w:val="bottom"/>
          </w:tcPr>
          <w:p>
            <w:pPr>
              <w:jc w:val="right"/>
              <w:ind w:right="370"/>
              <w:spacing w:after="0"/>
              <w:rPr>
                <w:sz w:val="20"/>
                <w:szCs w:val="20"/>
                <w:color w:val="auto"/>
              </w:rPr>
            </w:pPr>
            <w:r>
              <w:rPr>
                <w:rFonts w:ascii="Arial" w:cs="Arial" w:eastAsia="Arial" w:hAnsi="Arial"/>
                <w:sz w:val="18"/>
                <w:szCs w:val="18"/>
                <w:b w:val="1"/>
                <w:bCs w:val="1"/>
                <w:color w:val="auto"/>
              </w:rPr>
              <w:t>(500)</w:t>
            </w:r>
          </w:p>
        </w:tc>
        <w:tc>
          <w:tcPr>
            <w:tcW w:w="280" w:type="dxa"/>
            <w:vAlign w:val="bottom"/>
          </w:tcPr>
          <w:p>
            <w:pPr>
              <w:spacing w:after="0"/>
              <w:rPr>
                <w:sz w:val="19"/>
                <w:szCs w:val="19"/>
                <w:color w:val="auto"/>
              </w:rPr>
            </w:pPr>
          </w:p>
        </w:tc>
        <w:tc>
          <w:tcPr>
            <w:tcW w:w="1420" w:type="dxa"/>
            <w:vAlign w:val="bottom"/>
          </w:tcPr>
          <w:p>
            <w:pPr>
              <w:jc w:val="right"/>
              <w:ind w:right="390"/>
              <w:spacing w:after="0"/>
              <w:rPr>
                <w:sz w:val="20"/>
                <w:szCs w:val="20"/>
                <w:color w:val="auto"/>
              </w:rPr>
            </w:pPr>
            <w:r>
              <w:rPr>
                <w:rFonts w:ascii="Arial" w:cs="Arial" w:eastAsia="Arial" w:hAnsi="Arial"/>
                <w:sz w:val="18"/>
                <w:szCs w:val="18"/>
                <w:color w:val="auto"/>
              </w:rPr>
              <w:t>(1,150)</w:t>
            </w:r>
          </w:p>
        </w:tc>
      </w:tr>
      <w:tr>
        <w:trPr>
          <w:trHeight w:val="230"/>
        </w:trPr>
        <w:tc>
          <w:tcPr>
            <w:tcW w:w="20" w:type="dxa"/>
            <w:vAlign w:val="bottom"/>
          </w:tcPr>
          <w:p>
            <w:pPr>
              <w:spacing w:after="0"/>
              <w:rPr>
                <w:sz w:val="19"/>
                <w:szCs w:val="19"/>
                <w:color w:val="auto"/>
              </w:rPr>
            </w:pPr>
          </w:p>
        </w:tc>
        <w:tc>
          <w:tcPr>
            <w:tcW w:w="79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(89)</w:t>
            </w:r>
          </w:p>
        </w:tc>
        <w:tc>
          <w:tcPr>
            <w:tcW w:w="2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(133)</w:t>
            </w:r>
          </w:p>
        </w:tc>
      </w:tr>
      <w:tr>
        <w:trPr>
          <w:trHeight w:val="223"/>
        </w:trPr>
        <w:tc>
          <w:tcPr>
            <w:tcW w:w="20" w:type="dxa"/>
            <w:vAlign w:val="bottom"/>
          </w:tcPr>
          <w:p>
            <w:pPr>
              <w:spacing w:after="0"/>
              <w:rPr>
                <w:sz w:val="19"/>
                <w:szCs w:val="19"/>
                <w:color w:val="auto"/>
              </w:rPr>
            </w:pPr>
          </w:p>
        </w:tc>
        <w:tc>
          <w:tcPr>
            <w:tcW w:w="7940" w:type="dxa"/>
            <w:vAlign w:val="bottom"/>
            <w:tcBorders>
              <w:bottom w:val="single" w:sz="8" w:color="auto"/>
            </w:tcBorders>
            <w:gridSpan w:val="2"/>
          </w:tcPr>
          <w:p>
            <w:pPr>
              <w:ind w:left="660"/>
              <w:spacing w:after="0"/>
              <w:rPr>
                <w:sz w:val="20"/>
                <w:szCs w:val="20"/>
                <w:color w:val="auto"/>
              </w:rPr>
            </w:pPr>
            <w:r>
              <w:rPr>
                <w:rFonts w:ascii="Arial" w:cs="Arial" w:eastAsia="Arial" w:hAnsi="Arial"/>
                <w:sz w:val="18"/>
                <w:szCs w:val="18"/>
                <w:color w:val="auto"/>
              </w:rPr>
              <w:t>Net cash used for financing activities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(4,767)</w:t>
            </w: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(3,288)</w:t>
            </w:r>
          </w:p>
        </w:tc>
      </w:tr>
      <w:tr>
        <w:trPr>
          <w:trHeight w:val="223"/>
        </w:trPr>
        <w:tc>
          <w:tcPr>
            <w:tcW w:w="20" w:type="dxa"/>
            <w:vAlign w:val="bottom"/>
          </w:tcPr>
          <w:p>
            <w:pPr>
              <w:spacing w:after="0"/>
              <w:rPr>
                <w:sz w:val="19"/>
                <w:szCs w:val="19"/>
                <w:color w:val="auto"/>
              </w:rPr>
            </w:pPr>
          </w:p>
        </w:tc>
        <w:tc>
          <w:tcPr>
            <w:tcW w:w="7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(433)</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2,071</w:t>
            </w:r>
          </w:p>
        </w:tc>
      </w:tr>
      <w:tr>
        <w:trPr>
          <w:trHeight w:val="230"/>
        </w:trPr>
        <w:tc>
          <w:tcPr>
            <w:tcW w:w="20" w:type="dxa"/>
            <w:vAlign w:val="bottom"/>
          </w:tcPr>
          <w:p>
            <w:pPr>
              <w:spacing w:after="0"/>
              <w:rPr>
                <w:sz w:val="19"/>
                <w:szCs w:val="19"/>
                <w:color w:val="auto"/>
              </w:rPr>
            </w:pPr>
          </w:p>
        </w:tc>
        <w:tc>
          <w:tcPr>
            <w:tcW w:w="79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3,160</w:t>
            </w: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1,514</w:t>
            </w:r>
          </w:p>
        </w:tc>
      </w:tr>
      <w:tr>
        <w:trPr>
          <w:trHeight w:val="230"/>
        </w:trPr>
        <w:tc>
          <w:tcPr>
            <w:tcW w:w="20" w:type="dxa"/>
            <w:vAlign w:val="bottom"/>
          </w:tcPr>
          <w:p>
            <w:pPr>
              <w:spacing w:after="0"/>
              <w:rPr>
                <w:sz w:val="20"/>
                <w:szCs w:val="20"/>
                <w:color w:val="auto"/>
              </w:rPr>
            </w:pPr>
          </w:p>
        </w:tc>
        <w:tc>
          <w:tcPr>
            <w:tcW w:w="79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2,727</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3,585</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268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9"/>
        </w:trPr>
        <w:tc>
          <w:tcPr>
            <w:tcW w:w="1400" w:type="dxa"/>
            <w:vAlign w:val="bottom"/>
            <w:tcBorders>
              <w:top w:val="single" w:sz="8" w:color="0000FF"/>
            </w:tcBorders>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500" w:type="dxa"/>
            <w:vAlign w:val="bottom"/>
            <w:gridSpan w:val="5"/>
          </w:tcPr>
          <w:p>
            <w:pPr>
              <w:jc w:val="center"/>
              <w:spacing w:after="0"/>
              <w:rPr>
                <w:sz w:val="20"/>
                <w:szCs w:val="20"/>
                <w:color w:val="auto"/>
              </w:rPr>
            </w:pPr>
            <w:r>
              <w:rPr>
                <w:rFonts w:ascii="Arial" w:cs="Arial" w:eastAsia="Arial" w:hAnsi="Arial"/>
                <w:sz w:val="18"/>
                <w:szCs w:val="18"/>
                <w:b w:val="1"/>
                <w:bCs w:val="1"/>
                <w:color w:val="auto"/>
              </w:rPr>
              <w:t>Lockheed Martin Corporation</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500" w:type="dxa"/>
            <w:vAlign w:val="bottom"/>
            <w:gridSpan w:val="5"/>
          </w:tcPr>
          <w:p>
            <w:pPr>
              <w:jc w:val="center"/>
              <w:spacing w:after="0"/>
              <w:rPr>
                <w:sz w:val="20"/>
                <w:szCs w:val="20"/>
                <w:color w:val="auto"/>
              </w:rPr>
            </w:pPr>
            <w:r>
              <w:rPr>
                <w:rFonts w:ascii="Arial" w:cs="Arial" w:eastAsia="Arial" w:hAnsi="Arial"/>
                <w:sz w:val="18"/>
                <w:szCs w:val="18"/>
                <w:b w:val="1"/>
                <w:bCs w:val="1"/>
                <w:color w:val="auto"/>
                <w:w w:val="99"/>
              </w:rPr>
              <w:t>Consolidated Statements of Equity</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120" w:type="dxa"/>
            <w:vAlign w:val="bottom"/>
            <w:gridSpan w:val="10"/>
          </w:tcPr>
          <w:p>
            <w:pPr>
              <w:jc w:val="center"/>
              <w:ind w:right="150"/>
              <w:spacing w:after="0"/>
              <w:rPr>
                <w:sz w:val="20"/>
                <w:szCs w:val="20"/>
                <w:color w:val="auto"/>
              </w:rPr>
            </w:pPr>
            <w:r>
              <w:rPr>
                <w:rFonts w:ascii="Arial" w:cs="Arial" w:eastAsia="Arial" w:hAnsi="Arial"/>
                <w:sz w:val="18"/>
                <w:szCs w:val="18"/>
                <w:b w:val="1"/>
                <w:bCs w:val="1"/>
                <w:color w:val="auto"/>
                <w:w w:val="99"/>
              </w:rPr>
              <w:t>For the Quarters Ended September 26, 2021 and September 27, 2020</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4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500" w:type="dxa"/>
            <w:vAlign w:val="bottom"/>
            <w:gridSpan w:val="5"/>
          </w:tcPr>
          <w:p>
            <w:pPr>
              <w:jc w:val="center"/>
              <w:spacing w:after="0"/>
              <w:rPr>
                <w:sz w:val="20"/>
                <w:szCs w:val="20"/>
                <w:color w:val="auto"/>
              </w:rPr>
            </w:pPr>
            <w:r>
              <w:rPr>
                <w:rFonts w:ascii="Arial" w:cs="Arial" w:eastAsia="Arial" w:hAnsi="Arial"/>
                <w:sz w:val="18"/>
                <w:szCs w:val="18"/>
                <w:b w:val="1"/>
                <w:bCs w:val="1"/>
                <w:color w:val="auto"/>
                <w:w w:val="99"/>
              </w:rPr>
              <w:t>(unaudited; in millions)</w:t>
            </w: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2"/>
        </w:trPr>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7"/>
              </w:rPr>
              <w:t>Additional</w:t>
            </w: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jc w:val="right"/>
              <w:ind w:right="90"/>
              <w:spacing w:after="0"/>
              <w:rPr>
                <w:sz w:val="20"/>
                <w:szCs w:val="20"/>
                <w:color w:val="auto"/>
              </w:rPr>
            </w:pPr>
            <w:r>
              <w:rPr>
                <w:rFonts w:ascii="Arial" w:cs="Arial" w:eastAsia="Arial" w:hAnsi="Arial"/>
                <w:sz w:val="18"/>
                <w:szCs w:val="18"/>
                <w:b w:val="1"/>
                <w:bCs w:val="1"/>
                <w:color w:val="auto"/>
              </w:rPr>
              <w:t>Accumulated</w:t>
            </w:r>
          </w:p>
        </w:tc>
        <w:tc>
          <w:tcPr>
            <w:tcW w:w="180" w:type="dxa"/>
            <w:vAlign w:val="bottom"/>
          </w:tcPr>
          <w:p>
            <w:pPr>
              <w:spacing w:after="0"/>
              <w:rPr>
                <w:sz w:val="24"/>
                <w:szCs w:val="24"/>
                <w:color w:val="auto"/>
              </w:rPr>
            </w:pPr>
          </w:p>
        </w:tc>
        <w:tc>
          <w:tcPr>
            <w:tcW w:w="12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7"/>
              </w:rPr>
              <w:t>Total</w:t>
            </w:r>
          </w:p>
        </w:tc>
        <w:tc>
          <w:tcPr>
            <w:tcW w:w="180" w:type="dxa"/>
            <w:vAlign w:val="bottom"/>
          </w:tcPr>
          <w:p>
            <w:pPr>
              <w:spacing w:after="0"/>
              <w:rPr>
                <w:sz w:val="24"/>
                <w:szCs w:val="24"/>
                <w:color w:val="auto"/>
              </w:rPr>
            </w:pPr>
          </w:p>
        </w:tc>
        <w:tc>
          <w:tcPr>
            <w:tcW w:w="13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Noncontrolling</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4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4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Common</w:t>
            </w:r>
          </w:p>
        </w:tc>
        <w:tc>
          <w:tcPr>
            <w:tcW w:w="14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000" w:type="dxa"/>
            <w:vAlign w:val="bottom"/>
            <w:gridSpan w:val="2"/>
            <w:vMerge w:val="restart"/>
          </w:tcPr>
          <w:p>
            <w:pPr>
              <w:jc w:val="right"/>
              <w:ind w:right="10"/>
              <w:spacing w:after="0"/>
              <w:rPr>
                <w:sz w:val="20"/>
                <w:szCs w:val="20"/>
                <w:color w:val="auto"/>
              </w:rPr>
            </w:pPr>
            <w:r>
              <w:rPr>
                <w:rFonts w:ascii="Arial" w:cs="Arial" w:eastAsia="Arial" w:hAnsi="Arial"/>
                <w:sz w:val="18"/>
                <w:szCs w:val="18"/>
                <w:b w:val="1"/>
                <w:bCs w:val="1"/>
                <w:color w:val="auto"/>
              </w:rPr>
              <w:t>Retained</w:t>
            </w:r>
          </w:p>
        </w:tc>
        <w:tc>
          <w:tcPr>
            <w:tcW w:w="120" w:type="dxa"/>
            <w:vAlign w:val="bottom"/>
          </w:tcPr>
          <w:p>
            <w:pPr>
              <w:spacing w:after="0"/>
              <w:rPr>
                <w:sz w:val="15"/>
                <w:szCs w:val="15"/>
                <w:color w:val="auto"/>
              </w:rPr>
            </w:pPr>
          </w:p>
        </w:tc>
        <w:tc>
          <w:tcPr>
            <w:tcW w:w="14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Other</w:t>
            </w:r>
          </w:p>
        </w:tc>
        <w:tc>
          <w:tcPr>
            <w:tcW w:w="18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75"/>
        </w:trPr>
        <w:tc>
          <w:tcPr>
            <w:tcW w:w="14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ind w:right="130"/>
              <w:spacing w:after="0" w:line="176" w:lineRule="exact"/>
              <w:rPr>
                <w:sz w:val="20"/>
                <w:szCs w:val="20"/>
                <w:color w:val="auto"/>
              </w:rPr>
            </w:pPr>
            <w:r>
              <w:rPr>
                <w:rFonts w:ascii="Arial" w:cs="Arial" w:eastAsia="Arial" w:hAnsi="Arial"/>
                <w:sz w:val="18"/>
                <w:szCs w:val="18"/>
                <w:b w:val="1"/>
                <w:bCs w:val="1"/>
                <w:color w:val="auto"/>
              </w:rPr>
              <w:t>Paid-in</w:t>
            </w:r>
          </w:p>
        </w:tc>
        <w:tc>
          <w:tcPr>
            <w:tcW w:w="10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rPr>
              <w:t>Comprehensive</w:t>
            </w:r>
          </w:p>
        </w:tc>
        <w:tc>
          <w:tcPr>
            <w:tcW w:w="180" w:type="dxa"/>
            <w:vAlign w:val="bottom"/>
          </w:tcPr>
          <w:p>
            <w:pPr>
              <w:spacing w:after="0"/>
              <w:rPr>
                <w:sz w:val="15"/>
                <w:szCs w:val="15"/>
                <w:color w:val="auto"/>
              </w:rPr>
            </w:pPr>
          </w:p>
        </w:tc>
        <w:tc>
          <w:tcPr>
            <w:tcW w:w="12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rPr>
              <w:t>Stockholders’</w:t>
            </w:r>
          </w:p>
        </w:tc>
        <w:tc>
          <w:tcPr>
            <w:tcW w:w="180" w:type="dxa"/>
            <w:vAlign w:val="bottom"/>
          </w:tcPr>
          <w:p>
            <w:pPr>
              <w:spacing w:after="0"/>
              <w:rPr>
                <w:sz w:val="15"/>
                <w:szCs w:val="15"/>
                <w:color w:val="auto"/>
              </w:rPr>
            </w:pPr>
          </w:p>
        </w:tc>
        <w:tc>
          <w:tcPr>
            <w:tcW w:w="13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Interests in</w:t>
            </w:r>
          </w:p>
        </w:tc>
        <w:tc>
          <w:tcPr>
            <w:tcW w:w="20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Stock</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Capital</w:t>
            </w: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Earnings</w:t>
            </w: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Loss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Equity</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Subsidiary</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8"/>
              </w:rPr>
              <w:t>Equity</w:t>
            </w:r>
          </w:p>
        </w:tc>
        <w:tc>
          <w:tcPr>
            <w:tcW w:w="0" w:type="dxa"/>
            <w:vAlign w:val="bottom"/>
          </w:tcPr>
          <w:p>
            <w:pPr>
              <w:spacing w:after="0"/>
              <w:rPr>
                <w:sz w:val="1"/>
                <w:szCs w:val="1"/>
                <w:color w:val="auto"/>
              </w:rPr>
            </w:pPr>
          </w:p>
        </w:tc>
      </w:tr>
      <w:tr>
        <w:trPr>
          <w:trHeight w:val="223"/>
        </w:trPr>
        <w:tc>
          <w:tcPr>
            <w:tcW w:w="2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at June 27, 2021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122</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21,961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(15,837)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6,522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6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6,530</w:t>
            </w:r>
          </w:p>
        </w:tc>
        <w:tc>
          <w:tcPr>
            <w:tcW w:w="0" w:type="dxa"/>
            <w:vAlign w:val="bottom"/>
          </w:tcPr>
          <w:p>
            <w:pPr>
              <w:spacing w:after="0"/>
              <w:rPr>
                <w:sz w:val="1"/>
                <w:szCs w:val="1"/>
                <w:color w:val="auto"/>
              </w:rPr>
            </w:pPr>
          </w:p>
        </w:tc>
      </w:tr>
      <w:tr>
        <w:trPr>
          <w:trHeight w:val="230"/>
        </w:trPr>
        <w:tc>
          <w:tcPr>
            <w:tcW w:w="2680" w:type="dxa"/>
            <w:vAlign w:val="bottom"/>
            <w:gridSpan w:val="2"/>
          </w:tcPr>
          <w:p>
            <w:pPr>
              <w:ind w:left="20"/>
              <w:spacing w:after="0"/>
              <w:rPr>
                <w:sz w:val="20"/>
                <w:szCs w:val="20"/>
                <w:color w:val="auto"/>
              </w:rPr>
            </w:pPr>
            <w:r>
              <w:rPr>
                <w:rFonts w:ascii="Arial" w:cs="Arial" w:eastAsia="Arial" w:hAnsi="Arial"/>
                <w:sz w:val="18"/>
                <w:szCs w:val="18"/>
                <w:color w:val="auto"/>
              </w:rPr>
              <w:t>Net earnings</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614</w:t>
            </w:r>
          </w:p>
        </w:tc>
        <w:tc>
          <w:tcPr>
            <w:tcW w:w="120" w:type="dxa"/>
            <w:vAlign w:val="bottom"/>
          </w:tcPr>
          <w:p>
            <w:pPr>
              <w:spacing w:after="0"/>
              <w:rPr>
                <w:sz w:val="19"/>
                <w:szCs w:val="19"/>
                <w:color w:val="auto"/>
              </w:rPr>
            </w:pPr>
          </w:p>
        </w:tc>
        <w:tc>
          <w:tcPr>
            <w:tcW w:w="142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b w:val="1"/>
                <w:bCs w:val="1"/>
                <w:color w:val="auto"/>
              </w:rPr>
              <w:t>614</w:t>
            </w:r>
          </w:p>
        </w:tc>
        <w:tc>
          <w:tcPr>
            <w:tcW w:w="180" w:type="dxa"/>
            <w:vAlign w:val="bottom"/>
          </w:tcPr>
          <w:p>
            <w:pPr>
              <w:spacing w:after="0"/>
              <w:rPr>
                <w:sz w:val="19"/>
                <w:szCs w:val="19"/>
                <w:color w:val="auto"/>
              </w:rPr>
            </w:pPr>
          </w:p>
        </w:tc>
        <w:tc>
          <w:tcPr>
            <w:tcW w:w="136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614</w:t>
            </w:r>
          </w:p>
        </w:tc>
        <w:tc>
          <w:tcPr>
            <w:tcW w:w="0" w:type="dxa"/>
            <w:vAlign w:val="bottom"/>
          </w:tcPr>
          <w:p>
            <w:pPr>
              <w:spacing w:after="0"/>
              <w:rPr>
                <w:sz w:val="1"/>
                <w:szCs w:val="1"/>
                <w:color w:val="auto"/>
              </w:rPr>
            </w:pPr>
          </w:p>
        </w:tc>
      </w:tr>
      <w:tr>
        <w:trPr>
          <w:trHeight w:val="188"/>
        </w:trPr>
        <w:tc>
          <w:tcPr>
            <w:tcW w:w="26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Other comprehensive income,</w:t>
            </w:r>
          </w:p>
        </w:tc>
        <w:tc>
          <w:tcPr>
            <w:tcW w:w="260" w:type="dxa"/>
            <w:vAlign w:val="bottom"/>
            <w:shd w:val="clear" w:color="auto" w:fill="CCEEFF"/>
          </w:tcPr>
          <w:p>
            <w:pPr>
              <w:spacing w:after="0"/>
              <w:rPr>
                <w:sz w:val="16"/>
                <w:szCs w:val="16"/>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6"/>
                <w:szCs w:val="16"/>
                <w:color w:val="auto"/>
              </w:rPr>
            </w:pPr>
          </w:p>
        </w:tc>
        <w:tc>
          <w:tcPr>
            <w:tcW w:w="14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3,620</w:t>
            </w:r>
          </w:p>
        </w:tc>
        <w:tc>
          <w:tcPr>
            <w:tcW w:w="180" w:type="dxa"/>
            <w:vAlign w:val="bottom"/>
            <w:shd w:val="clear" w:color="auto" w:fill="CCEEFF"/>
          </w:tcPr>
          <w:p>
            <w:pPr>
              <w:spacing w:after="0"/>
              <w:rPr>
                <w:sz w:val="16"/>
                <w:szCs w:val="16"/>
                <w:color w:val="auto"/>
              </w:rPr>
            </w:pPr>
          </w:p>
        </w:tc>
        <w:tc>
          <w:tcPr>
            <w:tcW w:w="126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3,620</w:t>
            </w:r>
          </w:p>
        </w:tc>
        <w:tc>
          <w:tcPr>
            <w:tcW w:w="180" w:type="dxa"/>
            <w:vAlign w:val="bottom"/>
            <w:shd w:val="clear" w:color="auto" w:fill="CCEEFF"/>
          </w:tcPr>
          <w:p>
            <w:pPr>
              <w:spacing w:after="0"/>
              <w:rPr>
                <w:sz w:val="16"/>
                <w:szCs w:val="16"/>
                <w:color w:val="auto"/>
              </w:rPr>
            </w:pPr>
          </w:p>
        </w:tc>
        <w:tc>
          <w:tcPr>
            <w:tcW w:w="136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6"/>
                <w:szCs w:val="16"/>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3,620</w:t>
            </w:r>
          </w:p>
        </w:tc>
        <w:tc>
          <w:tcPr>
            <w:tcW w:w="0" w:type="dxa"/>
            <w:vAlign w:val="bottom"/>
          </w:tcPr>
          <w:p>
            <w:pPr>
              <w:spacing w:after="0"/>
              <w:rPr>
                <w:sz w:val="1"/>
                <w:szCs w:val="1"/>
                <w:color w:val="auto"/>
              </w:rPr>
            </w:pPr>
          </w:p>
        </w:tc>
      </w:tr>
      <w:tr>
        <w:trPr>
          <w:trHeight w:val="217"/>
        </w:trPr>
        <w:tc>
          <w:tcPr>
            <w:tcW w:w="2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net of tax</w:t>
            </w:r>
          </w:p>
        </w:tc>
        <w:tc>
          <w:tcPr>
            <w:tcW w:w="2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680" w:type="dxa"/>
            <w:vAlign w:val="bottom"/>
            <w:gridSpan w:val="2"/>
          </w:tcPr>
          <w:p>
            <w:pPr>
              <w:ind w:left="20"/>
              <w:spacing w:after="0"/>
              <w:rPr>
                <w:sz w:val="20"/>
                <w:szCs w:val="20"/>
                <w:color w:val="auto"/>
              </w:rPr>
            </w:pPr>
            <w:r>
              <w:rPr>
                <w:rFonts w:ascii="Arial" w:cs="Arial" w:eastAsia="Arial" w:hAnsi="Arial"/>
                <w:sz w:val="18"/>
                <w:szCs w:val="18"/>
                <w:color w:val="auto"/>
              </w:rPr>
              <w:t>Dividends declared</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(775)</w:t>
            </w:r>
          </w:p>
        </w:tc>
        <w:tc>
          <w:tcPr>
            <w:tcW w:w="120" w:type="dxa"/>
            <w:vAlign w:val="bottom"/>
          </w:tcPr>
          <w:p>
            <w:pPr>
              <w:spacing w:after="0"/>
              <w:rPr>
                <w:sz w:val="19"/>
                <w:szCs w:val="19"/>
                <w:color w:val="auto"/>
              </w:rPr>
            </w:pPr>
          </w:p>
        </w:tc>
        <w:tc>
          <w:tcPr>
            <w:tcW w:w="142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b w:val="1"/>
                <w:bCs w:val="1"/>
                <w:color w:val="auto"/>
              </w:rPr>
              <w:t>(775)</w:t>
            </w:r>
          </w:p>
        </w:tc>
        <w:tc>
          <w:tcPr>
            <w:tcW w:w="180" w:type="dxa"/>
            <w:vAlign w:val="bottom"/>
          </w:tcPr>
          <w:p>
            <w:pPr>
              <w:spacing w:after="0"/>
              <w:rPr>
                <w:sz w:val="19"/>
                <w:szCs w:val="19"/>
                <w:color w:val="auto"/>
              </w:rPr>
            </w:pPr>
          </w:p>
        </w:tc>
        <w:tc>
          <w:tcPr>
            <w:tcW w:w="136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(775)</w:t>
            </w:r>
          </w:p>
        </w:tc>
        <w:tc>
          <w:tcPr>
            <w:tcW w:w="0" w:type="dxa"/>
            <w:vAlign w:val="bottom"/>
          </w:tcPr>
          <w:p>
            <w:pPr>
              <w:spacing w:after="0"/>
              <w:rPr>
                <w:sz w:val="1"/>
                <w:szCs w:val="1"/>
                <w:color w:val="auto"/>
              </w:rPr>
            </w:pPr>
          </w:p>
        </w:tc>
      </w:tr>
      <w:tr>
        <w:trPr>
          <w:trHeight w:val="230"/>
        </w:trPr>
        <w:tc>
          <w:tcPr>
            <w:tcW w:w="2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Repurchases of common stock</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(174)</w:t>
            </w: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(324)</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(500)</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(500)</w:t>
            </w:r>
          </w:p>
        </w:tc>
        <w:tc>
          <w:tcPr>
            <w:tcW w:w="0" w:type="dxa"/>
            <w:vAlign w:val="bottom"/>
          </w:tcPr>
          <w:p>
            <w:pPr>
              <w:spacing w:after="0"/>
              <w:rPr>
                <w:sz w:val="1"/>
                <w:szCs w:val="1"/>
                <w:color w:val="auto"/>
              </w:rPr>
            </w:pPr>
          </w:p>
        </w:tc>
      </w:tr>
      <w:tr>
        <w:trPr>
          <w:trHeight w:val="188"/>
        </w:trPr>
        <w:tc>
          <w:tcPr>
            <w:tcW w:w="268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Stock-based awards, ESOP</w:t>
            </w:r>
          </w:p>
        </w:tc>
        <w:tc>
          <w:tcPr>
            <w:tcW w:w="26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6"/>
                <w:szCs w:val="16"/>
                <w:color w:val="auto"/>
              </w:rPr>
            </w:pPr>
          </w:p>
        </w:tc>
        <w:tc>
          <w:tcPr>
            <w:tcW w:w="96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150</w:t>
            </w:r>
          </w:p>
        </w:tc>
        <w:tc>
          <w:tcPr>
            <w:tcW w:w="28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6"/>
                <w:szCs w:val="16"/>
                <w:color w:val="auto"/>
              </w:rPr>
            </w:pPr>
          </w:p>
        </w:tc>
        <w:tc>
          <w:tcPr>
            <w:tcW w:w="142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6"/>
                <w:szCs w:val="16"/>
                <w:color w:val="auto"/>
              </w:rPr>
            </w:pPr>
          </w:p>
        </w:tc>
        <w:tc>
          <w:tcPr>
            <w:tcW w:w="126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150</w:t>
            </w:r>
          </w:p>
        </w:tc>
        <w:tc>
          <w:tcPr>
            <w:tcW w:w="180" w:type="dxa"/>
            <w:vAlign w:val="bottom"/>
          </w:tcPr>
          <w:p>
            <w:pPr>
              <w:spacing w:after="0"/>
              <w:rPr>
                <w:sz w:val="16"/>
                <w:szCs w:val="16"/>
                <w:color w:val="auto"/>
              </w:rPr>
            </w:pPr>
          </w:p>
        </w:tc>
        <w:tc>
          <w:tcPr>
            <w:tcW w:w="136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150</w:t>
            </w:r>
          </w:p>
        </w:tc>
        <w:tc>
          <w:tcPr>
            <w:tcW w:w="0" w:type="dxa"/>
            <w:vAlign w:val="bottom"/>
          </w:tcPr>
          <w:p>
            <w:pPr>
              <w:spacing w:after="0"/>
              <w:rPr>
                <w:sz w:val="1"/>
                <w:szCs w:val="1"/>
                <w:color w:val="auto"/>
              </w:rPr>
            </w:pPr>
          </w:p>
        </w:tc>
      </w:tr>
      <w:tr>
        <w:trPr>
          <w:trHeight w:val="217"/>
        </w:trPr>
        <w:tc>
          <w:tcPr>
            <w:tcW w:w="2680" w:type="dxa"/>
            <w:vAlign w:val="bottom"/>
            <w:gridSpan w:val="2"/>
          </w:tcPr>
          <w:p>
            <w:pPr>
              <w:ind w:left="120"/>
              <w:spacing w:after="0"/>
              <w:rPr>
                <w:sz w:val="20"/>
                <w:szCs w:val="20"/>
                <w:color w:val="auto"/>
              </w:rPr>
            </w:pPr>
            <w:r>
              <w:rPr>
                <w:rFonts w:ascii="Arial" w:cs="Arial" w:eastAsia="Arial" w:hAnsi="Arial"/>
                <w:sz w:val="18"/>
                <w:szCs w:val="18"/>
                <w:color w:val="auto"/>
              </w:rPr>
              <w:t>activity and other</w:t>
            </w:r>
          </w:p>
        </w:tc>
        <w:tc>
          <w:tcPr>
            <w:tcW w:w="2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6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Net decrease in noncontrolling</w:t>
            </w:r>
          </w:p>
        </w:tc>
        <w:tc>
          <w:tcPr>
            <w:tcW w:w="260" w:type="dxa"/>
            <w:vAlign w:val="bottom"/>
            <w:shd w:val="clear" w:color="auto" w:fill="CCEEFF"/>
          </w:tcPr>
          <w:p>
            <w:pPr>
              <w:spacing w:after="0"/>
              <w:rPr>
                <w:sz w:val="16"/>
                <w:szCs w:val="16"/>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6"/>
                <w:szCs w:val="16"/>
                <w:color w:val="auto"/>
              </w:rPr>
            </w:pPr>
          </w:p>
        </w:tc>
        <w:tc>
          <w:tcPr>
            <w:tcW w:w="14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6"/>
                <w:szCs w:val="16"/>
                <w:color w:val="auto"/>
              </w:rPr>
            </w:pPr>
          </w:p>
        </w:tc>
        <w:tc>
          <w:tcPr>
            <w:tcW w:w="126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6"/>
                <w:szCs w:val="16"/>
                <w:color w:val="auto"/>
              </w:rPr>
            </w:pPr>
          </w:p>
        </w:tc>
        <w:tc>
          <w:tcPr>
            <w:tcW w:w="136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(8)</w:t>
            </w:r>
          </w:p>
        </w:tc>
        <w:tc>
          <w:tcPr>
            <w:tcW w:w="200" w:type="dxa"/>
            <w:vAlign w:val="bottom"/>
            <w:shd w:val="clear" w:color="auto" w:fill="CCEEFF"/>
          </w:tcPr>
          <w:p>
            <w:pPr>
              <w:spacing w:after="0"/>
              <w:rPr>
                <w:sz w:val="16"/>
                <w:szCs w:val="16"/>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0" w:type="dxa"/>
            <w:vAlign w:val="bottom"/>
          </w:tcPr>
          <w:p>
            <w:pPr>
              <w:spacing w:after="0"/>
              <w:rPr>
                <w:sz w:val="1"/>
                <w:szCs w:val="1"/>
                <w:color w:val="auto"/>
              </w:rPr>
            </w:pPr>
          </w:p>
        </w:tc>
      </w:tr>
      <w:tr>
        <w:trPr>
          <w:trHeight w:val="217"/>
        </w:trPr>
        <w:tc>
          <w:tcPr>
            <w:tcW w:w="2680" w:type="dxa"/>
            <w:vAlign w:val="bottom"/>
            <w:tcBorders>
              <w:bottom w:val="single" w:sz="8" w:color="auto"/>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interests in subsidiary</w:t>
            </w:r>
          </w:p>
        </w:tc>
        <w:tc>
          <w:tcPr>
            <w:tcW w:w="2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vMerge w:val="continue"/>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vMerge w:val="continue"/>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6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Balance at September 26, 2021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98</w:t>
            </w:r>
          </w:p>
        </w:tc>
        <w:tc>
          <w:tcPr>
            <w:tcW w:w="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21,476</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(12,217)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9,631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9,631</w:t>
            </w:r>
          </w:p>
        </w:tc>
        <w:tc>
          <w:tcPr>
            <w:tcW w:w="0" w:type="dxa"/>
            <w:vAlign w:val="bottom"/>
          </w:tcPr>
          <w:p>
            <w:pPr>
              <w:spacing w:after="0"/>
              <w:rPr>
                <w:sz w:val="1"/>
                <w:szCs w:val="1"/>
                <w:color w:val="auto"/>
              </w:rPr>
            </w:pPr>
          </w:p>
        </w:tc>
      </w:tr>
      <w:tr>
        <w:trPr>
          <w:trHeight w:val="250"/>
        </w:trPr>
        <w:tc>
          <w:tcPr>
            <w:tcW w:w="14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680" w:type="dxa"/>
            <w:vAlign w:val="bottom"/>
            <w:gridSpan w:val="2"/>
          </w:tcPr>
          <w:p>
            <w:pPr>
              <w:ind w:left="20"/>
              <w:spacing w:after="0"/>
              <w:rPr>
                <w:sz w:val="20"/>
                <w:szCs w:val="20"/>
                <w:color w:val="auto"/>
              </w:rPr>
            </w:pPr>
            <w:r>
              <w:rPr>
                <w:rFonts w:ascii="Arial" w:cs="Arial" w:eastAsia="Arial" w:hAnsi="Arial"/>
                <w:sz w:val="18"/>
                <w:szCs w:val="18"/>
                <w:color w:val="auto"/>
              </w:rPr>
              <w:t>Balance at June 28, 2020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278</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18,876</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(15,403)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3,751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35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3,786</w:t>
            </w:r>
          </w:p>
        </w:tc>
        <w:tc>
          <w:tcPr>
            <w:tcW w:w="0" w:type="dxa"/>
            <w:vAlign w:val="bottom"/>
          </w:tcPr>
          <w:p>
            <w:pPr>
              <w:spacing w:after="0"/>
              <w:rPr>
                <w:sz w:val="1"/>
                <w:szCs w:val="1"/>
                <w:color w:val="auto"/>
              </w:rPr>
            </w:pPr>
          </w:p>
        </w:tc>
      </w:tr>
      <w:tr>
        <w:trPr>
          <w:trHeight w:val="230"/>
        </w:trPr>
        <w:tc>
          <w:tcPr>
            <w:tcW w:w="2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1,698</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1,698</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1,698</w:t>
            </w:r>
          </w:p>
        </w:tc>
        <w:tc>
          <w:tcPr>
            <w:tcW w:w="0" w:type="dxa"/>
            <w:vAlign w:val="bottom"/>
          </w:tcPr>
          <w:p>
            <w:pPr>
              <w:spacing w:after="0"/>
              <w:rPr>
                <w:sz w:val="1"/>
                <w:szCs w:val="1"/>
                <w:color w:val="auto"/>
              </w:rPr>
            </w:pPr>
          </w:p>
        </w:tc>
      </w:tr>
      <w:tr>
        <w:trPr>
          <w:trHeight w:val="188"/>
        </w:trPr>
        <w:tc>
          <w:tcPr>
            <w:tcW w:w="268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Other comprehensive income,</w:t>
            </w: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680" w:type="dxa"/>
            <w:vAlign w:val="bottom"/>
            <w:gridSpan w:val="2"/>
          </w:tcPr>
          <w:p>
            <w:pPr>
              <w:ind w:left="120"/>
              <w:spacing w:after="0"/>
              <w:rPr>
                <w:sz w:val="20"/>
                <w:szCs w:val="20"/>
                <w:color w:val="auto"/>
              </w:rPr>
            </w:pPr>
            <w:r>
              <w:rPr>
                <w:rFonts w:ascii="Arial" w:cs="Arial" w:eastAsia="Arial" w:hAnsi="Arial"/>
                <w:sz w:val="18"/>
                <w:szCs w:val="18"/>
                <w:color w:val="auto"/>
              </w:rPr>
              <w:t>net of tax</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144</w:t>
            </w:r>
          </w:p>
        </w:tc>
        <w:tc>
          <w:tcPr>
            <w:tcW w:w="180" w:type="dxa"/>
            <w:vAlign w:val="bottom"/>
          </w:tcPr>
          <w:p>
            <w:pPr>
              <w:spacing w:after="0"/>
              <w:rPr>
                <w:sz w:val="18"/>
                <w:szCs w:val="18"/>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144</w:t>
            </w:r>
          </w:p>
        </w:tc>
        <w:tc>
          <w:tcPr>
            <w:tcW w:w="180" w:type="dxa"/>
            <w:vAlign w:val="bottom"/>
          </w:tcPr>
          <w:p>
            <w:pPr>
              <w:spacing w:after="0"/>
              <w:rPr>
                <w:sz w:val="18"/>
                <w:szCs w:val="18"/>
                <w:color w:val="auto"/>
              </w:rPr>
            </w:pP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29"/>
        </w:trPr>
        <w:tc>
          <w:tcPr>
            <w:tcW w:w="2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Dividends declared</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(730)</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r>
        <w:trPr>
          <w:trHeight w:val="230"/>
        </w:trPr>
        <w:tc>
          <w:tcPr>
            <w:tcW w:w="2680" w:type="dxa"/>
            <w:vAlign w:val="bottom"/>
            <w:gridSpan w:val="2"/>
          </w:tcPr>
          <w:p>
            <w:pPr>
              <w:ind w:left="20"/>
              <w:spacing w:after="0"/>
              <w:rPr>
                <w:sz w:val="20"/>
                <w:szCs w:val="20"/>
                <w:color w:val="auto"/>
              </w:rPr>
            </w:pPr>
            <w:r>
              <w:rPr>
                <w:rFonts w:ascii="Arial" w:cs="Arial" w:eastAsia="Arial" w:hAnsi="Arial"/>
                <w:sz w:val="18"/>
                <w:szCs w:val="18"/>
                <w:color w:val="auto"/>
              </w:rPr>
              <w:t>Repurchases of common stock</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(59)</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(59)</w:t>
            </w:r>
          </w:p>
        </w:tc>
        <w:tc>
          <w:tcPr>
            <w:tcW w:w="180" w:type="dxa"/>
            <w:vAlign w:val="bottom"/>
          </w:tcPr>
          <w:p>
            <w:pPr>
              <w:spacing w:after="0"/>
              <w:rPr>
                <w:sz w:val="19"/>
                <w:szCs w:val="19"/>
                <w:color w:val="auto"/>
              </w:rPr>
            </w:pP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88"/>
        </w:trPr>
        <w:tc>
          <w:tcPr>
            <w:tcW w:w="268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Stock-based awards, ESOP</w:t>
            </w: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activity and other</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149</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149</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188"/>
        </w:trPr>
        <w:tc>
          <w:tcPr>
            <w:tcW w:w="268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Net decrease in noncontrolling</w:t>
            </w: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68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interests in subsidiary</w:t>
            </w: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268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September 27, 2020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90</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19,844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(15,259)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4,953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33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4,986</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276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9"/>
        </w:trPr>
        <w:tc>
          <w:tcPr>
            <w:tcW w:w="1400" w:type="dxa"/>
            <w:vAlign w:val="bottom"/>
            <w:tcBorders>
              <w:top w:val="single" w:sz="8" w:color="0000FF"/>
            </w:tcBorders>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00" w:type="dxa"/>
            <w:vAlign w:val="bottom"/>
            <w:gridSpan w:val="5"/>
          </w:tcPr>
          <w:p>
            <w:pPr>
              <w:jc w:val="center"/>
              <w:spacing w:after="0"/>
              <w:rPr>
                <w:sz w:val="20"/>
                <w:szCs w:val="20"/>
                <w:color w:val="auto"/>
              </w:rPr>
            </w:pPr>
            <w:r>
              <w:rPr>
                <w:rFonts w:ascii="Arial" w:cs="Arial" w:eastAsia="Arial" w:hAnsi="Arial"/>
                <w:sz w:val="18"/>
                <w:szCs w:val="18"/>
                <w:b w:val="1"/>
                <w:bCs w:val="1"/>
                <w:color w:val="auto"/>
              </w:rPr>
              <w:t>Lockheed Martin Corporation</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00" w:type="dxa"/>
            <w:vAlign w:val="bottom"/>
            <w:gridSpan w:val="5"/>
          </w:tcPr>
          <w:p>
            <w:pPr>
              <w:jc w:val="right"/>
              <w:ind w:right="170"/>
              <w:spacing w:after="0"/>
              <w:rPr>
                <w:sz w:val="20"/>
                <w:szCs w:val="20"/>
                <w:color w:val="auto"/>
              </w:rPr>
            </w:pPr>
            <w:r>
              <w:rPr>
                <w:rFonts w:ascii="Arial" w:cs="Arial" w:eastAsia="Arial" w:hAnsi="Arial"/>
                <w:sz w:val="18"/>
                <w:szCs w:val="18"/>
                <w:b w:val="1"/>
                <w:bCs w:val="1"/>
                <w:color w:val="auto"/>
              </w:rPr>
              <w:t>Consolidated Statements of Equity</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7420" w:type="dxa"/>
            <w:vAlign w:val="bottom"/>
            <w:gridSpan w:val="11"/>
          </w:tcPr>
          <w:p>
            <w:pPr>
              <w:jc w:val="center"/>
              <w:ind w:left="930"/>
              <w:spacing w:after="0"/>
              <w:rPr>
                <w:sz w:val="20"/>
                <w:szCs w:val="20"/>
                <w:color w:val="auto"/>
              </w:rPr>
            </w:pPr>
            <w:r>
              <w:rPr>
                <w:rFonts w:ascii="Arial" w:cs="Arial" w:eastAsia="Arial" w:hAnsi="Arial"/>
                <w:sz w:val="18"/>
                <w:szCs w:val="18"/>
                <w:b w:val="1"/>
                <w:bCs w:val="1"/>
                <w:color w:val="auto"/>
                <w:w w:val="99"/>
              </w:rPr>
              <w:t>For the Nine Months Ended September 26, 2021 and September 27, 2020</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00" w:type="dxa"/>
            <w:vAlign w:val="bottom"/>
            <w:gridSpan w:val="5"/>
          </w:tcPr>
          <w:p>
            <w:pPr>
              <w:jc w:val="center"/>
              <w:spacing w:after="0"/>
              <w:rPr>
                <w:sz w:val="20"/>
                <w:szCs w:val="20"/>
                <w:color w:val="auto"/>
              </w:rPr>
            </w:pPr>
            <w:r>
              <w:rPr>
                <w:rFonts w:ascii="Arial" w:cs="Arial" w:eastAsia="Arial" w:hAnsi="Arial"/>
                <w:sz w:val="18"/>
                <w:szCs w:val="18"/>
                <w:b w:val="1"/>
                <w:bCs w:val="1"/>
                <w:color w:val="auto"/>
                <w:w w:val="99"/>
              </w:rPr>
              <w:t>(unaudited; in millions)</w:t>
            </w: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2"/>
        </w:trPr>
        <w:tc>
          <w:tcPr>
            <w:tcW w:w="1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7"/>
              </w:rPr>
              <w:t>Additional</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9"/>
              </w:rPr>
              <w:t>Accumulated</w:t>
            </w:r>
          </w:p>
        </w:tc>
        <w:tc>
          <w:tcPr>
            <w:tcW w:w="180" w:type="dxa"/>
            <w:vAlign w:val="bottom"/>
          </w:tcPr>
          <w:p>
            <w:pPr>
              <w:spacing w:after="0"/>
              <w:rPr>
                <w:sz w:val="24"/>
                <w:szCs w:val="24"/>
                <w:color w:val="auto"/>
              </w:rPr>
            </w:pPr>
          </w:p>
        </w:tc>
        <w:tc>
          <w:tcPr>
            <w:tcW w:w="12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7"/>
              </w:rPr>
              <w:t>Total</w:t>
            </w:r>
          </w:p>
        </w:tc>
        <w:tc>
          <w:tcPr>
            <w:tcW w:w="180" w:type="dxa"/>
            <w:vAlign w:val="bottom"/>
          </w:tcPr>
          <w:p>
            <w:pPr>
              <w:spacing w:after="0"/>
              <w:rPr>
                <w:sz w:val="24"/>
                <w:szCs w:val="24"/>
                <w:color w:val="auto"/>
              </w:rPr>
            </w:pPr>
          </w:p>
        </w:tc>
        <w:tc>
          <w:tcPr>
            <w:tcW w:w="13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Noncontrolling</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0" w:type="dxa"/>
            <w:vAlign w:val="bottom"/>
            <w:gridSpan w:val="2"/>
            <w:vMerge w:val="restart"/>
          </w:tcPr>
          <w:p>
            <w:pPr>
              <w:jc w:val="right"/>
              <w:ind w:right="10"/>
              <w:spacing w:after="0"/>
              <w:rPr>
                <w:sz w:val="20"/>
                <w:szCs w:val="20"/>
                <w:color w:val="auto"/>
              </w:rPr>
            </w:pPr>
            <w:r>
              <w:rPr>
                <w:rFonts w:ascii="Arial" w:cs="Arial" w:eastAsia="Arial" w:hAnsi="Arial"/>
                <w:sz w:val="18"/>
                <w:szCs w:val="18"/>
                <w:b w:val="1"/>
                <w:bCs w:val="1"/>
                <w:color w:val="auto"/>
              </w:rPr>
              <w:t>Common</w:t>
            </w:r>
          </w:p>
        </w:tc>
        <w:tc>
          <w:tcPr>
            <w:tcW w:w="1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000" w:type="dxa"/>
            <w:vAlign w:val="bottom"/>
            <w:gridSpan w:val="2"/>
            <w:vMerge w:val="restart"/>
          </w:tcPr>
          <w:p>
            <w:pPr>
              <w:jc w:val="right"/>
              <w:ind w:right="10"/>
              <w:spacing w:after="0"/>
              <w:rPr>
                <w:sz w:val="20"/>
                <w:szCs w:val="20"/>
                <w:color w:val="auto"/>
              </w:rPr>
            </w:pPr>
            <w:r>
              <w:rPr>
                <w:rFonts w:ascii="Arial" w:cs="Arial" w:eastAsia="Arial" w:hAnsi="Arial"/>
                <w:sz w:val="18"/>
                <w:szCs w:val="18"/>
                <w:b w:val="1"/>
                <w:bCs w:val="1"/>
                <w:color w:val="auto"/>
              </w:rPr>
              <w:t>Retained</w:t>
            </w:r>
          </w:p>
        </w:tc>
        <w:tc>
          <w:tcPr>
            <w:tcW w:w="120" w:type="dxa"/>
            <w:vAlign w:val="bottom"/>
          </w:tcPr>
          <w:p>
            <w:pPr>
              <w:spacing w:after="0"/>
              <w:rPr>
                <w:sz w:val="15"/>
                <w:szCs w:val="15"/>
                <w:color w:val="auto"/>
              </w:rPr>
            </w:pPr>
          </w:p>
        </w:tc>
        <w:tc>
          <w:tcPr>
            <w:tcW w:w="14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Other</w:t>
            </w:r>
          </w:p>
        </w:tc>
        <w:tc>
          <w:tcPr>
            <w:tcW w:w="18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75"/>
        </w:trPr>
        <w:tc>
          <w:tcPr>
            <w:tcW w:w="1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ind w:right="130"/>
              <w:spacing w:after="0" w:line="176" w:lineRule="exact"/>
              <w:rPr>
                <w:sz w:val="20"/>
                <w:szCs w:val="20"/>
                <w:color w:val="auto"/>
              </w:rPr>
            </w:pPr>
            <w:r>
              <w:rPr>
                <w:rFonts w:ascii="Arial" w:cs="Arial" w:eastAsia="Arial" w:hAnsi="Arial"/>
                <w:sz w:val="18"/>
                <w:szCs w:val="18"/>
                <w:b w:val="1"/>
                <w:bCs w:val="1"/>
                <w:color w:val="auto"/>
              </w:rPr>
              <w:t>Paid-in</w:t>
            </w:r>
          </w:p>
        </w:tc>
        <w:tc>
          <w:tcPr>
            <w:tcW w:w="10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rPr>
              <w:t>Comprehensive</w:t>
            </w:r>
          </w:p>
        </w:tc>
        <w:tc>
          <w:tcPr>
            <w:tcW w:w="180" w:type="dxa"/>
            <w:vAlign w:val="bottom"/>
          </w:tcPr>
          <w:p>
            <w:pPr>
              <w:spacing w:after="0"/>
              <w:rPr>
                <w:sz w:val="15"/>
                <w:szCs w:val="15"/>
                <w:color w:val="auto"/>
              </w:rPr>
            </w:pPr>
          </w:p>
        </w:tc>
        <w:tc>
          <w:tcPr>
            <w:tcW w:w="12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rPr>
              <w:t>Stockholders’</w:t>
            </w:r>
          </w:p>
        </w:tc>
        <w:tc>
          <w:tcPr>
            <w:tcW w:w="180" w:type="dxa"/>
            <w:vAlign w:val="bottom"/>
          </w:tcPr>
          <w:p>
            <w:pPr>
              <w:spacing w:after="0"/>
              <w:rPr>
                <w:sz w:val="15"/>
                <w:szCs w:val="15"/>
                <w:color w:val="auto"/>
              </w:rPr>
            </w:pPr>
          </w:p>
        </w:tc>
        <w:tc>
          <w:tcPr>
            <w:tcW w:w="13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Interests in</w:t>
            </w:r>
          </w:p>
        </w:tc>
        <w:tc>
          <w:tcPr>
            <w:tcW w:w="18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Stock</w:t>
            </w: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Capital</w:t>
            </w:r>
          </w:p>
        </w:tc>
        <w:tc>
          <w:tcPr>
            <w:tcW w:w="10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Earnings</w:t>
            </w: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Loss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Equity</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Subsidiary</w:t>
            </w: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8"/>
              </w:rPr>
              <w:t>Equity</w:t>
            </w:r>
          </w:p>
        </w:tc>
        <w:tc>
          <w:tcPr>
            <w:tcW w:w="0" w:type="dxa"/>
            <w:vAlign w:val="bottom"/>
          </w:tcPr>
          <w:p>
            <w:pPr>
              <w:spacing w:after="0"/>
              <w:rPr>
                <w:sz w:val="1"/>
                <w:szCs w:val="1"/>
                <w:color w:val="auto"/>
              </w:rPr>
            </w:pPr>
          </w:p>
        </w:tc>
      </w:tr>
      <w:tr>
        <w:trPr>
          <w:trHeight w:val="223"/>
        </w:trPr>
        <w:tc>
          <w:tcPr>
            <w:tcW w:w="2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221</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21,636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(16,121)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6,015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6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23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6,038</w:t>
            </w:r>
          </w:p>
        </w:tc>
        <w:tc>
          <w:tcPr>
            <w:tcW w:w="0" w:type="dxa"/>
            <w:vAlign w:val="bottom"/>
          </w:tcPr>
          <w:p>
            <w:pPr>
              <w:spacing w:after="0"/>
              <w:rPr>
                <w:sz w:val="1"/>
                <w:szCs w:val="1"/>
                <w:color w:val="auto"/>
              </w:rPr>
            </w:pPr>
          </w:p>
        </w:tc>
      </w:tr>
      <w:tr>
        <w:trPr>
          <w:trHeight w:val="230"/>
        </w:trPr>
        <w:tc>
          <w:tcPr>
            <w:tcW w:w="2760" w:type="dxa"/>
            <w:vAlign w:val="bottom"/>
            <w:gridSpan w:val="2"/>
          </w:tcPr>
          <w:p>
            <w:pPr>
              <w:ind w:left="20"/>
              <w:spacing w:after="0"/>
              <w:rPr>
                <w:sz w:val="20"/>
                <w:szCs w:val="20"/>
                <w:color w:val="auto"/>
              </w:rPr>
            </w:pPr>
            <w:r>
              <w:rPr>
                <w:rFonts w:ascii="Arial" w:cs="Arial" w:eastAsia="Arial" w:hAnsi="Arial"/>
                <w:sz w:val="18"/>
                <w:szCs w:val="18"/>
                <w:color w:val="auto"/>
              </w:rPr>
              <w:t>Net earnings</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4,266</w:t>
            </w:r>
          </w:p>
        </w:tc>
        <w:tc>
          <w:tcPr>
            <w:tcW w:w="120" w:type="dxa"/>
            <w:vAlign w:val="bottom"/>
          </w:tcPr>
          <w:p>
            <w:pPr>
              <w:spacing w:after="0"/>
              <w:rPr>
                <w:sz w:val="19"/>
                <w:szCs w:val="19"/>
                <w:color w:val="auto"/>
              </w:rPr>
            </w:pPr>
          </w:p>
        </w:tc>
        <w:tc>
          <w:tcPr>
            <w:tcW w:w="1420" w:type="dxa"/>
            <w:vAlign w:val="bottom"/>
          </w:tcPr>
          <w:p>
            <w:pPr>
              <w:jc w:val="right"/>
              <w:ind w:right="23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260" w:type="dxa"/>
            <w:vAlign w:val="bottom"/>
          </w:tcPr>
          <w:p>
            <w:pPr>
              <w:jc w:val="right"/>
              <w:ind w:right="190"/>
              <w:spacing w:after="0"/>
              <w:rPr>
                <w:sz w:val="20"/>
                <w:szCs w:val="20"/>
                <w:color w:val="auto"/>
              </w:rPr>
            </w:pPr>
            <w:r>
              <w:rPr>
                <w:rFonts w:ascii="Arial" w:cs="Arial" w:eastAsia="Arial" w:hAnsi="Arial"/>
                <w:sz w:val="18"/>
                <w:szCs w:val="18"/>
                <w:b w:val="1"/>
                <w:bCs w:val="1"/>
                <w:color w:val="auto"/>
              </w:rPr>
              <w:t>4,266</w:t>
            </w:r>
          </w:p>
        </w:tc>
        <w:tc>
          <w:tcPr>
            <w:tcW w:w="180" w:type="dxa"/>
            <w:vAlign w:val="bottom"/>
          </w:tcPr>
          <w:p>
            <w:pPr>
              <w:spacing w:after="0"/>
              <w:rPr>
                <w:sz w:val="19"/>
                <w:szCs w:val="19"/>
                <w:color w:val="auto"/>
              </w:rPr>
            </w:pPr>
          </w:p>
        </w:tc>
        <w:tc>
          <w:tcPr>
            <w:tcW w:w="136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4,266</w:t>
            </w:r>
          </w:p>
        </w:tc>
        <w:tc>
          <w:tcPr>
            <w:tcW w:w="0" w:type="dxa"/>
            <w:vAlign w:val="bottom"/>
          </w:tcPr>
          <w:p>
            <w:pPr>
              <w:spacing w:after="0"/>
              <w:rPr>
                <w:sz w:val="1"/>
                <w:szCs w:val="1"/>
                <w:color w:val="auto"/>
              </w:rPr>
            </w:pPr>
          </w:p>
        </w:tc>
      </w:tr>
      <w:tr>
        <w:trPr>
          <w:trHeight w:val="188"/>
        </w:trPr>
        <w:tc>
          <w:tcPr>
            <w:tcW w:w="276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Other comprehensive income, net</w:t>
            </w:r>
          </w:p>
        </w:tc>
        <w:tc>
          <w:tcPr>
            <w:tcW w:w="20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6"/>
                <w:szCs w:val="16"/>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6"/>
                <w:szCs w:val="16"/>
                <w:color w:val="auto"/>
              </w:rPr>
            </w:pPr>
          </w:p>
        </w:tc>
        <w:tc>
          <w:tcPr>
            <w:tcW w:w="142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3,904</w:t>
            </w:r>
          </w:p>
        </w:tc>
        <w:tc>
          <w:tcPr>
            <w:tcW w:w="180" w:type="dxa"/>
            <w:vAlign w:val="bottom"/>
            <w:shd w:val="clear" w:color="auto" w:fill="CCEEFF"/>
          </w:tcPr>
          <w:p>
            <w:pPr>
              <w:spacing w:after="0"/>
              <w:rPr>
                <w:sz w:val="16"/>
                <w:szCs w:val="16"/>
                <w:color w:val="auto"/>
              </w:rPr>
            </w:pPr>
          </w:p>
        </w:tc>
        <w:tc>
          <w:tcPr>
            <w:tcW w:w="126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3,904</w:t>
            </w:r>
          </w:p>
        </w:tc>
        <w:tc>
          <w:tcPr>
            <w:tcW w:w="180" w:type="dxa"/>
            <w:vAlign w:val="bottom"/>
            <w:shd w:val="clear" w:color="auto" w:fill="CCEEFF"/>
          </w:tcPr>
          <w:p>
            <w:pPr>
              <w:spacing w:after="0"/>
              <w:rPr>
                <w:sz w:val="16"/>
                <w:szCs w:val="16"/>
                <w:color w:val="auto"/>
              </w:rPr>
            </w:pPr>
          </w:p>
        </w:tc>
        <w:tc>
          <w:tcPr>
            <w:tcW w:w="136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6"/>
                <w:szCs w:val="16"/>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3,904</w:t>
            </w:r>
          </w:p>
        </w:tc>
        <w:tc>
          <w:tcPr>
            <w:tcW w:w="0" w:type="dxa"/>
            <w:vAlign w:val="bottom"/>
          </w:tcPr>
          <w:p>
            <w:pPr>
              <w:spacing w:after="0"/>
              <w:rPr>
                <w:sz w:val="1"/>
                <w:szCs w:val="1"/>
                <w:color w:val="auto"/>
              </w:rPr>
            </w:pPr>
          </w:p>
        </w:tc>
      </w:tr>
      <w:tr>
        <w:trPr>
          <w:trHeight w:val="217"/>
        </w:trPr>
        <w:tc>
          <w:tcPr>
            <w:tcW w:w="2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of tax</w:t>
            </w:r>
          </w:p>
        </w:tc>
        <w:tc>
          <w:tcPr>
            <w:tcW w:w="2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760" w:type="dxa"/>
            <w:vAlign w:val="bottom"/>
            <w:gridSpan w:val="2"/>
          </w:tcPr>
          <w:p>
            <w:pPr>
              <w:ind w:left="20"/>
              <w:spacing w:after="0"/>
              <w:rPr>
                <w:sz w:val="20"/>
                <w:szCs w:val="20"/>
                <w:color w:val="auto"/>
              </w:rPr>
            </w:pPr>
            <w:r>
              <w:rPr>
                <w:rFonts w:ascii="Arial" w:cs="Arial" w:eastAsia="Arial" w:hAnsi="Arial"/>
                <w:sz w:val="18"/>
                <w:szCs w:val="18"/>
                <w:color w:val="auto"/>
              </w:rPr>
              <w:t>Dividends declared</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(2,954)</w:t>
            </w:r>
          </w:p>
        </w:tc>
        <w:tc>
          <w:tcPr>
            <w:tcW w:w="120" w:type="dxa"/>
            <w:vAlign w:val="bottom"/>
          </w:tcPr>
          <w:p>
            <w:pPr>
              <w:spacing w:after="0"/>
              <w:rPr>
                <w:sz w:val="19"/>
                <w:szCs w:val="19"/>
                <w:color w:val="auto"/>
              </w:rPr>
            </w:pPr>
          </w:p>
        </w:tc>
        <w:tc>
          <w:tcPr>
            <w:tcW w:w="1420" w:type="dxa"/>
            <w:vAlign w:val="bottom"/>
          </w:tcPr>
          <w:p>
            <w:pPr>
              <w:jc w:val="right"/>
              <w:ind w:right="23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b w:val="1"/>
                <w:bCs w:val="1"/>
                <w:color w:val="auto"/>
              </w:rPr>
              <w:t>(2,954)</w:t>
            </w:r>
          </w:p>
        </w:tc>
        <w:tc>
          <w:tcPr>
            <w:tcW w:w="180" w:type="dxa"/>
            <w:vAlign w:val="bottom"/>
          </w:tcPr>
          <w:p>
            <w:pPr>
              <w:spacing w:after="0"/>
              <w:rPr>
                <w:sz w:val="19"/>
                <w:szCs w:val="19"/>
                <w:color w:val="auto"/>
              </w:rPr>
            </w:pPr>
          </w:p>
        </w:tc>
        <w:tc>
          <w:tcPr>
            <w:tcW w:w="136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(2,954)</w:t>
            </w:r>
          </w:p>
        </w:tc>
        <w:tc>
          <w:tcPr>
            <w:tcW w:w="0" w:type="dxa"/>
            <w:vAlign w:val="bottom"/>
          </w:tcPr>
          <w:p>
            <w:pPr>
              <w:spacing w:after="0"/>
              <w:rPr>
                <w:sz w:val="1"/>
                <w:szCs w:val="1"/>
                <w:color w:val="auto"/>
              </w:rPr>
            </w:pPr>
          </w:p>
        </w:tc>
      </w:tr>
      <w:tr>
        <w:trPr>
          <w:trHeight w:val="230"/>
        </w:trPr>
        <w:tc>
          <w:tcPr>
            <w:tcW w:w="2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Repurchases of common stock</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(522)</w:t>
            </w: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(1,472)</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(2,000)</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(2,000)</w:t>
            </w:r>
          </w:p>
        </w:tc>
        <w:tc>
          <w:tcPr>
            <w:tcW w:w="0" w:type="dxa"/>
            <w:vAlign w:val="bottom"/>
          </w:tcPr>
          <w:p>
            <w:pPr>
              <w:spacing w:after="0"/>
              <w:rPr>
                <w:sz w:val="1"/>
                <w:szCs w:val="1"/>
                <w:color w:val="auto"/>
              </w:rPr>
            </w:pPr>
          </w:p>
        </w:tc>
      </w:tr>
      <w:tr>
        <w:trPr>
          <w:trHeight w:val="188"/>
        </w:trPr>
        <w:tc>
          <w:tcPr>
            <w:tcW w:w="276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Stock-based awards, ESOP</w:t>
            </w:r>
          </w:p>
        </w:tc>
        <w:tc>
          <w:tcPr>
            <w:tcW w:w="20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6"/>
                <w:szCs w:val="16"/>
                <w:color w:val="auto"/>
              </w:rPr>
            </w:pPr>
          </w:p>
        </w:tc>
        <w:tc>
          <w:tcPr>
            <w:tcW w:w="96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399</w:t>
            </w:r>
          </w:p>
        </w:tc>
        <w:tc>
          <w:tcPr>
            <w:tcW w:w="26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6"/>
                <w:szCs w:val="16"/>
                <w:color w:val="auto"/>
              </w:rPr>
            </w:pPr>
          </w:p>
        </w:tc>
        <w:tc>
          <w:tcPr>
            <w:tcW w:w="142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6"/>
                <w:szCs w:val="16"/>
                <w:color w:val="auto"/>
              </w:rPr>
            </w:pPr>
          </w:p>
        </w:tc>
        <w:tc>
          <w:tcPr>
            <w:tcW w:w="126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400</w:t>
            </w:r>
          </w:p>
        </w:tc>
        <w:tc>
          <w:tcPr>
            <w:tcW w:w="180" w:type="dxa"/>
            <w:vAlign w:val="bottom"/>
          </w:tcPr>
          <w:p>
            <w:pPr>
              <w:spacing w:after="0"/>
              <w:rPr>
                <w:sz w:val="16"/>
                <w:szCs w:val="16"/>
                <w:color w:val="auto"/>
              </w:rPr>
            </w:pPr>
          </w:p>
        </w:tc>
        <w:tc>
          <w:tcPr>
            <w:tcW w:w="136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400</w:t>
            </w:r>
          </w:p>
        </w:tc>
        <w:tc>
          <w:tcPr>
            <w:tcW w:w="0" w:type="dxa"/>
            <w:vAlign w:val="bottom"/>
          </w:tcPr>
          <w:p>
            <w:pPr>
              <w:spacing w:after="0"/>
              <w:rPr>
                <w:sz w:val="1"/>
                <w:szCs w:val="1"/>
                <w:color w:val="auto"/>
              </w:rPr>
            </w:pPr>
          </w:p>
        </w:tc>
      </w:tr>
      <w:tr>
        <w:trPr>
          <w:trHeight w:val="217"/>
        </w:trPr>
        <w:tc>
          <w:tcPr>
            <w:tcW w:w="2760" w:type="dxa"/>
            <w:vAlign w:val="bottom"/>
            <w:gridSpan w:val="2"/>
          </w:tcPr>
          <w:p>
            <w:pPr>
              <w:ind w:left="180"/>
              <w:spacing w:after="0"/>
              <w:rPr>
                <w:sz w:val="20"/>
                <w:szCs w:val="20"/>
                <w:color w:val="auto"/>
              </w:rPr>
            </w:pPr>
            <w:r>
              <w:rPr>
                <w:rFonts w:ascii="Arial" w:cs="Arial" w:eastAsia="Arial" w:hAnsi="Arial"/>
                <w:sz w:val="18"/>
                <w:szCs w:val="18"/>
                <w:color w:val="auto"/>
              </w:rPr>
              <w:t>activity and other</w:t>
            </w:r>
          </w:p>
        </w:tc>
        <w:tc>
          <w:tcPr>
            <w:tcW w:w="2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76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Net decrease in noncontrolling</w:t>
            </w:r>
          </w:p>
        </w:tc>
        <w:tc>
          <w:tcPr>
            <w:tcW w:w="20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6"/>
                <w:szCs w:val="16"/>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6"/>
                <w:szCs w:val="16"/>
                <w:color w:val="auto"/>
              </w:rPr>
            </w:pPr>
          </w:p>
        </w:tc>
        <w:tc>
          <w:tcPr>
            <w:tcW w:w="142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6"/>
                <w:szCs w:val="16"/>
                <w:color w:val="auto"/>
              </w:rPr>
            </w:pPr>
          </w:p>
        </w:tc>
        <w:tc>
          <w:tcPr>
            <w:tcW w:w="126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6"/>
                <w:szCs w:val="16"/>
                <w:color w:val="auto"/>
              </w:rPr>
            </w:pPr>
          </w:p>
        </w:tc>
        <w:tc>
          <w:tcPr>
            <w:tcW w:w="136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(23)</w:t>
            </w:r>
          </w:p>
        </w:tc>
        <w:tc>
          <w:tcPr>
            <w:tcW w:w="180" w:type="dxa"/>
            <w:vAlign w:val="bottom"/>
            <w:shd w:val="clear" w:color="auto" w:fill="CCEEFF"/>
          </w:tcPr>
          <w:p>
            <w:pPr>
              <w:spacing w:after="0"/>
              <w:rPr>
                <w:sz w:val="16"/>
                <w:szCs w:val="16"/>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0" w:type="dxa"/>
            <w:vAlign w:val="bottom"/>
          </w:tcPr>
          <w:p>
            <w:pPr>
              <w:spacing w:after="0"/>
              <w:rPr>
                <w:sz w:val="1"/>
                <w:szCs w:val="1"/>
                <w:color w:val="auto"/>
              </w:rPr>
            </w:pPr>
          </w:p>
        </w:tc>
      </w:tr>
      <w:tr>
        <w:trPr>
          <w:trHeight w:val="217"/>
        </w:trPr>
        <w:tc>
          <w:tcPr>
            <w:tcW w:w="2760" w:type="dxa"/>
            <w:vAlign w:val="bottom"/>
            <w:tcBorders>
              <w:bottom w:val="single" w:sz="8" w:color="auto"/>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interests in subsidiary</w:t>
            </w: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vMerge w:val="continue"/>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vMerge w:val="continue"/>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vMerge w:val="continue"/>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7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Balance at September 26, 2021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274</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98</w:t>
            </w:r>
          </w:p>
        </w:tc>
        <w:tc>
          <w:tcPr>
            <w:tcW w:w="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21,476</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(12,217)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9,631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9,631</w:t>
            </w:r>
          </w:p>
        </w:tc>
        <w:tc>
          <w:tcPr>
            <w:tcW w:w="0" w:type="dxa"/>
            <w:vAlign w:val="bottom"/>
          </w:tcPr>
          <w:p>
            <w:pPr>
              <w:spacing w:after="0"/>
              <w:rPr>
                <w:sz w:val="1"/>
                <w:szCs w:val="1"/>
                <w:color w:val="auto"/>
              </w:rPr>
            </w:pPr>
          </w:p>
        </w:tc>
      </w:tr>
      <w:tr>
        <w:trPr>
          <w:trHeight w:val="250"/>
        </w:trPr>
        <w:tc>
          <w:tcPr>
            <w:tcW w:w="14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760" w:type="dxa"/>
            <w:vAlign w:val="bottom"/>
            <w:gridSpan w:val="2"/>
          </w:tcPr>
          <w:p>
            <w:pPr>
              <w:ind w:left="20"/>
              <w:spacing w:after="0"/>
              <w:rPr>
                <w:sz w:val="20"/>
                <w:szCs w:val="20"/>
                <w:color w:val="auto"/>
              </w:rPr>
            </w:pPr>
            <w:r>
              <w:rPr>
                <w:rFonts w:ascii="Arial" w:cs="Arial" w:eastAsia="Arial" w:hAnsi="Arial"/>
                <w:sz w:val="18"/>
                <w:szCs w:val="18"/>
                <w:color w:val="auto"/>
              </w:rPr>
              <w:t>Balance at December 31, 2019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280</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18,401</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90"/>
              <w:spacing w:after="0"/>
              <w:rPr>
                <w:sz w:val="20"/>
                <w:szCs w:val="20"/>
                <w:color w:val="auto"/>
              </w:rPr>
            </w:pPr>
            <w:r>
              <w:rPr>
                <w:rFonts w:ascii="Arial" w:cs="Arial" w:eastAsia="Arial" w:hAnsi="Arial"/>
                <w:sz w:val="18"/>
                <w:szCs w:val="18"/>
                <w:color w:val="auto"/>
              </w:rPr>
              <w:t>(15,554)</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3,127</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44</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3,171</w:t>
            </w:r>
          </w:p>
        </w:tc>
        <w:tc>
          <w:tcPr>
            <w:tcW w:w="0" w:type="dxa"/>
            <w:vAlign w:val="bottom"/>
          </w:tcPr>
          <w:p>
            <w:pPr>
              <w:spacing w:after="0"/>
              <w:rPr>
                <w:sz w:val="1"/>
                <w:szCs w:val="1"/>
                <w:color w:val="auto"/>
              </w:rPr>
            </w:pPr>
          </w:p>
        </w:tc>
      </w:tr>
      <w:tr>
        <w:trPr>
          <w:trHeight w:val="230"/>
        </w:trPr>
        <w:tc>
          <w:tcPr>
            <w:tcW w:w="2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5,041</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5,041</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5,041</w:t>
            </w:r>
          </w:p>
        </w:tc>
        <w:tc>
          <w:tcPr>
            <w:tcW w:w="0" w:type="dxa"/>
            <w:vAlign w:val="bottom"/>
          </w:tcPr>
          <w:p>
            <w:pPr>
              <w:spacing w:after="0"/>
              <w:rPr>
                <w:sz w:val="1"/>
                <w:szCs w:val="1"/>
                <w:color w:val="auto"/>
              </w:rPr>
            </w:pPr>
          </w:p>
        </w:tc>
      </w:tr>
      <w:tr>
        <w:trPr>
          <w:trHeight w:val="188"/>
        </w:trPr>
        <w:tc>
          <w:tcPr>
            <w:tcW w:w="276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Other comprehensive income, net</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760" w:type="dxa"/>
            <w:vAlign w:val="bottom"/>
            <w:gridSpan w:val="2"/>
          </w:tcPr>
          <w:p>
            <w:pPr>
              <w:ind w:left="180"/>
              <w:spacing w:after="0"/>
              <w:rPr>
                <w:sz w:val="20"/>
                <w:szCs w:val="20"/>
                <w:color w:val="auto"/>
              </w:rPr>
            </w:pPr>
            <w:r>
              <w:rPr>
                <w:rFonts w:ascii="Arial" w:cs="Arial" w:eastAsia="Arial" w:hAnsi="Arial"/>
                <w:sz w:val="18"/>
                <w:szCs w:val="18"/>
                <w:color w:val="auto"/>
              </w:rPr>
              <w:t>of tax</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295</w:t>
            </w:r>
          </w:p>
        </w:tc>
        <w:tc>
          <w:tcPr>
            <w:tcW w:w="180" w:type="dxa"/>
            <w:vAlign w:val="bottom"/>
          </w:tcPr>
          <w:p>
            <w:pPr>
              <w:spacing w:after="0"/>
              <w:rPr>
                <w:sz w:val="18"/>
                <w:szCs w:val="18"/>
                <w:color w:val="auto"/>
              </w:rPr>
            </w:pP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295</w:t>
            </w:r>
          </w:p>
        </w:tc>
        <w:tc>
          <w:tcPr>
            <w:tcW w:w="180" w:type="dxa"/>
            <w:vAlign w:val="bottom"/>
          </w:tcPr>
          <w:p>
            <w:pPr>
              <w:spacing w:after="0"/>
              <w:rPr>
                <w:sz w:val="18"/>
                <w:szCs w:val="18"/>
                <w:color w:val="auto"/>
              </w:rPr>
            </w:pP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29"/>
        </w:trPr>
        <w:tc>
          <w:tcPr>
            <w:tcW w:w="2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Dividends declared</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(2,757)</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(2,757)</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(2,757)</w:t>
            </w:r>
          </w:p>
        </w:tc>
        <w:tc>
          <w:tcPr>
            <w:tcW w:w="0" w:type="dxa"/>
            <w:vAlign w:val="bottom"/>
          </w:tcPr>
          <w:p>
            <w:pPr>
              <w:spacing w:after="0"/>
              <w:rPr>
                <w:sz w:val="1"/>
                <w:szCs w:val="1"/>
                <w:color w:val="auto"/>
              </w:rPr>
            </w:pPr>
          </w:p>
        </w:tc>
      </w:tr>
      <w:tr>
        <w:trPr>
          <w:trHeight w:val="230"/>
        </w:trPr>
        <w:tc>
          <w:tcPr>
            <w:tcW w:w="2760" w:type="dxa"/>
            <w:vAlign w:val="bottom"/>
            <w:gridSpan w:val="2"/>
          </w:tcPr>
          <w:p>
            <w:pPr>
              <w:ind w:left="20"/>
              <w:spacing w:after="0"/>
              <w:rPr>
                <w:sz w:val="20"/>
                <w:szCs w:val="20"/>
                <w:color w:val="auto"/>
              </w:rPr>
            </w:pPr>
            <w:r>
              <w:rPr>
                <w:rFonts w:ascii="Arial" w:cs="Arial" w:eastAsia="Arial" w:hAnsi="Arial"/>
                <w:sz w:val="18"/>
                <w:szCs w:val="18"/>
                <w:color w:val="auto"/>
              </w:rPr>
              <w:t>Repurchases of common stock</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(256)</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(841)</w:t>
            </w:r>
          </w:p>
        </w:tc>
        <w:tc>
          <w:tcPr>
            <w:tcW w:w="120" w:type="dxa"/>
            <w:vAlign w:val="bottom"/>
          </w:tcPr>
          <w:p>
            <w:pPr>
              <w:spacing w:after="0"/>
              <w:rPr>
                <w:sz w:val="19"/>
                <w:szCs w:val="19"/>
                <w:color w:val="auto"/>
              </w:rPr>
            </w:pP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(1,100)</w:t>
            </w:r>
          </w:p>
        </w:tc>
        <w:tc>
          <w:tcPr>
            <w:tcW w:w="180" w:type="dxa"/>
            <w:vAlign w:val="bottom"/>
          </w:tcPr>
          <w:p>
            <w:pPr>
              <w:spacing w:after="0"/>
              <w:rPr>
                <w:sz w:val="19"/>
                <w:szCs w:val="19"/>
                <w:color w:val="auto"/>
              </w:rPr>
            </w:pP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188"/>
        </w:trPr>
        <w:tc>
          <w:tcPr>
            <w:tcW w:w="276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Stock-based awards, ESOP</w:t>
            </w: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activity and other</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346</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347</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188"/>
        </w:trPr>
        <w:tc>
          <w:tcPr>
            <w:tcW w:w="276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Net decrease in noncontrolling</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76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interests in subsidiary</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(11)</w:t>
            </w: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27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September 27, 2020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90</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19,844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(15,259)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4,953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33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4,986</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Lockheed Martin Corporation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207" w:lineRule="exact"/>
        <w:rPr>
          <w:sz w:val="20"/>
          <w:szCs w:val="20"/>
          <w:color w:val="auto"/>
        </w:rPr>
      </w:pPr>
    </w:p>
    <w:p>
      <w:pPr>
        <w:ind w:right="80" w:firstLine="445"/>
        <w:spacing w:after="0" w:line="256" w:lineRule="auto"/>
        <w:rPr>
          <w:sz w:val="20"/>
          <w:szCs w:val="20"/>
          <w:color w:val="auto"/>
        </w:rPr>
      </w:pPr>
      <w:r>
        <w:rPr>
          <w:rFonts w:ascii="Arial" w:cs="Arial" w:eastAsia="Arial" w:hAnsi="Arial"/>
          <w:sz w:val="18"/>
          <w:szCs w:val="18"/>
          <w:color w:val="auto"/>
        </w:rPr>
        <w:t>We prepared these consolidated financial statements in accordance with U.S. generally accepted accounting principles (GAAP) for interim financial information, the instructions to Form 10-Q and Article 10 of U.S. Securities and Exchange Commission (SEC) Regulation S-X. Accordingly, they do not include all of the information and notes required by GAAP for complete financial statements.</w:t>
      </w:r>
    </w:p>
    <w:p>
      <w:pPr>
        <w:spacing w:after="0" w:line="175"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In the opinion of management, these consolidated financial statements reflect all adjustments that are of a normal recurring nature necessary for a fair presentation of our results of operations, financial condition, and cash flows for the interim periods presented. The preparation of these consolidated financial statements requires us to make estimates and assumptions that affect the amounts reported in the consolidated financial statements and accompanying notes. We base these estimates on historical experience and on various other assumptions that we believe are reasonable under the circumstances, the results of which form the basis for making judgments about the carrying amounts of assets and liabilities that are not readily apparent from other sources. Our actual results may differ materially from these estimates. Significant estimates inherent in the preparation of our consolidated financial statements include, but are not limited to, accounting for sales and cost recognition; postretirement benefit plans; environmental liability and assets for the portion of environmental costs that are probable of future recovery; evaluation of goodwill, intangible assets, investments and other assets for impairment; income taxes including deferred tax assets; fair value measurements; and contingencies. The consolidated financial statements include the accounts of subsidiaries we control and variable interest entities if we are the primary beneficiary. We eliminate intercompany balances and transactions in consolidation.</w:t>
      </w:r>
    </w:p>
    <w:p>
      <w:pPr>
        <w:spacing w:after="0" w:line="170" w:lineRule="exact"/>
        <w:rPr>
          <w:sz w:val="20"/>
          <w:szCs w:val="20"/>
          <w:color w:val="auto"/>
        </w:rPr>
      </w:pPr>
    </w:p>
    <w:p>
      <w:pPr>
        <w:ind w:right="40" w:firstLine="445"/>
        <w:spacing w:after="0" w:line="252" w:lineRule="auto"/>
        <w:rPr>
          <w:sz w:val="20"/>
          <w:szCs w:val="20"/>
          <w:color w:val="auto"/>
        </w:rPr>
      </w:pPr>
      <w:r>
        <w:rPr>
          <w:rFonts w:ascii="Arial" w:cs="Arial" w:eastAsia="Arial" w:hAnsi="Arial"/>
          <w:sz w:val="18"/>
          <w:szCs w:val="18"/>
          <w:color w:val="auto"/>
        </w:rPr>
        <w:t>As previously announced, on June 30, 2021 the UK Ministry of Defence terminated the contract to operate the UK’s nuclear deterrent program and assumed control of the entity that manages the program (referred to as the renationalization of the Atomic Weapons Establishment (AWE program). Accordingly, the AWE program, including the entity that manages the program, is no longer included in our financial results beginning in the third quarter of 2021. Because of the renationalization, no sales or operating profit for the AWE program are included in the company’s financial results for the quarter ended September 26, 2021. However, during the first six months of 2021, AWE generated sales of $865 million and operating profit of $15 million, which are included in the company’s financial results for the nine months ended September 26, 2021. During the quarter and nine months ended September 26, 2020, AWE generated sales of $350 million and $1.0 billion and operating profit of $10 million and $30 million, which are included in the company’s financial results for 2020.</w:t>
      </w:r>
    </w:p>
    <w:p>
      <w:pPr>
        <w:spacing w:after="0" w:line="165" w:lineRule="exact"/>
        <w:rPr>
          <w:sz w:val="20"/>
          <w:szCs w:val="20"/>
          <w:color w:val="auto"/>
        </w:rPr>
      </w:pPr>
    </w:p>
    <w:p>
      <w:pPr>
        <w:ind w:right="500" w:firstLine="445"/>
        <w:spacing w:after="0" w:line="256" w:lineRule="auto"/>
        <w:rPr>
          <w:sz w:val="20"/>
          <w:szCs w:val="20"/>
          <w:color w:val="auto"/>
        </w:rPr>
      </w:pPr>
      <w:r>
        <w:rPr>
          <w:rFonts w:ascii="Arial" w:cs="Arial" w:eastAsia="Arial" w:hAnsi="Arial"/>
          <w:sz w:val="18"/>
          <w:szCs w:val="18"/>
          <w:color w:val="auto"/>
        </w:rPr>
        <w:t>We close our books and records on the last Sunday of the interim calendar quarter to align our financial closing with our business processes. The consolidated financial statements and tables of financial information included herein are labeled based on that convention. This practice only affects interim periods as our fiscal year ends on December 31.</w:t>
      </w:r>
    </w:p>
    <w:p>
      <w:pPr>
        <w:spacing w:after="0" w:line="175" w:lineRule="exact"/>
        <w:rPr>
          <w:sz w:val="20"/>
          <w:szCs w:val="20"/>
          <w:color w:val="auto"/>
        </w:rPr>
      </w:pPr>
    </w:p>
    <w:p>
      <w:pPr>
        <w:ind w:right="180" w:firstLine="445"/>
        <w:spacing w:after="0" w:line="254" w:lineRule="auto"/>
        <w:rPr>
          <w:sz w:val="20"/>
          <w:szCs w:val="20"/>
          <w:color w:val="auto"/>
        </w:rPr>
      </w:pPr>
      <w:r>
        <w:rPr>
          <w:rFonts w:ascii="Arial" w:cs="Arial" w:eastAsia="Arial" w:hAnsi="Arial"/>
          <w:sz w:val="18"/>
          <w:szCs w:val="18"/>
          <w:color w:val="auto"/>
        </w:rPr>
        <w:t>The results of operations for the interim periods presented are not necessarily indicative of results to be expected for the full year or future periods. Unless otherwise noted, we present all per share amounts cited in these consolidated financial statements on a “per diluted share” basis. These consolidated financial statements should be read in conjunction with the audited consolidated financial statements and notes thereto included in our Annual Report on Form 10-K for the year ended December 31, 2020 (2020 Form 10-K).</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Lockheed Martin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PENDING ACQUISITION OF AEROJET ROCKETDYNE</w:t>
      </w:r>
    </w:p>
    <w:p>
      <w:pPr>
        <w:spacing w:after="0" w:line="220"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On December 20, 2020, we entered into an agreement to acquire Aerojet Rocketdyne Holdings, Inc. (“Aerojet Rocketdyne”) for $51.00 per share, which is net of a $5.00 per share special cash dividend Aerojet Rocketdyne paid to its stockholders on March 24, 2021. At the time of announcement, this represented a post-dividend equity value of approximately $4.6 billion, on a fully diluted as-converted basis, and a transaction value of approximately $4.4 billion after the assumption of Aerojet Rocketdyne’s then-projected net cash. We expect to finance the acquisition primarily through new debt issuances. The transaction was approved by Aerojet Rocketdyne’s stockholders on March 9, 2021, which was a closing condition. As part of the regulatory review process of the transaction, on September 24, 2021, we and Aerojet Rocketdyne each certified substantial compliance with the Federal Trade Commission’s (FTC) requests for additional information, known as a “second request”, and the parties continue to engage with the FTC. Subject to satisfactory completion of the regulatory review process and satisfaction of the other closing conditions specified in the acquisition agreement, we anticipate closing the transaction in the first quarter of 2022. As previously disclosed, under the acquisition agreement, the “outside” date that gives rise to certain termination rights will automatically be extended from December 21, 2021 to March 21, 2022 in circumstances where all conditions have been satisfied but for the receipt of regulatory approvals. Our financial results will not include Aerojet Rocketdyne’s results until the acquisition is closed.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EARNINGS PER COMMON SHARE</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weighted average number of shares outstanding used to compute earnings per common share were as follows (in millions):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600" w:type="dxa"/>
            <w:vAlign w:val="bottom"/>
          </w:tcPr>
          <w:p>
            <w:pPr>
              <w:spacing w:after="0"/>
              <w:rPr>
                <w:sz w:val="20"/>
                <w:szCs w:val="20"/>
                <w:color w:val="auto"/>
              </w:rPr>
            </w:pPr>
          </w:p>
        </w:tc>
        <w:tc>
          <w:tcPr>
            <w:tcW w:w="3380" w:type="dxa"/>
            <w:vAlign w:val="bottom"/>
            <w:tcBorders>
              <w:bottom w:val="single" w:sz="8" w:color="auto"/>
            </w:tcBorders>
            <w:gridSpan w:val="2"/>
          </w:tcPr>
          <w:p>
            <w:pPr>
              <w:jc w:val="right"/>
              <w:ind w:right="810"/>
              <w:spacing w:after="0"/>
              <w:rPr>
                <w:sz w:val="20"/>
                <w:szCs w:val="20"/>
                <w:color w:val="auto"/>
              </w:rPr>
            </w:pPr>
            <w:r>
              <w:rPr>
                <w:rFonts w:ascii="Arial" w:cs="Arial" w:eastAsia="Arial" w:hAnsi="Arial"/>
                <w:sz w:val="18"/>
                <w:szCs w:val="18"/>
                <w:b w:val="1"/>
                <w:bCs w:val="1"/>
                <w:color w:val="auto"/>
              </w:rPr>
              <w:t>Quarters Ended</w:t>
            </w:r>
          </w:p>
        </w:tc>
        <w:tc>
          <w:tcPr>
            <w:tcW w:w="3260" w:type="dxa"/>
            <w:vAlign w:val="bottom"/>
            <w:tcBorders>
              <w:bottom w:val="single" w:sz="8" w:color="auto"/>
            </w:tcBorders>
            <w:gridSpan w:val="2"/>
          </w:tcPr>
          <w:p>
            <w:pPr>
              <w:jc w:val="right"/>
              <w:ind w:right="59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69"/>
        </w:trPr>
        <w:tc>
          <w:tcPr>
            <w:tcW w:w="4600" w:type="dxa"/>
            <w:vAlign w:val="bottom"/>
          </w:tcPr>
          <w:p>
            <w:pPr>
              <w:spacing w:after="0"/>
              <w:rPr>
                <w:sz w:val="14"/>
                <w:szCs w:val="14"/>
                <w:color w:val="auto"/>
              </w:rPr>
            </w:pPr>
          </w:p>
        </w:tc>
        <w:tc>
          <w:tcPr>
            <w:tcW w:w="1800" w:type="dxa"/>
            <w:vAlign w:val="bottom"/>
          </w:tcPr>
          <w:p>
            <w:pPr>
              <w:jc w:val="right"/>
              <w:ind w:right="230"/>
              <w:spacing w:after="0" w:line="169" w:lineRule="exact"/>
              <w:rPr>
                <w:sz w:val="20"/>
                <w:szCs w:val="20"/>
                <w:color w:val="auto"/>
              </w:rPr>
            </w:pPr>
            <w:r>
              <w:rPr>
                <w:rFonts w:ascii="Arial" w:cs="Arial" w:eastAsia="Arial" w:hAnsi="Arial"/>
                <w:sz w:val="18"/>
                <w:szCs w:val="18"/>
                <w:b w:val="1"/>
                <w:bCs w:val="1"/>
                <w:color w:val="auto"/>
              </w:rPr>
              <w:t>September</w:t>
            </w:r>
          </w:p>
        </w:tc>
        <w:tc>
          <w:tcPr>
            <w:tcW w:w="1580" w:type="dxa"/>
            <w:vAlign w:val="bottom"/>
          </w:tcPr>
          <w:p>
            <w:pPr>
              <w:jc w:val="right"/>
              <w:ind w:right="230"/>
              <w:spacing w:after="0" w:line="169" w:lineRule="exact"/>
              <w:rPr>
                <w:sz w:val="20"/>
                <w:szCs w:val="20"/>
                <w:color w:val="auto"/>
              </w:rPr>
            </w:pPr>
            <w:r>
              <w:rPr>
                <w:rFonts w:ascii="Arial" w:cs="Arial" w:eastAsia="Arial" w:hAnsi="Arial"/>
                <w:sz w:val="18"/>
                <w:szCs w:val="18"/>
                <w:b w:val="1"/>
                <w:bCs w:val="1"/>
                <w:color w:val="auto"/>
              </w:rPr>
              <w:t>September</w:t>
            </w:r>
          </w:p>
        </w:tc>
        <w:tc>
          <w:tcPr>
            <w:tcW w:w="190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September 26,</w:t>
            </w:r>
          </w:p>
        </w:tc>
        <w:tc>
          <w:tcPr>
            <w:tcW w:w="1360" w:type="dxa"/>
            <w:vAlign w:val="bottom"/>
          </w:tcPr>
          <w:p>
            <w:pPr>
              <w:jc w:val="right"/>
              <w:ind w:right="10"/>
              <w:spacing w:after="0" w:line="169" w:lineRule="exact"/>
              <w:rPr>
                <w:sz w:val="20"/>
                <w:szCs w:val="20"/>
                <w:color w:val="auto"/>
              </w:rPr>
            </w:pPr>
            <w:r>
              <w:rPr>
                <w:rFonts w:ascii="Arial" w:cs="Arial" w:eastAsia="Arial" w:hAnsi="Arial"/>
                <w:sz w:val="18"/>
                <w:szCs w:val="18"/>
                <w:b w:val="1"/>
                <w:bCs w:val="1"/>
                <w:color w:val="auto"/>
              </w:rPr>
              <w:t>September</w:t>
            </w:r>
          </w:p>
        </w:tc>
        <w:tc>
          <w:tcPr>
            <w:tcW w:w="0" w:type="dxa"/>
            <w:vAlign w:val="bottom"/>
          </w:tcPr>
          <w:p>
            <w:pPr>
              <w:spacing w:after="0"/>
              <w:rPr>
                <w:sz w:val="1"/>
                <w:szCs w:val="1"/>
                <w:color w:val="auto"/>
              </w:rPr>
            </w:pPr>
          </w:p>
        </w:tc>
      </w:tr>
      <w:tr>
        <w:trPr>
          <w:trHeight w:val="176"/>
        </w:trPr>
        <w:tc>
          <w:tcPr>
            <w:tcW w:w="4600" w:type="dxa"/>
            <w:vAlign w:val="bottom"/>
          </w:tcPr>
          <w:p>
            <w:pPr>
              <w:spacing w:after="0"/>
              <w:rPr>
                <w:sz w:val="15"/>
                <w:szCs w:val="15"/>
                <w:color w:val="auto"/>
              </w:rPr>
            </w:pPr>
          </w:p>
        </w:tc>
        <w:tc>
          <w:tcPr>
            <w:tcW w:w="1800" w:type="dxa"/>
            <w:vAlign w:val="bottom"/>
          </w:tcPr>
          <w:p>
            <w:pPr>
              <w:jc w:val="right"/>
              <w:ind w:right="790"/>
              <w:spacing w:after="0" w:line="176" w:lineRule="exact"/>
              <w:rPr>
                <w:sz w:val="20"/>
                <w:szCs w:val="20"/>
                <w:color w:val="auto"/>
              </w:rPr>
            </w:pPr>
            <w:r>
              <w:rPr>
                <w:rFonts w:ascii="Arial" w:cs="Arial" w:eastAsia="Arial" w:hAnsi="Arial"/>
                <w:sz w:val="18"/>
                <w:szCs w:val="18"/>
                <w:b w:val="1"/>
                <w:bCs w:val="1"/>
                <w:color w:val="auto"/>
              </w:rPr>
              <w:t>26,</w:t>
            </w:r>
          </w:p>
        </w:tc>
        <w:tc>
          <w:tcPr>
            <w:tcW w:w="1580" w:type="dxa"/>
            <w:vAlign w:val="bottom"/>
          </w:tcPr>
          <w:p>
            <w:pPr>
              <w:jc w:val="right"/>
              <w:ind w:right="790"/>
              <w:spacing w:after="0" w:line="176" w:lineRule="exact"/>
              <w:rPr>
                <w:sz w:val="20"/>
                <w:szCs w:val="20"/>
                <w:color w:val="auto"/>
              </w:rPr>
            </w:pPr>
            <w:r>
              <w:rPr>
                <w:rFonts w:ascii="Arial" w:cs="Arial" w:eastAsia="Arial" w:hAnsi="Arial"/>
                <w:sz w:val="18"/>
                <w:szCs w:val="18"/>
                <w:b w:val="1"/>
                <w:bCs w:val="1"/>
                <w:color w:val="auto"/>
              </w:rPr>
              <w:t>27,</w:t>
            </w:r>
          </w:p>
        </w:tc>
        <w:tc>
          <w:tcPr>
            <w:tcW w:w="1900" w:type="dxa"/>
            <w:vAlign w:val="bottom"/>
            <w:vMerge w:val="continue"/>
          </w:tcPr>
          <w:p>
            <w:pPr>
              <w:spacing w:after="0"/>
              <w:rPr>
                <w:sz w:val="15"/>
                <w:szCs w:val="15"/>
                <w:color w:val="auto"/>
              </w:rPr>
            </w:pPr>
          </w:p>
        </w:tc>
        <w:tc>
          <w:tcPr>
            <w:tcW w:w="1360" w:type="dxa"/>
            <w:vAlign w:val="bottom"/>
          </w:tcPr>
          <w:p>
            <w:pPr>
              <w:jc w:val="right"/>
              <w:ind w:right="570"/>
              <w:spacing w:after="0" w:line="176" w:lineRule="exact"/>
              <w:rPr>
                <w:sz w:val="20"/>
                <w:szCs w:val="20"/>
                <w:color w:val="auto"/>
              </w:rPr>
            </w:pPr>
            <w:r>
              <w:rPr>
                <w:rFonts w:ascii="Arial" w:cs="Arial" w:eastAsia="Arial" w:hAnsi="Arial"/>
                <w:sz w:val="18"/>
                <w:szCs w:val="18"/>
                <w:b w:val="1"/>
                <w:bCs w:val="1"/>
                <w:color w:val="auto"/>
              </w:rPr>
              <w:t>27,</w:t>
            </w:r>
          </w:p>
        </w:tc>
        <w:tc>
          <w:tcPr>
            <w:tcW w:w="0" w:type="dxa"/>
            <w:vAlign w:val="bottom"/>
          </w:tcPr>
          <w:p>
            <w:pPr>
              <w:spacing w:after="0"/>
              <w:rPr>
                <w:sz w:val="1"/>
                <w:szCs w:val="1"/>
                <w:color w:val="auto"/>
              </w:rPr>
            </w:pPr>
          </w:p>
        </w:tc>
      </w:tr>
      <w:tr>
        <w:trPr>
          <w:trHeight w:val="229"/>
        </w:trPr>
        <w:tc>
          <w:tcPr>
            <w:tcW w:w="46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2021</w:t>
            </w:r>
          </w:p>
        </w:tc>
        <w:tc>
          <w:tcPr>
            <w:tcW w:w="158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2020</w:t>
            </w:r>
          </w:p>
        </w:tc>
        <w:tc>
          <w:tcPr>
            <w:tcW w:w="190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b w:val="1"/>
                <w:bCs w:val="1"/>
                <w:color w:val="auto"/>
              </w:rPr>
              <w:t>2021</w:t>
            </w: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182"/>
        </w:trPr>
        <w:tc>
          <w:tcPr>
            <w:tcW w:w="460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Weighted average common shares outstanding for</w:t>
            </w:r>
          </w:p>
        </w:tc>
        <w:tc>
          <w:tcPr>
            <w:tcW w:w="1800" w:type="dxa"/>
            <w:vAlign w:val="bottom"/>
            <w:vMerge w:val="restart"/>
            <w:shd w:val="clear" w:color="auto" w:fill="CCEEFF"/>
          </w:tcPr>
          <w:p>
            <w:pPr>
              <w:jc w:val="right"/>
              <w:ind w:right="550"/>
              <w:spacing w:after="0"/>
              <w:rPr>
                <w:sz w:val="20"/>
                <w:szCs w:val="20"/>
                <w:color w:val="auto"/>
              </w:rPr>
            </w:pPr>
            <w:r>
              <w:rPr>
                <w:rFonts w:ascii="Arial" w:cs="Arial" w:eastAsia="Arial" w:hAnsi="Arial"/>
                <w:sz w:val="18"/>
                <w:szCs w:val="18"/>
                <w:b w:val="1"/>
                <w:bCs w:val="1"/>
                <w:color w:val="auto"/>
              </w:rPr>
              <w:t>276.2</w:t>
            </w:r>
          </w:p>
        </w:tc>
        <w:tc>
          <w:tcPr>
            <w:tcW w:w="1580" w:type="dxa"/>
            <w:vAlign w:val="bottom"/>
            <w:shd w:val="clear" w:color="auto" w:fill="CCEEFF"/>
          </w:tcPr>
          <w:p>
            <w:pPr>
              <w:spacing w:after="0"/>
              <w:rPr>
                <w:sz w:val="15"/>
                <w:szCs w:val="15"/>
                <w:color w:val="auto"/>
              </w:rPr>
            </w:pPr>
          </w:p>
        </w:tc>
        <w:tc>
          <w:tcPr>
            <w:tcW w:w="1900" w:type="dxa"/>
            <w:vAlign w:val="bottom"/>
            <w:vMerge w:val="restart"/>
            <w:shd w:val="clear" w:color="auto" w:fill="CCEEFF"/>
          </w:tcPr>
          <w:p>
            <w:pPr>
              <w:jc w:val="right"/>
              <w:ind w:right="550"/>
              <w:spacing w:after="0"/>
              <w:rPr>
                <w:sz w:val="20"/>
                <w:szCs w:val="20"/>
                <w:color w:val="auto"/>
              </w:rPr>
            </w:pPr>
            <w:r>
              <w:rPr>
                <w:rFonts w:ascii="Arial" w:cs="Arial" w:eastAsia="Arial" w:hAnsi="Arial"/>
                <w:sz w:val="18"/>
                <w:szCs w:val="18"/>
                <w:b w:val="1"/>
                <w:bCs w:val="1"/>
                <w:color w:val="auto"/>
              </w:rPr>
              <w:t>277.5</w:t>
            </w: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computations</w:t>
            </w:r>
          </w:p>
        </w:tc>
        <w:tc>
          <w:tcPr>
            <w:tcW w:w="1800" w:type="dxa"/>
            <w:vAlign w:val="bottom"/>
            <w:vMerge w:val="continue"/>
            <w:shd w:val="clear" w:color="auto" w:fill="CCEEFF"/>
          </w:tcPr>
          <w:p>
            <w:pPr>
              <w:spacing w:after="0"/>
              <w:rPr>
                <w:sz w:val="18"/>
                <w:szCs w:val="18"/>
                <w:color w:val="auto"/>
              </w:rPr>
            </w:pPr>
          </w:p>
        </w:tc>
        <w:tc>
          <w:tcPr>
            <w:tcW w:w="158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279.3</w:t>
            </w:r>
          </w:p>
        </w:tc>
        <w:tc>
          <w:tcPr>
            <w:tcW w:w="1900" w:type="dxa"/>
            <w:vAlign w:val="bottom"/>
            <w:vMerge w:val="continue"/>
            <w:shd w:val="clear" w:color="auto" w:fill="CCEEFF"/>
          </w:tcPr>
          <w:p>
            <w:pPr>
              <w:spacing w:after="0"/>
              <w:rPr>
                <w:sz w:val="18"/>
                <w:szCs w:val="18"/>
                <w:color w:val="auto"/>
              </w:rPr>
            </w:pPr>
          </w:p>
        </w:tc>
        <w:tc>
          <w:tcPr>
            <w:tcW w:w="1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280.1</w:t>
            </w:r>
          </w:p>
        </w:tc>
        <w:tc>
          <w:tcPr>
            <w:tcW w:w="0" w:type="dxa"/>
            <w:vAlign w:val="bottom"/>
          </w:tcPr>
          <w:p>
            <w:pPr>
              <w:spacing w:after="0"/>
              <w:rPr>
                <w:sz w:val="1"/>
                <w:szCs w:val="1"/>
                <w:color w:val="auto"/>
              </w:rPr>
            </w:pPr>
          </w:p>
        </w:tc>
      </w:tr>
      <w:tr>
        <w:trPr>
          <w:trHeight w:val="230"/>
        </w:trPr>
        <w:tc>
          <w:tcPr>
            <w:tcW w:w="4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Weighted average dilutive effect of equity awards</w:t>
            </w:r>
          </w:p>
        </w:tc>
        <w:tc>
          <w:tcPr>
            <w:tcW w:w="18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1.1</w:t>
            </w:r>
          </w:p>
        </w:tc>
        <w:tc>
          <w:tcPr>
            <w:tcW w:w="15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1.3</w:t>
            </w:r>
          </w:p>
        </w:tc>
        <w:tc>
          <w:tcPr>
            <w:tcW w:w="19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1.0</w:t>
            </w:r>
          </w:p>
        </w:tc>
        <w:tc>
          <w:tcPr>
            <w:tcW w:w="1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82"/>
        </w:trPr>
        <w:tc>
          <w:tcPr>
            <w:tcW w:w="460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Weighted average common shares outstanding for</w:t>
            </w:r>
          </w:p>
        </w:tc>
        <w:tc>
          <w:tcPr>
            <w:tcW w:w="1800" w:type="dxa"/>
            <w:vAlign w:val="bottom"/>
            <w:vMerge w:val="restart"/>
            <w:shd w:val="clear" w:color="auto" w:fill="CCEEFF"/>
          </w:tcPr>
          <w:p>
            <w:pPr>
              <w:jc w:val="right"/>
              <w:ind w:right="550"/>
              <w:spacing w:after="0"/>
              <w:rPr>
                <w:sz w:val="20"/>
                <w:szCs w:val="20"/>
                <w:color w:val="auto"/>
              </w:rPr>
            </w:pPr>
            <w:r>
              <w:rPr>
                <w:rFonts w:ascii="Arial" w:cs="Arial" w:eastAsia="Arial" w:hAnsi="Arial"/>
                <w:sz w:val="18"/>
                <w:szCs w:val="18"/>
                <w:b w:val="1"/>
                <w:bCs w:val="1"/>
                <w:color w:val="auto"/>
              </w:rPr>
              <w:t>277.3</w:t>
            </w:r>
          </w:p>
        </w:tc>
        <w:tc>
          <w:tcPr>
            <w:tcW w:w="1580" w:type="dxa"/>
            <w:vAlign w:val="bottom"/>
            <w:shd w:val="clear" w:color="auto" w:fill="CCEEFF"/>
          </w:tcPr>
          <w:p>
            <w:pPr>
              <w:spacing w:after="0"/>
              <w:rPr>
                <w:sz w:val="15"/>
                <w:szCs w:val="15"/>
                <w:color w:val="auto"/>
              </w:rPr>
            </w:pPr>
          </w:p>
        </w:tc>
        <w:tc>
          <w:tcPr>
            <w:tcW w:w="1900" w:type="dxa"/>
            <w:vAlign w:val="bottom"/>
            <w:vMerge w:val="restart"/>
            <w:shd w:val="clear" w:color="auto" w:fill="CCEEFF"/>
          </w:tcPr>
          <w:p>
            <w:pPr>
              <w:jc w:val="right"/>
              <w:ind w:right="550"/>
              <w:spacing w:after="0"/>
              <w:rPr>
                <w:sz w:val="20"/>
                <w:szCs w:val="20"/>
                <w:color w:val="auto"/>
              </w:rPr>
            </w:pPr>
            <w:r>
              <w:rPr>
                <w:rFonts w:ascii="Arial" w:cs="Arial" w:eastAsia="Arial" w:hAnsi="Arial"/>
                <w:sz w:val="18"/>
                <w:szCs w:val="18"/>
                <w:b w:val="1"/>
                <w:bCs w:val="1"/>
                <w:color w:val="auto"/>
              </w:rPr>
              <w:t>278.5</w:t>
            </w: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6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diluted computations</w:t>
            </w:r>
          </w:p>
        </w:tc>
        <w:tc>
          <w:tcPr>
            <w:tcW w:w="1800" w:type="dxa"/>
            <w:vAlign w:val="bottom"/>
            <w:tcBorders>
              <w:bottom w:val="single" w:sz="8" w:color="auto"/>
            </w:tcBorders>
            <w:vMerge w:val="continue"/>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rPr>
              <w:t>280.6</w:t>
            </w:r>
          </w:p>
        </w:tc>
        <w:tc>
          <w:tcPr>
            <w:tcW w:w="1900" w:type="dxa"/>
            <w:vAlign w:val="bottom"/>
            <w:tcBorders>
              <w:bottom w:val="single" w:sz="8" w:color="auto"/>
            </w:tcBorders>
            <w:vMerge w:val="continue"/>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281.3</w:t>
            </w:r>
          </w:p>
        </w:tc>
        <w:tc>
          <w:tcPr>
            <w:tcW w:w="0" w:type="dxa"/>
            <w:vAlign w:val="bottom"/>
          </w:tcPr>
          <w:p>
            <w:pPr>
              <w:spacing w:after="0"/>
              <w:rPr>
                <w:sz w:val="1"/>
                <w:szCs w:val="1"/>
                <w:color w:val="auto"/>
              </w:rPr>
            </w:pPr>
          </w:p>
        </w:tc>
      </w:tr>
    </w:tbl>
    <w:p>
      <w:pPr>
        <w:spacing w:after="0" w:line="269" w:lineRule="exact"/>
        <w:rPr>
          <w:sz w:val="20"/>
          <w:szCs w:val="20"/>
          <w:color w:val="auto"/>
        </w:rPr>
      </w:pPr>
    </w:p>
    <w:p>
      <w:pPr>
        <w:ind w:right="40" w:firstLine="445"/>
        <w:spacing w:after="0" w:line="253" w:lineRule="auto"/>
        <w:rPr>
          <w:sz w:val="20"/>
          <w:szCs w:val="20"/>
          <w:color w:val="auto"/>
        </w:rPr>
      </w:pPr>
      <w:r>
        <w:rPr>
          <w:rFonts w:ascii="Arial" w:cs="Arial" w:eastAsia="Arial" w:hAnsi="Arial"/>
          <w:sz w:val="18"/>
          <w:szCs w:val="18"/>
          <w:color w:val="auto"/>
        </w:rPr>
        <w:t>We compute basic and diluted earnings per common share by dividing net earnings by the respective weighted average number of common shares outstanding for the periods presented. Our calculation of diluted earnings per common share also includes the dilutive effects for the assumed vesting of outstanding restricted stock units (RSUs) and performance stock units (PSUs) and exercise of outstanding stock options based on the treasury stock method. There were no significant anti-dilutive equity awards during the quarters and nine months ended September 26, 2021 or September 27, 2020.</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INFORMATION ON BUSINESS SEGMENTS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operate in four business segments: Aeronautics, Missiles and Fire Control (MFC), Rotary and Mission Systems (RMS) and Space.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 organize our business segments based on the nature of products and services offered.</w:t>
      </w:r>
    </w:p>
    <w:p>
      <w:pPr>
        <w:spacing w:after="0" w:line="185" w:lineRule="exact"/>
        <w:rPr>
          <w:sz w:val="20"/>
          <w:szCs w:val="20"/>
          <w:color w:val="auto"/>
        </w:rPr>
      </w:pPr>
    </w:p>
    <w:p>
      <w:pPr>
        <w:ind w:right="140" w:firstLine="445"/>
        <w:spacing w:after="0" w:line="256" w:lineRule="auto"/>
        <w:rPr>
          <w:sz w:val="20"/>
          <w:szCs w:val="20"/>
          <w:color w:val="auto"/>
        </w:rPr>
      </w:pPr>
      <w:r>
        <w:rPr>
          <w:rFonts w:ascii="Arial" w:cs="Arial" w:eastAsia="Arial" w:hAnsi="Arial"/>
          <w:sz w:val="18"/>
          <w:szCs w:val="18"/>
          <w:color w:val="auto"/>
        </w:rPr>
        <w:t>Net sales and operating profit of our business segments exclude intersegment sales, cost of sales, and profit as these activities are eliminated in consolidation. Business segment operating profit includes our share of earnings or losses from equity method investees as the operating activities of the equity method investees are closely aligned with the operations of our business segments.</w:t>
      </w:r>
    </w:p>
    <w:p>
      <w:pPr>
        <w:spacing w:after="0" w:line="175" w:lineRule="exact"/>
        <w:rPr>
          <w:sz w:val="20"/>
          <w:szCs w:val="20"/>
          <w:color w:val="auto"/>
        </w:rPr>
      </w:pPr>
    </w:p>
    <w:p>
      <w:pPr>
        <w:ind w:right="160" w:firstLine="405"/>
        <w:spacing w:after="0" w:line="252" w:lineRule="auto"/>
        <w:rPr>
          <w:sz w:val="20"/>
          <w:szCs w:val="20"/>
          <w:color w:val="auto"/>
        </w:rPr>
      </w:pPr>
      <w:r>
        <w:rPr>
          <w:rFonts w:ascii="Arial" w:cs="Arial" w:eastAsia="Arial" w:hAnsi="Arial"/>
          <w:sz w:val="18"/>
          <w:szCs w:val="18"/>
          <w:color w:val="auto"/>
        </w:rPr>
        <w:t>Business segment operating profit also excludes the FAS/CAS pension operating adjustment, a portion of corporate costs not considered allowable or allocable to contracts with the U.S. Government under the applicable U.S. Government cost accounting standards (CAS) or federal acquisition regulations (FAR), and other items not considered part of management’s evaluation of segment operating performance such as a portion of management and administration costs, legal fees and settlements, environmental costs, stock-based compensation expense, retiree benefits, significant severance actions, significant asset impairments, gains or losses from divestitures, and other miscellaneous corporate activities. Excluded items are included in the reconciling item “Unallocated items” between operating profit from our business segments and our consolidated operating profit. See “Note 11 - Other” for a discussion related to certain factors that may impact the comparability of net sales and operating profit of our business segments.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Lockheed Martin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 (continued)</w:t>
      </w:r>
    </w:p>
    <w:p>
      <w:pPr>
        <w:spacing w:after="0" w:line="200" w:lineRule="exact"/>
        <w:rPr>
          <w:sz w:val="20"/>
          <w:szCs w:val="20"/>
          <w:color w:val="auto"/>
        </w:rPr>
      </w:pPr>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Summary operating results for each of our business segments were as follows (in millions):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28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560" w:type="dxa"/>
            <w:vAlign w:val="bottom"/>
            <w:tcBorders>
              <w:bottom w:val="single" w:sz="8" w:color="auto"/>
            </w:tcBorders>
            <w:gridSpan w:val="3"/>
          </w:tcPr>
          <w:p>
            <w:pPr>
              <w:jc w:val="right"/>
              <w:ind w:right="1150"/>
              <w:spacing w:after="0"/>
              <w:rPr>
                <w:sz w:val="20"/>
                <w:szCs w:val="20"/>
                <w:color w:val="auto"/>
              </w:rPr>
            </w:pPr>
            <w:r>
              <w:rPr>
                <w:rFonts w:ascii="Arial" w:cs="Arial" w:eastAsia="Arial" w:hAnsi="Arial"/>
                <w:sz w:val="18"/>
                <w:szCs w:val="18"/>
                <w:b w:val="1"/>
                <w:bCs w:val="1"/>
                <w:color w:val="auto"/>
              </w:rPr>
              <w:t>Quarters Ended</w:t>
            </w:r>
          </w:p>
        </w:tc>
        <w:tc>
          <w:tcPr>
            <w:tcW w:w="42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gridSpan w:val="3"/>
          </w:tcPr>
          <w:p>
            <w:pPr>
              <w:jc w:val="right"/>
              <w:ind w:right="83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69"/>
        </w:trPr>
        <w:tc>
          <w:tcPr>
            <w:tcW w:w="3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580" w:type="dxa"/>
            <w:vAlign w:val="bottom"/>
          </w:tcPr>
          <w:p>
            <w:pPr>
              <w:jc w:val="right"/>
              <w:ind w:right="250"/>
              <w:spacing w:after="0" w:line="169" w:lineRule="exact"/>
              <w:rPr>
                <w:sz w:val="20"/>
                <w:szCs w:val="20"/>
                <w:color w:val="auto"/>
              </w:rPr>
            </w:pPr>
            <w:r>
              <w:rPr>
                <w:rFonts w:ascii="Arial" w:cs="Arial" w:eastAsia="Arial" w:hAnsi="Arial"/>
                <w:sz w:val="18"/>
                <w:szCs w:val="18"/>
                <w:b w:val="1"/>
                <w:bCs w:val="1"/>
                <w:color w:val="auto"/>
                <w:w w:val="99"/>
              </w:rPr>
              <w:t>September 26,</w:t>
            </w:r>
          </w:p>
        </w:tc>
        <w:tc>
          <w:tcPr>
            <w:tcW w:w="440" w:type="dxa"/>
            <w:vAlign w:val="bottom"/>
          </w:tcPr>
          <w:p>
            <w:pPr>
              <w:spacing w:after="0"/>
              <w:rPr>
                <w:sz w:val="14"/>
                <w:szCs w:val="14"/>
                <w:color w:val="auto"/>
              </w:rPr>
            </w:pPr>
          </w:p>
        </w:tc>
        <w:tc>
          <w:tcPr>
            <w:tcW w:w="1540" w:type="dxa"/>
            <w:vAlign w:val="bottom"/>
          </w:tcPr>
          <w:p>
            <w:pPr>
              <w:jc w:val="right"/>
              <w:ind w:right="210"/>
              <w:spacing w:after="0" w:line="169" w:lineRule="exact"/>
              <w:rPr>
                <w:sz w:val="20"/>
                <w:szCs w:val="20"/>
                <w:color w:val="auto"/>
              </w:rPr>
            </w:pPr>
            <w:r>
              <w:rPr>
                <w:rFonts w:ascii="Arial" w:cs="Arial" w:eastAsia="Arial" w:hAnsi="Arial"/>
                <w:sz w:val="18"/>
                <w:szCs w:val="18"/>
                <w:b w:val="1"/>
                <w:bCs w:val="1"/>
                <w:color w:val="auto"/>
                <w:w w:val="99"/>
              </w:rPr>
              <w:t>September 27,</w:t>
            </w:r>
          </w:p>
        </w:tc>
        <w:tc>
          <w:tcPr>
            <w:tcW w:w="420" w:type="dxa"/>
            <w:vAlign w:val="bottom"/>
          </w:tcPr>
          <w:p>
            <w:pPr>
              <w:spacing w:after="0"/>
              <w:rPr>
                <w:sz w:val="14"/>
                <w:szCs w:val="14"/>
                <w:color w:val="auto"/>
              </w:rPr>
            </w:pPr>
          </w:p>
        </w:tc>
        <w:tc>
          <w:tcPr>
            <w:tcW w:w="1600" w:type="dxa"/>
            <w:vAlign w:val="bottom"/>
          </w:tcPr>
          <w:p>
            <w:pPr>
              <w:jc w:val="right"/>
              <w:ind w:right="270"/>
              <w:spacing w:after="0" w:line="169" w:lineRule="exact"/>
              <w:rPr>
                <w:sz w:val="20"/>
                <w:szCs w:val="20"/>
                <w:color w:val="auto"/>
              </w:rPr>
            </w:pPr>
            <w:r>
              <w:rPr>
                <w:rFonts w:ascii="Arial" w:cs="Arial" w:eastAsia="Arial" w:hAnsi="Arial"/>
                <w:sz w:val="18"/>
                <w:szCs w:val="18"/>
                <w:b w:val="1"/>
                <w:bCs w:val="1"/>
                <w:color w:val="auto"/>
                <w:w w:val="99"/>
              </w:rPr>
              <w:t>September 26,</w:t>
            </w:r>
          </w:p>
        </w:tc>
        <w:tc>
          <w:tcPr>
            <w:tcW w:w="440" w:type="dxa"/>
            <w:vAlign w:val="bottom"/>
          </w:tcPr>
          <w:p>
            <w:pPr>
              <w:spacing w:after="0"/>
              <w:rPr>
                <w:sz w:val="14"/>
                <w:szCs w:val="14"/>
                <w:color w:val="auto"/>
              </w:rPr>
            </w:pPr>
          </w:p>
        </w:tc>
        <w:tc>
          <w:tcPr>
            <w:tcW w:w="1360" w:type="dxa"/>
            <w:vAlign w:val="bottom"/>
          </w:tcPr>
          <w:p>
            <w:pPr>
              <w:jc w:val="right"/>
              <w:ind w:right="30"/>
              <w:spacing w:after="0" w:line="169" w:lineRule="exact"/>
              <w:rPr>
                <w:sz w:val="20"/>
                <w:szCs w:val="20"/>
                <w:color w:val="auto"/>
              </w:rPr>
            </w:pPr>
            <w:r>
              <w:rPr>
                <w:rFonts w:ascii="Arial" w:cs="Arial" w:eastAsia="Arial" w:hAnsi="Arial"/>
                <w:sz w:val="18"/>
                <w:szCs w:val="18"/>
                <w:b w:val="1"/>
                <w:bCs w:val="1"/>
                <w:color w:val="auto"/>
                <w:w w:val="99"/>
              </w:rPr>
              <w:t>September 27,</w:t>
            </w:r>
          </w:p>
        </w:tc>
        <w:tc>
          <w:tcPr>
            <w:tcW w:w="0" w:type="dxa"/>
            <w:vAlign w:val="bottom"/>
          </w:tcPr>
          <w:p>
            <w:pPr>
              <w:spacing w:after="0"/>
              <w:rPr>
                <w:sz w:val="1"/>
                <w:szCs w:val="1"/>
                <w:color w:val="auto"/>
              </w:rPr>
            </w:pPr>
          </w:p>
        </w:tc>
      </w:tr>
      <w:tr>
        <w:trPr>
          <w:trHeight w:val="229"/>
        </w:trPr>
        <w:tc>
          <w:tcPr>
            <w:tcW w:w="32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b w:val="1"/>
                <w:bCs w:val="1"/>
                <w:color w:val="auto"/>
              </w:rPr>
              <w:t>2021</w:t>
            </w:r>
          </w:p>
        </w:tc>
        <w:tc>
          <w:tcPr>
            <w:tcW w:w="4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2020</w:t>
            </w:r>
          </w:p>
        </w:tc>
        <w:tc>
          <w:tcPr>
            <w:tcW w:w="4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b w:val="1"/>
                <w:bCs w:val="1"/>
                <w:color w:val="auto"/>
              </w:rPr>
              <w:t>2021</w:t>
            </w:r>
          </w:p>
        </w:tc>
        <w:tc>
          <w:tcPr>
            <w:tcW w:w="4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328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Net sales</w:t>
            </w:r>
          </w:p>
        </w:tc>
        <w:tc>
          <w:tcPr>
            <w:tcW w:w="5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80" w:type="dxa"/>
            <w:vAlign w:val="bottom"/>
          </w:tcPr>
          <w:p>
            <w:pPr>
              <w:ind w:left="680"/>
              <w:spacing w:after="0"/>
              <w:rPr>
                <w:sz w:val="20"/>
                <w:szCs w:val="20"/>
                <w:color w:val="auto"/>
              </w:rPr>
            </w:pPr>
            <w:r>
              <w:rPr>
                <w:rFonts w:ascii="Arial" w:cs="Arial" w:eastAsia="Arial" w:hAnsi="Arial"/>
                <w:sz w:val="18"/>
                <w:szCs w:val="18"/>
                <w:color w:val="auto"/>
              </w:rPr>
              <w:t>Aeronautics</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580" w:type="dxa"/>
            <w:vAlign w:val="bottom"/>
          </w:tcPr>
          <w:p>
            <w:pPr>
              <w:jc w:val="right"/>
              <w:ind w:right="490"/>
              <w:spacing w:after="0"/>
              <w:rPr>
                <w:sz w:val="20"/>
                <w:szCs w:val="20"/>
                <w:color w:val="auto"/>
              </w:rPr>
            </w:pPr>
            <w:r>
              <w:rPr>
                <w:rFonts w:ascii="Arial" w:cs="Arial" w:eastAsia="Arial" w:hAnsi="Arial"/>
                <w:sz w:val="18"/>
                <w:szCs w:val="18"/>
                <w:b w:val="1"/>
                <w:bCs w:val="1"/>
                <w:color w:val="auto"/>
              </w:rPr>
              <w:t>6,568</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450"/>
              <w:spacing w:after="0"/>
              <w:rPr>
                <w:sz w:val="20"/>
                <w:szCs w:val="20"/>
                <w:color w:val="auto"/>
              </w:rPr>
            </w:pPr>
            <w:r>
              <w:rPr>
                <w:rFonts w:ascii="Arial" w:cs="Arial" w:eastAsia="Arial" w:hAnsi="Arial"/>
                <w:sz w:val="18"/>
                <w:szCs w:val="18"/>
                <w:color w:val="auto"/>
              </w:rPr>
              <w:t>6,680</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600" w:type="dxa"/>
            <w:vAlign w:val="bottom"/>
          </w:tcPr>
          <w:p>
            <w:pPr>
              <w:jc w:val="right"/>
              <w:ind w:right="530"/>
              <w:spacing w:after="0"/>
              <w:rPr>
                <w:sz w:val="20"/>
                <w:szCs w:val="20"/>
                <w:color w:val="auto"/>
              </w:rPr>
            </w:pPr>
            <w:r>
              <w:rPr>
                <w:rFonts w:ascii="Arial" w:cs="Arial" w:eastAsia="Arial" w:hAnsi="Arial"/>
                <w:sz w:val="18"/>
                <w:szCs w:val="18"/>
                <w:b w:val="1"/>
                <w:bCs w:val="1"/>
                <w:color w:val="auto"/>
              </w:rPr>
              <w:t>19,621</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19,552</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Missiles and Fire Control</w:t>
            </w:r>
          </w:p>
        </w:tc>
        <w:tc>
          <w:tcPr>
            <w:tcW w:w="58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490"/>
              <w:spacing w:after="0"/>
              <w:rPr>
                <w:sz w:val="20"/>
                <w:szCs w:val="20"/>
                <w:color w:val="auto"/>
              </w:rPr>
            </w:pPr>
            <w:r>
              <w:rPr>
                <w:rFonts w:ascii="Arial" w:cs="Arial" w:eastAsia="Arial" w:hAnsi="Arial"/>
                <w:sz w:val="18"/>
                <w:szCs w:val="18"/>
                <w:b w:val="1"/>
                <w:bCs w:val="1"/>
                <w:color w:val="auto"/>
              </w:rPr>
              <w:t>2,781</w:t>
            </w:r>
          </w:p>
        </w:tc>
        <w:tc>
          <w:tcPr>
            <w:tcW w:w="44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2,971</w:t>
            </w:r>
          </w:p>
        </w:tc>
        <w:tc>
          <w:tcPr>
            <w:tcW w:w="42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8,474</w:t>
            </w: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8,391</w:t>
            </w:r>
          </w:p>
        </w:tc>
        <w:tc>
          <w:tcPr>
            <w:tcW w:w="0" w:type="dxa"/>
            <w:vAlign w:val="bottom"/>
          </w:tcPr>
          <w:p>
            <w:pPr>
              <w:spacing w:after="0"/>
              <w:rPr>
                <w:sz w:val="1"/>
                <w:szCs w:val="1"/>
                <w:color w:val="auto"/>
              </w:rPr>
            </w:pPr>
          </w:p>
        </w:tc>
      </w:tr>
      <w:tr>
        <w:trPr>
          <w:trHeight w:val="229"/>
        </w:trPr>
        <w:tc>
          <w:tcPr>
            <w:tcW w:w="3280" w:type="dxa"/>
            <w:vAlign w:val="bottom"/>
          </w:tcPr>
          <w:p>
            <w:pPr>
              <w:ind w:left="680"/>
              <w:spacing w:after="0"/>
              <w:rPr>
                <w:sz w:val="20"/>
                <w:szCs w:val="20"/>
                <w:color w:val="auto"/>
              </w:rPr>
            </w:pPr>
            <w:r>
              <w:rPr>
                <w:rFonts w:ascii="Arial" w:cs="Arial" w:eastAsia="Arial" w:hAnsi="Arial"/>
                <w:sz w:val="18"/>
                <w:szCs w:val="18"/>
                <w:color w:val="auto"/>
              </w:rPr>
              <w:t>Rotary and Mission Systems</w:t>
            </w:r>
          </w:p>
        </w:tc>
        <w:tc>
          <w:tcPr>
            <w:tcW w:w="580" w:type="dxa"/>
            <w:vAlign w:val="bottom"/>
          </w:tcPr>
          <w:p>
            <w:pPr>
              <w:spacing w:after="0"/>
              <w:rPr>
                <w:sz w:val="19"/>
                <w:szCs w:val="19"/>
                <w:color w:val="auto"/>
              </w:rPr>
            </w:pPr>
          </w:p>
        </w:tc>
        <w:tc>
          <w:tcPr>
            <w:tcW w:w="1580" w:type="dxa"/>
            <w:vAlign w:val="bottom"/>
          </w:tcPr>
          <w:p>
            <w:pPr>
              <w:jc w:val="right"/>
              <w:ind w:right="490"/>
              <w:spacing w:after="0"/>
              <w:rPr>
                <w:sz w:val="20"/>
                <w:szCs w:val="20"/>
                <w:color w:val="auto"/>
              </w:rPr>
            </w:pPr>
            <w:r>
              <w:rPr>
                <w:rFonts w:ascii="Arial" w:cs="Arial" w:eastAsia="Arial" w:hAnsi="Arial"/>
                <w:sz w:val="18"/>
                <w:szCs w:val="18"/>
                <w:b w:val="1"/>
                <w:bCs w:val="1"/>
                <w:color w:val="auto"/>
              </w:rPr>
              <w:t>3,980</w:t>
            </w:r>
          </w:p>
        </w:tc>
        <w:tc>
          <w:tcPr>
            <w:tcW w:w="440" w:type="dxa"/>
            <w:vAlign w:val="bottom"/>
          </w:tcPr>
          <w:p>
            <w:pPr>
              <w:spacing w:after="0"/>
              <w:rPr>
                <w:sz w:val="19"/>
                <w:szCs w:val="19"/>
                <w:color w:val="auto"/>
              </w:rPr>
            </w:pPr>
          </w:p>
        </w:tc>
        <w:tc>
          <w:tcPr>
            <w:tcW w:w="1540" w:type="dxa"/>
            <w:vAlign w:val="bottom"/>
          </w:tcPr>
          <w:p>
            <w:pPr>
              <w:jc w:val="right"/>
              <w:ind w:right="450"/>
              <w:spacing w:after="0"/>
              <w:rPr>
                <w:sz w:val="20"/>
                <w:szCs w:val="20"/>
                <w:color w:val="auto"/>
              </w:rPr>
            </w:pPr>
            <w:r>
              <w:rPr>
                <w:rFonts w:ascii="Arial" w:cs="Arial" w:eastAsia="Arial" w:hAnsi="Arial"/>
                <w:sz w:val="18"/>
                <w:szCs w:val="18"/>
                <w:color w:val="auto"/>
              </w:rPr>
              <w:t>3,998</w:t>
            </w:r>
          </w:p>
        </w:tc>
        <w:tc>
          <w:tcPr>
            <w:tcW w:w="420" w:type="dxa"/>
            <w:vAlign w:val="bottom"/>
          </w:tcPr>
          <w:p>
            <w:pPr>
              <w:spacing w:after="0"/>
              <w:rPr>
                <w:sz w:val="19"/>
                <w:szCs w:val="19"/>
                <w:color w:val="auto"/>
              </w:rPr>
            </w:pPr>
          </w:p>
        </w:tc>
        <w:tc>
          <w:tcPr>
            <w:tcW w:w="1600" w:type="dxa"/>
            <w:vAlign w:val="bottom"/>
          </w:tcPr>
          <w:p>
            <w:pPr>
              <w:jc w:val="right"/>
              <w:ind w:right="530"/>
              <w:spacing w:after="0"/>
              <w:rPr>
                <w:sz w:val="20"/>
                <w:szCs w:val="20"/>
                <w:color w:val="auto"/>
              </w:rPr>
            </w:pPr>
            <w:r>
              <w:rPr>
                <w:rFonts w:ascii="Arial" w:cs="Arial" w:eastAsia="Arial" w:hAnsi="Arial"/>
                <w:sz w:val="18"/>
                <w:szCs w:val="18"/>
                <w:b w:val="1"/>
                <w:bCs w:val="1"/>
                <w:color w:val="auto"/>
              </w:rPr>
              <w:t>12,329</w:t>
            </w:r>
          </w:p>
        </w:tc>
        <w:tc>
          <w:tcPr>
            <w:tcW w:w="440" w:type="dxa"/>
            <w:vAlign w:val="bottom"/>
          </w:tcPr>
          <w:p>
            <w:pPr>
              <w:spacing w:after="0"/>
              <w:rPr>
                <w:sz w:val="19"/>
                <w:szCs w:val="19"/>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11,783</w:t>
            </w:r>
          </w:p>
        </w:tc>
        <w:tc>
          <w:tcPr>
            <w:tcW w:w="0" w:type="dxa"/>
            <w:vAlign w:val="bottom"/>
          </w:tcPr>
          <w:p>
            <w:pPr>
              <w:spacing w:after="0"/>
              <w:rPr>
                <w:sz w:val="1"/>
                <w:szCs w:val="1"/>
                <w:color w:val="auto"/>
              </w:rPr>
            </w:pPr>
          </w:p>
        </w:tc>
      </w:tr>
      <w:tr>
        <w:trPr>
          <w:trHeight w:val="229"/>
        </w:trPr>
        <w:tc>
          <w:tcPr>
            <w:tcW w:w="328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Space</w:t>
            </w:r>
          </w:p>
        </w:tc>
        <w:tc>
          <w:tcPr>
            <w:tcW w:w="5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b w:val="1"/>
                <w:bCs w:val="1"/>
                <w:color w:val="auto"/>
              </w:rPr>
              <w:t>2,699</w:t>
            </w:r>
          </w:p>
        </w:tc>
        <w:tc>
          <w:tcPr>
            <w:tcW w:w="4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2,846</w:t>
            </w:r>
          </w:p>
        </w:tc>
        <w:tc>
          <w:tcPr>
            <w:tcW w:w="4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8,891</w:t>
            </w:r>
          </w:p>
        </w:tc>
        <w:tc>
          <w:tcPr>
            <w:tcW w:w="4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8,640</w:t>
            </w:r>
          </w:p>
        </w:tc>
        <w:tc>
          <w:tcPr>
            <w:tcW w:w="0" w:type="dxa"/>
            <w:vAlign w:val="bottom"/>
          </w:tcPr>
          <w:p>
            <w:pPr>
              <w:spacing w:after="0"/>
              <w:rPr>
                <w:sz w:val="1"/>
                <w:szCs w:val="1"/>
                <w:color w:val="auto"/>
              </w:rPr>
            </w:pPr>
          </w:p>
        </w:tc>
      </w:tr>
      <w:tr>
        <w:trPr>
          <w:trHeight w:val="223"/>
        </w:trPr>
        <w:tc>
          <w:tcPr>
            <w:tcW w:w="328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Total net sales</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5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16,028</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16,495</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49,315</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48,366</w:t>
            </w:r>
          </w:p>
        </w:tc>
        <w:tc>
          <w:tcPr>
            <w:tcW w:w="0" w:type="dxa"/>
            <w:vAlign w:val="bottom"/>
          </w:tcPr>
          <w:p>
            <w:pPr>
              <w:spacing w:after="0"/>
              <w:rPr>
                <w:sz w:val="1"/>
                <w:szCs w:val="1"/>
                <w:color w:val="auto"/>
              </w:rPr>
            </w:pPr>
          </w:p>
        </w:tc>
      </w:tr>
      <w:tr>
        <w:trPr>
          <w:trHeight w:val="223"/>
        </w:trPr>
        <w:tc>
          <w:tcPr>
            <w:tcW w:w="328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Operating profit</w:t>
            </w:r>
          </w:p>
        </w:tc>
        <w:tc>
          <w:tcPr>
            <w:tcW w:w="5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80" w:type="dxa"/>
            <w:vAlign w:val="bottom"/>
          </w:tcPr>
          <w:p>
            <w:pPr>
              <w:ind w:left="680"/>
              <w:spacing w:after="0"/>
              <w:rPr>
                <w:sz w:val="20"/>
                <w:szCs w:val="20"/>
                <w:color w:val="auto"/>
              </w:rPr>
            </w:pPr>
            <w:r>
              <w:rPr>
                <w:rFonts w:ascii="Arial" w:cs="Arial" w:eastAsia="Arial" w:hAnsi="Arial"/>
                <w:sz w:val="18"/>
                <w:szCs w:val="18"/>
                <w:color w:val="auto"/>
              </w:rPr>
              <w:t>Aeronautics</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580" w:type="dxa"/>
            <w:vAlign w:val="bottom"/>
          </w:tcPr>
          <w:p>
            <w:pPr>
              <w:jc w:val="right"/>
              <w:ind w:right="490"/>
              <w:spacing w:after="0"/>
              <w:rPr>
                <w:sz w:val="20"/>
                <w:szCs w:val="20"/>
                <w:color w:val="auto"/>
              </w:rPr>
            </w:pPr>
            <w:r>
              <w:rPr>
                <w:rFonts w:ascii="Arial" w:cs="Arial" w:eastAsia="Arial" w:hAnsi="Arial"/>
                <w:sz w:val="18"/>
                <w:szCs w:val="18"/>
                <w:b w:val="1"/>
                <w:bCs w:val="1"/>
                <w:color w:val="auto"/>
              </w:rPr>
              <w:t>714</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450"/>
              <w:spacing w:after="0"/>
              <w:rPr>
                <w:sz w:val="20"/>
                <w:szCs w:val="20"/>
                <w:color w:val="auto"/>
              </w:rPr>
            </w:pPr>
            <w:r>
              <w:rPr>
                <w:rFonts w:ascii="Arial" w:cs="Arial" w:eastAsia="Arial" w:hAnsi="Arial"/>
                <w:sz w:val="18"/>
                <w:szCs w:val="18"/>
                <w:color w:val="auto"/>
              </w:rPr>
              <w:t>705</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600" w:type="dxa"/>
            <w:vAlign w:val="bottom"/>
          </w:tcPr>
          <w:p>
            <w:pPr>
              <w:jc w:val="right"/>
              <w:ind w:right="530"/>
              <w:spacing w:after="0"/>
              <w:rPr>
                <w:sz w:val="20"/>
                <w:szCs w:val="20"/>
                <w:color w:val="auto"/>
              </w:rPr>
            </w:pPr>
            <w:r>
              <w:rPr>
                <w:rFonts w:ascii="Arial" w:cs="Arial" w:eastAsia="Arial" w:hAnsi="Arial"/>
                <w:sz w:val="18"/>
                <w:szCs w:val="18"/>
                <w:b w:val="1"/>
                <w:bCs w:val="1"/>
                <w:color w:val="auto"/>
              </w:rPr>
              <w:t>1,979</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2,116</w:t>
            </w: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Missiles and Fire Control</w:t>
            </w:r>
          </w:p>
        </w:tc>
        <w:tc>
          <w:tcPr>
            <w:tcW w:w="58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490"/>
              <w:spacing w:after="0"/>
              <w:rPr>
                <w:sz w:val="20"/>
                <w:szCs w:val="20"/>
                <w:color w:val="auto"/>
              </w:rPr>
            </w:pPr>
            <w:r>
              <w:rPr>
                <w:rFonts w:ascii="Arial" w:cs="Arial" w:eastAsia="Arial" w:hAnsi="Arial"/>
                <w:sz w:val="18"/>
                <w:szCs w:val="18"/>
                <w:b w:val="1"/>
                <w:bCs w:val="1"/>
                <w:color w:val="auto"/>
              </w:rPr>
              <w:t>413</w:t>
            </w:r>
          </w:p>
        </w:tc>
        <w:tc>
          <w:tcPr>
            <w:tcW w:w="44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405</w:t>
            </w:r>
          </w:p>
        </w:tc>
        <w:tc>
          <w:tcPr>
            <w:tcW w:w="42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1,210</w:t>
            </w: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1,171</w:t>
            </w:r>
          </w:p>
        </w:tc>
        <w:tc>
          <w:tcPr>
            <w:tcW w:w="0" w:type="dxa"/>
            <w:vAlign w:val="bottom"/>
          </w:tcPr>
          <w:p>
            <w:pPr>
              <w:spacing w:after="0"/>
              <w:rPr>
                <w:sz w:val="1"/>
                <w:szCs w:val="1"/>
                <w:color w:val="auto"/>
              </w:rPr>
            </w:pPr>
          </w:p>
        </w:tc>
      </w:tr>
      <w:tr>
        <w:trPr>
          <w:trHeight w:val="230"/>
        </w:trPr>
        <w:tc>
          <w:tcPr>
            <w:tcW w:w="3280" w:type="dxa"/>
            <w:vAlign w:val="bottom"/>
          </w:tcPr>
          <w:p>
            <w:pPr>
              <w:ind w:left="680"/>
              <w:spacing w:after="0"/>
              <w:rPr>
                <w:sz w:val="20"/>
                <w:szCs w:val="20"/>
                <w:color w:val="auto"/>
              </w:rPr>
            </w:pPr>
            <w:r>
              <w:rPr>
                <w:rFonts w:ascii="Arial" w:cs="Arial" w:eastAsia="Arial" w:hAnsi="Arial"/>
                <w:sz w:val="18"/>
                <w:szCs w:val="18"/>
                <w:color w:val="auto"/>
              </w:rPr>
              <w:t>Rotary and Mission Systems</w:t>
            </w:r>
          </w:p>
        </w:tc>
        <w:tc>
          <w:tcPr>
            <w:tcW w:w="580" w:type="dxa"/>
            <w:vAlign w:val="bottom"/>
          </w:tcPr>
          <w:p>
            <w:pPr>
              <w:spacing w:after="0"/>
              <w:rPr>
                <w:sz w:val="19"/>
                <w:szCs w:val="19"/>
                <w:color w:val="auto"/>
              </w:rPr>
            </w:pPr>
          </w:p>
        </w:tc>
        <w:tc>
          <w:tcPr>
            <w:tcW w:w="1580" w:type="dxa"/>
            <w:vAlign w:val="bottom"/>
          </w:tcPr>
          <w:p>
            <w:pPr>
              <w:jc w:val="right"/>
              <w:ind w:right="490"/>
              <w:spacing w:after="0"/>
              <w:rPr>
                <w:sz w:val="20"/>
                <w:szCs w:val="20"/>
                <w:color w:val="auto"/>
              </w:rPr>
            </w:pPr>
            <w:r>
              <w:rPr>
                <w:rFonts w:ascii="Arial" w:cs="Arial" w:eastAsia="Arial" w:hAnsi="Arial"/>
                <w:sz w:val="18"/>
                <w:szCs w:val="18"/>
                <w:b w:val="1"/>
                <w:bCs w:val="1"/>
                <w:color w:val="auto"/>
              </w:rPr>
              <w:t>459</w:t>
            </w:r>
          </w:p>
        </w:tc>
        <w:tc>
          <w:tcPr>
            <w:tcW w:w="440" w:type="dxa"/>
            <w:vAlign w:val="bottom"/>
          </w:tcPr>
          <w:p>
            <w:pPr>
              <w:spacing w:after="0"/>
              <w:rPr>
                <w:sz w:val="19"/>
                <w:szCs w:val="19"/>
                <w:color w:val="auto"/>
              </w:rPr>
            </w:pPr>
          </w:p>
        </w:tc>
        <w:tc>
          <w:tcPr>
            <w:tcW w:w="1540" w:type="dxa"/>
            <w:vAlign w:val="bottom"/>
          </w:tcPr>
          <w:p>
            <w:pPr>
              <w:jc w:val="right"/>
              <w:ind w:right="450"/>
              <w:spacing w:after="0"/>
              <w:rPr>
                <w:sz w:val="20"/>
                <w:szCs w:val="20"/>
                <w:color w:val="auto"/>
              </w:rPr>
            </w:pPr>
            <w:r>
              <w:rPr>
                <w:rFonts w:ascii="Arial" w:cs="Arial" w:eastAsia="Arial" w:hAnsi="Arial"/>
                <w:sz w:val="18"/>
                <w:szCs w:val="18"/>
                <w:color w:val="auto"/>
              </w:rPr>
              <w:t>404</w:t>
            </w:r>
          </w:p>
        </w:tc>
        <w:tc>
          <w:tcPr>
            <w:tcW w:w="420" w:type="dxa"/>
            <w:vAlign w:val="bottom"/>
          </w:tcPr>
          <w:p>
            <w:pPr>
              <w:spacing w:after="0"/>
              <w:rPr>
                <w:sz w:val="19"/>
                <w:szCs w:val="19"/>
                <w:color w:val="auto"/>
              </w:rPr>
            </w:pPr>
          </w:p>
        </w:tc>
        <w:tc>
          <w:tcPr>
            <w:tcW w:w="1600" w:type="dxa"/>
            <w:vAlign w:val="bottom"/>
          </w:tcPr>
          <w:p>
            <w:pPr>
              <w:jc w:val="right"/>
              <w:ind w:right="530"/>
              <w:spacing w:after="0"/>
              <w:rPr>
                <w:sz w:val="20"/>
                <w:szCs w:val="20"/>
                <w:color w:val="auto"/>
              </w:rPr>
            </w:pPr>
            <w:r>
              <w:rPr>
                <w:rFonts w:ascii="Arial" w:cs="Arial" w:eastAsia="Arial" w:hAnsi="Arial"/>
                <w:sz w:val="18"/>
                <w:szCs w:val="18"/>
                <w:b w:val="1"/>
                <w:bCs w:val="1"/>
                <w:color w:val="auto"/>
              </w:rPr>
              <w:t>1,350</w:t>
            </w:r>
          </w:p>
        </w:tc>
        <w:tc>
          <w:tcPr>
            <w:tcW w:w="440" w:type="dxa"/>
            <w:vAlign w:val="bottom"/>
          </w:tcPr>
          <w:p>
            <w:pPr>
              <w:spacing w:after="0"/>
              <w:rPr>
                <w:sz w:val="19"/>
                <w:szCs w:val="19"/>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1,209</w:t>
            </w:r>
          </w:p>
        </w:tc>
        <w:tc>
          <w:tcPr>
            <w:tcW w:w="0" w:type="dxa"/>
            <w:vAlign w:val="bottom"/>
          </w:tcPr>
          <w:p>
            <w:pPr>
              <w:spacing w:after="0"/>
              <w:rPr>
                <w:sz w:val="1"/>
                <w:szCs w:val="1"/>
                <w:color w:val="auto"/>
              </w:rPr>
            </w:pPr>
          </w:p>
        </w:tc>
      </w:tr>
      <w:tr>
        <w:trPr>
          <w:trHeight w:val="229"/>
        </w:trPr>
        <w:tc>
          <w:tcPr>
            <w:tcW w:w="328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Space</w:t>
            </w:r>
          </w:p>
        </w:tc>
        <w:tc>
          <w:tcPr>
            <w:tcW w:w="5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b w:val="1"/>
                <w:bCs w:val="1"/>
                <w:color w:val="auto"/>
              </w:rPr>
              <w:t>264</w:t>
            </w:r>
          </w:p>
        </w:tc>
        <w:tc>
          <w:tcPr>
            <w:tcW w:w="4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248</w:t>
            </w:r>
          </w:p>
        </w:tc>
        <w:tc>
          <w:tcPr>
            <w:tcW w:w="4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826</w:t>
            </w:r>
          </w:p>
        </w:tc>
        <w:tc>
          <w:tcPr>
            <w:tcW w:w="4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182"/>
        </w:trPr>
        <w:tc>
          <w:tcPr>
            <w:tcW w:w="3280" w:type="dxa"/>
            <w:vAlign w:val="bottom"/>
          </w:tcPr>
          <w:p>
            <w:pPr>
              <w:ind w:left="800"/>
              <w:spacing w:after="0" w:line="182" w:lineRule="exact"/>
              <w:rPr>
                <w:sz w:val="20"/>
                <w:szCs w:val="20"/>
                <w:color w:val="auto"/>
              </w:rPr>
            </w:pPr>
            <w:r>
              <w:rPr>
                <w:rFonts w:ascii="Arial" w:cs="Arial" w:eastAsia="Arial" w:hAnsi="Arial"/>
                <w:sz w:val="18"/>
                <w:szCs w:val="18"/>
                <w:color w:val="auto"/>
              </w:rPr>
              <w:t>Total business segment</w:t>
            </w:r>
          </w:p>
        </w:tc>
        <w:tc>
          <w:tcPr>
            <w:tcW w:w="580" w:type="dxa"/>
            <w:vAlign w:val="bottom"/>
          </w:tcPr>
          <w:p>
            <w:pPr>
              <w:spacing w:after="0"/>
              <w:rPr>
                <w:sz w:val="15"/>
                <w:szCs w:val="15"/>
                <w:color w:val="auto"/>
              </w:rPr>
            </w:pPr>
          </w:p>
        </w:tc>
        <w:tc>
          <w:tcPr>
            <w:tcW w:w="158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1,850</w:t>
            </w:r>
          </w:p>
        </w:tc>
        <w:tc>
          <w:tcPr>
            <w:tcW w:w="4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0" w:type="dxa"/>
            <w:vAlign w:val="bottom"/>
            <w:vMerge w:val="restart"/>
          </w:tcPr>
          <w:p>
            <w:pPr>
              <w:jc w:val="right"/>
              <w:ind w:right="530"/>
              <w:spacing w:after="0"/>
              <w:rPr>
                <w:sz w:val="20"/>
                <w:szCs w:val="20"/>
                <w:color w:val="auto"/>
              </w:rPr>
            </w:pPr>
            <w:r>
              <w:rPr>
                <w:rFonts w:ascii="Arial" w:cs="Arial" w:eastAsia="Arial" w:hAnsi="Arial"/>
                <w:sz w:val="18"/>
                <w:szCs w:val="18"/>
                <w:b w:val="1"/>
                <w:bCs w:val="1"/>
                <w:color w:val="auto"/>
              </w:rPr>
              <w:t>5,365</w:t>
            </w:r>
          </w:p>
        </w:tc>
        <w:tc>
          <w:tcPr>
            <w:tcW w:w="4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28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operating profit</w:t>
            </w:r>
          </w:p>
        </w:tc>
        <w:tc>
          <w:tcPr>
            <w:tcW w:w="5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vMerge w:val="continue"/>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1,762</w:t>
            </w:r>
          </w:p>
        </w:tc>
        <w:tc>
          <w:tcPr>
            <w:tcW w:w="4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vMerge w:val="continue"/>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5,277</w:t>
            </w:r>
          </w:p>
        </w:tc>
        <w:tc>
          <w:tcPr>
            <w:tcW w:w="0" w:type="dxa"/>
            <w:vAlign w:val="bottom"/>
          </w:tcPr>
          <w:p>
            <w:pPr>
              <w:spacing w:after="0"/>
              <w:rPr>
                <w:sz w:val="1"/>
                <w:szCs w:val="1"/>
                <w:color w:val="auto"/>
              </w:rPr>
            </w:pPr>
          </w:p>
        </w:tc>
      </w:tr>
      <w:tr>
        <w:trPr>
          <w:trHeight w:val="223"/>
        </w:trPr>
        <w:tc>
          <w:tcPr>
            <w:tcW w:w="32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Unallocated items</w:t>
            </w:r>
          </w:p>
        </w:tc>
        <w:tc>
          <w:tcPr>
            <w:tcW w:w="5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3280" w:type="dxa"/>
            <w:vAlign w:val="bottom"/>
          </w:tcPr>
          <w:p>
            <w:pPr>
              <w:ind w:left="800"/>
              <w:spacing w:after="0" w:line="189" w:lineRule="exact"/>
              <w:rPr>
                <w:sz w:val="20"/>
                <w:szCs w:val="20"/>
                <w:color w:val="auto"/>
              </w:rPr>
            </w:pPr>
            <w:r>
              <w:rPr>
                <w:rFonts w:ascii="Arial" w:cs="Arial" w:eastAsia="Arial" w:hAnsi="Arial"/>
                <w:sz w:val="18"/>
                <w:szCs w:val="18"/>
                <w:color w:val="auto"/>
              </w:rPr>
              <w:t>FAS/CAS operating</w:t>
            </w:r>
          </w:p>
        </w:tc>
        <w:tc>
          <w:tcPr>
            <w:tcW w:w="580" w:type="dxa"/>
            <w:vAlign w:val="bottom"/>
          </w:tcPr>
          <w:p>
            <w:pPr>
              <w:spacing w:after="0"/>
              <w:rPr>
                <w:sz w:val="16"/>
                <w:szCs w:val="16"/>
                <w:color w:val="auto"/>
              </w:rPr>
            </w:pPr>
          </w:p>
        </w:tc>
        <w:tc>
          <w:tcPr>
            <w:tcW w:w="158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491</w:t>
            </w:r>
          </w:p>
        </w:tc>
        <w:tc>
          <w:tcPr>
            <w:tcW w:w="4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0" w:type="dxa"/>
            <w:vAlign w:val="bottom"/>
            <w:vMerge w:val="restart"/>
          </w:tcPr>
          <w:p>
            <w:pPr>
              <w:jc w:val="right"/>
              <w:ind w:right="530"/>
              <w:spacing w:after="0"/>
              <w:rPr>
                <w:sz w:val="20"/>
                <w:szCs w:val="20"/>
                <w:color w:val="auto"/>
              </w:rPr>
            </w:pPr>
            <w:r>
              <w:rPr>
                <w:rFonts w:ascii="Arial" w:cs="Arial" w:eastAsia="Arial" w:hAnsi="Arial"/>
                <w:sz w:val="18"/>
                <w:szCs w:val="18"/>
                <w:b w:val="1"/>
                <w:bCs w:val="1"/>
                <w:color w:val="auto"/>
              </w:rPr>
              <w:t>1,469</w:t>
            </w:r>
          </w:p>
        </w:tc>
        <w:tc>
          <w:tcPr>
            <w:tcW w:w="4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280" w:type="dxa"/>
            <w:vAlign w:val="bottom"/>
          </w:tcPr>
          <w:p>
            <w:pPr>
              <w:ind w:left="360"/>
              <w:spacing w:after="0"/>
              <w:rPr>
                <w:sz w:val="20"/>
                <w:szCs w:val="20"/>
                <w:color w:val="auto"/>
              </w:rPr>
            </w:pPr>
            <w:r>
              <w:rPr>
                <w:rFonts w:ascii="Arial" w:cs="Arial" w:eastAsia="Arial" w:hAnsi="Arial"/>
                <w:sz w:val="18"/>
                <w:szCs w:val="18"/>
                <w:color w:val="auto"/>
              </w:rPr>
              <w:t>adjustment</w:t>
            </w:r>
          </w:p>
        </w:tc>
        <w:tc>
          <w:tcPr>
            <w:tcW w:w="580" w:type="dxa"/>
            <w:vAlign w:val="bottom"/>
          </w:tcPr>
          <w:p>
            <w:pPr>
              <w:spacing w:after="0"/>
              <w:rPr>
                <w:sz w:val="18"/>
                <w:szCs w:val="18"/>
                <w:color w:val="auto"/>
              </w:rPr>
            </w:pPr>
          </w:p>
        </w:tc>
        <w:tc>
          <w:tcPr>
            <w:tcW w:w="158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1540" w:type="dxa"/>
            <w:vAlign w:val="bottom"/>
          </w:tcPr>
          <w:p>
            <w:pPr>
              <w:jc w:val="right"/>
              <w:ind w:right="450"/>
              <w:spacing w:after="0"/>
              <w:rPr>
                <w:sz w:val="20"/>
                <w:szCs w:val="20"/>
                <w:color w:val="auto"/>
              </w:rPr>
            </w:pPr>
            <w:r>
              <w:rPr>
                <w:rFonts w:ascii="Arial" w:cs="Arial" w:eastAsia="Arial" w:hAnsi="Arial"/>
                <w:sz w:val="18"/>
                <w:szCs w:val="18"/>
                <w:color w:val="auto"/>
              </w:rPr>
              <w:t>469</w:t>
            </w:r>
          </w:p>
        </w:tc>
        <w:tc>
          <w:tcPr>
            <w:tcW w:w="420" w:type="dxa"/>
            <w:vAlign w:val="bottom"/>
          </w:tcPr>
          <w:p>
            <w:pPr>
              <w:spacing w:after="0"/>
              <w:rPr>
                <w:sz w:val="18"/>
                <w:szCs w:val="18"/>
                <w:color w:val="auto"/>
              </w:rPr>
            </w:pPr>
          </w:p>
        </w:tc>
        <w:tc>
          <w:tcPr>
            <w:tcW w:w="160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1,407</w:t>
            </w: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Stock-based compensation</w:t>
            </w:r>
          </w:p>
        </w:tc>
        <w:tc>
          <w:tcPr>
            <w:tcW w:w="58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450"/>
              <w:spacing w:after="0"/>
              <w:rPr>
                <w:sz w:val="20"/>
                <w:szCs w:val="20"/>
                <w:color w:val="auto"/>
              </w:rPr>
            </w:pPr>
            <w:r>
              <w:rPr>
                <w:rFonts w:ascii="Arial" w:cs="Arial" w:eastAsia="Arial" w:hAnsi="Arial"/>
                <w:sz w:val="18"/>
                <w:szCs w:val="18"/>
                <w:b w:val="1"/>
                <w:bCs w:val="1"/>
                <w:color w:val="auto"/>
              </w:rPr>
              <w:t>(62)</w:t>
            </w:r>
          </w:p>
        </w:tc>
        <w:tc>
          <w:tcPr>
            <w:tcW w:w="44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(67)</w:t>
            </w:r>
          </w:p>
        </w:tc>
        <w:tc>
          <w:tcPr>
            <w:tcW w:w="42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(189)</w:t>
            </w: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188"/>
        </w:trPr>
        <w:tc>
          <w:tcPr>
            <w:tcW w:w="3280" w:type="dxa"/>
            <w:vAlign w:val="bottom"/>
          </w:tcPr>
          <w:p>
            <w:pPr>
              <w:ind w:left="800"/>
              <w:spacing w:after="0" w:line="189" w:lineRule="exact"/>
              <w:rPr>
                <w:sz w:val="20"/>
                <w:szCs w:val="20"/>
                <w:color w:val="auto"/>
              </w:rPr>
            </w:pPr>
            <w:r>
              <w:rPr>
                <w:rFonts w:ascii="Arial" w:cs="Arial" w:eastAsia="Arial" w:hAnsi="Arial"/>
                <w:sz w:val="18"/>
                <w:szCs w:val="18"/>
                <w:color w:val="auto"/>
              </w:rPr>
              <w:t>Severance and restructuring</w:t>
            </w:r>
          </w:p>
        </w:tc>
        <w:tc>
          <w:tcPr>
            <w:tcW w:w="580" w:type="dxa"/>
            <w:vAlign w:val="bottom"/>
          </w:tcPr>
          <w:p>
            <w:pPr>
              <w:spacing w:after="0"/>
              <w:rPr>
                <w:sz w:val="16"/>
                <w:szCs w:val="16"/>
                <w:color w:val="auto"/>
              </w:rPr>
            </w:pPr>
          </w:p>
        </w:tc>
        <w:tc>
          <w:tcPr>
            <w:tcW w:w="158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0" w:type="dxa"/>
            <w:vAlign w:val="bottom"/>
            <w:vMerge w:val="restart"/>
          </w:tcPr>
          <w:p>
            <w:pPr>
              <w:jc w:val="right"/>
              <w:ind w:right="470"/>
              <w:spacing w:after="0"/>
              <w:rPr>
                <w:sz w:val="20"/>
                <w:szCs w:val="20"/>
                <w:color w:val="auto"/>
              </w:rPr>
            </w:pPr>
            <w:r>
              <w:rPr>
                <w:rFonts w:ascii="Arial" w:cs="Arial" w:eastAsia="Arial" w:hAnsi="Arial"/>
                <w:sz w:val="18"/>
                <w:szCs w:val="18"/>
                <w:b w:val="1"/>
                <w:bCs w:val="1"/>
                <w:color w:val="auto"/>
              </w:rPr>
              <w:t>(36)</w:t>
            </w:r>
          </w:p>
        </w:tc>
        <w:tc>
          <w:tcPr>
            <w:tcW w:w="4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280" w:type="dxa"/>
            <w:vAlign w:val="bottom"/>
          </w:tcPr>
          <w:p>
            <w:pPr>
              <w:ind w:left="360"/>
              <w:spacing w:after="0"/>
              <w:rPr>
                <w:sz w:val="20"/>
                <w:szCs w:val="20"/>
                <w:color w:val="auto"/>
              </w:rPr>
            </w:pPr>
            <w:r>
              <w:rPr>
                <w:rFonts w:ascii="Arial" w:cs="Arial" w:eastAsia="Arial" w:hAnsi="Arial"/>
                <w:sz w:val="18"/>
                <w:szCs w:val="18"/>
                <w:color w:val="auto"/>
              </w:rPr>
              <w:t>charges</w:t>
            </w:r>
          </w:p>
        </w:tc>
        <w:tc>
          <w:tcPr>
            <w:tcW w:w="580" w:type="dxa"/>
            <w:vAlign w:val="bottom"/>
          </w:tcPr>
          <w:p>
            <w:pPr>
              <w:spacing w:after="0"/>
              <w:rPr>
                <w:sz w:val="18"/>
                <w:szCs w:val="18"/>
                <w:color w:val="auto"/>
              </w:rPr>
            </w:pPr>
          </w:p>
        </w:tc>
        <w:tc>
          <w:tcPr>
            <w:tcW w:w="158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154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60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28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Other, net</w:t>
            </w:r>
          </w:p>
        </w:tc>
        <w:tc>
          <w:tcPr>
            <w:tcW w:w="5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b w:val="1"/>
                <w:bCs w:val="1"/>
                <w:color w:val="auto"/>
              </w:rPr>
              <w:t>15</w:t>
            </w:r>
          </w:p>
        </w:tc>
        <w:tc>
          <w:tcPr>
            <w:tcW w:w="4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(17)</w:t>
            </w:r>
          </w:p>
        </w:tc>
        <w:tc>
          <w:tcPr>
            <w:tcW w:w="4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59</w:t>
            </w:r>
          </w:p>
        </w:tc>
        <w:tc>
          <w:tcPr>
            <w:tcW w:w="4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23"/>
        </w:trPr>
        <w:tc>
          <w:tcPr>
            <w:tcW w:w="328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Total unallocated items</w:t>
            </w:r>
          </w:p>
        </w:tc>
        <w:tc>
          <w:tcPr>
            <w:tcW w:w="5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444</w:t>
            </w:r>
          </w:p>
        </w:tc>
        <w:tc>
          <w:tcPr>
            <w:tcW w:w="4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385</w:t>
            </w:r>
          </w:p>
        </w:tc>
        <w:tc>
          <w:tcPr>
            <w:tcW w:w="4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1,303</w:t>
            </w:r>
          </w:p>
        </w:tc>
        <w:tc>
          <w:tcPr>
            <w:tcW w:w="4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1,078</w:t>
            </w:r>
          </w:p>
        </w:tc>
        <w:tc>
          <w:tcPr>
            <w:tcW w:w="0" w:type="dxa"/>
            <w:vAlign w:val="bottom"/>
          </w:tcPr>
          <w:p>
            <w:pPr>
              <w:spacing w:after="0"/>
              <w:rPr>
                <w:sz w:val="1"/>
                <w:szCs w:val="1"/>
                <w:color w:val="auto"/>
              </w:rPr>
            </w:pPr>
          </w:p>
        </w:tc>
      </w:tr>
      <w:tr>
        <w:trPr>
          <w:trHeight w:val="182"/>
        </w:trPr>
        <w:tc>
          <w:tcPr>
            <w:tcW w:w="3280" w:type="dxa"/>
            <w:vAlign w:val="bottom"/>
            <w:shd w:val="clear" w:color="auto" w:fill="CCEEFF"/>
          </w:tcPr>
          <w:p>
            <w:pPr>
              <w:ind w:left="800"/>
              <w:spacing w:after="0" w:line="182" w:lineRule="exact"/>
              <w:rPr>
                <w:sz w:val="20"/>
                <w:szCs w:val="20"/>
                <w:color w:val="auto"/>
              </w:rPr>
            </w:pPr>
            <w:r>
              <w:rPr>
                <w:rFonts w:ascii="Arial" w:cs="Arial" w:eastAsia="Arial" w:hAnsi="Arial"/>
                <w:sz w:val="18"/>
                <w:szCs w:val="18"/>
                <w:color w:val="auto"/>
              </w:rPr>
              <w:t>Total consolidated operating</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580" w:type="dxa"/>
            <w:vAlign w:val="bottom"/>
            <w:vMerge w:val="restart"/>
            <w:shd w:val="clear" w:color="auto" w:fill="CCEEFF"/>
          </w:tcPr>
          <w:p>
            <w:pPr>
              <w:jc w:val="right"/>
              <w:ind w:right="490"/>
              <w:spacing w:after="0"/>
              <w:rPr>
                <w:sz w:val="20"/>
                <w:szCs w:val="20"/>
                <w:color w:val="auto"/>
              </w:rPr>
            </w:pPr>
            <w:r>
              <w:rPr>
                <w:rFonts w:ascii="Arial" w:cs="Arial" w:eastAsia="Arial" w:hAnsi="Arial"/>
                <w:sz w:val="18"/>
                <w:szCs w:val="18"/>
                <w:b w:val="1"/>
                <w:bCs w:val="1"/>
                <w:color w:val="auto"/>
              </w:rPr>
              <w:t>2,294</w:t>
            </w:r>
          </w:p>
        </w:tc>
        <w:tc>
          <w:tcPr>
            <w:tcW w:w="44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0" w:type="dxa"/>
            <w:vAlign w:val="bottom"/>
            <w:vMerge w:val="restart"/>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6,668</w:t>
            </w:r>
          </w:p>
        </w:tc>
        <w:tc>
          <w:tcPr>
            <w:tcW w:w="4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2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profit</w:t>
            </w:r>
          </w:p>
        </w:tc>
        <w:tc>
          <w:tcPr>
            <w:tcW w:w="580" w:type="dxa"/>
            <w:vAlign w:val="bottom"/>
            <w:tcBorders>
              <w:bottom w:val="single" w:sz="8" w:color="auto"/>
            </w:tcBorders>
            <w:vMerge w:val="continue"/>
            <w:shd w:val="clear" w:color="auto" w:fill="CCEEFF"/>
          </w:tcPr>
          <w:p>
            <w:pPr>
              <w:spacing w:after="0"/>
              <w:rPr>
                <w:sz w:val="18"/>
                <w:szCs w:val="18"/>
                <w:color w:val="auto"/>
              </w:rPr>
            </w:pPr>
          </w:p>
        </w:tc>
        <w:tc>
          <w:tcPr>
            <w:tcW w:w="1580" w:type="dxa"/>
            <w:vAlign w:val="bottom"/>
            <w:tcBorders>
              <w:bottom w:val="single" w:sz="8" w:color="auto"/>
            </w:tcBorders>
            <w:vMerge w:val="continue"/>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2,147</w:t>
            </w:r>
          </w:p>
        </w:tc>
        <w:tc>
          <w:tcPr>
            <w:tcW w:w="420" w:type="dxa"/>
            <w:vAlign w:val="bottom"/>
            <w:tcBorders>
              <w:bottom w:val="single" w:sz="8" w:color="auto"/>
            </w:tcBorders>
            <w:vMerge w:val="continue"/>
            <w:shd w:val="clear" w:color="auto" w:fill="CCEEFF"/>
          </w:tcPr>
          <w:p>
            <w:pPr>
              <w:spacing w:after="0"/>
              <w:rPr>
                <w:sz w:val="18"/>
                <w:szCs w:val="18"/>
                <w:color w:val="auto"/>
              </w:rPr>
            </w:pPr>
          </w:p>
        </w:tc>
        <w:tc>
          <w:tcPr>
            <w:tcW w:w="1600" w:type="dxa"/>
            <w:vAlign w:val="bottom"/>
            <w:tcBorders>
              <w:bottom w:val="single" w:sz="8" w:color="auto"/>
            </w:tcBorders>
            <w:vMerge w:val="continue"/>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6,355</w:t>
            </w:r>
          </w:p>
        </w:tc>
        <w:tc>
          <w:tcPr>
            <w:tcW w:w="0" w:type="dxa"/>
            <w:vAlign w:val="bottom"/>
          </w:tcPr>
          <w:p>
            <w:pPr>
              <w:spacing w:after="0"/>
              <w:rPr>
                <w:sz w:val="1"/>
                <w:szCs w:val="1"/>
                <w:color w:val="auto"/>
              </w:rPr>
            </w:pPr>
          </w:p>
        </w:tc>
      </w:tr>
      <w:tr>
        <w:trPr>
          <w:trHeight w:val="223"/>
        </w:trPr>
        <w:tc>
          <w:tcPr>
            <w:tcW w:w="3280" w:type="dxa"/>
            <w:vAlign w:val="bottom"/>
          </w:tcPr>
          <w:p>
            <w:pPr>
              <w:ind w:left="480"/>
              <w:spacing w:after="0"/>
              <w:rPr>
                <w:sz w:val="20"/>
                <w:szCs w:val="20"/>
                <w:color w:val="auto"/>
              </w:rPr>
            </w:pPr>
            <w:r>
              <w:rPr>
                <w:rFonts w:ascii="Arial" w:cs="Arial" w:eastAsia="Arial" w:hAnsi="Arial"/>
                <w:sz w:val="18"/>
                <w:szCs w:val="18"/>
                <w:b w:val="1"/>
                <w:bCs w:val="1"/>
                <w:color w:val="auto"/>
              </w:rPr>
              <w:t>Intersegment sales</w:t>
            </w:r>
          </w:p>
        </w:tc>
        <w:tc>
          <w:tcPr>
            <w:tcW w:w="5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Aeronautics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580" w:type="dxa"/>
            <w:vAlign w:val="bottom"/>
            <w:shd w:val="clear" w:color="auto" w:fill="CCEEFF"/>
          </w:tcPr>
          <w:p>
            <w:pPr>
              <w:jc w:val="right"/>
              <w:ind w:right="490"/>
              <w:spacing w:after="0"/>
              <w:rPr>
                <w:sz w:val="20"/>
                <w:szCs w:val="20"/>
                <w:color w:val="auto"/>
              </w:rPr>
            </w:pPr>
            <w:r>
              <w:rPr>
                <w:rFonts w:ascii="Arial" w:cs="Arial" w:eastAsia="Arial" w:hAnsi="Arial"/>
                <w:sz w:val="18"/>
                <w:szCs w:val="18"/>
                <w:b w:val="1"/>
                <w:bCs w:val="1"/>
                <w:color w:val="auto"/>
              </w:rPr>
              <w:t>60</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59</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0" w:type="dxa"/>
            <w:vAlign w:val="bottom"/>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165</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30"/>
        </w:trPr>
        <w:tc>
          <w:tcPr>
            <w:tcW w:w="3280" w:type="dxa"/>
            <w:vAlign w:val="bottom"/>
          </w:tcPr>
          <w:p>
            <w:pPr>
              <w:ind w:left="680"/>
              <w:spacing w:after="0"/>
              <w:rPr>
                <w:sz w:val="20"/>
                <w:szCs w:val="20"/>
                <w:color w:val="auto"/>
              </w:rPr>
            </w:pPr>
            <w:r>
              <w:rPr>
                <w:rFonts w:ascii="Arial" w:cs="Arial" w:eastAsia="Arial" w:hAnsi="Arial"/>
                <w:sz w:val="18"/>
                <w:szCs w:val="18"/>
                <w:color w:val="auto"/>
              </w:rPr>
              <w:t>Missiles and Fire Control</w:t>
            </w:r>
          </w:p>
        </w:tc>
        <w:tc>
          <w:tcPr>
            <w:tcW w:w="580" w:type="dxa"/>
            <w:vAlign w:val="bottom"/>
          </w:tcPr>
          <w:p>
            <w:pPr>
              <w:spacing w:after="0"/>
              <w:rPr>
                <w:sz w:val="19"/>
                <w:szCs w:val="19"/>
                <w:color w:val="auto"/>
              </w:rPr>
            </w:pPr>
          </w:p>
        </w:tc>
        <w:tc>
          <w:tcPr>
            <w:tcW w:w="1580" w:type="dxa"/>
            <w:vAlign w:val="bottom"/>
          </w:tcPr>
          <w:p>
            <w:pPr>
              <w:jc w:val="right"/>
              <w:ind w:right="490"/>
              <w:spacing w:after="0"/>
              <w:rPr>
                <w:sz w:val="20"/>
                <w:szCs w:val="20"/>
                <w:color w:val="auto"/>
              </w:rPr>
            </w:pPr>
            <w:r>
              <w:rPr>
                <w:rFonts w:ascii="Arial" w:cs="Arial" w:eastAsia="Arial" w:hAnsi="Arial"/>
                <w:sz w:val="18"/>
                <w:szCs w:val="18"/>
                <w:b w:val="1"/>
                <w:bCs w:val="1"/>
                <w:color w:val="auto"/>
              </w:rPr>
              <w:t>153</w:t>
            </w:r>
          </w:p>
        </w:tc>
        <w:tc>
          <w:tcPr>
            <w:tcW w:w="440" w:type="dxa"/>
            <w:vAlign w:val="bottom"/>
          </w:tcPr>
          <w:p>
            <w:pPr>
              <w:spacing w:after="0"/>
              <w:rPr>
                <w:sz w:val="19"/>
                <w:szCs w:val="19"/>
                <w:color w:val="auto"/>
              </w:rPr>
            </w:pPr>
          </w:p>
        </w:tc>
        <w:tc>
          <w:tcPr>
            <w:tcW w:w="1540" w:type="dxa"/>
            <w:vAlign w:val="bottom"/>
          </w:tcPr>
          <w:p>
            <w:pPr>
              <w:jc w:val="right"/>
              <w:ind w:right="450"/>
              <w:spacing w:after="0"/>
              <w:rPr>
                <w:sz w:val="20"/>
                <w:szCs w:val="20"/>
                <w:color w:val="auto"/>
              </w:rPr>
            </w:pPr>
            <w:r>
              <w:rPr>
                <w:rFonts w:ascii="Arial" w:cs="Arial" w:eastAsia="Arial" w:hAnsi="Arial"/>
                <w:sz w:val="18"/>
                <w:szCs w:val="18"/>
                <w:color w:val="auto"/>
              </w:rPr>
              <w:t>129</w:t>
            </w:r>
          </w:p>
        </w:tc>
        <w:tc>
          <w:tcPr>
            <w:tcW w:w="420" w:type="dxa"/>
            <w:vAlign w:val="bottom"/>
          </w:tcPr>
          <w:p>
            <w:pPr>
              <w:spacing w:after="0"/>
              <w:rPr>
                <w:sz w:val="19"/>
                <w:szCs w:val="19"/>
                <w:color w:val="auto"/>
              </w:rPr>
            </w:pPr>
          </w:p>
        </w:tc>
        <w:tc>
          <w:tcPr>
            <w:tcW w:w="1600" w:type="dxa"/>
            <w:vAlign w:val="bottom"/>
          </w:tcPr>
          <w:p>
            <w:pPr>
              <w:jc w:val="right"/>
              <w:ind w:right="530"/>
              <w:spacing w:after="0"/>
              <w:rPr>
                <w:sz w:val="20"/>
                <w:szCs w:val="20"/>
                <w:color w:val="auto"/>
              </w:rPr>
            </w:pPr>
            <w:r>
              <w:rPr>
                <w:rFonts w:ascii="Arial" w:cs="Arial" w:eastAsia="Arial" w:hAnsi="Arial"/>
                <w:sz w:val="18"/>
                <w:szCs w:val="18"/>
                <w:b w:val="1"/>
                <w:bCs w:val="1"/>
                <w:color w:val="auto"/>
              </w:rPr>
              <w:t>449</w:t>
            </w:r>
          </w:p>
        </w:tc>
        <w:tc>
          <w:tcPr>
            <w:tcW w:w="440" w:type="dxa"/>
            <w:vAlign w:val="bottom"/>
          </w:tcPr>
          <w:p>
            <w:pPr>
              <w:spacing w:after="0"/>
              <w:rPr>
                <w:sz w:val="19"/>
                <w:szCs w:val="19"/>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Rotary and Mission Systems</w:t>
            </w:r>
          </w:p>
        </w:tc>
        <w:tc>
          <w:tcPr>
            <w:tcW w:w="58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490"/>
              <w:spacing w:after="0"/>
              <w:rPr>
                <w:sz w:val="20"/>
                <w:szCs w:val="20"/>
                <w:color w:val="auto"/>
              </w:rPr>
            </w:pPr>
            <w:r>
              <w:rPr>
                <w:rFonts w:ascii="Arial" w:cs="Arial" w:eastAsia="Arial" w:hAnsi="Arial"/>
                <w:sz w:val="18"/>
                <w:szCs w:val="18"/>
                <w:b w:val="1"/>
                <w:bCs w:val="1"/>
                <w:color w:val="auto"/>
              </w:rPr>
              <w:t>455</w:t>
            </w:r>
          </w:p>
        </w:tc>
        <w:tc>
          <w:tcPr>
            <w:tcW w:w="44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438</w:t>
            </w:r>
          </w:p>
        </w:tc>
        <w:tc>
          <w:tcPr>
            <w:tcW w:w="42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1,381</w:t>
            </w: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1,438</w:t>
            </w:r>
          </w:p>
        </w:tc>
        <w:tc>
          <w:tcPr>
            <w:tcW w:w="0" w:type="dxa"/>
            <w:vAlign w:val="bottom"/>
          </w:tcPr>
          <w:p>
            <w:pPr>
              <w:spacing w:after="0"/>
              <w:rPr>
                <w:sz w:val="1"/>
                <w:szCs w:val="1"/>
                <w:color w:val="auto"/>
              </w:rPr>
            </w:pPr>
          </w:p>
        </w:tc>
      </w:tr>
      <w:tr>
        <w:trPr>
          <w:trHeight w:val="230"/>
        </w:trPr>
        <w:tc>
          <w:tcPr>
            <w:tcW w:w="328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Space</w:t>
            </w:r>
          </w:p>
        </w:tc>
        <w:tc>
          <w:tcPr>
            <w:tcW w:w="5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95</w:t>
            </w:r>
          </w:p>
        </w:tc>
        <w:tc>
          <w:tcPr>
            <w:tcW w:w="4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83</w:t>
            </w:r>
          </w:p>
        </w:tc>
        <w:tc>
          <w:tcPr>
            <w:tcW w:w="4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269</w:t>
            </w:r>
          </w:p>
        </w:tc>
        <w:tc>
          <w:tcPr>
            <w:tcW w:w="4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23"/>
        </w:trPr>
        <w:tc>
          <w:tcPr>
            <w:tcW w:w="328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Total intersegment sales</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58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b w:val="1"/>
                <w:bCs w:val="1"/>
                <w:color w:val="auto"/>
              </w:rPr>
              <w:t>763</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709</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2,264</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2,318</w:t>
            </w:r>
          </w:p>
        </w:tc>
        <w:tc>
          <w:tcPr>
            <w:tcW w:w="0" w:type="dxa"/>
            <w:vAlign w:val="bottom"/>
          </w:tcPr>
          <w:p>
            <w:pPr>
              <w:spacing w:after="0"/>
              <w:rPr>
                <w:sz w:val="1"/>
                <w:szCs w:val="1"/>
                <w:color w:val="auto"/>
              </w:rPr>
            </w:pPr>
          </w:p>
        </w:tc>
      </w:tr>
      <w:tr>
        <w:trPr>
          <w:trHeight w:val="169"/>
        </w:trPr>
        <w:tc>
          <w:tcPr>
            <w:tcW w:w="3280" w:type="dxa"/>
            <w:vAlign w:val="bottom"/>
          </w:tcPr>
          <w:p>
            <w:pPr>
              <w:ind w:left="520"/>
              <w:spacing w:after="0" w:line="169" w:lineRule="exact"/>
              <w:rPr>
                <w:sz w:val="20"/>
                <w:szCs w:val="20"/>
                <w:color w:val="auto"/>
              </w:rPr>
            </w:pPr>
            <w:r>
              <w:rPr>
                <w:rFonts w:ascii="Arial" w:cs="Arial" w:eastAsia="Arial" w:hAnsi="Arial"/>
                <w:sz w:val="18"/>
                <w:szCs w:val="18"/>
                <w:b w:val="1"/>
                <w:bCs w:val="1"/>
                <w:color w:val="auto"/>
              </w:rPr>
              <w:t>Amortization of purchased</w:t>
            </w:r>
          </w:p>
        </w:tc>
        <w:tc>
          <w:tcPr>
            <w:tcW w:w="5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80"/>
              <w:spacing w:after="0"/>
              <w:rPr>
                <w:sz w:val="20"/>
                <w:szCs w:val="20"/>
                <w:color w:val="auto"/>
              </w:rPr>
            </w:pPr>
            <w:r>
              <w:rPr>
                <w:rFonts w:ascii="Arial" w:cs="Arial" w:eastAsia="Arial" w:hAnsi="Arial"/>
                <w:sz w:val="18"/>
                <w:szCs w:val="18"/>
                <w:b w:val="1"/>
                <w:bCs w:val="1"/>
                <w:color w:val="auto"/>
              </w:rPr>
              <w:t>intangibles</w:t>
            </w:r>
          </w:p>
        </w:tc>
        <w:tc>
          <w:tcPr>
            <w:tcW w:w="5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Aeronautics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580" w:type="dxa"/>
            <w:vAlign w:val="bottom"/>
            <w:shd w:val="clear" w:color="auto" w:fill="CCEEFF"/>
          </w:tcPr>
          <w:p>
            <w:pPr>
              <w:jc w:val="right"/>
              <w:ind w:right="490"/>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0" w:type="dxa"/>
            <w:vAlign w:val="bottom"/>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(1)</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280" w:type="dxa"/>
            <w:vAlign w:val="bottom"/>
          </w:tcPr>
          <w:p>
            <w:pPr>
              <w:ind w:left="680"/>
              <w:spacing w:after="0"/>
              <w:rPr>
                <w:sz w:val="20"/>
                <w:szCs w:val="20"/>
                <w:color w:val="auto"/>
              </w:rPr>
            </w:pPr>
            <w:r>
              <w:rPr>
                <w:rFonts w:ascii="Arial" w:cs="Arial" w:eastAsia="Arial" w:hAnsi="Arial"/>
                <w:sz w:val="18"/>
                <w:szCs w:val="18"/>
                <w:color w:val="auto"/>
              </w:rPr>
              <w:t>Missiles and Fire Control</w:t>
            </w:r>
          </w:p>
        </w:tc>
        <w:tc>
          <w:tcPr>
            <w:tcW w:w="580" w:type="dxa"/>
            <w:vAlign w:val="bottom"/>
          </w:tcPr>
          <w:p>
            <w:pPr>
              <w:spacing w:after="0"/>
              <w:rPr>
                <w:sz w:val="19"/>
                <w:szCs w:val="19"/>
                <w:color w:val="auto"/>
              </w:rPr>
            </w:pPr>
          </w:p>
        </w:tc>
        <w:tc>
          <w:tcPr>
            <w:tcW w:w="1580" w:type="dxa"/>
            <w:vAlign w:val="bottom"/>
          </w:tcPr>
          <w:p>
            <w:pPr>
              <w:jc w:val="right"/>
              <w:ind w:right="450"/>
              <w:spacing w:after="0"/>
              <w:rPr>
                <w:sz w:val="20"/>
                <w:szCs w:val="20"/>
                <w:color w:val="auto"/>
              </w:rPr>
            </w:pPr>
            <w:r>
              <w:rPr>
                <w:rFonts w:ascii="Arial" w:cs="Arial" w:eastAsia="Arial" w:hAnsi="Arial"/>
                <w:sz w:val="18"/>
                <w:szCs w:val="18"/>
                <w:b w:val="1"/>
                <w:bCs w:val="1"/>
                <w:color w:val="auto"/>
              </w:rPr>
              <w:t>(1)</w:t>
            </w:r>
          </w:p>
        </w:tc>
        <w:tc>
          <w:tcPr>
            <w:tcW w:w="440" w:type="dxa"/>
            <w:vAlign w:val="bottom"/>
          </w:tcPr>
          <w:p>
            <w:pPr>
              <w:spacing w:after="0"/>
              <w:rPr>
                <w:sz w:val="19"/>
                <w:szCs w:val="19"/>
                <w:color w:val="auto"/>
              </w:rPr>
            </w:pPr>
          </w:p>
        </w:tc>
        <w:tc>
          <w:tcPr>
            <w:tcW w:w="1540" w:type="dxa"/>
            <w:vAlign w:val="bottom"/>
          </w:tcPr>
          <w:p>
            <w:pPr>
              <w:jc w:val="right"/>
              <w:ind w:right="390"/>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19"/>
                <w:szCs w:val="19"/>
                <w:color w:val="auto"/>
              </w:rPr>
            </w:pPr>
          </w:p>
        </w:tc>
        <w:tc>
          <w:tcPr>
            <w:tcW w:w="1600" w:type="dxa"/>
            <w:vAlign w:val="bottom"/>
          </w:tcPr>
          <w:p>
            <w:pPr>
              <w:jc w:val="right"/>
              <w:ind w:right="470"/>
              <w:spacing w:after="0"/>
              <w:rPr>
                <w:sz w:val="20"/>
                <w:szCs w:val="20"/>
                <w:color w:val="auto"/>
              </w:rPr>
            </w:pPr>
            <w:r>
              <w:rPr>
                <w:rFonts w:ascii="Arial" w:cs="Arial" w:eastAsia="Arial" w:hAnsi="Arial"/>
                <w:sz w:val="18"/>
                <w:szCs w:val="18"/>
                <w:b w:val="1"/>
                <w:bCs w:val="1"/>
                <w:color w:val="auto"/>
              </w:rPr>
              <w:t>(2)</w:t>
            </w:r>
          </w:p>
        </w:tc>
        <w:tc>
          <w:tcPr>
            <w:tcW w:w="440" w:type="dxa"/>
            <w:vAlign w:val="bottom"/>
          </w:tcPr>
          <w:p>
            <w:pPr>
              <w:spacing w:after="0"/>
              <w:rPr>
                <w:sz w:val="19"/>
                <w:szCs w:val="19"/>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Rotary and Mission Systems</w:t>
            </w:r>
          </w:p>
        </w:tc>
        <w:tc>
          <w:tcPr>
            <w:tcW w:w="58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450"/>
              <w:spacing w:after="0"/>
              <w:rPr>
                <w:sz w:val="20"/>
                <w:szCs w:val="20"/>
                <w:color w:val="auto"/>
              </w:rPr>
            </w:pPr>
            <w:r>
              <w:rPr>
                <w:rFonts w:ascii="Arial" w:cs="Arial" w:eastAsia="Arial" w:hAnsi="Arial"/>
                <w:sz w:val="18"/>
                <w:szCs w:val="18"/>
                <w:b w:val="1"/>
                <w:bCs w:val="1"/>
                <w:color w:val="auto"/>
              </w:rPr>
              <w:t>(58)</w:t>
            </w:r>
          </w:p>
        </w:tc>
        <w:tc>
          <w:tcPr>
            <w:tcW w:w="44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(58)</w:t>
            </w:r>
          </w:p>
        </w:tc>
        <w:tc>
          <w:tcPr>
            <w:tcW w:w="42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(174)</w:t>
            </w: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30"/>
        </w:trPr>
        <w:tc>
          <w:tcPr>
            <w:tcW w:w="328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Space</w:t>
            </w:r>
          </w:p>
        </w:tc>
        <w:tc>
          <w:tcPr>
            <w:tcW w:w="5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w:t>
            </w:r>
          </w:p>
        </w:tc>
        <w:tc>
          <w:tcPr>
            <w:tcW w:w="4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(7)</w:t>
            </w:r>
          </w:p>
        </w:tc>
        <w:tc>
          <w:tcPr>
            <w:tcW w:w="4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(46)</w:t>
            </w:r>
          </w:p>
        </w:tc>
        <w:tc>
          <w:tcPr>
            <w:tcW w:w="4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82"/>
        </w:trPr>
        <w:tc>
          <w:tcPr>
            <w:tcW w:w="3280" w:type="dxa"/>
            <w:vAlign w:val="bottom"/>
            <w:shd w:val="clear" w:color="auto" w:fill="CCEEFF"/>
          </w:tcPr>
          <w:p>
            <w:pPr>
              <w:ind w:left="800"/>
              <w:spacing w:after="0" w:line="182" w:lineRule="exact"/>
              <w:rPr>
                <w:sz w:val="20"/>
                <w:szCs w:val="20"/>
                <w:color w:val="auto"/>
              </w:rPr>
            </w:pPr>
            <w:r>
              <w:rPr>
                <w:rFonts w:ascii="Arial" w:cs="Arial" w:eastAsia="Arial" w:hAnsi="Arial"/>
                <w:sz w:val="18"/>
                <w:szCs w:val="18"/>
                <w:color w:val="auto"/>
              </w:rPr>
              <w:t>Total amortization of</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580" w:type="dxa"/>
            <w:vAlign w:val="bottom"/>
            <w:vMerge w:val="restart"/>
            <w:shd w:val="clear" w:color="auto" w:fill="CCEEFF"/>
          </w:tcPr>
          <w:p>
            <w:pPr>
              <w:jc w:val="right"/>
              <w:ind w:right="450"/>
              <w:spacing w:after="0"/>
              <w:rPr>
                <w:sz w:val="20"/>
                <w:szCs w:val="20"/>
                <w:color w:val="auto"/>
              </w:rPr>
            </w:pPr>
            <w:r>
              <w:rPr>
                <w:rFonts w:ascii="Arial" w:cs="Arial" w:eastAsia="Arial" w:hAnsi="Arial"/>
                <w:sz w:val="18"/>
                <w:szCs w:val="18"/>
                <w:b w:val="1"/>
                <w:bCs w:val="1"/>
                <w:color w:val="auto"/>
              </w:rPr>
              <w:t>(61)</w:t>
            </w:r>
          </w:p>
        </w:tc>
        <w:tc>
          <w:tcPr>
            <w:tcW w:w="44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0" w:type="dxa"/>
            <w:vAlign w:val="bottom"/>
            <w:vMerge w:val="restart"/>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(223)</w:t>
            </w:r>
          </w:p>
        </w:tc>
        <w:tc>
          <w:tcPr>
            <w:tcW w:w="4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2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purchased intangibles</w:t>
            </w:r>
          </w:p>
        </w:tc>
        <w:tc>
          <w:tcPr>
            <w:tcW w:w="580" w:type="dxa"/>
            <w:vAlign w:val="bottom"/>
            <w:tcBorders>
              <w:bottom w:val="single" w:sz="8" w:color="auto"/>
            </w:tcBorders>
            <w:vMerge w:val="continue"/>
            <w:shd w:val="clear" w:color="auto" w:fill="CCEEFF"/>
          </w:tcPr>
          <w:p>
            <w:pPr>
              <w:spacing w:after="0"/>
              <w:rPr>
                <w:sz w:val="19"/>
                <w:szCs w:val="19"/>
                <w:color w:val="auto"/>
              </w:rPr>
            </w:pPr>
          </w:p>
        </w:tc>
        <w:tc>
          <w:tcPr>
            <w:tcW w:w="1580" w:type="dxa"/>
            <w:vAlign w:val="bottom"/>
            <w:tcBorders>
              <w:bottom w:val="single" w:sz="8" w:color="auto"/>
            </w:tcBorders>
            <w:vMerge w:val="continue"/>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(66)</w:t>
            </w:r>
          </w:p>
        </w:tc>
        <w:tc>
          <w:tcPr>
            <w:tcW w:w="420" w:type="dxa"/>
            <w:vAlign w:val="bottom"/>
            <w:tcBorders>
              <w:bottom w:val="single" w:sz="8" w:color="auto"/>
            </w:tcBorders>
            <w:vMerge w:val="continue"/>
            <w:shd w:val="clear" w:color="auto" w:fill="CCEEFF"/>
          </w:tcPr>
          <w:p>
            <w:pPr>
              <w:spacing w:after="0"/>
              <w:rPr>
                <w:sz w:val="19"/>
                <w:szCs w:val="19"/>
                <w:color w:val="auto"/>
              </w:rPr>
            </w:pPr>
          </w:p>
        </w:tc>
        <w:tc>
          <w:tcPr>
            <w:tcW w:w="1600" w:type="dxa"/>
            <w:vAlign w:val="bottom"/>
            <w:tcBorders>
              <w:bottom w:val="single" w:sz="8" w:color="auto"/>
            </w:tcBorders>
            <w:vMerge w:val="continue"/>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Lockheed Martin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 (continued)</w:t>
      </w:r>
    </w:p>
    <w:p>
      <w:pPr>
        <w:spacing w:after="0" w:line="347" w:lineRule="exact"/>
        <w:rPr>
          <w:sz w:val="20"/>
          <w:szCs w:val="20"/>
          <w:color w:val="auto"/>
        </w:rPr>
      </w:pPr>
    </w:p>
    <w:p>
      <w:pPr>
        <w:ind w:firstLine="445"/>
        <w:spacing w:after="0" w:line="269" w:lineRule="auto"/>
        <w:rPr>
          <w:sz w:val="20"/>
          <w:szCs w:val="20"/>
          <w:color w:val="auto"/>
        </w:rPr>
      </w:pPr>
      <w:r>
        <w:rPr>
          <w:rFonts w:ascii="Arial" w:cs="Arial" w:eastAsia="Arial" w:hAnsi="Arial"/>
          <w:sz w:val="17"/>
          <w:szCs w:val="17"/>
          <w:color w:val="auto"/>
        </w:rPr>
        <w:t>We recover CAS pension and other postretirement benefit plan cost through the pricing of our products and services on U.S. Government contracts and, therefore, recognize CAS pension cost in each of our business segment’s net sales and cost of sales. Our consolidated financial statements must present FAS pension and other postretirement benefit plan income calculated in accordance with FAS requirements under U.S. GAAP. The operating portion of the net FAS/CAS pension adjustment represents the difference between the service cost component of FAS pension (expense) income and total CAS pension cost. The non-service FAS pension (expense) income components are included in non-service FAS pension (expense) income in our consolidated statements of earnings. As a result, to the extent that CAS pension cost exceeds the service cost component of FAS pension (expense) income, we have a favorable FAS/CAS operating adjustment.</w:t>
      </w:r>
    </w:p>
    <w:p>
      <w:pPr>
        <w:spacing w:after="0" w:line="167" w:lineRule="exact"/>
        <w:rPr>
          <w:sz w:val="20"/>
          <w:szCs w:val="20"/>
          <w:color w:val="auto"/>
        </w:rPr>
      </w:pPr>
    </w:p>
    <w:p>
      <w:pPr>
        <w:jc w:val="both"/>
        <w:ind w:right="380" w:firstLine="445"/>
        <w:spacing w:after="0" w:line="256" w:lineRule="auto"/>
        <w:rPr>
          <w:sz w:val="20"/>
          <w:szCs w:val="20"/>
          <w:color w:val="auto"/>
        </w:rPr>
      </w:pPr>
      <w:r>
        <w:rPr>
          <w:rFonts w:ascii="Arial" w:cs="Arial" w:eastAsia="Arial" w:hAnsi="Arial"/>
          <w:sz w:val="18"/>
          <w:szCs w:val="18"/>
          <w:color w:val="auto"/>
        </w:rPr>
        <w:t>Our total net FAS/CAS pension adjustment for the quarters and nine months ended September 26, 2021 and September 27, 2020, including the service and non-service cost components of FAS pension (expense) income for our qualified defined benefit pension plans, were as follows (in millions):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36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2"/>
          </w:tcPr>
          <w:p>
            <w:pPr>
              <w:jc w:val="right"/>
              <w:ind w:right="275"/>
              <w:spacing w:after="0"/>
              <w:rPr>
                <w:sz w:val="20"/>
                <w:szCs w:val="20"/>
                <w:color w:val="auto"/>
              </w:rPr>
            </w:pPr>
            <w:r>
              <w:rPr>
                <w:rFonts w:ascii="Arial" w:cs="Arial" w:eastAsia="Arial" w:hAnsi="Arial"/>
                <w:sz w:val="17"/>
                <w:szCs w:val="17"/>
                <w:b w:val="1"/>
                <w:bCs w:val="1"/>
                <w:color w:val="auto"/>
              </w:rPr>
              <w:t>Quarters Ended</w:t>
            </w:r>
          </w:p>
        </w:tc>
        <w:tc>
          <w:tcPr>
            <w:tcW w:w="9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2"/>
          </w:tcPr>
          <w:p>
            <w:pPr>
              <w:jc w:val="right"/>
              <w:ind w:right="215"/>
              <w:spacing w:after="0"/>
              <w:rPr>
                <w:sz w:val="20"/>
                <w:szCs w:val="20"/>
                <w:color w:val="auto"/>
              </w:rPr>
            </w:pPr>
            <w:r>
              <w:rPr>
                <w:rFonts w:ascii="Arial" w:cs="Arial" w:eastAsia="Arial" w:hAnsi="Arial"/>
                <w:sz w:val="18"/>
                <w:szCs w:val="18"/>
                <w:b w:val="1"/>
                <w:bCs w:val="1"/>
                <w:color w:val="auto"/>
              </w:rPr>
              <w:t>Nine Months Ended</w:t>
            </w:r>
          </w:p>
        </w:tc>
        <w:tc>
          <w:tcPr>
            <w:tcW w:w="7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3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560" w:type="dxa"/>
            <w:vAlign w:val="bottom"/>
          </w:tcPr>
          <w:p>
            <w:pPr>
              <w:jc w:val="right"/>
              <w:ind w:right="275"/>
              <w:spacing w:after="0" w:line="155" w:lineRule="exact"/>
              <w:rPr>
                <w:sz w:val="20"/>
                <w:szCs w:val="20"/>
                <w:color w:val="auto"/>
              </w:rPr>
            </w:pPr>
            <w:r>
              <w:rPr>
                <w:rFonts w:ascii="Arial" w:cs="Arial" w:eastAsia="Arial" w:hAnsi="Arial"/>
                <w:sz w:val="17"/>
                <w:szCs w:val="17"/>
                <w:b w:val="1"/>
                <w:bCs w:val="1"/>
                <w:color w:val="auto"/>
              </w:rPr>
              <w:t>September 26,</w:t>
            </w:r>
          </w:p>
        </w:tc>
        <w:tc>
          <w:tcPr>
            <w:tcW w:w="1940" w:type="dxa"/>
            <w:vAlign w:val="bottom"/>
            <w:gridSpan w:val="2"/>
          </w:tcPr>
          <w:p>
            <w:pPr>
              <w:jc w:val="right"/>
              <w:ind w:right="255"/>
              <w:spacing w:after="0" w:line="155" w:lineRule="exact"/>
              <w:rPr>
                <w:sz w:val="20"/>
                <w:szCs w:val="20"/>
                <w:color w:val="auto"/>
              </w:rPr>
            </w:pPr>
            <w:r>
              <w:rPr>
                <w:rFonts w:ascii="Arial" w:cs="Arial" w:eastAsia="Arial" w:hAnsi="Arial"/>
                <w:sz w:val="17"/>
                <w:szCs w:val="17"/>
                <w:b w:val="1"/>
                <w:bCs w:val="1"/>
                <w:color w:val="auto"/>
              </w:rPr>
              <w:t>September 27,</w:t>
            </w:r>
          </w:p>
        </w:tc>
        <w:tc>
          <w:tcPr>
            <w:tcW w:w="1960" w:type="dxa"/>
            <w:vAlign w:val="bottom"/>
            <w:gridSpan w:val="2"/>
          </w:tcPr>
          <w:p>
            <w:pPr>
              <w:jc w:val="right"/>
              <w:ind w:right="314"/>
              <w:spacing w:after="0" w:line="155" w:lineRule="exact"/>
              <w:rPr>
                <w:sz w:val="20"/>
                <w:szCs w:val="20"/>
                <w:color w:val="auto"/>
              </w:rPr>
            </w:pPr>
            <w:r>
              <w:rPr>
                <w:rFonts w:ascii="Arial" w:cs="Arial" w:eastAsia="Arial" w:hAnsi="Arial"/>
                <w:sz w:val="17"/>
                <w:szCs w:val="17"/>
                <w:b w:val="1"/>
                <w:bCs w:val="1"/>
                <w:color w:val="auto"/>
              </w:rPr>
              <w:t>September 26,</w:t>
            </w:r>
          </w:p>
        </w:tc>
        <w:tc>
          <w:tcPr>
            <w:tcW w:w="1840" w:type="dxa"/>
            <w:vAlign w:val="bottom"/>
            <w:gridSpan w:val="2"/>
          </w:tcPr>
          <w:p>
            <w:pPr>
              <w:jc w:val="right"/>
              <w:ind w:right="115"/>
              <w:spacing w:after="0" w:line="155" w:lineRule="exact"/>
              <w:rPr>
                <w:sz w:val="20"/>
                <w:szCs w:val="20"/>
                <w:color w:val="auto"/>
              </w:rPr>
            </w:pPr>
            <w:r>
              <w:rPr>
                <w:rFonts w:ascii="Arial" w:cs="Arial" w:eastAsia="Arial" w:hAnsi="Arial"/>
                <w:sz w:val="17"/>
                <w:szCs w:val="17"/>
                <w:b w:val="1"/>
                <w:bCs w:val="1"/>
                <w:color w:val="auto"/>
              </w:rPr>
              <w:t>September 27,</w:t>
            </w:r>
          </w:p>
        </w:tc>
        <w:tc>
          <w:tcPr>
            <w:tcW w:w="0" w:type="dxa"/>
            <w:vAlign w:val="bottom"/>
          </w:tcPr>
          <w:p>
            <w:pPr>
              <w:spacing w:after="0"/>
              <w:rPr>
                <w:sz w:val="1"/>
                <w:szCs w:val="1"/>
                <w:color w:val="auto"/>
              </w:rPr>
            </w:pPr>
          </w:p>
        </w:tc>
      </w:tr>
      <w:tr>
        <w:trPr>
          <w:trHeight w:val="216"/>
        </w:trPr>
        <w:tc>
          <w:tcPr>
            <w:tcW w:w="33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895"/>
              <w:spacing w:after="0"/>
              <w:rPr>
                <w:sz w:val="20"/>
                <w:szCs w:val="20"/>
                <w:color w:val="auto"/>
              </w:rPr>
            </w:pPr>
            <w:r>
              <w:rPr>
                <w:rFonts w:ascii="Arial" w:cs="Arial" w:eastAsia="Arial" w:hAnsi="Arial"/>
                <w:sz w:val="17"/>
                <w:szCs w:val="17"/>
                <w:b w:val="1"/>
                <w:bCs w:val="1"/>
                <w:color w:val="auto"/>
              </w:rPr>
              <w:t>2021</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9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914"/>
              <w:spacing w:after="0"/>
              <w:rPr>
                <w:sz w:val="20"/>
                <w:szCs w:val="20"/>
                <w:color w:val="auto"/>
              </w:rPr>
            </w:pPr>
            <w:r>
              <w:rPr>
                <w:rFonts w:ascii="Arial" w:cs="Arial" w:eastAsia="Arial" w:hAnsi="Arial"/>
                <w:sz w:val="17"/>
                <w:szCs w:val="17"/>
                <w:b w:val="1"/>
                <w:bCs w:val="1"/>
                <w:color w:val="auto"/>
              </w:rPr>
              <w:t>2021</w:t>
            </w: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2020</w:t>
            </w:r>
          </w:p>
        </w:tc>
        <w:tc>
          <w:tcPr>
            <w:tcW w:w="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3360" w:type="dxa"/>
            <w:vAlign w:val="bottom"/>
            <w:shd w:val="clear" w:color="auto" w:fill="CCEEFF"/>
          </w:tcPr>
          <w:p>
            <w:pPr>
              <w:ind w:left="480"/>
              <w:spacing w:after="0" w:line="155" w:lineRule="exact"/>
              <w:rPr>
                <w:sz w:val="20"/>
                <w:szCs w:val="20"/>
                <w:color w:val="auto"/>
              </w:rPr>
            </w:pPr>
            <w:r>
              <w:rPr>
                <w:rFonts w:ascii="Arial" w:cs="Arial" w:eastAsia="Arial" w:hAnsi="Arial"/>
                <w:sz w:val="17"/>
                <w:szCs w:val="17"/>
                <w:b w:val="1"/>
                <w:bCs w:val="1"/>
                <w:color w:val="auto"/>
              </w:rPr>
              <w:t>Total FAS (expense) income and</w:t>
            </w:r>
          </w:p>
        </w:tc>
        <w:tc>
          <w:tcPr>
            <w:tcW w:w="58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CAS costs</w:t>
            </w:r>
          </w:p>
        </w:tc>
        <w:tc>
          <w:tcPr>
            <w:tcW w:w="5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ind w:left="680"/>
              <w:spacing w:after="0"/>
              <w:rPr>
                <w:sz w:val="20"/>
                <w:szCs w:val="20"/>
                <w:color w:val="auto"/>
              </w:rPr>
            </w:pPr>
            <w:r>
              <w:rPr>
                <w:rFonts w:ascii="Arial" w:cs="Arial" w:eastAsia="Arial" w:hAnsi="Arial"/>
                <w:sz w:val="17"/>
                <w:szCs w:val="17"/>
                <w:color w:val="auto"/>
              </w:rPr>
              <w:t>FAS pension (expense) income</w:t>
            </w:r>
          </w:p>
        </w:tc>
        <w:tc>
          <w:tcPr>
            <w:tcW w:w="5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560" w:type="dxa"/>
            <w:vAlign w:val="bottom"/>
          </w:tcPr>
          <w:p>
            <w:pPr>
              <w:jc w:val="right"/>
              <w:ind w:right="475"/>
              <w:spacing w:after="0"/>
              <w:rPr>
                <w:sz w:val="20"/>
                <w:szCs w:val="20"/>
                <w:color w:val="auto"/>
              </w:rPr>
            </w:pPr>
            <w:r>
              <w:rPr>
                <w:rFonts w:ascii="Arial" w:cs="Arial" w:eastAsia="Arial" w:hAnsi="Arial"/>
                <w:sz w:val="17"/>
                <w:szCs w:val="17"/>
                <w:b w:val="1"/>
                <w:bCs w:val="1"/>
                <w:color w:val="auto"/>
              </w:rPr>
              <w:t>(1,598)</w:t>
            </w:r>
          </w:p>
        </w:tc>
        <w:tc>
          <w:tcPr>
            <w:tcW w:w="1000" w:type="dxa"/>
            <w:vAlign w:val="bottom"/>
          </w:tcPr>
          <w:p>
            <w:pPr>
              <w:jc w:val="right"/>
              <w:ind w:right="455"/>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555"/>
              <w:spacing w:after="0"/>
              <w:rPr>
                <w:sz w:val="20"/>
                <w:szCs w:val="20"/>
                <w:color w:val="auto"/>
              </w:rPr>
            </w:pPr>
            <w:r>
              <w:rPr>
                <w:rFonts w:ascii="Arial" w:cs="Arial" w:eastAsia="Arial" w:hAnsi="Arial"/>
                <w:sz w:val="17"/>
                <w:szCs w:val="17"/>
                <w:color w:val="auto"/>
              </w:rPr>
              <w:t>29</w:t>
            </w:r>
          </w:p>
        </w:tc>
        <w:tc>
          <w:tcPr>
            <w:tcW w:w="5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460" w:type="dxa"/>
            <w:vAlign w:val="bottom"/>
          </w:tcPr>
          <w:p>
            <w:pPr>
              <w:jc w:val="right"/>
              <w:ind w:right="454"/>
              <w:spacing w:after="0"/>
              <w:rPr>
                <w:sz w:val="20"/>
                <w:szCs w:val="20"/>
                <w:color w:val="auto"/>
              </w:rPr>
            </w:pPr>
            <w:r>
              <w:rPr>
                <w:rFonts w:ascii="Arial" w:cs="Arial" w:eastAsia="Arial" w:hAnsi="Arial"/>
                <w:sz w:val="17"/>
                <w:szCs w:val="17"/>
                <w:b w:val="1"/>
                <w:bCs w:val="1"/>
                <w:color w:val="auto"/>
              </w:rPr>
              <w:t>(1,465)</w:t>
            </w:r>
          </w:p>
        </w:tc>
        <w:tc>
          <w:tcPr>
            <w:tcW w:w="1140" w:type="dxa"/>
            <w:vAlign w:val="bottom"/>
          </w:tcPr>
          <w:p>
            <w:pPr>
              <w:jc w:val="right"/>
              <w:ind w:right="575"/>
              <w:spacing w:after="0"/>
              <w:rPr>
                <w:sz w:val="20"/>
                <w:szCs w:val="20"/>
                <w:color w:val="auto"/>
              </w:rPr>
            </w:pPr>
            <w:r>
              <w:rPr>
                <w:rFonts w:ascii="Arial" w:cs="Arial" w:eastAsia="Arial" w:hAnsi="Arial"/>
                <w:sz w:val="17"/>
                <w:szCs w:val="17"/>
                <w:color w:val="auto"/>
              </w:rPr>
              <w:t>$</w:t>
            </w:r>
          </w:p>
        </w:tc>
        <w:tc>
          <w:tcPr>
            <w:tcW w:w="700" w:type="dxa"/>
            <w:vAlign w:val="bottom"/>
          </w:tcPr>
          <w:p>
            <w:pPr>
              <w:jc w:val="right"/>
              <w:ind w:right="75"/>
              <w:spacing w:after="0"/>
              <w:rPr>
                <w:sz w:val="20"/>
                <w:szCs w:val="20"/>
                <w:color w:val="auto"/>
              </w:rPr>
            </w:pPr>
            <w:r>
              <w:rPr>
                <w:rFonts w:ascii="Arial" w:cs="Arial" w:eastAsia="Arial" w:hAnsi="Arial"/>
                <w:sz w:val="17"/>
                <w:szCs w:val="17"/>
                <w:color w:val="auto"/>
              </w:rPr>
              <w:t>88</w:t>
            </w:r>
          </w:p>
        </w:tc>
        <w:tc>
          <w:tcPr>
            <w:tcW w:w="0" w:type="dxa"/>
            <w:vAlign w:val="bottom"/>
          </w:tcPr>
          <w:p>
            <w:pPr>
              <w:spacing w:after="0"/>
              <w:rPr>
                <w:sz w:val="1"/>
                <w:szCs w:val="1"/>
                <w:color w:val="auto"/>
              </w:rPr>
            </w:pPr>
          </w:p>
        </w:tc>
      </w:tr>
      <w:tr>
        <w:trPr>
          <w:trHeight w:val="216"/>
        </w:trPr>
        <w:tc>
          <w:tcPr>
            <w:tcW w:w="336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7"/>
                <w:szCs w:val="17"/>
                <w:color w:val="auto"/>
              </w:rPr>
              <w:t>Less: CAS pension cost</w:t>
            </w:r>
          </w:p>
        </w:tc>
        <w:tc>
          <w:tcPr>
            <w:tcW w:w="5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535"/>
              <w:spacing w:after="0"/>
              <w:rPr>
                <w:sz w:val="20"/>
                <w:szCs w:val="20"/>
                <w:color w:val="auto"/>
              </w:rPr>
            </w:pPr>
            <w:r>
              <w:rPr>
                <w:rFonts w:ascii="Arial" w:cs="Arial" w:eastAsia="Arial" w:hAnsi="Arial"/>
                <w:sz w:val="17"/>
                <w:szCs w:val="17"/>
                <w:b w:val="1"/>
                <w:bCs w:val="1"/>
                <w:color w:val="auto"/>
              </w:rPr>
              <w:t>517</w:t>
            </w:r>
          </w:p>
        </w:tc>
        <w:tc>
          <w:tcPr>
            <w:tcW w:w="10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555"/>
              <w:spacing w:after="0"/>
              <w:rPr>
                <w:sz w:val="20"/>
                <w:szCs w:val="20"/>
                <w:color w:val="auto"/>
              </w:rPr>
            </w:pPr>
            <w:r>
              <w:rPr>
                <w:rFonts w:ascii="Arial" w:cs="Arial" w:eastAsia="Arial" w:hAnsi="Arial"/>
                <w:sz w:val="17"/>
                <w:szCs w:val="17"/>
                <w:color w:val="auto"/>
                <w:w w:val="98"/>
              </w:rPr>
              <w:t>494</w:t>
            </w:r>
          </w:p>
        </w:tc>
        <w:tc>
          <w:tcPr>
            <w:tcW w:w="5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494"/>
              <w:spacing w:after="0"/>
              <w:rPr>
                <w:sz w:val="20"/>
                <w:szCs w:val="20"/>
                <w:color w:val="auto"/>
              </w:rPr>
            </w:pPr>
            <w:r>
              <w:rPr>
                <w:rFonts w:ascii="Arial" w:cs="Arial" w:eastAsia="Arial" w:hAnsi="Arial"/>
                <w:sz w:val="17"/>
                <w:szCs w:val="17"/>
                <w:b w:val="1"/>
                <w:bCs w:val="1"/>
                <w:color w:val="auto"/>
              </w:rPr>
              <w:t>1,549</w:t>
            </w:r>
          </w:p>
        </w:tc>
        <w:tc>
          <w:tcPr>
            <w:tcW w:w="1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1,483</w:t>
            </w:r>
          </w:p>
        </w:tc>
        <w:tc>
          <w:tcPr>
            <w:tcW w:w="0" w:type="dxa"/>
            <w:vAlign w:val="bottom"/>
          </w:tcPr>
          <w:p>
            <w:pPr>
              <w:spacing w:after="0"/>
              <w:rPr>
                <w:sz w:val="1"/>
                <w:szCs w:val="1"/>
                <w:color w:val="auto"/>
              </w:rPr>
            </w:pPr>
          </w:p>
        </w:tc>
      </w:tr>
      <w:tr>
        <w:trPr>
          <w:trHeight w:val="163"/>
        </w:trPr>
        <w:tc>
          <w:tcPr>
            <w:tcW w:w="3360" w:type="dxa"/>
            <w:vAlign w:val="bottom"/>
          </w:tcPr>
          <w:p>
            <w:pPr>
              <w:ind w:left="920"/>
              <w:spacing w:after="0" w:line="163" w:lineRule="exact"/>
              <w:rPr>
                <w:sz w:val="20"/>
                <w:szCs w:val="20"/>
                <w:color w:val="auto"/>
              </w:rPr>
            </w:pPr>
            <w:r>
              <w:rPr>
                <w:rFonts w:ascii="Arial" w:cs="Arial" w:eastAsia="Arial" w:hAnsi="Arial"/>
                <w:sz w:val="17"/>
                <w:szCs w:val="17"/>
                <w:color w:val="auto"/>
              </w:rPr>
              <w:t>Net FAS/CAS pension</w:t>
            </w:r>
          </w:p>
        </w:tc>
        <w:tc>
          <w:tcPr>
            <w:tcW w:w="5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1560" w:type="dxa"/>
            <w:vAlign w:val="bottom"/>
            <w:vMerge w:val="restart"/>
          </w:tcPr>
          <w:p>
            <w:pPr>
              <w:jc w:val="right"/>
              <w:ind w:right="475"/>
              <w:spacing w:after="0"/>
              <w:rPr>
                <w:sz w:val="20"/>
                <w:szCs w:val="20"/>
                <w:color w:val="auto"/>
              </w:rPr>
            </w:pPr>
            <w:r>
              <w:rPr>
                <w:rFonts w:ascii="Arial" w:cs="Arial" w:eastAsia="Arial" w:hAnsi="Arial"/>
                <w:sz w:val="17"/>
                <w:szCs w:val="17"/>
                <w:b w:val="1"/>
                <w:bCs w:val="1"/>
                <w:color w:val="auto"/>
              </w:rPr>
              <w:t>(1,081)</w:t>
            </w:r>
          </w:p>
        </w:tc>
        <w:tc>
          <w:tcPr>
            <w:tcW w:w="1000" w:type="dxa"/>
            <w:vAlign w:val="bottom"/>
            <w:vMerge w:val="restart"/>
          </w:tcPr>
          <w:p>
            <w:pPr>
              <w:jc w:val="right"/>
              <w:ind w:right="455"/>
              <w:spacing w:after="0"/>
              <w:rPr>
                <w:sz w:val="20"/>
                <w:szCs w:val="20"/>
                <w:color w:val="auto"/>
              </w:rPr>
            </w:pPr>
            <w:r>
              <w:rPr>
                <w:rFonts w:ascii="Arial" w:cs="Arial" w:eastAsia="Arial" w:hAnsi="Arial"/>
                <w:sz w:val="17"/>
                <w:szCs w:val="17"/>
                <w:color w:val="auto"/>
              </w:rPr>
              <w:t>$</w:t>
            </w:r>
          </w:p>
        </w:tc>
        <w:tc>
          <w:tcPr>
            <w:tcW w:w="940" w:type="dxa"/>
            <w:vAlign w:val="bottom"/>
            <w:vMerge w:val="restart"/>
          </w:tcPr>
          <w:p>
            <w:pPr>
              <w:jc w:val="right"/>
              <w:ind w:right="555"/>
              <w:spacing w:after="0"/>
              <w:rPr>
                <w:sz w:val="20"/>
                <w:szCs w:val="20"/>
                <w:color w:val="auto"/>
              </w:rPr>
            </w:pPr>
            <w:r>
              <w:rPr>
                <w:rFonts w:ascii="Arial" w:cs="Arial" w:eastAsia="Arial" w:hAnsi="Arial"/>
                <w:sz w:val="17"/>
                <w:szCs w:val="17"/>
                <w:color w:val="auto"/>
                <w:w w:val="98"/>
              </w:rPr>
              <w:t>523</w:t>
            </w:r>
          </w:p>
        </w:tc>
        <w:tc>
          <w:tcPr>
            <w:tcW w:w="5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1460" w:type="dxa"/>
            <w:vAlign w:val="bottom"/>
            <w:vMerge w:val="restart"/>
          </w:tcPr>
          <w:p>
            <w:pPr>
              <w:jc w:val="right"/>
              <w:ind w:right="494"/>
              <w:spacing w:after="0"/>
              <w:rPr>
                <w:sz w:val="20"/>
                <w:szCs w:val="20"/>
                <w:color w:val="auto"/>
              </w:rPr>
            </w:pPr>
            <w:r>
              <w:rPr>
                <w:rFonts w:ascii="Arial" w:cs="Arial" w:eastAsia="Arial" w:hAnsi="Arial"/>
                <w:sz w:val="17"/>
                <w:szCs w:val="17"/>
                <w:b w:val="1"/>
                <w:bCs w:val="1"/>
                <w:color w:val="auto"/>
              </w:rPr>
              <w:t>84</w:t>
            </w:r>
          </w:p>
        </w:tc>
        <w:tc>
          <w:tcPr>
            <w:tcW w:w="1140" w:type="dxa"/>
            <w:vAlign w:val="bottom"/>
            <w:vMerge w:val="restart"/>
          </w:tcPr>
          <w:p>
            <w:pPr>
              <w:jc w:val="right"/>
              <w:ind w:right="575"/>
              <w:spacing w:after="0"/>
              <w:rPr>
                <w:sz w:val="20"/>
                <w:szCs w:val="20"/>
                <w:color w:val="auto"/>
              </w:rPr>
            </w:pPr>
            <w:r>
              <w:rPr>
                <w:rFonts w:ascii="Arial" w:cs="Arial" w:eastAsia="Arial" w:hAnsi="Arial"/>
                <w:sz w:val="17"/>
                <w:szCs w:val="17"/>
                <w:color w:val="auto"/>
              </w:rPr>
              <w:t>$</w:t>
            </w:r>
          </w:p>
        </w:tc>
        <w:tc>
          <w:tcPr>
            <w:tcW w:w="700" w:type="dxa"/>
            <w:vAlign w:val="bottom"/>
            <w:vMerge w:val="restart"/>
          </w:tcPr>
          <w:p>
            <w:pPr>
              <w:jc w:val="right"/>
              <w:ind w:right="75"/>
              <w:spacing w:after="0"/>
              <w:rPr>
                <w:sz w:val="20"/>
                <w:szCs w:val="20"/>
                <w:color w:val="auto"/>
              </w:rPr>
            </w:pPr>
            <w:r>
              <w:rPr>
                <w:rFonts w:ascii="Arial" w:cs="Arial" w:eastAsia="Arial" w:hAnsi="Arial"/>
                <w:sz w:val="17"/>
                <w:szCs w:val="17"/>
                <w:color w:val="auto"/>
              </w:rPr>
              <w:t>1,571</w:t>
            </w:r>
          </w:p>
        </w:tc>
        <w:tc>
          <w:tcPr>
            <w:tcW w:w="0" w:type="dxa"/>
            <w:vAlign w:val="bottom"/>
          </w:tcPr>
          <w:p>
            <w:pPr>
              <w:spacing w:after="0"/>
              <w:rPr>
                <w:sz w:val="1"/>
                <w:szCs w:val="1"/>
                <w:color w:val="auto"/>
              </w:rPr>
            </w:pPr>
          </w:p>
        </w:tc>
      </w:tr>
      <w:tr>
        <w:trPr>
          <w:trHeight w:val="207"/>
        </w:trPr>
        <w:tc>
          <w:tcPr>
            <w:tcW w:w="3360" w:type="dxa"/>
            <w:vAlign w:val="bottom"/>
            <w:tcBorders>
              <w:bottom w:val="single" w:sz="8" w:color="auto"/>
            </w:tcBorders>
          </w:tcPr>
          <w:p>
            <w:pPr>
              <w:ind w:left="480"/>
              <w:spacing w:after="0"/>
              <w:rPr>
                <w:sz w:val="20"/>
                <w:szCs w:val="20"/>
                <w:color w:val="auto"/>
              </w:rPr>
            </w:pPr>
            <w:r>
              <w:rPr>
                <w:rFonts w:ascii="Arial" w:cs="Arial" w:eastAsia="Arial" w:hAnsi="Arial"/>
                <w:sz w:val="17"/>
                <w:szCs w:val="17"/>
                <w:color w:val="auto"/>
              </w:rPr>
              <w:t>adjustment</w:t>
            </w:r>
          </w:p>
        </w:tc>
        <w:tc>
          <w:tcPr>
            <w:tcW w:w="580" w:type="dxa"/>
            <w:vAlign w:val="bottom"/>
            <w:tcBorders>
              <w:bottom w:val="single" w:sz="8" w:color="auto"/>
            </w:tcBorders>
            <w:vMerge w:val="continue"/>
          </w:tcPr>
          <w:p>
            <w:pPr>
              <w:spacing w:after="0"/>
              <w:rPr>
                <w:sz w:val="17"/>
                <w:szCs w:val="17"/>
                <w:color w:val="auto"/>
              </w:rPr>
            </w:pPr>
          </w:p>
        </w:tc>
        <w:tc>
          <w:tcPr>
            <w:tcW w:w="1560" w:type="dxa"/>
            <w:vAlign w:val="bottom"/>
            <w:tcBorders>
              <w:bottom w:val="single" w:sz="8" w:color="auto"/>
            </w:tcBorders>
            <w:vMerge w:val="continue"/>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500" w:type="dxa"/>
            <w:vAlign w:val="bottom"/>
            <w:tcBorders>
              <w:bottom w:val="single" w:sz="8" w:color="auto"/>
            </w:tcBorders>
            <w:vMerge w:val="continue"/>
          </w:tcPr>
          <w:p>
            <w:pPr>
              <w:spacing w:after="0"/>
              <w:rPr>
                <w:sz w:val="17"/>
                <w:szCs w:val="17"/>
                <w:color w:val="auto"/>
              </w:rPr>
            </w:pPr>
          </w:p>
        </w:tc>
        <w:tc>
          <w:tcPr>
            <w:tcW w:w="1460" w:type="dxa"/>
            <w:vAlign w:val="bottom"/>
            <w:tcBorders>
              <w:bottom w:val="single" w:sz="8" w:color="auto"/>
            </w:tcBorders>
            <w:vMerge w:val="continue"/>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33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3360" w:type="dxa"/>
            <w:vAlign w:val="bottom"/>
          </w:tcPr>
          <w:p>
            <w:pPr>
              <w:ind w:left="480"/>
              <w:spacing w:after="0" w:line="162" w:lineRule="exact"/>
              <w:rPr>
                <w:sz w:val="20"/>
                <w:szCs w:val="20"/>
                <w:color w:val="auto"/>
              </w:rPr>
            </w:pPr>
            <w:r>
              <w:rPr>
                <w:rFonts w:ascii="Arial" w:cs="Arial" w:eastAsia="Arial" w:hAnsi="Arial"/>
                <w:sz w:val="17"/>
                <w:szCs w:val="17"/>
                <w:b w:val="1"/>
                <w:bCs w:val="1"/>
                <w:color w:val="auto"/>
              </w:rPr>
              <w:t>Service and non-service cost</w:t>
            </w:r>
          </w:p>
        </w:tc>
        <w:tc>
          <w:tcPr>
            <w:tcW w:w="5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360" w:type="dxa"/>
            <w:vAlign w:val="bottom"/>
          </w:tcPr>
          <w:p>
            <w:pPr>
              <w:ind w:left="20"/>
              <w:spacing w:after="0"/>
              <w:rPr>
                <w:sz w:val="20"/>
                <w:szCs w:val="20"/>
                <w:color w:val="auto"/>
              </w:rPr>
            </w:pPr>
            <w:r>
              <w:rPr>
                <w:rFonts w:ascii="Arial" w:cs="Arial" w:eastAsia="Arial" w:hAnsi="Arial"/>
                <w:sz w:val="17"/>
                <w:szCs w:val="17"/>
                <w:b w:val="1"/>
                <w:bCs w:val="1"/>
                <w:color w:val="auto"/>
              </w:rPr>
              <w:t>reconciliation</w:t>
            </w:r>
          </w:p>
        </w:tc>
        <w:tc>
          <w:tcPr>
            <w:tcW w:w="5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ind w:left="680"/>
              <w:spacing w:after="0"/>
              <w:rPr>
                <w:sz w:val="20"/>
                <w:szCs w:val="20"/>
                <w:color w:val="auto"/>
              </w:rPr>
            </w:pPr>
            <w:r>
              <w:rPr>
                <w:rFonts w:ascii="Arial" w:cs="Arial" w:eastAsia="Arial" w:hAnsi="Arial"/>
                <w:sz w:val="17"/>
                <w:szCs w:val="17"/>
                <w:color w:val="auto"/>
              </w:rPr>
              <w:t>FAS pension service cost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560" w:type="dxa"/>
            <w:vAlign w:val="bottom"/>
            <w:shd w:val="clear" w:color="auto" w:fill="CCEEFF"/>
          </w:tcPr>
          <w:p>
            <w:pPr>
              <w:jc w:val="right"/>
              <w:ind w:right="475"/>
              <w:spacing w:after="0"/>
              <w:rPr>
                <w:sz w:val="20"/>
                <w:szCs w:val="20"/>
                <w:color w:val="auto"/>
              </w:rPr>
            </w:pPr>
            <w:r>
              <w:rPr>
                <w:rFonts w:ascii="Arial" w:cs="Arial" w:eastAsia="Arial" w:hAnsi="Arial"/>
                <w:sz w:val="17"/>
                <w:szCs w:val="17"/>
                <w:b w:val="1"/>
                <w:bCs w:val="1"/>
                <w:color w:val="auto"/>
              </w:rPr>
              <w:t>(26)</w:t>
            </w:r>
          </w:p>
        </w:tc>
        <w:tc>
          <w:tcPr>
            <w:tcW w:w="1000" w:type="dxa"/>
            <w:vAlign w:val="bottom"/>
            <w:shd w:val="clear" w:color="auto" w:fill="CCEEFF"/>
          </w:tcPr>
          <w:p>
            <w:pPr>
              <w:jc w:val="right"/>
              <w:ind w:right="455"/>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515"/>
              <w:spacing w:after="0"/>
              <w:rPr>
                <w:sz w:val="20"/>
                <w:szCs w:val="20"/>
                <w:color w:val="auto"/>
              </w:rPr>
            </w:pPr>
            <w:r>
              <w:rPr>
                <w:rFonts w:ascii="Arial" w:cs="Arial" w:eastAsia="Arial" w:hAnsi="Arial"/>
                <w:sz w:val="17"/>
                <w:szCs w:val="17"/>
                <w:color w:val="auto"/>
              </w:rPr>
              <w:t>(25)</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460" w:type="dxa"/>
            <w:vAlign w:val="bottom"/>
            <w:shd w:val="clear" w:color="auto" w:fill="CCEEFF"/>
          </w:tcPr>
          <w:p>
            <w:pPr>
              <w:jc w:val="right"/>
              <w:ind w:right="454"/>
              <w:spacing w:after="0"/>
              <w:rPr>
                <w:sz w:val="20"/>
                <w:szCs w:val="20"/>
                <w:color w:val="auto"/>
              </w:rPr>
            </w:pPr>
            <w:r>
              <w:rPr>
                <w:rFonts w:ascii="Arial" w:cs="Arial" w:eastAsia="Arial" w:hAnsi="Arial"/>
                <w:sz w:val="17"/>
                <w:szCs w:val="17"/>
                <w:b w:val="1"/>
                <w:bCs w:val="1"/>
                <w:color w:val="auto"/>
              </w:rPr>
              <w:t>(80)</w:t>
            </w:r>
          </w:p>
        </w:tc>
        <w:tc>
          <w:tcPr>
            <w:tcW w:w="1140" w:type="dxa"/>
            <w:vAlign w:val="bottom"/>
            <w:shd w:val="clear" w:color="auto" w:fill="CCEEFF"/>
          </w:tcPr>
          <w:p>
            <w:pPr>
              <w:jc w:val="right"/>
              <w:ind w:right="575"/>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(76)</w:t>
            </w:r>
          </w:p>
        </w:tc>
        <w:tc>
          <w:tcPr>
            <w:tcW w:w="0" w:type="dxa"/>
            <w:vAlign w:val="bottom"/>
          </w:tcPr>
          <w:p>
            <w:pPr>
              <w:spacing w:after="0"/>
              <w:rPr>
                <w:sz w:val="1"/>
                <w:szCs w:val="1"/>
                <w:color w:val="auto"/>
              </w:rPr>
            </w:pPr>
          </w:p>
        </w:tc>
      </w:tr>
      <w:tr>
        <w:trPr>
          <w:trHeight w:val="216"/>
        </w:trPr>
        <w:tc>
          <w:tcPr>
            <w:tcW w:w="3360" w:type="dxa"/>
            <w:vAlign w:val="bottom"/>
            <w:tcBorders>
              <w:bottom w:val="single" w:sz="8" w:color="auto"/>
            </w:tcBorders>
          </w:tcPr>
          <w:p>
            <w:pPr>
              <w:ind w:left="680"/>
              <w:spacing w:after="0"/>
              <w:rPr>
                <w:sz w:val="20"/>
                <w:szCs w:val="20"/>
                <w:color w:val="auto"/>
              </w:rPr>
            </w:pPr>
            <w:r>
              <w:rPr>
                <w:rFonts w:ascii="Arial" w:cs="Arial" w:eastAsia="Arial" w:hAnsi="Arial"/>
                <w:sz w:val="17"/>
                <w:szCs w:val="17"/>
                <w:color w:val="auto"/>
              </w:rPr>
              <w:t>Less: CAS pension cost</w:t>
            </w:r>
          </w:p>
        </w:tc>
        <w:tc>
          <w:tcPr>
            <w:tcW w:w="5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535"/>
              <w:spacing w:after="0"/>
              <w:rPr>
                <w:sz w:val="20"/>
                <w:szCs w:val="20"/>
                <w:color w:val="auto"/>
              </w:rPr>
            </w:pPr>
            <w:r>
              <w:rPr>
                <w:rFonts w:ascii="Arial" w:cs="Arial" w:eastAsia="Arial" w:hAnsi="Arial"/>
                <w:sz w:val="17"/>
                <w:szCs w:val="17"/>
                <w:b w:val="1"/>
                <w:bCs w:val="1"/>
                <w:color w:val="auto"/>
              </w:rPr>
              <w:t>517</w:t>
            </w:r>
          </w:p>
        </w:tc>
        <w:tc>
          <w:tcPr>
            <w:tcW w:w="10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55"/>
              <w:spacing w:after="0"/>
              <w:rPr>
                <w:sz w:val="20"/>
                <w:szCs w:val="20"/>
                <w:color w:val="auto"/>
              </w:rPr>
            </w:pPr>
            <w:r>
              <w:rPr>
                <w:rFonts w:ascii="Arial" w:cs="Arial" w:eastAsia="Arial" w:hAnsi="Arial"/>
                <w:sz w:val="17"/>
                <w:szCs w:val="17"/>
                <w:color w:val="auto"/>
                <w:w w:val="98"/>
              </w:rPr>
              <w:t>494</w:t>
            </w:r>
          </w:p>
        </w:tc>
        <w:tc>
          <w:tcPr>
            <w:tcW w:w="5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1,549</w:t>
            </w:r>
          </w:p>
        </w:tc>
        <w:tc>
          <w:tcPr>
            <w:tcW w:w="1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1,483</w:t>
            </w:r>
          </w:p>
        </w:tc>
        <w:tc>
          <w:tcPr>
            <w:tcW w:w="0" w:type="dxa"/>
            <w:vAlign w:val="bottom"/>
          </w:tcPr>
          <w:p>
            <w:pPr>
              <w:spacing w:after="0"/>
              <w:rPr>
                <w:sz w:val="1"/>
                <w:szCs w:val="1"/>
                <w:color w:val="auto"/>
              </w:rPr>
            </w:pPr>
          </w:p>
        </w:tc>
      </w:tr>
      <w:tr>
        <w:trPr>
          <w:trHeight w:val="163"/>
        </w:trPr>
        <w:tc>
          <w:tcPr>
            <w:tcW w:w="3360" w:type="dxa"/>
            <w:vAlign w:val="bottom"/>
            <w:shd w:val="clear" w:color="auto" w:fill="CCEEFF"/>
          </w:tcPr>
          <w:p>
            <w:pPr>
              <w:ind w:left="900"/>
              <w:spacing w:after="0" w:line="163" w:lineRule="exact"/>
              <w:rPr>
                <w:sz w:val="20"/>
                <w:szCs w:val="20"/>
                <w:color w:val="auto"/>
              </w:rPr>
            </w:pPr>
            <w:r>
              <w:rPr>
                <w:rFonts w:ascii="Arial" w:cs="Arial" w:eastAsia="Arial" w:hAnsi="Arial"/>
                <w:sz w:val="17"/>
                <w:szCs w:val="17"/>
                <w:color w:val="auto"/>
              </w:rPr>
              <w:t>FAS/CAS operating</w:t>
            </w:r>
          </w:p>
        </w:tc>
        <w:tc>
          <w:tcPr>
            <w:tcW w:w="580" w:type="dxa"/>
            <w:vAlign w:val="bottom"/>
            <w:shd w:val="clear" w:color="auto" w:fill="CCEEFF"/>
          </w:tcPr>
          <w:p>
            <w:pPr>
              <w:spacing w:after="0"/>
              <w:rPr>
                <w:sz w:val="14"/>
                <w:szCs w:val="14"/>
                <w:color w:val="auto"/>
              </w:rPr>
            </w:pPr>
          </w:p>
        </w:tc>
        <w:tc>
          <w:tcPr>
            <w:tcW w:w="1560" w:type="dxa"/>
            <w:vAlign w:val="bottom"/>
            <w:vMerge w:val="restart"/>
            <w:shd w:val="clear" w:color="auto" w:fill="CCEEFF"/>
          </w:tcPr>
          <w:p>
            <w:pPr>
              <w:jc w:val="right"/>
              <w:ind w:right="535"/>
              <w:spacing w:after="0"/>
              <w:rPr>
                <w:sz w:val="20"/>
                <w:szCs w:val="20"/>
                <w:color w:val="auto"/>
              </w:rPr>
            </w:pPr>
            <w:r>
              <w:rPr>
                <w:rFonts w:ascii="Arial" w:cs="Arial" w:eastAsia="Arial" w:hAnsi="Arial"/>
                <w:sz w:val="17"/>
                <w:szCs w:val="17"/>
                <w:b w:val="1"/>
                <w:bCs w:val="1"/>
                <w:color w:val="auto"/>
              </w:rPr>
              <w:t>491</w:t>
            </w:r>
          </w:p>
        </w:tc>
        <w:tc>
          <w:tcPr>
            <w:tcW w:w="10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ind w:right="555"/>
              <w:spacing w:after="0"/>
              <w:rPr>
                <w:sz w:val="20"/>
                <w:szCs w:val="20"/>
                <w:color w:val="auto"/>
              </w:rPr>
            </w:pPr>
            <w:r>
              <w:rPr>
                <w:rFonts w:ascii="Arial" w:cs="Arial" w:eastAsia="Arial" w:hAnsi="Arial"/>
                <w:sz w:val="17"/>
                <w:szCs w:val="17"/>
                <w:color w:val="auto"/>
                <w:w w:val="98"/>
              </w:rPr>
              <w:t>469</w:t>
            </w:r>
          </w:p>
        </w:tc>
        <w:tc>
          <w:tcPr>
            <w:tcW w:w="500" w:type="dxa"/>
            <w:vAlign w:val="bottom"/>
            <w:shd w:val="clear" w:color="auto" w:fill="CCEEFF"/>
          </w:tcPr>
          <w:p>
            <w:pPr>
              <w:spacing w:after="0"/>
              <w:rPr>
                <w:sz w:val="14"/>
                <w:szCs w:val="14"/>
                <w:color w:val="auto"/>
              </w:rPr>
            </w:pPr>
          </w:p>
        </w:tc>
        <w:tc>
          <w:tcPr>
            <w:tcW w:w="1460" w:type="dxa"/>
            <w:vAlign w:val="bottom"/>
            <w:vMerge w:val="restart"/>
            <w:shd w:val="clear" w:color="auto" w:fill="CCEEFF"/>
          </w:tcPr>
          <w:p>
            <w:pPr>
              <w:jc w:val="right"/>
              <w:ind w:right="494"/>
              <w:spacing w:after="0"/>
              <w:rPr>
                <w:sz w:val="20"/>
                <w:szCs w:val="20"/>
                <w:color w:val="auto"/>
              </w:rPr>
            </w:pPr>
            <w:r>
              <w:rPr>
                <w:rFonts w:ascii="Arial" w:cs="Arial" w:eastAsia="Arial" w:hAnsi="Arial"/>
                <w:sz w:val="17"/>
                <w:szCs w:val="17"/>
                <w:b w:val="1"/>
                <w:bCs w:val="1"/>
                <w:color w:val="auto"/>
              </w:rPr>
              <w:t>1,469</w:t>
            </w:r>
          </w:p>
        </w:tc>
        <w:tc>
          <w:tcPr>
            <w:tcW w:w="114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ind w:right="75"/>
              <w:spacing w:after="0"/>
              <w:rPr>
                <w:sz w:val="20"/>
                <w:szCs w:val="20"/>
                <w:color w:val="auto"/>
              </w:rPr>
            </w:pPr>
            <w:r>
              <w:rPr>
                <w:rFonts w:ascii="Arial" w:cs="Arial" w:eastAsia="Arial" w:hAnsi="Arial"/>
                <w:sz w:val="17"/>
                <w:szCs w:val="17"/>
                <w:color w:val="auto"/>
              </w:rPr>
              <w:t>1,407</w:t>
            </w:r>
          </w:p>
        </w:tc>
        <w:tc>
          <w:tcPr>
            <w:tcW w:w="0" w:type="dxa"/>
            <w:vAlign w:val="bottom"/>
          </w:tcPr>
          <w:p>
            <w:pPr>
              <w:spacing w:after="0"/>
              <w:rPr>
                <w:sz w:val="1"/>
                <w:szCs w:val="1"/>
                <w:color w:val="auto"/>
              </w:rPr>
            </w:pPr>
          </w:p>
        </w:tc>
      </w:tr>
      <w:tr>
        <w:trPr>
          <w:trHeight w:val="209"/>
        </w:trPr>
        <w:tc>
          <w:tcPr>
            <w:tcW w:w="3360" w:type="dxa"/>
            <w:vAlign w:val="bottom"/>
            <w:shd w:val="clear" w:color="auto" w:fill="CCEEFF"/>
          </w:tcPr>
          <w:p>
            <w:pPr>
              <w:ind w:left="440"/>
              <w:spacing w:after="0"/>
              <w:rPr>
                <w:sz w:val="20"/>
                <w:szCs w:val="20"/>
                <w:color w:val="auto"/>
              </w:rPr>
            </w:pPr>
            <w:r>
              <w:rPr>
                <w:rFonts w:ascii="Arial" w:cs="Arial" w:eastAsia="Arial" w:hAnsi="Arial"/>
                <w:sz w:val="17"/>
                <w:szCs w:val="17"/>
                <w:color w:val="auto"/>
              </w:rPr>
              <w:t>adjustment</w:t>
            </w:r>
          </w:p>
        </w:tc>
        <w:tc>
          <w:tcPr>
            <w:tcW w:w="580" w:type="dxa"/>
            <w:vAlign w:val="bottom"/>
            <w:shd w:val="clear" w:color="auto" w:fill="CCEEFF"/>
          </w:tcPr>
          <w:p>
            <w:pPr>
              <w:spacing w:after="0"/>
              <w:rPr>
                <w:sz w:val="18"/>
                <w:szCs w:val="18"/>
                <w:color w:val="auto"/>
              </w:rPr>
            </w:pPr>
          </w:p>
        </w:tc>
        <w:tc>
          <w:tcPr>
            <w:tcW w:w="1560" w:type="dxa"/>
            <w:vAlign w:val="bottom"/>
            <w:vMerge w:val="continue"/>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60" w:type="dxa"/>
            <w:vAlign w:val="bottom"/>
            <w:vMerge w:val="continue"/>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360" w:type="dxa"/>
            <w:vAlign w:val="bottom"/>
          </w:tcPr>
          <w:p>
            <w:pPr>
              <w:ind w:left="700"/>
              <w:spacing w:after="0" w:line="169" w:lineRule="exact"/>
              <w:rPr>
                <w:sz w:val="20"/>
                <w:szCs w:val="20"/>
                <w:color w:val="auto"/>
              </w:rPr>
            </w:pPr>
            <w:r>
              <w:rPr>
                <w:rFonts w:ascii="Arial" w:cs="Arial" w:eastAsia="Arial" w:hAnsi="Arial"/>
                <w:sz w:val="17"/>
                <w:szCs w:val="17"/>
                <w:color w:val="auto"/>
              </w:rPr>
              <w:t>Non-service FAS pension</w:t>
            </w:r>
          </w:p>
        </w:tc>
        <w:tc>
          <w:tcPr>
            <w:tcW w:w="580" w:type="dxa"/>
            <w:vAlign w:val="bottom"/>
          </w:tcPr>
          <w:p>
            <w:pPr>
              <w:spacing w:after="0"/>
              <w:rPr>
                <w:sz w:val="14"/>
                <w:szCs w:val="14"/>
                <w:color w:val="auto"/>
              </w:rPr>
            </w:pPr>
          </w:p>
        </w:tc>
        <w:tc>
          <w:tcPr>
            <w:tcW w:w="1560" w:type="dxa"/>
            <w:vAlign w:val="bottom"/>
            <w:vMerge w:val="restart"/>
          </w:tcPr>
          <w:p>
            <w:pPr>
              <w:jc w:val="right"/>
              <w:ind w:right="475"/>
              <w:spacing w:after="0"/>
              <w:rPr>
                <w:sz w:val="20"/>
                <w:szCs w:val="20"/>
                <w:color w:val="auto"/>
              </w:rPr>
            </w:pPr>
            <w:r>
              <w:rPr>
                <w:rFonts w:ascii="Arial" w:cs="Arial" w:eastAsia="Arial" w:hAnsi="Arial"/>
                <w:sz w:val="17"/>
                <w:szCs w:val="17"/>
                <w:b w:val="1"/>
                <w:bCs w:val="1"/>
                <w:color w:val="auto"/>
              </w:rPr>
              <w:t>(1,572)</w:t>
            </w:r>
          </w:p>
        </w:tc>
        <w:tc>
          <w:tcPr>
            <w:tcW w:w="1000" w:type="dxa"/>
            <w:vAlign w:val="bottom"/>
          </w:tcPr>
          <w:p>
            <w:pPr>
              <w:spacing w:after="0"/>
              <w:rPr>
                <w:sz w:val="14"/>
                <w:szCs w:val="14"/>
                <w:color w:val="auto"/>
              </w:rPr>
            </w:pPr>
          </w:p>
        </w:tc>
        <w:tc>
          <w:tcPr>
            <w:tcW w:w="940" w:type="dxa"/>
            <w:vAlign w:val="bottom"/>
            <w:vMerge w:val="restart"/>
          </w:tcPr>
          <w:p>
            <w:pPr>
              <w:jc w:val="right"/>
              <w:ind w:right="555"/>
              <w:spacing w:after="0"/>
              <w:rPr>
                <w:sz w:val="20"/>
                <w:szCs w:val="20"/>
                <w:color w:val="auto"/>
              </w:rPr>
            </w:pPr>
            <w:r>
              <w:rPr>
                <w:rFonts w:ascii="Arial" w:cs="Arial" w:eastAsia="Arial" w:hAnsi="Arial"/>
                <w:sz w:val="17"/>
                <w:szCs w:val="17"/>
                <w:color w:val="auto"/>
              </w:rPr>
              <w:t>54</w:t>
            </w:r>
          </w:p>
        </w:tc>
        <w:tc>
          <w:tcPr>
            <w:tcW w:w="500" w:type="dxa"/>
            <w:vAlign w:val="bottom"/>
          </w:tcPr>
          <w:p>
            <w:pPr>
              <w:spacing w:after="0"/>
              <w:rPr>
                <w:sz w:val="14"/>
                <w:szCs w:val="14"/>
                <w:color w:val="auto"/>
              </w:rPr>
            </w:pPr>
          </w:p>
        </w:tc>
        <w:tc>
          <w:tcPr>
            <w:tcW w:w="1460" w:type="dxa"/>
            <w:vAlign w:val="bottom"/>
            <w:vMerge w:val="restart"/>
          </w:tcPr>
          <w:p>
            <w:pPr>
              <w:jc w:val="right"/>
              <w:ind w:right="454"/>
              <w:spacing w:after="0"/>
              <w:rPr>
                <w:sz w:val="20"/>
                <w:szCs w:val="20"/>
                <w:color w:val="auto"/>
              </w:rPr>
            </w:pPr>
            <w:r>
              <w:rPr>
                <w:rFonts w:ascii="Arial" w:cs="Arial" w:eastAsia="Arial" w:hAnsi="Arial"/>
                <w:sz w:val="17"/>
                <w:szCs w:val="17"/>
                <w:b w:val="1"/>
                <w:bCs w:val="1"/>
                <w:color w:val="auto"/>
              </w:rPr>
              <w:t>(1,385)</w:t>
            </w:r>
          </w:p>
        </w:tc>
        <w:tc>
          <w:tcPr>
            <w:tcW w:w="1140" w:type="dxa"/>
            <w:vAlign w:val="bottom"/>
          </w:tcPr>
          <w:p>
            <w:pPr>
              <w:spacing w:after="0"/>
              <w:rPr>
                <w:sz w:val="14"/>
                <w:szCs w:val="14"/>
                <w:color w:val="auto"/>
              </w:rPr>
            </w:pPr>
          </w:p>
        </w:tc>
        <w:tc>
          <w:tcPr>
            <w:tcW w:w="700" w:type="dxa"/>
            <w:vAlign w:val="bottom"/>
            <w:vMerge w:val="restart"/>
          </w:tcPr>
          <w:p>
            <w:pPr>
              <w:jc w:val="right"/>
              <w:ind w:right="75"/>
              <w:spacing w:after="0"/>
              <w:rPr>
                <w:sz w:val="20"/>
                <w:szCs w:val="20"/>
                <w:color w:val="auto"/>
              </w:rPr>
            </w:pPr>
            <w:r>
              <w:rPr>
                <w:rFonts w:ascii="Arial" w:cs="Arial" w:eastAsia="Arial" w:hAnsi="Arial"/>
                <w:sz w:val="17"/>
                <w:szCs w:val="17"/>
                <w:color w:val="auto"/>
              </w:rPr>
              <w:t>164</w:t>
            </w:r>
          </w:p>
        </w:tc>
        <w:tc>
          <w:tcPr>
            <w:tcW w:w="0" w:type="dxa"/>
            <w:vAlign w:val="bottom"/>
          </w:tcPr>
          <w:p>
            <w:pPr>
              <w:spacing w:after="0"/>
              <w:rPr>
                <w:sz w:val="1"/>
                <w:szCs w:val="1"/>
                <w:color w:val="auto"/>
              </w:rPr>
            </w:pPr>
          </w:p>
        </w:tc>
      </w:tr>
      <w:tr>
        <w:trPr>
          <w:trHeight w:val="207"/>
        </w:trPr>
        <w:tc>
          <w:tcPr>
            <w:tcW w:w="3360" w:type="dxa"/>
            <w:vAlign w:val="bottom"/>
            <w:tcBorders>
              <w:bottom w:val="single" w:sz="8" w:color="auto"/>
            </w:tcBorders>
          </w:tcPr>
          <w:p>
            <w:pPr>
              <w:ind w:left="260"/>
              <w:spacing w:after="0"/>
              <w:rPr>
                <w:sz w:val="20"/>
                <w:szCs w:val="20"/>
                <w:color w:val="auto"/>
              </w:rPr>
            </w:pPr>
            <w:r>
              <w:rPr>
                <w:rFonts w:ascii="Arial" w:cs="Arial" w:eastAsia="Arial" w:hAnsi="Arial"/>
                <w:sz w:val="17"/>
                <w:szCs w:val="17"/>
                <w:color w:val="auto"/>
              </w:rPr>
              <w:t>(expense) income</w:t>
            </w:r>
          </w:p>
        </w:tc>
        <w:tc>
          <w:tcPr>
            <w:tcW w:w="5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vMerge w:val="continue"/>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vMerge w:val="continue"/>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3360" w:type="dxa"/>
            <w:vAlign w:val="bottom"/>
            <w:shd w:val="clear" w:color="auto" w:fill="CCEEFF"/>
          </w:tcPr>
          <w:p>
            <w:pPr>
              <w:ind w:left="900"/>
              <w:spacing w:after="0" w:line="165" w:lineRule="exact"/>
              <w:rPr>
                <w:sz w:val="20"/>
                <w:szCs w:val="20"/>
                <w:color w:val="auto"/>
              </w:rPr>
            </w:pPr>
            <w:r>
              <w:rPr>
                <w:rFonts w:ascii="Arial" w:cs="Arial" w:eastAsia="Arial" w:hAnsi="Arial"/>
                <w:sz w:val="17"/>
                <w:szCs w:val="17"/>
                <w:color w:val="auto"/>
              </w:rPr>
              <w:t>Net FAS/CAS pension</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560" w:type="dxa"/>
            <w:vAlign w:val="bottom"/>
            <w:vMerge w:val="restart"/>
            <w:shd w:val="clear" w:color="auto" w:fill="CCEEFF"/>
          </w:tcPr>
          <w:p>
            <w:pPr>
              <w:jc w:val="right"/>
              <w:ind w:right="475"/>
              <w:spacing w:after="0"/>
              <w:rPr>
                <w:sz w:val="20"/>
                <w:szCs w:val="20"/>
                <w:color w:val="auto"/>
              </w:rPr>
            </w:pPr>
            <w:r>
              <w:rPr>
                <w:rFonts w:ascii="Arial" w:cs="Arial" w:eastAsia="Arial" w:hAnsi="Arial"/>
                <w:sz w:val="17"/>
                <w:szCs w:val="17"/>
                <w:b w:val="1"/>
                <w:bCs w:val="1"/>
                <w:color w:val="auto"/>
              </w:rPr>
              <w:t>(1,081)</w:t>
            </w:r>
          </w:p>
        </w:tc>
        <w:tc>
          <w:tcPr>
            <w:tcW w:w="1000" w:type="dxa"/>
            <w:vAlign w:val="bottom"/>
            <w:vMerge w:val="restart"/>
            <w:shd w:val="clear" w:color="auto" w:fill="CCEEFF"/>
          </w:tcPr>
          <w:p>
            <w:pPr>
              <w:jc w:val="right"/>
              <w:ind w:right="455"/>
              <w:spacing w:after="0"/>
              <w:rPr>
                <w:sz w:val="20"/>
                <w:szCs w:val="20"/>
                <w:color w:val="auto"/>
              </w:rPr>
            </w:pPr>
            <w:r>
              <w:rPr>
                <w:rFonts w:ascii="Arial" w:cs="Arial" w:eastAsia="Arial" w:hAnsi="Arial"/>
                <w:sz w:val="17"/>
                <w:szCs w:val="17"/>
                <w:color w:val="auto"/>
              </w:rPr>
              <w:t>$</w:t>
            </w:r>
          </w:p>
        </w:tc>
        <w:tc>
          <w:tcPr>
            <w:tcW w:w="940" w:type="dxa"/>
            <w:vAlign w:val="bottom"/>
            <w:vMerge w:val="restart"/>
            <w:shd w:val="clear" w:color="auto" w:fill="CCEEFF"/>
          </w:tcPr>
          <w:p>
            <w:pPr>
              <w:jc w:val="right"/>
              <w:ind w:right="555"/>
              <w:spacing w:after="0"/>
              <w:rPr>
                <w:sz w:val="20"/>
                <w:szCs w:val="20"/>
                <w:color w:val="auto"/>
              </w:rPr>
            </w:pPr>
            <w:r>
              <w:rPr>
                <w:rFonts w:ascii="Arial" w:cs="Arial" w:eastAsia="Arial" w:hAnsi="Arial"/>
                <w:sz w:val="17"/>
                <w:szCs w:val="17"/>
                <w:color w:val="auto"/>
                <w:w w:val="98"/>
              </w:rPr>
              <w:t>523</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460" w:type="dxa"/>
            <w:vAlign w:val="bottom"/>
            <w:vMerge w:val="restart"/>
            <w:shd w:val="clear" w:color="auto" w:fill="CCEEFF"/>
          </w:tcPr>
          <w:p>
            <w:pPr>
              <w:jc w:val="right"/>
              <w:ind w:right="494"/>
              <w:spacing w:after="0"/>
              <w:rPr>
                <w:sz w:val="20"/>
                <w:szCs w:val="20"/>
                <w:color w:val="auto"/>
              </w:rPr>
            </w:pPr>
            <w:r>
              <w:rPr>
                <w:rFonts w:ascii="Arial" w:cs="Arial" w:eastAsia="Arial" w:hAnsi="Arial"/>
                <w:sz w:val="17"/>
                <w:szCs w:val="17"/>
                <w:b w:val="1"/>
                <w:bCs w:val="1"/>
                <w:color w:val="auto"/>
              </w:rPr>
              <w:t>84</w:t>
            </w:r>
          </w:p>
        </w:tc>
        <w:tc>
          <w:tcPr>
            <w:tcW w:w="1140" w:type="dxa"/>
            <w:vAlign w:val="bottom"/>
            <w:vMerge w:val="restart"/>
            <w:shd w:val="clear" w:color="auto" w:fill="CCEEFF"/>
          </w:tcPr>
          <w:p>
            <w:pPr>
              <w:jc w:val="right"/>
              <w:ind w:right="575"/>
              <w:spacing w:after="0"/>
              <w:rPr>
                <w:sz w:val="20"/>
                <w:szCs w:val="20"/>
                <w:color w:val="auto"/>
              </w:rPr>
            </w:pPr>
            <w:r>
              <w:rPr>
                <w:rFonts w:ascii="Arial" w:cs="Arial" w:eastAsia="Arial" w:hAnsi="Arial"/>
                <w:sz w:val="17"/>
                <w:szCs w:val="17"/>
                <w:color w:val="auto"/>
              </w:rPr>
              <w:t>$</w:t>
            </w:r>
          </w:p>
        </w:tc>
        <w:tc>
          <w:tcPr>
            <w:tcW w:w="700" w:type="dxa"/>
            <w:vAlign w:val="bottom"/>
            <w:vMerge w:val="restart"/>
            <w:shd w:val="clear" w:color="auto" w:fill="CCEEFF"/>
          </w:tcPr>
          <w:p>
            <w:pPr>
              <w:jc w:val="right"/>
              <w:ind w:right="75"/>
              <w:spacing w:after="0"/>
              <w:rPr>
                <w:sz w:val="20"/>
                <w:szCs w:val="20"/>
                <w:color w:val="auto"/>
              </w:rPr>
            </w:pPr>
            <w:r>
              <w:rPr>
                <w:rFonts w:ascii="Arial" w:cs="Arial" w:eastAsia="Arial" w:hAnsi="Arial"/>
                <w:sz w:val="17"/>
                <w:szCs w:val="17"/>
                <w:color w:val="auto"/>
              </w:rPr>
              <w:t>1,571</w:t>
            </w:r>
          </w:p>
        </w:tc>
        <w:tc>
          <w:tcPr>
            <w:tcW w:w="0" w:type="dxa"/>
            <w:vAlign w:val="bottom"/>
          </w:tcPr>
          <w:p>
            <w:pPr>
              <w:spacing w:after="0"/>
              <w:rPr>
                <w:sz w:val="1"/>
                <w:szCs w:val="1"/>
                <w:color w:val="auto"/>
              </w:rPr>
            </w:pPr>
          </w:p>
        </w:tc>
      </w:tr>
      <w:tr>
        <w:trPr>
          <w:trHeight w:val="216"/>
        </w:trPr>
        <w:tc>
          <w:tcPr>
            <w:tcW w:w="336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7"/>
                <w:szCs w:val="17"/>
                <w:color w:val="auto"/>
              </w:rPr>
              <w:t>adjustment</w:t>
            </w:r>
          </w:p>
        </w:tc>
        <w:tc>
          <w:tcPr>
            <w:tcW w:w="580" w:type="dxa"/>
            <w:vAlign w:val="bottom"/>
            <w:tcBorders>
              <w:bottom w:val="single" w:sz="8" w:color="auto"/>
            </w:tcBorders>
            <w:vMerge w:val="continue"/>
            <w:shd w:val="clear" w:color="auto" w:fill="CCEEFF"/>
          </w:tcPr>
          <w:p>
            <w:pPr>
              <w:spacing w:after="0"/>
              <w:rPr>
                <w:sz w:val="18"/>
                <w:szCs w:val="18"/>
                <w:color w:val="auto"/>
              </w:rPr>
            </w:pPr>
          </w:p>
        </w:tc>
        <w:tc>
          <w:tcPr>
            <w:tcW w:w="1560" w:type="dxa"/>
            <w:vAlign w:val="bottom"/>
            <w:tcBorders>
              <w:bottom w:val="single" w:sz="8" w:color="auto"/>
            </w:tcBorders>
            <w:vMerge w:val="continue"/>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500" w:type="dxa"/>
            <w:vAlign w:val="bottom"/>
            <w:tcBorders>
              <w:bottom w:val="single" w:sz="8" w:color="auto"/>
            </w:tcBorders>
            <w:vMerge w:val="continue"/>
            <w:shd w:val="clear" w:color="auto" w:fill="CCEEFF"/>
          </w:tcPr>
          <w:p>
            <w:pPr>
              <w:spacing w:after="0"/>
              <w:rPr>
                <w:sz w:val="18"/>
                <w:szCs w:val="18"/>
                <w:color w:val="auto"/>
              </w:rPr>
            </w:pPr>
          </w:p>
        </w:tc>
        <w:tc>
          <w:tcPr>
            <w:tcW w:w="1460" w:type="dxa"/>
            <w:vAlign w:val="bottom"/>
            <w:tcBorders>
              <w:bottom w:val="single" w:sz="8" w:color="auto"/>
            </w:tcBorders>
            <w:vMerge w:val="continue"/>
            <w:shd w:val="clear" w:color="auto" w:fill="CCEEFF"/>
          </w:tcPr>
          <w:p>
            <w:pPr>
              <w:spacing w:after="0"/>
              <w:rPr>
                <w:sz w:val="18"/>
                <w:szCs w:val="18"/>
                <w:color w:val="auto"/>
              </w:rPr>
            </w:pPr>
          </w:p>
        </w:tc>
        <w:tc>
          <w:tcPr>
            <w:tcW w:w="1140" w:type="dxa"/>
            <w:vAlign w:val="bottom"/>
            <w:tcBorders>
              <w:bottom w:val="single" w:sz="8" w:color="auto"/>
            </w:tcBorders>
            <w:vMerge w:val="continue"/>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ind w:right="100" w:firstLine="445"/>
        <w:spacing w:after="0" w:line="254" w:lineRule="auto"/>
        <w:rPr>
          <w:sz w:val="20"/>
          <w:szCs w:val="20"/>
          <w:color w:val="auto"/>
        </w:rPr>
      </w:pPr>
      <w:r>
        <w:rPr>
          <w:rFonts w:ascii="Arial" w:cs="Arial" w:eastAsia="Arial" w:hAnsi="Arial"/>
          <w:sz w:val="18"/>
          <w:szCs w:val="18"/>
          <w:color w:val="auto"/>
        </w:rPr>
        <w:t>The decrease in the net FAS/CAS pension adjustment during the quarter and nine months ended September 26, 2021 as compared to 2020 was principally driven by a noncash, non-operating pension settlement charge of $1.7 billion ($1.3 billion, or $4.72 per share, after-tax recognized in connection with the transfer of $4.9 billion of our gross defined benefit pension obligations and related plan assets to an insurance company on August 3, 2021. See “Note 7 -Postretirement Benefit Plans”.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Lockheed Martin Corporation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(unaudited) (continued)</w:t>
      </w:r>
    </w:p>
    <w:p>
      <w:pPr>
        <w:spacing w:after="0" w:line="200" w:lineRule="exact"/>
        <w:rPr>
          <w:sz w:val="20"/>
          <w:szCs w:val="20"/>
          <w:color w:val="auto"/>
        </w:rPr>
      </w:pPr>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sales by products and services, contract type, customer, and geographic region were as follows (in millions):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5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5"/>
          </w:tcPr>
          <w:p>
            <w:pPr>
              <w:jc w:val="right"/>
              <w:ind w:right="30"/>
              <w:spacing w:after="0"/>
              <w:rPr>
                <w:sz w:val="20"/>
                <w:szCs w:val="20"/>
                <w:color w:val="auto"/>
              </w:rPr>
            </w:pPr>
            <w:r>
              <w:rPr>
                <w:rFonts w:ascii="Arial" w:cs="Arial" w:eastAsia="Arial" w:hAnsi="Arial"/>
                <w:sz w:val="18"/>
                <w:szCs w:val="18"/>
                <w:b w:val="1"/>
                <w:bCs w:val="1"/>
                <w:color w:val="auto"/>
              </w:rPr>
              <w:t>Quarter Ended September 26, 2021</w:t>
            </w:r>
          </w:p>
        </w:tc>
        <w:tc>
          <w:tcPr>
            <w:tcW w:w="10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5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Aeronautics</w:t>
            </w:r>
          </w:p>
        </w:tc>
        <w:tc>
          <w:tcPr>
            <w:tcW w:w="168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8"/>
                <w:szCs w:val="18"/>
                <w:b w:val="1"/>
                <w:bCs w:val="1"/>
                <w:color w:val="auto"/>
              </w:rPr>
              <w:t>MFC</w:t>
            </w:r>
          </w:p>
        </w:tc>
        <w:tc>
          <w:tcPr>
            <w:tcW w:w="9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RMS</w:t>
            </w:r>
          </w:p>
        </w:tc>
        <w:tc>
          <w:tcPr>
            <w:tcW w:w="7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right"/>
              <w:ind w:right="650"/>
              <w:spacing w:after="0"/>
              <w:rPr>
                <w:sz w:val="20"/>
                <w:szCs w:val="20"/>
                <w:color w:val="auto"/>
              </w:rPr>
            </w:pPr>
            <w:r>
              <w:rPr>
                <w:rFonts w:ascii="Arial" w:cs="Arial" w:eastAsia="Arial" w:hAnsi="Arial"/>
                <w:sz w:val="18"/>
                <w:szCs w:val="18"/>
                <w:b w:val="1"/>
                <w:bCs w:val="1"/>
                <w:color w:val="auto"/>
              </w:rPr>
              <w:t>Space</w:t>
            </w: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2860" w:type="dxa"/>
            <w:vAlign w:val="bottom"/>
            <w:gridSpan w:val="2"/>
            <w:shd w:val="clear" w:color="auto" w:fill="CCEEFF"/>
          </w:tcPr>
          <w:p>
            <w:pPr>
              <w:ind w:left="480"/>
              <w:spacing w:after="0"/>
              <w:rPr>
                <w:sz w:val="20"/>
                <w:szCs w:val="20"/>
                <w:color w:val="auto"/>
              </w:rPr>
            </w:pPr>
            <w:r>
              <w:rPr>
                <w:rFonts w:ascii="Arial" w:cs="Arial" w:eastAsia="Arial" w:hAnsi="Arial"/>
                <w:sz w:val="18"/>
                <w:szCs w:val="18"/>
                <w:b w:val="1"/>
                <w:bCs w:val="1"/>
                <w:color w:val="auto"/>
              </w:rPr>
              <w:t>Net sales</w:t>
            </w:r>
          </w:p>
        </w:tc>
        <w:tc>
          <w:tcPr>
            <w:tcW w:w="5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60" w:type="dxa"/>
            <w:vAlign w:val="bottom"/>
            <w:gridSpan w:val="2"/>
          </w:tcPr>
          <w:p>
            <w:pPr>
              <w:ind w:left="680"/>
              <w:spacing w:after="0"/>
              <w:rPr>
                <w:sz w:val="20"/>
                <w:szCs w:val="20"/>
                <w:color w:val="auto"/>
              </w:rPr>
            </w:pPr>
            <w:r>
              <w:rPr>
                <w:rFonts w:ascii="Arial" w:cs="Arial" w:eastAsia="Arial" w:hAnsi="Arial"/>
                <w:sz w:val="18"/>
                <w:szCs w:val="18"/>
                <w:color w:val="auto"/>
              </w:rPr>
              <w:t>Products</w:t>
            </w:r>
          </w:p>
        </w:tc>
        <w:tc>
          <w:tcPr>
            <w:tcW w:w="54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5,573</w:t>
            </w:r>
          </w:p>
        </w:tc>
        <w:tc>
          <w:tcPr>
            <w:tcW w:w="1160" w:type="dxa"/>
            <w:vAlign w:val="bottom"/>
          </w:tcPr>
          <w:p>
            <w:pPr>
              <w:jc w:val="right"/>
              <w:ind w:right="450"/>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w w:val="97"/>
              </w:rPr>
              <w:t>2,429</w:t>
            </w:r>
          </w:p>
        </w:tc>
        <w:tc>
          <w:tcPr>
            <w:tcW w:w="92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3,201</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9"/>
                <w:szCs w:val="19"/>
                <w:color w:val="auto"/>
              </w:rPr>
            </w:pPr>
          </w:p>
        </w:tc>
        <w:tc>
          <w:tcPr>
            <w:tcW w:w="1080" w:type="dxa"/>
            <w:vAlign w:val="bottom"/>
          </w:tcPr>
          <w:p>
            <w:pPr>
              <w:jc w:val="right"/>
              <w:ind w:right="390"/>
              <w:spacing w:after="0"/>
              <w:rPr>
                <w:sz w:val="20"/>
                <w:szCs w:val="20"/>
                <w:color w:val="auto"/>
              </w:rPr>
            </w:pPr>
            <w:r>
              <w:rPr>
                <w:rFonts w:ascii="Arial" w:cs="Arial" w:eastAsia="Arial" w:hAnsi="Arial"/>
                <w:sz w:val="18"/>
                <w:szCs w:val="18"/>
                <w:b w:val="1"/>
                <w:bCs w:val="1"/>
                <w:color w:val="auto"/>
              </w:rPr>
              <w:t>2,272</w:t>
            </w:r>
          </w:p>
        </w:tc>
        <w:tc>
          <w:tcPr>
            <w:tcW w:w="3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13,475</w:t>
            </w:r>
          </w:p>
        </w:tc>
        <w:tc>
          <w:tcPr>
            <w:tcW w:w="0" w:type="dxa"/>
            <w:vAlign w:val="bottom"/>
          </w:tcPr>
          <w:p>
            <w:pPr>
              <w:spacing w:after="0"/>
              <w:rPr>
                <w:sz w:val="1"/>
                <w:szCs w:val="1"/>
                <w:color w:val="auto"/>
              </w:rPr>
            </w:pPr>
          </w:p>
        </w:tc>
      </w:tr>
      <w:tr>
        <w:trPr>
          <w:trHeight w:val="230"/>
        </w:trPr>
        <w:tc>
          <w:tcPr>
            <w:tcW w:w="2860" w:type="dxa"/>
            <w:vAlign w:val="bottom"/>
            <w:tcBorders>
              <w:bottom w:val="single" w:sz="8" w:color="auto"/>
            </w:tcBorders>
            <w:gridSpan w:val="2"/>
            <w:shd w:val="clear" w:color="auto" w:fill="CCEEFF"/>
          </w:tcPr>
          <w:p>
            <w:pPr>
              <w:ind w:left="680"/>
              <w:spacing w:after="0"/>
              <w:rPr>
                <w:sz w:val="20"/>
                <w:szCs w:val="20"/>
                <w:color w:val="auto"/>
              </w:rPr>
            </w:pPr>
            <w:r>
              <w:rPr>
                <w:rFonts w:ascii="Arial" w:cs="Arial" w:eastAsia="Arial" w:hAnsi="Arial"/>
                <w:sz w:val="18"/>
                <w:szCs w:val="18"/>
                <w:color w:val="auto"/>
              </w:rPr>
              <w:t>Services</w:t>
            </w:r>
          </w:p>
        </w:tc>
        <w:tc>
          <w:tcPr>
            <w:tcW w:w="5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995</w:t>
            </w:r>
          </w:p>
        </w:tc>
        <w:tc>
          <w:tcPr>
            <w:tcW w:w="11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352</w:t>
            </w:r>
          </w:p>
        </w:tc>
        <w:tc>
          <w:tcPr>
            <w:tcW w:w="9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779</w:t>
            </w:r>
          </w:p>
        </w:tc>
        <w:tc>
          <w:tcPr>
            <w:tcW w:w="74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427</w:t>
            </w: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2,553</w:t>
            </w:r>
          </w:p>
        </w:tc>
        <w:tc>
          <w:tcPr>
            <w:tcW w:w="0" w:type="dxa"/>
            <w:vAlign w:val="bottom"/>
          </w:tcPr>
          <w:p>
            <w:pPr>
              <w:spacing w:after="0"/>
              <w:rPr>
                <w:sz w:val="1"/>
                <w:szCs w:val="1"/>
                <w:color w:val="auto"/>
              </w:rPr>
            </w:pPr>
          </w:p>
        </w:tc>
      </w:tr>
      <w:tr>
        <w:trPr>
          <w:trHeight w:val="223"/>
        </w:trPr>
        <w:tc>
          <w:tcPr>
            <w:tcW w:w="28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8"/>
                <w:szCs w:val="18"/>
                <w:color w:val="auto"/>
                <w:w w:val="97"/>
              </w:rPr>
              <w:t>Total net sales</w:t>
            </w:r>
          </w:p>
        </w:tc>
        <w:tc>
          <w:tcPr>
            <w:tcW w:w="5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6,568</w:t>
            </w: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2,781</w:t>
            </w:r>
          </w:p>
        </w:tc>
        <w:tc>
          <w:tcPr>
            <w:tcW w:w="9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3,980</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2,699</w:t>
            </w:r>
          </w:p>
        </w:tc>
        <w:tc>
          <w:tcPr>
            <w:tcW w:w="3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16,028</w:t>
            </w:r>
          </w:p>
        </w:tc>
        <w:tc>
          <w:tcPr>
            <w:tcW w:w="0" w:type="dxa"/>
            <w:vAlign w:val="bottom"/>
          </w:tcPr>
          <w:p>
            <w:pPr>
              <w:spacing w:after="0"/>
              <w:rPr>
                <w:sz w:val="1"/>
                <w:szCs w:val="1"/>
                <w:color w:val="auto"/>
              </w:rPr>
            </w:pPr>
          </w:p>
        </w:tc>
      </w:tr>
      <w:tr>
        <w:trPr>
          <w:trHeight w:val="169"/>
        </w:trPr>
        <w:tc>
          <w:tcPr>
            <w:tcW w:w="2860" w:type="dxa"/>
            <w:vAlign w:val="bottom"/>
            <w:gridSpan w:val="2"/>
            <w:shd w:val="clear" w:color="auto" w:fill="CCEEFF"/>
          </w:tcPr>
          <w:p>
            <w:pPr>
              <w:jc w:val="center"/>
              <w:ind w:right="100"/>
              <w:spacing w:after="0" w:line="169" w:lineRule="exact"/>
              <w:rPr>
                <w:sz w:val="20"/>
                <w:szCs w:val="20"/>
                <w:color w:val="auto"/>
              </w:rPr>
            </w:pPr>
            <w:r>
              <w:rPr>
                <w:rFonts w:ascii="Arial" w:cs="Arial" w:eastAsia="Arial" w:hAnsi="Arial"/>
                <w:sz w:val="18"/>
                <w:szCs w:val="18"/>
                <w:b w:val="1"/>
                <w:bCs w:val="1"/>
                <w:color w:val="auto"/>
                <w:w w:val="99"/>
              </w:rPr>
              <w:t>Net sales by contract</w:t>
            </w:r>
          </w:p>
        </w:tc>
        <w:tc>
          <w:tcPr>
            <w:tcW w:w="5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type</w:t>
            </w:r>
          </w:p>
        </w:tc>
        <w:tc>
          <w:tcPr>
            <w:tcW w:w="5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60" w:type="dxa"/>
            <w:vAlign w:val="bottom"/>
            <w:gridSpan w:val="2"/>
          </w:tcPr>
          <w:p>
            <w:pPr>
              <w:ind w:left="680"/>
              <w:spacing w:after="0"/>
              <w:rPr>
                <w:sz w:val="20"/>
                <w:szCs w:val="20"/>
                <w:color w:val="auto"/>
              </w:rPr>
            </w:pPr>
            <w:r>
              <w:rPr>
                <w:rFonts w:ascii="Arial" w:cs="Arial" w:eastAsia="Arial" w:hAnsi="Arial"/>
                <w:sz w:val="18"/>
                <w:szCs w:val="18"/>
                <w:color w:val="auto"/>
              </w:rPr>
              <w:t>Fixed-price</w:t>
            </w:r>
          </w:p>
        </w:tc>
        <w:tc>
          <w:tcPr>
            <w:tcW w:w="54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4,819</w:t>
            </w:r>
          </w:p>
        </w:tc>
        <w:tc>
          <w:tcPr>
            <w:tcW w:w="1160" w:type="dxa"/>
            <w:vAlign w:val="bottom"/>
          </w:tcPr>
          <w:p>
            <w:pPr>
              <w:jc w:val="right"/>
              <w:ind w:right="450"/>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w w:val="97"/>
              </w:rPr>
              <w:t>1,900</w:t>
            </w:r>
          </w:p>
        </w:tc>
        <w:tc>
          <w:tcPr>
            <w:tcW w:w="92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2,617</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9"/>
                <w:szCs w:val="19"/>
                <w:color w:val="auto"/>
              </w:rPr>
            </w:pPr>
          </w:p>
        </w:tc>
        <w:tc>
          <w:tcPr>
            <w:tcW w:w="1080" w:type="dxa"/>
            <w:vAlign w:val="bottom"/>
          </w:tcPr>
          <w:p>
            <w:pPr>
              <w:jc w:val="right"/>
              <w:ind w:right="390"/>
              <w:spacing w:after="0"/>
              <w:rPr>
                <w:sz w:val="20"/>
                <w:szCs w:val="20"/>
                <w:color w:val="auto"/>
              </w:rPr>
            </w:pPr>
            <w:r>
              <w:rPr>
                <w:rFonts w:ascii="Arial" w:cs="Arial" w:eastAsia="Arial" w:hAnsi="Arial"/>
                <w:sz w:val="18"/>
                <w:szCs w:val="18"/>
                <w:b w:val="1"/>
                <w:bCs w:val="1"/>
                <w:color w:val="auto"/>
              </w:rPr>
              <w:t>631</w:t>
            </w:r>
          </w:p>
        </w:tc>
        <w:tc>
          <w:tcPr>
            <w:tcW w:w="3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9,967</w:t>
            </w:r>
          </w:p>
        </w:tc>
        <w:tc>
          <w:tcPr>
            <w:tcW w:w="0" w:type="dxa"/>
            <w:vAlign w:val="bottom"/>
          </w:tcPr>
          <w:p>
            <w:pPr>
              <w:spacing w:after="0"/>
              <w:rPr>
                <w:sz w:val="1"/>
                <w:szCs w:val="1"/>
                <w:color w:val="auto"/>
              </w:rPr>
            </w:pPr>
          </w:p>
        </w:tc>
      </w:tr>
      <w:tr>
        <w:trPr>
          <w:trHeight w:val="229"/>
        </w:trPr>
        <w:tc>
          <w:tcPr>
            <w:tcW w:w="2860" w:type="dxa"/>
            <w:vAlign w:val="bottom"/>
            <w:tcBorders>
              <w:bottom w:val="single" w:sz="8" w:color="auto"/>
            </w:tcBorders>
            <w:gridSpan w:val="2"/>
            <w:shd w:val="clear" w:color="auto" w:fill="CCEEFF"/>
          </w:tcPr>
          <w:p>
            <w:pPr>
              <w:ind w:left="680"/>
              <w:spacing w:after="0"/>
              <w:rPr>
                <w:sz w:val="20"/>
                <w:szCs w:val="20"/>
                <w:color w:val="auto"/>
              </w:rPr>
            </w:pPr>
            <w:r>
              <w:rPr>
                <w:rFonts w:ascii="Arial" w:cs="Arial" w:eastAsia="Arial" w:hAnsi="Arial"/>
                <w:sz w:val="18"/>
                <w:szCs w:val="18"/>
                <w:color w:val="auto"/>
              </w:rPr>
              <w:t>Cost-reimbursable</w:t>
            </w:r>
          </w:p>
        </w:tc>
        <w:tc>
          <w:tcPr>
            <w:tcW w:w="5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1,749</w:t>
            </w:r>
          </w:p>
        </w:tc>
        <w:tc>
          <w:tcPr>
            <w:tcW w:w="11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881</w:t>
            </w:r>
          </w:p>
        </w:tc>
        <w:tc>
          <w:tcPr>
            <w:tcW w:w="9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1,363</w:t>
            </w:r>
          </w:p>
        </w:tc>
        <w:tc>
          <w:tcPr>
            <w:tcW w:w="74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2,068</w:t>
            </w: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6,061</w:t>
            </w:r>
          </w:p>
        </w:tc>
        <w:tc>
          <w:tcPr>
            <w:tcW w:w="0" w:type="dxa"/>
            <w:vAlign w:val="bottom"/>
          </w:tcPr>
          <w:p>
            <w:pPr>
              <w:spacing w:after="0"/>
              <w:rPr>
                <w:sz w:val="1"/>
                <w:szCs w:val="1"/>
                <w:color w:val="auto"/>
              </w:rPr>
            </w:pPr>
          </w:p>
        </w:tc>
      </w:tr>
      <w:tr>
        <w:trPr>
          <w:trHeight w:val="223"/>
        </w:trPr>
        <w:tc>
          <w:tcPr>
            <w:tcW w:w="28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8"/>
                <w:szCs w:val="18"/>
                <w:color w:val="auto"/>
                <w:w w:val="97"/>
              </w:rPr>
              <w:t>Total net sales</w:t>
            </w:r>
          </w:p>
        </w:tc>
        <w:tc>
          <w:tcPr>
            <w:tcW w:w="5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6,568</w:t>
            </w: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2,781</w:t>
            </w:r>
          </w:p>
        </w:tc>
        <w:tc>
          <w:tcPr>
            <w:tcW w:w="9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3,980</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2,699</w:t>
            </w:r>
          </w:p>
        </w:tc>
        <w:tc>
          <w:tcPr>
            <w:tcW w:w="3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16,028</w:t>
            </w:r>
          </w:p>
        </w:tc>
        <w:tc>
          <w:tcPr>
            <w:tcW w:w="0" w:type="dxa"/>
            <w:vAlign w:val="bottom"/>
          </w:tcPr>
          <w:p>
            <w:pPr>
              <w:spacing w:after="0"/>
              <w:rPr>
                <w:sz w:val="1"/>
                <w:szCs w:val="1"/>
                <w:color w:val="auto"/>
              </w:rPr>
            </w:pPr>
          </w:p>
        </w:tc>
      </w:tr>
      <w:tr>
        <w:trPr>
          <w:trHeight w:val="223"/>
        </w:trPr>
        <w:tc>
          <w:tcPr>
            <w:tcW w:w="2860" w:type="dxa"/>
            <w:vAlign w:val="bottom"/>
            <w:gridSpan w:val="2"/>
            <w:shd w:val="clear" w:color="auto" w:fill="CCEEFF"/>
          </w:tcPr>
          <w:p>
            <w:pPr>
              <w:ind w:left="480"/>
              <w:spacing w:after="0"/>
              <w:rPr>
                <w:sz w:val="20"/>
                <w:szCs w:val="20"/>
                <w:color w:val="auto"/>
              </w:rPr>
            </w:pPr>
            <w:r>
              <w:rPr>
                <w:rFonts w:ascii="Arial" w:cs="Arial" w:eastAsia="Arial" w:hAnsi="Arial"/>
                <w:sz w:val="18"/>
                <w:szCs w:val="18"/>
                <w:b w:val="1"/>
                <w:bCs w:val="1"/>
                <w:color w:val="auto"/>
              </w:rPr>
              <w:t>Net sales by customer</w:t>
            </w:r>
          </w:p>
        </w:tc>
        <w:tc>
          <w:tcPr>
            <w:tcW w:w="5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gridSpan w:val="2"/>
          </w:tcPr>
          <w:p>
            <w:pPr>
              <w:ind w:left="680"/>
              <w:spacing w:after="0"/>
              <w:rPr>
                <w:sz w:val="20"/>
                <w:szCs w:val="20"/>
                <w:color w:val="auto"/>
              </w:rPr>
            </w:pPr>
            <w:r>
              <w:rPr>
                <w:rFonts w:ascii="Arial" w:cs="Arial" w:eastAsia="Arial" w:hAnsi="Arial"/>
                <w:sz w:val="18"/>
                <w:szCs w:val="18"/>
                <w:color w:val="auto"/>
              </w:rPr>
              <w:t>U.S. Government</w:t>
            </w:r>
          </w:p>
        </w:tc>
        <w:tc>
          <w:tcPr>
            <w:tcW w:w="54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4,312</w:t>
            </w:r>
          </w:p>
        </w:tc>
        <w:tc>
          <w:tcPr>
            <w:tcW w:w="1160" w:type="dxa"/>
            <w:vAlign w:val="bottom"/>
          </w:tcPr>
          <w:p>
            <w:pPr>
              <w:jc w:val="right"/>
              <w:ind w:right="450"/>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w w:val="97"/>
              </w:rPr>
              <w:t>1,938</w:t>
            </w:r>
          </w:p>
        </w:tc>
        <w:tc>
          <w:tcPr>
            <w:tcW w:w="92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2,838</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9"/>
                <w:szCs w:val="19"/>
                <w:color w:val="auto"/>
              </w:rPr>
            </w:pPr>
          </w:p>
        </w:tc>
        <w:tc>
          <w:tcPr>
            <w:tcW w:w="1080" w:type="dxa"/>
            <w:vAlign w:val="bottom"/>
          </w:tcPr>
          <w:p>
            <w:pPr>
              <w:jc w:val="right"/>
              <w:ind w:right="390"/>
              <w:spacing w:after="0"/>
              <w:rPr>
                <w:sz w:val="20"/>
                <w:szCs w:val="20"/>
                <w:color w:val="auto"/>
              </w:rPr>
            </w:pPr>
            <w:r>
              <w:rPr>
                <w:rFonts w:ascii="Arial" w:cs="Arial" w:eastAsia="Arial" w:hAnsi="Arial"/>
                <w:sz w:val="18"/>
                <w:szCs w:val="18"/>
                <w:b w:val="1"/>
                <w:bCs w:val="1"/>
                <w:color w:val="auto"/>
              </w:rPr>
              <w:t>2,671</w:t>
            </w:r>
          </w:p>
        </w:tc>
        <w:tc>
          <w:tcPr>
            <w:tcW w:w="3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11,759</w:t>
            </w:r>
          </w:p>
        </w:tc>
        <w:tc>
          <w:tcPr>
            <w:tcW w:w="0" w:type="dxa"/>
            <w:vAlign w:val="bottom"/>
          </w:tcPr>
          <w:p>
            <w:pPr>
              <w:spacing w:after="0"/>
              <w:rPr>
                <w:sz w:val="1"/>
                <w:szCs w:val="1"/>
                <w:color w:val="auto"/>
              </w:rPr>
            </w:pPr>
          </w:p>
        </w:tc>
      </w:tr>
      <w:tr>
        <w:trPr>
          <w:trHeight w:val="229"/>
        </w:trPr>
        <w:tc>
          <w:tcPr>
            <w:tcW w:w="2860" w:type="dxa"/>
            <w:vAlign w:val="bottom"/>
            <w:gridSpan w:val="2"/>
            <w:shd w:val="clear" w:color="auto" w:fill="CCEEFF"/>
          </w:tcPr>
          <w:p>
            <w:pPr>
              <w:ind w:left="680"/>
              <w:spacing w:after="0" w:line="230" w:lineRule="exact"/>
              <w:rPr>
                <w:sz w:val="20"/>
                <w:szCs w:val="20"/>
                <w:color w:val="auto"/>
              </w:rPr>
            </w:pPr>
            <w:r>
              <w:rPr>
                <w:rFonts w:ascii="Arial" w:cs="Arial" w:eastAsia="Arial" w:hAnsi="Arial"/>
                <w:sz w:val="18"/>
                <w:szCs w:val="18"/>
                <w:color w:val="auto"/>
              </w:rPr>
              <w:t xml:space="preserve">International </w:t>
            </w:r>
            <w:r>
              <w:rPr>
                <w:rFonts w:ascii="Arial" w:cs="Arial" w:eastAsia="Arial" w:hAnsi="Arial"/>
                <w:sz w:val="23"/>
                <w:szCs w:val="23"/>
                <w:color w:val="auto"/>
                <w:vertAlign w:val="superscript"/>
              </w:rPr>
              <w:t>(a)</w:t>
            </w:r>
          </w:p>
        </w:tc>
        <w:tc>
          <w:tcPr>
            <w:tcW w:w="5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2,229</w:t>
            </w:r>
          </w:p>
        </w:tc>
        <w:tc>
          <w:tcPr>
            <w:tcW w:w="11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847</w:t>
            </w:r>
          </w:p>
        </w:tc>
        <w:tc>
          <w:tcPr>
            <w:tcW w:w="9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1,047</w:t>
            </w:r>
          </w:p>
        </w:tc>
        <w:tc>
          <w:tcPr>
            <w:tcW w:w="7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22</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4,145</w:t>
            </w:r>
          </w:p>
        </w:tc>
        <w:tc>
          <w:tcPr>
            <w:tcW w:w="0" w:type="dxa"/>
            <w:vAlign w:val="bottom"/>
          </w:tcPr>
          <w:p>
            <w:pPr>
              <w:spacing w:after="0"/>
              <w:rPr>
                <w:sz w:val="1"/>
                <w:szCs w:val="1"/>
                <w:color w:val="auto"/>
              </w:rPr>
            </w:pPr>
          </w:p>
        </w:tc>
      </w:tr>
      <w:tr>
        <w:trPr>
          <w:trHeight w:val="188"/>
        </w:trPr>
        <w:tc>
          <w:tcPr>
            <w:tcW w:w="2860" w:type="dxa"/>
            <w:vAlign w:val="bottom"/>
            <w:gridSpan w:val="2"/>
          </w:tcPr>
          <w:p>
            <w:pPr>
              <w:ind w:left="680"/>
              <w:spacing w:after="0" w:line="189" w:lineRule="exact"/>
              <w:rPr>
                <w:sz w:val="20"/>
                <w:szCs w:val="20"/>
                <w:color w:val="auto"/>
              </w:rPr>
            </w:pPr>
            <w:r>
              <w:rPr>
                <w:rFonts w:ascii="Arial" w:cs="Arial" w:eastAsia="Arial" w:hAnsi="Arial"/>
                <w:sz w:val="18"/>
                <w:szCs w:val="18"/>
                <w:color w:val="auto"/>
              </w:rPr>
              <w:t>U.S. commercial and</w:t>
            </w:r>
          </w:p>
        </w:tc>
        <w:tc>
          <w:tcPr>
            <w:tcW w:w="540" w:type="dxa"/>
            <w:vAlign w:val="bottom"/>
          </w:tcPr>
          <w:p>
            <w:pPr>
              <w:spacing w:after="0"/>
              <w:rPr>
                <w:sz w:val="16"/>
                <w:szCs w:val="16"/>
                <w:color w:val="auto"/>
              </w:rPr>
            </w:pPr>
          </w:p>
        </w:tc>
        <w:tc>
          <w:tcPr>
            <w:tcW w:w="840" w:type="dxa"/>
            <w:vAlign w:val="bottom"/>
            <w:gridSpan w:val="2"/>
            <w:vMerge w:val="restart"/>
          </w:tcPr>
          <w:p>
            <w:pPr>
              <w:jc w:val="right"/>
              <w:ind w:right="120"/>
              <w:spacing w:after="0"/>
              <w:rPr>
                <w:sz w:val="20"/>
                <w:szCs w:val="20"/>
                <w:color w:val="auto"/>
              </w:rPr>
            </w:pPr>
            <w:r>
              <w:rPr>
                <w:rFonts w:ascii="Arial" w:cs="Arial" w:eastAsia="Arial" w:hAnsi="Arial"/>
                <w:sz w:val="18"/>
                <w:szCs w:val="18"/>
                <w:b w:val="1"/>
                <w:bCs w:val="1"/>
                <w:color w:val="auto"/>
              </w:rPr>
              <w:t>27</w:t>
            </w:r>
          </w:p>
        </w:tc>
        <w:tc>
          <w:tcPr>
            <w:tcW w:w="1160" w:type="dxa"/>
            <w:vAlign w:val="bottom"/>
          </w:tcPr>
          <w:p>
            <w:pPr>
              <w:spacing w:after="0"/>
              <w:rPr>
                <w:sz w:val="16"/>
                <w:szCs w:val="16"/>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w:t>
            </w:r>
          </w:p>
        </w:tc>
        <w:tc>
          <w:tcPr>
            <w:tcW w:w="92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95</w:t>
            </w: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vMerge w:val="restart"/>
          </w:tcPr>
          <w:p>
            <w:pPr>
              <w:jc w:val="right"/>
              <w:ind w:right="390"/>
              <w:spacing w:after="0"/>
              <w:rPr>
                <w:sz w:val="20"/>
                <w:szCs w:val="20"/>
                <w:color w:val="auto"/>
              </w:rPr>
            </w:pPr>
            <w:r>
              <w:rPr>
                <w:rFonts w:ascii="Arial" w:cs="Arial" w:eastAsia="Arial" w:hAnsi="Arial"/>
                <w:sz w:val="18"/>
                <w:szCs w:val="18"/>
                <w:b w:val="1"/>
                <w:bCs w:val="1"/>
                <w:color w:val="auto"/>
              </w:rPr>
              <w:t>6</w:t>
            </w:r>
          </w:p>
        </w:tc>
        <w:tc>
          <w:tcPr>
            <w:tcW w:w="38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124</w:t>
            </w:r>
          </w:p>
        </w:tc>
        <w:tc>
          <w:tcPr>
            <w:tcW w:w="0" w:type="dxa"/>
            <w:vAlign w:val="bottom"/>
          </w:tcPr>
          <w:p>
            <w:pPr>
              <w:spacing w:after="0"/>
              <w:rPr>
                <w:sz w:val="1"/>
                <w:szCs w:val="1"/>
                <w:color w:val="auto"/>
              </w:rPr>
            </w:pPr>
          </w:p>
        </w:tc>
      </w:tr>
      <w:tr>
        <w:trPr>
          <w:trHeight w:val="217"/>
        </w:trPr>
        <w:tc>
          <w:tcPr>
            <w:tcW w:w="286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color w:val="auto"/>
              </w:rPr>
              <w:t>other</w:t>
            </w:r>
          </w:p>
        </w:tc>
        <w:tc>
          <w:tcPr>
            <w:tcW w:w="5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vMerge w:val="continue"/>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60" w:type="dxa"/>
            <w:vAlign w:val="bottom"/>
            <w:tcBorders>
              <w:bottom w:val="single" w:sz="8" w:color="auto"/>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7"/>
              </w:rPr>
              <w:t>Total net sales</w:t>
            </w:r>
          </w:p>
        </w:tc>
        <w:tc>
          <w:tcPr>
            <w:tcW w:w="5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6,568</w:t>
            </w:r>
          </w:p>
        </w:tc>
        <w:tc>
          <w:tcPr>
            <w:tcW w:w="116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2,781</w:t>
            </w:r>
          </w:p>
        </w:tc>
        <w:tc>
          <w:tcPr>
            <w:tcW w:w="9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3,980</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2,699</w:t>
            </w:r>
          </w:p>
        </w:tc>
        <w:tc>
          <w:tcPr>
            <w:tcW w:w="3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16,028</w:t>
            </w:r>
          </w:p>
        </w:tc>
        <w:tc>
          <w:tcPr>
            <w:tcW w:w="0" w:type="dxa"/>
            <w:vAlign w:val="bottom"/>
          </w:tcPr>
          <w:p>
            <w:pPr>
              <w:spacing w:after="0"/>
              <w:rPr>
                <w:sz w:val="1"/>
                <w:szCs w:val="1"/>
                <w:color w:val="auto"/>
              </w:rPr>
            </w:pPr>
          </w:p>
        </w:tc>
      </w:tr>
      <w:tr>
        <w:trPr>
          <w:trHeight w:val="169"/>
        </w:trPr>
        <w:tc>
          <w:tcPr>
            <w:tcW w:w="2860" w:type="dxa"/>
            <w:vAlign w:val="bottom"/>
            <w:gridSpan w:val="2"/>
          </w:tcPr>
          <w:p>
            <w:pPr>
              <w:ind w:left="480"/>
              <w:spacing w:after="0" w:line="169" w:lineRule="exact"/>
              <w:rPr>
                <w:sz w:val="20"/>
                <w:szCs w:val="20"/>
                <w:color w:val="auto"/>
              </w:rPr>
            </w:pPr>
            <w:r>
              <w:rPr>
                <w:rFonts w:ascii="Arial" w:cs="Arial" w:eastAsia="Arial" w:hAnsi="Arial"/>
                <w:sz w:val="18"/>
                <w:szCs w:val="18"/>
                <w:b w:val="1"/>
                <w:bCs w:val="1"/>
                <w:color w:val="auto"/>
              </w:rPr>
              <w:t>Net sales by</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860" w:type="dxa"/>
            <w:vAlign w:val="bottom"/>
            <w:gridSpan w:val="2"/>
          </w:tcPr>
          <w:p>
            <w:pPr>
              <w:ind w:left="20"/>
              <w:spacing w:after="0"/>
              <w:rPr>
                <w:sz w:val="20"/>
                <w:szCs w:val="20"/>
                <w:color w:val="auto"/>
              </w:rPr>
            </w:pPr>
            <w:r>
              <w:rPr>
                <w:rFonts w:ascii="Arial" w:cs="Arial" w:eastAsia="Arial" w:hAnsi="Arial"/>
                <w:sz w:val="18"/>
                <w:szCs w:val="18"/>
                <w:b w:val="1"/>
                <w:bCs w:val="1"/>
                <w:color w:val="auto"/>
              </w:rPr>
              <w:t>geographic region</w:t>
            </w:r>
          </w:p>
        </w:tc>
        <w:tc>
          <w:tcPr>
            <w:tcW w:w="5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United States</w:t>
            </w:r>
          </w:p>
        </w:tc>
        <w:tc>
          <w:tcPr>
            <w:tcW w:w="54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4,339</w:t>
            </w:r>
          </w:p>
        </w:tc>
        <w:tc>
          <w:tcPr>
            <w:tcW w:w="1160" w:type="dxa"/>
            <w:vAlign w:val="bottom"/>
            <w:shd w:val="clear" w:color="auto" w:fill="CCEEFF"/>
          </w:tcPr>
          <w:p>
            <w:pPr>
              <w:jc w:val="right"/>
              <w:ind w:right="450"/>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1,934</w:t>
            </w:r>
          </w:p>
        </w:tc>
        <w:tc>
          <w:tcPr>
            <w:tcW w:w="92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2,933</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2,677</w:t>
            </w:r>
          </w:p>
        </w:tc>
        <w:tc>
          <w:tcPr>
            <w:tcW w:w="3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11,883</w:t>
            </w:r>
          </w:p>
        </w:tc>
        <w:tc>
          <w:tcPr>
            <w:tcW w:w="0" w:type="dxa"/>
            <w:vAlign w:val="bottom"/>
          </w:tcPr>
          <w:p>
            <w:pPr>
              <w:spacing w:after="0"/>
              <w:rPr>
                <w:sz w:val="1"/>
                <w:szCs w:val="1"/>
                <w:color w:val="auto"/>
              </w:rPr>
            </w:pPr>
          </w:p>
        </w:tc>
      </w:tr>
      <w:tr>
        <w:trPr>
          <w:trHeight w:val="230"/>
        </w:trPr>
        <w:tc>
          <w:tcPr>
            <w:tcW w:w="2860" w:type="dxa"/>
            <w:vAlign w:val="bottom"/>
            <w:gridSpan w:val="2"/>
          </w:tcPr>
          <w:p>
            <w:pPr>
              <w:ind w:left="680"/>
              <w:spacing w:after="0"/>
              <w:rPr>
                <w:sz w:val="20"/>
                <w:szCs w:val="20"/>
                <w:color w:val="auto"/>
              </w:rPr>
            </w:pPr>
            <w:r>
              <w:rPr>
                <w:rFonts w:ascii="Arial" w:cs="Arial" w:eastAsia="Arial" w:hAnsi="Arial"/>
                <w:sz w:val="18"/>
                <w:szCs w:val="18"/>
                <w:color w:val="auto"/>
              </w:rPr>
              <w:t>Asia Pacific</w:t>
            </w:r>
          </w:p>
        </w:tc>
        <w:tc>
          <w:tcPr>
            <w:tcW w:w="54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890</w:t>
            </w:r>
          </w:p>
        </w:tc>
        <w:tc>
          <w:tcPr>
            <w:tcW w:w="11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81</w:t>
            </w:r>
          </w:p>
        </w:tc>
        <w:tc>
          <w:tcPr>
            <w:tcW w:w="9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409</w:t>
            </w: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ind w:right="350"/>
              <w:spacing w:after="0"/>
              <w:rPr>
                <w:sz w:val="20"/>
                <w:szCs w:val="20"/>
                <w:color w:val="auto"/>
              </w:rPr>
            </w:pPr>
            <w:r>
              <w:rPr>
                <w:rFonts w:ascii="Arial" w:cs="Arial" w:eastAsia="Arial" w:hAnsi="Arial"/>
                <w:sz w:val="18"/>
                <w:szCs w:val="18"/>
                <w:b w:val="1"/>
                <w:bCs w:val="1"/>
                <w:color w:val="auto"/>
              </w:rPr>
              <w:t>(14)</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1,366</w:t>
            </w:r>
          </w:p>
        </w:tc>
        <w:tc>
          <w:tcPr>
            <w:tcW w:w="0" w:type="dxa"/>
            <w:vAlign w:val="bottom"/>
          </w:tcPr>
          <w:p>
            <w:pPr>
              <w:spacing w:after="0"/>
              <w:rPr>
                <w:sz w:val="1"/>
                <w:szCs w:val="1"/>
                <w:color w:val="auto"/>
              </w:rPr>
            </w:pPr>
          </w:p>
        </w:tc>
      </w:tr>
      <w:tr>
        <w:trPr>
          <w:trHeight w:val="229"/>
        </w:trPr>
        <w:tc>
          <w:tcPr>
            <w:tcW w:w="28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Europe</w:t>
            </w:r>
          </w:p>
        </w:tc>
        <w:tc>
          <w:tcPr>
            <w:tcW w:w="5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910</w:t>
            </w:r>
          </w:p>
        </w:tc>
        <w:tc>
          <w:tcPr>
            <w:tcW w:w="11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226</w:t>
            </w:r>
          </w:p>
        </w:tc>
        <w:tc>
          <w:tcPr>
            <w:tcW w:w="9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213</w:t>
            </w:r>
          </w:p>
        </w:tc>
        <w:tc>
          <w:tcPr>
            <w:tcW w:w="7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32</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1,381</w:t>
            </w:r>
          </w:p>
        </w:tc>
        <w:tc>
          <w:tcPr>
            <w:tcW w:w="0" w:type="dxa"/>
            <w:vAlign w:val="bottom"/>
          </w:tcPr>
          <w:p>
            <w:pPr>
              <w:spacing w:after="0"/>
              <w:rPr>
                <w:sz w:val="1"/>
                <w:szCs w:val="1"/>
                <w:color w:val="auto"/>
              </w:rPr>
            </w:pPr>
          </w:p>
        </w:tc>
      </w:tr>
      <w:tr>
        <w:trPr>
          <w:trHeight w:val="230"/>
        </w:trPr>
        <w:tc>
          <w:tcPr>
            <w:tcW w:w="2860" w:type="dxa"/>
            <w:vAlign w:val="bottom"/>
            <w:gridSpan w:val="2"/>
          </w:tcPr>
          <w:p>
            <w:pPr>
              <w:ind w:left="680"/>
              <w:spacing w:after="0"/>
              <w:rPr>
                <w:sz w:val="20"/>
                <w:szCs w:val="20"/>
                <w:color w:val="auto"/>
              </w:rPr>
            </w:pPr>
            <w:r>
              <w:rPr>
                <w:rFonts w:ascii="Arial" w:cs="Arial" w:eastAsia="Arial" w:hAnsi="Arial"/>
                <w:sz w:val="18"/>
                <w:szCs w:val="18"/>
                <w:color w:val="auto"/>
              </w:rPr>
              <w:t>Middle East</w:t>
            </w:r>
          </w:p>
        </w:tc>
        <w:tc>
          <w:tcPr>
            <w:tcW w:w="54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360</w:t>
            </w:r>
          </w:p>
        </w:tc>
        <w:tc>
          <w:tcPr>
            <w:tcW w:w="11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527</w:t>
            </w:r>
          </w:p>
        </w:tc>
        <w:tc>
          <w:tcPr>
            <w:tcW w:w="9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246</w:t>
            </w: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ind w:right="390"/>
              <w:spacing w:after="0"/>
              <w:rPr>
                <w:sz w:val="20"/>
                <w:szCs w:val="20"/>
                <w:color w:val="auto"/>
              </w:rPr>
            </w:pPr>
            <w:r>
              <w:rPr>
                <w:rFonts w:ascii="Arial" w:cs="Arial" w:eastAsia="Arial" w:hAnsi="Arial"/>
                <w:sz w:val="18"/>
                <w:szCs w:val="18"/>
                <w:b w:val="1"/>
                <w:bCs w:val="1"/>
                <w:color w:val="auto"/>
              </w:rPr>
              <w:t>4</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1,137</w:t>
            </w:r>
          </w:p>
        </w:tc>
        <w:tc>
          <w:tcPr>
            <w:tcW w:w="0" w:type="dxa"/>
            <w:vAlign w:val="bottom"/>
          </w:tcPr>
          <w:p>
            <w:pPr>
              <w:spacing w:after="0"/>
              <w:rPr>
                <w:sz w:val="1"/>
                <w:szCs w:val="1"/>
                <w:color w:val="auto"/>
              </w:rPr>
            </w:pPr>
          </w:p>
        </w:tc>
      </w:tr>
      <w:tr>
        <w:trPr>
          <w:trHeight w:val="230"/>
        </w:trPr>
        <w:tc>
          <w:tcPr>
            <w:tcW w:w="2860" w:type="dxa"/>
            <w:vAlign w:val="bottom"/>
            <w:tcBorders>
              <w:bottom w:val="single" w:sz="8" w:color="auto"/>
            </w:tcBorders>
            <w:gridSpan w:val="2"/>
            <w:shd w:val="clear" w:color="auto" w:fill="CCEEFF"/>
          </w:tcPr>
          <w:p>
            <w:pPr>
              <w:ind w:left="680"/>
              <w:spacing w:after="0"/>
              <w:rPr>
                <w:sz w:val="20"/>
                <w:szCs w:val="20"/>
                <w:color w:val="auto"/>
              </w:rPr>
            </w:pPr>
            <w:r>
              <w:rPr>
                <w:rFonts w:ascii="Arial" w:cs="Arial" w:eastAsia="Arial" w:hAnsi="Arial"/>
                <w:sz w:val="18"/>
                <w:szCs w:val="18"/>
                <w:color w:val="auto"/>
              </w:rPr>
              <w:t>Other</w:t>
            </w:r>
          </w:p>
        </w:tc>
        <w:tc>
          <w:tcPr>
            <w:tcW w:w="5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69</w:t>
            </w:r>
          </w:p>
        </w:tc>
        <w:tc>
          <w:tcPr>
            <w:tcW w:w="11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9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179</w:t>
            </w:r>
          </w:p>
        </w:tc>
        <w:tc>
          <w:tcPr>
            <w:tcW w:w="74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261</w:t>
            </w:r>
          </w:p>
        </w:tc>
        <w:tc>
          <w:tcPr>
            <w:tcW w:w="0" w:type="dxa"/>
            <w:vAlign w:val="bottom"/>
          </w:tcPr>
          <w:p>
            <w:pPr>
              <w:spacing w:after="0"/>
              <w:rPr>
                <w:sz w:val="1"/>
                <w:szCs w:val="1"/>
                <w:color w:val="auto"/>
              </w:rPr>
            </w:pPr>
          </w:p>
        </w:tc>
      </w:tr>
      <w:tr>
        <w:trPr>
          <w:trHeight w:val="230"/>
        </w:trPr>
        <w:tc>
          <w:tcPr>
            <w:tcW w:w="28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8"/>
                <w:szCs w:val="18"/>
                <w:color w:val="auto"/>
                <w:w w:val="97"/>
              </w:rPr>
              <w:t>Total net sales</w:t>
            </w:r>
          </w:p>
        </w:tc>
        <w:tc>
          <w:tcPr>
            <w:tcW w:w="5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6,568</w:t>
            </w: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2,781</w:t>
            </w:r>
          </w:p>
        </w:tc>
        <w:tc>
          <w:tcPr>
            <w:tcW w:w="9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3,980</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2,699</w:t>
            </w:r>
          </w:p>
        </w:tc>
        <w:tc>
          <w:tcPr>
            <w:tcW w:w="3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16,028</w:t>
            </w:r>
          </w:p>
        </w:tc>
        <w:tc>
          <w:tcPr>
            <w:tcW w:w="0" w:type="dxa"/>
            <w:vAlign w:val="bottom"/>
          </w:tcPr>
          <w:p>
            <w:pPr>
              <w:spacing w:after="0"/>
              <w:rPr>
                <w:sz w:val="1"/>
                <w:szCs w:val="1"/>
                <w:color w:val="auto"/>
              </w:rPr>
            </w:pPr>
          </w:p>
        </w:tc>
      </w:tr>
      <w:tr>
        <w:trPr>
          <w:trHeight w:val="527"/>
        </w:trPr>
        <w:tc>
          <w:tcPr>
            <w:tcW w:w="2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5"/>
          </w:tcPr>
          <w:p>
            <w:pPr>
              <w:jc w:val="right"/>
              <w:ind w:right="350"/>
              <w:spacing w:after="0"/>
              <w:rPr>
                <w:sz w:val="20"/>
                <w:szCs w:val="20"/>
                <w:color w:val="auto"/>
              </w:rPr>
            </w:pPr>
            <w:r>
              <w:rPr>
                <w:rFonts w:ascii="Arial" w:cs="Arial" w:eastAsia="Arial" w:hAnsi="Arial"/>
                <w:sz w:val="18"/>
                <w:szCs w:val="18"/>
                <w:b w:val="1"/>
                <w:bCs w:val="1"/>
                <w:color w:val="auto"/>
              </w:rPr>
              <w:t>Nine Months Ended September 26, 2021</w:t>
            </w:r>
          </w:p>
        </w:tc>
        <w:tc>
          <w:tcPr>
            <w:tcW w:w="3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5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Aeronautics</w:t>
            </w: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MFC</w:t>
            </w:r>
          </w:p>
        </w:tc>
        <w:tc>
          <w:tcPr>
            <w:tcW w:w="1540" w:type="dxa"/>
            <w:vAlign w:val="bottom"/>
            <w:tcBorders>
              <w:bottom w:val="single" w:sz="8" w:color="auto"/>
            </w:tcBorders>
            <w:gridSpan w:val="2"/>
          </w:tcPr>
          <w:p>
            <w:pPr>
              <w:jc w:val="right"/>
              <w:ind w:right="430"/>
              <w:spacing w:after="0"/>
              <w:rPr>
                <w:sz w:val="20"/>
                <w:szCs w:val="20"/>
                <w:color w:val="auto"/>
              </w:rPr>
            </w:pPr>
            <w:r>
              <w:rPr>
                <w:rFonts w:ascii="Arial" w:cs="Arial" w:eastAsia="Arial" w:hAnsi="Arial"/>
                <w:sz w:val="18"/>
                <w:szCs w:val="18"/>
                <w:b w:val="1"/>
                <w:bCs w:val="1"/>
                <w:color w:val="auto"/>
              </w:rPr>
              <w:t>RMS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Space</w:t>
            </w: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5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gridSpan w:val="2"/>
          </w:tcPr>
          <w:p>
            <w:pPr>
              <w:ind w:left="220"/>
              <w:spacing w:after="0"/>
              <w:rPr>
                <w:sz w:val="20"/>
                <w:szCs w:val="20"/>
                <w:color w:val="auto"/>
              </w:rPr>
            </w:pPr>
            <w:r>
              <w:rPr>
                <w:rFonts w:ascii="Arial" w:cs="Arial" w:eastAsia="Arial" w:hAnsi="Arial"/>
                <w:sz w:val="18"/>
                <w:szCs w:val="18"/>
                <w:color w:val="auto"/>
              </w:rPr>
              <w:t>Products</w:t>
            </w:r>
          </w:p>
        </w:tc>
        <w:tc>
          <w:tcPr>
            <w:tcW w:w="54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16,635</w:t>
            </w:r>
          </w:p>
        </w:tc>
        <w:tc>
          <w:tcPr>
            <w:tcW w:w="52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7,410</w:t>
            </w:r>
          </w:p>
        </w:tc>
        <w:tc>
          <w:tcPr>
            <w:tcW w:w="80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50"/>
              <w:spacing w:after="0"/>
              <w:rPr>
                <w:sz w:val="20"/>
                <w:szCs w:val="20"/>
                <w:color w:val="auto"/>
              </w:rPr>
            </w:pPr>
            <w:r>
              <w:rPr>
                <w:rFonts w:ascii="Arial" w:cs="Arial" w:eastAsia="Arial" w:hAnsi="Arial"/>
                <w:sz w:val="18"/>
                <w:szCs w:val="18"/>
                <w:b w:val="1"/>
                <w:bCs w:val="1"/>
                <w:color w:val="auto"/>
              </w:rPr>
              <w:t>9,870</w:t>
            </w:r>
          </w:p>
        </w:tc>
        <w:tc>
          <w:tcPr>
            <w:tcW w:w="34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7,571</w:t>
            </w:r>
          </w:p>
        </w:tc>
        <w:tc>
          <w:tcPr>
            <w:tcW w:w="38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41,486</w:t>
            </w:r>
          </w:p>
        </w:tc>
        <w:tc>
          <w:tcPr>
            <w:tcW w:w="0" w:type="dxa"/>
            <w:vAlign w:val="bottom"/>
          </w:tcPr>
          <w:p>
            <w:pPr>
              <w:spacing w:after="0"/>
              <w:rPr>
                <w:sz w:val="1"/>
                <w:szCs w:val="1"/>
                <w:color w:val="auto"/>
              </w:rPr>
            </w:pPr>
          </w:p>
        </w:tc>
      </w:tr>
      <w:tr>
        <w:trPr>
          <w:trHeight w:val="230"/>
        </w:trPr>
        <w:tc>
          <w:tcPr>
            <w:tcW w:w="2860" w:type="dxa"/>
            <w:vAlign w:val="bottom"/>
            <w:tcBorders>
              <w:bottom w:val="single" w:sz="8" w:color="auto"/>
            </w:tcBorders>
            <w:gridSpan w:val="2"/>
            <w:shd w:val="clear" w:color="auto" w:fill="CCEEFF"/>
          </w:tcPr>
          <w:p>
            <w:pPr>
              <w:ind w:left="220"/>
              <w:spacing w:after="0"/>
              <w:rPr>
                <w:sz w:val="20"/>
                <w:szCs w:val="20"/>
                <w:color w:val="auto"/>
              </w:rPr>
            </w:pPr>
            <w:r>
              <w:rPr>
                <w:rFonts w:ascii="Arial" w:cs="Arial" w:eastAsia="Arial" w:hAnsi="Arial"/>
                <w:sz w:val="18"/>
                <w:szCs w:val="18"/>
                <w:color w:val="auto"/>
              </w:rPr>
              <w:t>Services</w:t>
            </w:r>
          </w:p>
        </w:tc>
        <w:tc>
          <w:tcPr>
            <w:tcW w:w="5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2,986</w:t>
            </w: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1,064</w:t>
            </w:r>
          </w:p>
        </w:tc>
        <w:tc>
          <w:tcPr>
            <w:tcW w:w="8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2,459</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1,320</w:t>
            </w: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7,829</w:t>
            </w:r>
          </w:p>
        </w:tc>
        <w:tc>
          <w:tcPr>
            <w:tcW w:w="0" w:type="dxa"/>
            <w:vAlign w:val="bottom"/>
          </w:tcPr>
          <w:p>
            <w:pPr>
              <w:spacing w:after="0"/>
              <w:rPr>
                <w:sz w:val="1"/>
                <w:szCs w:val="1"/>
                <w:color w:val="auto"/>
              </w:rPr>
            </w:pPr>
          </w:p>
        </w:tc>
      </w:tr>
      <w:tr>
        <w:trPr>
          <w:trHeight w:val="223"/>
        </w:trPr>
        <w:tc>
          <w:tcPr>
            <w:tcW w:w="2860" w:type="dxa"/>
            <w:vAlign w:val="bottom"/>
            <w:tcBorders>
              <w:bottom w:val="single" w:sz="8" w:color="auto"/>
            </w:tcBorders>
            <w:gridSpan w:val="2"/>
          </w:tcPr>
          <w:p>
            <w:pPr>
              <w:ind w:left="360"/>
              <w:spacing w:after="0"/>
              <w:rPr>
                <w:sz w:val="20"/>
                <w:szCs w:val="20"/>
                <w:color w:val="auto"/>
              </w:rPr>
            </w:pPr>
            <w:r>
              <w:rPr>
                <w:rFonts w:ascii="Arial" w:cs="Arial" w:eastAsia="Arial" w:hAnsi="Arial"/>
                <w:sz w:val="18"/>
                <w:szCs w:val="18"/>
                <w:color w:val="auto"/>
              </w:rPr>
              <w:t>Total net sales</w:t>
            </w:r>
          </w:p>
        </w:tc>
        <w:tc>
          <w:tcPr>
            <w:tcW w:w="5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19,621</w:t>
            </w:r>
          </w:p>
        </w:tc>
        <w:tc>
          <w:tcPr>
            <w:tcW w:w="5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8,474</w:t>
            </w:r>
          </w:p>
        </w:tc>
        <w:tc>
          <w:tcPr>
            <w:tcW w:w="8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12,329</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8,891</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49,315</w:t>
            </w:r>
          </w:p>
        </w:tc>
        <w:tc>
          <w:tcPr>
            <w:tcW w:w="0" w:type="dxa"/>
            <w:vAlign w:val="bottom"/>
          </w:tcPr>
          <w:p>
            <w:pPr>
              <w:spacing w:after="0"/>
              <w:rPr>
                <w:sz w:val="1"/>
                <w:szCs w:val="1"/>
                <w:color w:val="auto"/>
              </w:rPr>
            </w:pPr>
          </w:p>
        </w:tc>
      </w:tr>
      <w:tr>
        <w:trPr>
          <w:trHeight w:val="223"/>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sales by contract type</w:t>
            </w:r>
          </w:p>
        </w:tc>
        <w:tc>
          <w:tcPr>
            <w:tcW w:w="5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gridSpan w:val="2"/>
          </w:tcPr>
          <w:p>
            <w:pPr>
              <w:ind w:left="220"/>
              <w:spacing w:after="0"/>
              <w:rPr>
                <w:sz w:val="20"/>
                <w:szCs w:val="20"/>
                <w:color w:val="auto"/>
              </w:rPr>
            </w:pPr>
            <w:r>
              <w:rPr>
                <w:rFonts w:ascii="Arial" w:cs="Arial" w:eastAsia="Arial" w:hAnsi="Arial"/>
                <w:sz w:val="18"/>
                <w:szCs w:val="18"/>
                <w:color w:val="auto"/>
              </w:rPr>
              <w:t>Fixed-price</w:t>
            </w:r>
          </w:p>
        </w:tc>
        <w:tc>
          <w:tcPr>
            <w:tcW w:w="54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14,473</w:t>
            </w:r>
          </w:p>
        </w:tc>
        <w:tc>
          <w:tcPr>
            <w:tcW w:w="52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5,769</w:t>
            </w:r>
          </w:p>
        </w:tc>
        <w:tc>
          <w:tcPr>
            <w:tcW w:w="80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50"/>
              <w:spacing w:after="0"/>
              <w:rPr>
                <w:sz w:val="20"/>
                <w:szCs w:val="20"/>
                <w:color w:val="auto"/>
              </w:rPr>
            </w:pPr>
            <w:r>
              <w:rPr>
                <w:rFonts w:ascii="Arial" w:cs="Arial" w:eastAsia="Arial" w:hAnsi="Arial"/>
                <w:sz w:val="18"/>
                <w:szCs w:val="18"/>
                <w:b w:val="1"/>
                <w:bCs w:val="1"/>
                <w:color w:val="auto"/>
              </w:rPr>
              <w:t>8,096</w:t>
            </w:r>
          </w:p>
        </w:tc>
        <w:tc>
          <w:tcPr>
            <w:tcW w:w="34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1,890</w:t>
            </w:r>
          </w:p>
        </w:tc>
        <w:tc>
          <w:tcPr>
            <w:tcW w:w="38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30,228</w:t>
            </w:r>
          </w:p>
        </w:tc>
        <w:tc>
          <w:tcPr>
            <w:tcW w:w="0" w:type="dxa"/>
            <w:vAlign w:val="bottom"/>
          </w:tcPr>
          <w:p>
            <w:pPr>
              <w:spacing w:after="0"/>
              <w:rPr>
                <w:sz w:val="1"/>
                <w:szCs w:val="1"/>
                <w:color w:val="auto"/>
              </w:rPr>
            </w:pPr>
          </w:p>
        </w:tc>
      </w:tr>
      <w:tr>
        <w:trPr>
          <w:trHeight w:val="230"/>
        </w:trPr>
        <w:tc>
          <w:tcPr>
            <w:tcW w:w="2860" w:type="dxa"/>
            <w:vAlign w:val="bottom"/>
            <w:tcBorders>
              <w:bottom w:val="single" w:sz="8" w:color="auto"/>
            </w:tcBorders>
            <w:gridSpan w:val="2"/>
            <w:shd w:val="clear" w:color="auto" w:fill="CCEEFF"/>
          </w:tcPr>
          <w:p>
            <w:pPr>
              <w:ind w:left="220"/>
              <w:spacing w:after="0"/>
              <w:rPr>
                <w:sz w:val="20"/>
                <w:szCs w:val="20"/>
                <w:color w:val="auto"/>
              </w:rPr>
            </w:pPr>
            <w:r>
              <w:rPr>
                <w:rFonts w:ascii="Arial" w:cs="Arial" w:eastAsia="Arial" w:hAnsi="Arial"/>
                <w:sz w:val="18"/>
                <w:szCs w:val="18"/>
                <w:color w:val="auto"/>
              </w:rPr>
              <w:t>Cost-reimbursable</w:t>
            </w:r>
          </w:p>
        </w:tc>
        <w:tc>
          <w:tcPr>
            <w:tcW w:w="5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5,148</w:t>
            </w: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2,705</w:t>
            </w:r>
          </w:p>
        </w:tc>
        <w:tc>
          <w:tcPr>
            <w:tcW w:w="8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4,233</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7,001</w:t>
            </w: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19,087</w:t>
            </w:r>
          </w:p>
        </w:tc>
        <w:tc>
          <w:tcPr>
            <w:tcW w:w="0" w:type="dxa"/>
            <w:vAlign w:val="bottom"/>
          </w:tcPr>
          <w:p>
            <w:pPr>
              <w:spacing w:after="0"/>
              <w:rPr>
                <w:sz w:val="1"/>
                <w:szCs w:val="1"/>
                <w:color w:val="auto"/>
              </w:rPr>
            </w:pPr>
          </w:p>
        </w:tc>
      </w:tr>
      <w:tr>
        <w:trPr>
          <w:trHeight w:val="223"/>
        </w:trPr>
        <w:tc>
          <w:tcPr>
            <w:tcW w:w="2860" w:type="dxa"/>
            <w:vAlign w:val="bottom"/>
            <w:tcBorders>
              <w:bottom w:val="single" w:sz="8" w:color="auto"/>
            </w:tcBorders>
            <w:gridSpan w:val="2"/>
          </w:tcPr>
          <w:p>
            <w:pPr>
              <w:ind w:left="360"/>
              <w:spacing w:after="0"/>
              <w:rPr>
                <w:sz w:val="20"/>
                <w:szCs w:val="20"/>
                <w:color w:val="auto"/>
              </w:rPr>
            </w:pPr>
            <w:r>
              <w:rPr>
                <w:rFonts w:ascii="Arial" w:cs="Arial" w:eastAsia="Arial" w:hAnsi="Arial"/>
                <w:sz w:val="18"/>
                <w:szCs w:val="18"/>
                <w:color w:val="auto"/>
              </w:rPr>
              <w:t>Total net sales</w:t>
            </w:r>
          </w:p>
        </w:tc>
        <w:tc>
          <w:tcPr>
            <w:tcW w:w="5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19,621</w:t>
            </w:r>
          </w:p>
        </w:tc>
        <w:tc>
          <w:tcPr>
            <w:tcW w:w="5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8,474</w:t>
            </w:r>
          </w:p>
        </w:tc>
        <w:tc>
          <w:tcPr>
            <w:tcW w:w="8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12,329</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8,891</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49,315</w:t>
            </w:r>
          </w:p>
        </w:tc>
        <w:tc>
          <w:tcPr>
            <w:tcW w:w="0" w:type="dxa"/>
            <w:vAlign w:val="bottom"/>
          </w:tcPr>
          <w:p>
            <w:pPr>
              <w:spacing w:after="0"/>
              <w:rPr>
                <w:sz w:val="1"/>
                <w:szCs w:val="1"/>
                <w:color w:val="auto"/>
              </w:rPr>
            </w:pPr>
          </w:p>
        </w:tc>
      </w:tr>
      <w:tr>
        <w:trPr>
          <w:trHeight w:val="223"/>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sales by customer</w:t>
            </w:r>
          </w:p>
        </w:tc>
        <w:tc>
          <w:tcPr>
            <w:tcW w:w="5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gridSpan w:val="2"/>
          </w:tcPr>
          <w:p>
            <w:pPr>
              <w:ind w:left="220"/>
              <w:spacing w:after="0"/>
              <w:rPr>
                <w:sz w:val="20"/>
                <w:szCs w:val="20"/>
                <w:color w:val="auto"/>
              </w:rPr>
            </w:pPr>
            <w:r>
              <w:rPr>
                <w:rFonts w:ascii="Arial" w:cs="Arial" w:eastAsia="Arial" w:hAnsi="Arial"/>
                <w:sz w:val="18"/>
                <w:szCs w:val="18"/>
                <w:color w:val="auto"/>
              </w:rPr>
              <w:t>U.S. Government</w:t>
            </w:r>
          </w:p>
        </w:tc>
        <w:tc>
          <w:tcPr>
            <w:tcW w:w="54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12,952</w:t>
            </w:r>
          </w:p>
        </w:tc>
        <w:tc>
          <w:tcPr>
            <w:tcW w:w="52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6,155</w:t>
            </w:r>
          </w:p>
        </w:tc>
        <w:tc>
          <w:tcPr>
            <w:tcW w:w="80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50"/>
              <w:spacing w:after="0"/>
              <w:rPr>
                <w:sz w:val="20"/>
                <w:szCs w:val="20"/>
                <w:color w:val="auto"/>
              </w:rPr>
            </w:pPr>
            <w:r>
              <w:rPr>
                <w:rFonts w:ascii="Arial" w:cs="Arial" w:eastAsia="Arial" w:hAnsi="Arial"/>
                <w:sz w:val="18"/>
                <w:szCs w:val="18"/>
                <w:b w:val="1"/>
                <w:bCs w:val="1"/>
                <w:color w:val="auto"/>
              </w:rPr>
              <w:t>8,711</w:t>
            </w:r>
          </w:p>
        </w:tc>
        <w:tc>
          <w:tcPr>
            <w:tcW w:w="34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7,941</w:t>
            </w:r>
          </w:p>
        </w:tc>
        <w:tc>
          <w:tcPr>
            <w:tcW w:w="38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35,759</w:t>
            </w:r>
          </w:p>
        </w:tc>
        <w:tc>
          <w:tcPr>
            <w:tcW w:w="0" w:type="dxa"/>
            <w:vAlign w:val="bottom"/>
          </w:tcPr>
          <w:p>
            <w:pPr>
              <w:spacing w:after="0"/>
              <w:rPr>
                <w:sz w:val="1"/>
                <w:szCs w:val="1"/>
                <w:color w:val="auto"/>
              </w:rPr>
            </w:pPr>
          </w:p>
        </w:tc>
      </w:tr>
      <w:tr>
        <w:trPr>
          <w:trHeight w:val="229"/>
        </w:trPr>
        <w:tc>
          <w:tcPr>
            <w:tcW w:w="2860" w:type="dxa"/>
            <w:vAlign w:val="bottom"/>
            <w:gridSpan w:val="2"/>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International </w:t>
            </w:r>
            <w:r>
              <w:rPr>
                <w:rFonts w:ascii="Arial" w:cs="Arial" w:eastAsia="Arial" w:hAnsi="Arial"/>
                <w:sz w:val="23"/>
                <w:szCs w:val="23"/>
                <w:color w:val="auto"/>
                <w:vertAlign w:val="superscript"/>
              </w:rPr>
              <w:t>(a)</w:t>
            </w:r>
          </w:p>
        </w:tc>
        <w:tc>
          <w:tcPr>
            <w:tcW w:w="5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6,611</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2,316</w:t>
            </w:r>
          </w:p>
        </w:tc>
        <w:tc>
          <w:tcPr>
            <w:tcW w:w="8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3,384</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926</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13,237</w:t>
            </w:r>
          </w:p>
        </w:tc>
        <w:tc>
          <w:tcPr>
            <w:tcW w:w="0" w:type="dxa"/>
            <w:vAlign w:val="bottom"/>
          </w:tcPr>
          <w:p>
            <w:pPr>
              <w:spacing w:after="0"/>
              <w:rPr>
                <w:sz w:val="1"/>
                <w:szCs w:val="1"/>
                <w:color w:val="auto"/>
              </w:rPr>
            </w:pPr>
          </w:p>
        </w:tc>
      </w:tr>
      <w:tr>
        <w:trPr>
          <w:trHeight w:val="230"/>
        </w:trPr>
        <w:tc>
          <w:tcPr>
            <w:tcW w:w="286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color w:val="auto"/>
              </w:rPr>
              <w:t>U.S. commercial and other</w:t>
            </w:r>
          </w:p>
        </w:tc>
        <w:tc>
          <w:tcPr>
            <w:tcW w:w="5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w:t>
            </w: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8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234</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24</w:t>
            </w: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319</w:t>
            </w:r>
          </w:p>
        </w:tc>
        <w:tc>
          <w:tcPr>
            <w:tcW w:w="0" w:type="dxa"/>
            <w:vAlign w:val="bottom"/>
          </w:tcPr>
          <w:p>
            <w:pPr>
              <w:spacing w:after="0"/>
              <w:rPr>
                <w:sz w:val="1"/>
                <w:szCs w:val="1"/>
                <w:color w:val="auto"/>
              </w:rPr>
            </w:pPr>
          </w:p>
        </w:tc>
      </w:tr>
      <w:tr>
        <w:trPr>
          <w:trHeight w:val="223"/>
        </w:trPr>
        <w:tc>
          <w:tcPr>
            <w:tcW w:w="2860" w:type="dxa"/>
            <w:vAlign w:val="bottom"/>
            <w:tcBorders>
              <w:bottom w:val="single" w:sz="8" w:color="auto"/>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net sales</w:t>
            </w:r>
          </w:p>
        </w:tc>
        <w:tc>
          <w:tcPr>
            <w:tcW w:w="5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19,621</w:t>
            </w:r>
          </w:p>
        </w:tc>
        <w:tc>
          <w:tcPr>
            <w:tcW w:w="5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8,474</w:t>
            </w:r>
          </w:p>
        </w:tc>
        <w:tc>
          <w:tcPr>
            <w:tcW w:w="80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12,329</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8,891</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49,315</w:t>
            </w:r>
          </w:p>
        </w:tc>
        <w:tc>
          <w:tcPr>
            <w:tcW w:w="0" w:type="dxa"/>
            <w:vAlign w:val="bottom"/>
          </w:tcPr>
          <w:p>
            <w:pPr>
              <w:spacing w:after="0"/>
              <w:rPr>
                <w:sz w:val="1"/>
                <w:szCs w:val="1"/>
                <w:color w:val="auto"/>
              </w:rPr>
            </w:pPr>
          </w:p>
        </w:tc>
      </w:tr>
      <w:tr>
        <w:trPr>
          <w:trHeight w:val="223"/>
        </w:trPr>
        <w:tc>
          <w:tcPr>
            <w:tcW w:w="286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sales by geographic region</w:t>
            </w:r>
          </w:p>
        </w:tc>
        <w:tc>
          <w:tcPr>
            <w:tcW w:w="5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United States</w:t>
            </w:r>
          </w:p>
        </w:tc>
        <w:tc>
          <w:tcPr>
            <w:tcW w:w="5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13,010</w:t>
            </w:r>
          </w:p>
        </w:tc>
        <w:tc>
          <w:tcPr>
            <w:tcW w:w="52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6,158</w:t>
            </w:r>
          </w:p>
        </w:tc>
        <w:tc>
          <w:tcPr>
            <w:tcW w:w="800" w:type="dxa"/>
            <w:vAlign w:val="bottom"/>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8,945</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7,965</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36,078</w:t>
            </w:r>
          </w:p>
        </w:tc>
        <w:tc>
          <w:tcPr>
            <w:tcW w:w="0" w:type="dxa"/>
            <w:vAlign w:val="bottom"/>
          </w:tcPr>
          <w:p>
            <w:pPr>
              <w:spacing w:after="0"/>
              <w:rPr>
                <w:sz w:val="1"/>
                <w:szCs w:val="1"/>
                <w:color w:val="auto"/>
              </w:rPr>
            </w:pPr>
          </w:p>
        </w:tc>
      </w:tr>
      <w:tr>
        <w:trPr>
          <w:trHeight w:val="229"/>
        </w:trPr>
        <w:tc>
          <w:tcPr>
            <w:tcW w:w="2860" w:type="dxa"/>
            <w:vAlign w:val="bottom"/>
            <w:gridSpan w:val="2"/>
          </w:tcPr>
          <w:p>
            <w:pPr>
              <w:ind w:left="220"/>
              <w:spacing w:after="0"/>
              <w:rPr>
                <w:sz w:val="20"/>
                <w:szCs w:val="20"/>
                <w:color w:val="auto"/>
              </w:rPr>
            </w:pPr>
            <w:r>
              <w:rPr>
                <w:rFonts w:ascii="Arial" w:cs="Arial" w:eastAsia="Arial" w:hAnsi="Arial"/>
                <w:sz w:val="18"/>
                <w:szCs w:val="18"/>
                <w:color w:val="auto"/>
              </w:rPr>
              <w:t>Asia Pacific</w:t>
            </w:r>
          </w:p>
        </w:tc>
        <w:tc>
          <w:tcPr>
            <w:tcW w:w="5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2,697</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188</w:t>
            </w:r>
          </w:p>
        </w:tc>
        <w:tc>
          <w:tcPr>
            <w:tcW w:w="800" w:type="dxa"/>
            <w:vAlign w:val="bottom"/>
          </w:tcPr>
          <w:p>
            <w:pPr>
              <w:spacing w:after="0"/>
              <w:rPr>
                <w:sz w:val="19"/>
                <w:szCs w:val="19"/>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b w:val="1"/>
                <w:bCs w:val="1"/>
                <w:color w:val="auto"/>
              </w:rPr>
              <w:t>1,593</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4,468</w:t>
            </w:r>
          </w:p>
        </w:tc>
        <w:tc>
          <w:tcPr>
            <w:tcW w:w="0" w:type="dxa"/>
            <w:vAlign w:val="bottom"/>
          </w:tcPr>
          <w:p>
            <w:pPr>
              <w:spacing w:after="0"/>
              <w:rPr>
                <w:sz w:val="1"/>
                <w:szCs w:val="1"/>
                <w:color w:val="auto"/>
              </w:rPr>
            </w:pPr>
          </w:p>
        </w:tc>
      </w:tr>
      <w:tr>
        <w:trPr>
          <w:trHeight w:val="230"/>
        </w:trPr>
        <w:tc>
          <w:tcPr>
            <w:tcW w:w="2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Europe</w:t>
            </w:r>
          </w:p>
        </w:tc>
        <w:tc>
          <w:tcPr>
            <w:tcW w:w="5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2,708</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640</w:t>
            </w:r>
          </w:p>
        </w:tc>
        <w:tc>
          <w:tcPr>
            <w:tcW w:w="8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637</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931</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4,916</w:t>
            </w:r>
          </w:p>
        </w:tc>
        <w:tc>
          <w:tcPr>
            <w:tcW w:w="0" w:type="dxa"/>
            <w:vAlign w:val="bottom"/>
          </w:tcPr>
          <w:p>
            <w:pPr>
              <w:spacing w:after="0"/>
              <w:rPr>
                <w:sz w:val="1"/>
                <w:szCs w:val="1"/>
                <w:color w:val="auto"/>
              </w:rPr>
            </w:pPr>
          </w:p>
        </w:tc>
      </w:tr>
      <w:tr>
        <w:trPr>
          <w:trHeight w:val="229"/>
        </w:trPr>
        <w:tc>
          <w:tcPr>
            <w:tcW w:w="2860" w:type="dxa"/>
            <w:vAlign w:val="bottom"/>
            <w:gridSpan w:val="2"/>
          </w:tcPr>
          <w:p>
            <w:pPr>
              <w:ind w:left="220"/>
              <w:spacing w:after="0"/>
              <w:rPr>
                <w:sz w:val="20"/>
                <w:szCs w:val="20"/>
                <w:color w:val="auto"/>
              </w:rPr>
            </w:pPr>
            <w:r>
              <w:rPr>
                <w:rFonts w:ascii="Arial" w:cs="Arial" w:eastAsia="Arial" w:hAnsi="Arial"/>
                <w:sz w:val="18"/>
                <w:szCs w:val="18"/>
                <w:color w:val="auto"/>
              </w:rPr>
              <w:t>Middle East</w:t>
            </w:r>
          </w:p>
        </w:tc>
        <w:tc>
          <w:tcPr>
            <w:tcW w:w="5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955</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1,452</w:t>
            </w:r>
          </w:p>
        </w:tc>
        <w:tc>
          <w:tcPr>
            <w:tcW w:w="800" w:type="dxa"/>
            <w:vAlign w:val="bottom"/>
          </w:tcPr>
          <w:p>
            <w:pPr>
              <w:spacing w:after="0"/>
              <w:rPr>
                <w:sz w:val="19"/>
                <w:szCs w:val="19"/>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b w:val="1"/>
                <w:bCs w:val="1"/>
                <w:color w:val="auto"/>
              </w:rPr>
              <w:t>593</w:t>
            </w:r>
          </w:p>
        </w:tc>
        <w:tc>
          <w:tcPr>
            <w:tcW w:w="34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5</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3,005</w:t>
            </w:r>
          </w:p>
        </w:tc>
        <w:tc>
          <w:tcPr>
            <w:tcW w:w="0" w:type="dxa"/>
            <w:vAlign w:val="bottom"/>
          </w:tcPr>
          <w:p>
            <w:pPr>
              <w:spacing w:after="0"/>
              <w:rPr>
                <w:sz w:val="1"/>
                <w:szCs w:val="1"/>
                <w:color w:val="auto"/>
              </w:rPr>
            </w:pPr>
          </w:p>
        </w:tc>
      </w:tr>
      <w:tr>
        <w:trPr>
          <w:trHeight w:val="230"/>
        </w:trPr>
        <w:tc>
          <w:tcPr>
            <w:tcW w:w="2860" w:type="dxa"/>
            <w:vAlign w:val="bottom"/>
            <w:tcBorders>
              <w:bottom w:val="single" w:sz="8" w:color="auto"/>
            </w:tcBorders>
            <w:gridSpan w:val="2"/>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5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251</w:t>
            </w: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c>
          <w:tcPr>
            <w:tcW w:w="8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561</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848</w:t>
            </w:r>
          </w:p>
        </w:tc>
        <w:tc>
          <w:tcPr>
            <w:tcW w:w="0" w:type="dxa"/>
            <w:vAlign w:val="bottom"/>
          </w:tcPr>
          <w:p>
            <w:pPr>
              <w:spacing w:after="0"/>
              <w:rPr>
                <w:sz w:val="1"/>
                <w:szCs w:val="1"/>
                <w:color w:val="auto"/>
              </w:rPr>
            </w:pPr>
          </w:p>
        </w:tc>
      </w:tr>
      <w:tr>
        <w:trPr>
          <w:trHeight w:val="230"/>
        </w:trPr>
        <w:tc>
          <w:tcPr>
            <w:tcW w:w="2860" w:type="dxa"/>
            <w:vAlign w:val="bottom"/>
            <w:tcBorders>
              <w:bottom w:val="single" w:sz="8" w:color="auto"/>
            </w:tcBorders>
            <w:gridSpan w:val="2"/>
          </w:tcPr>
          <w:p>
            <w:pPr>
              <w:ind w:left="360"/>
              <w:spacing w:after="0"/>
              <w:rPr>
                <w:sz w:val="20"/>
                <w:szCs w:val="20"/>
                <w:color w:val="auto"/>
              </w:rPr>
            </w:pPr>
            <w:r>
              <w:rPr>
                <w:rFonts w:ascii="Arial" w:cs="Arial" w:eastAsia="Arial" w:hAnsi="Arial"/>
                <w:sz w:val="18"/>
                <w:szCs w:val="18"/>
                <w:color w:val="auto"/>
              </w:rPr>
              <w:t>Total net sales</w:t>
            </w:r>
          </w:p>
        </w:tc>
        <w:tc>
          <w:tcPr>
            <w:tcW w:w="5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19,621</w:t>
            </w:r>
          </w:p>
        </w:tc>
        <w:tc>
          <w:tcPr>
            <w:tcW w:w="5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8,474</w:t>
            </w:r>
          </w:p>
        </w:tc>
        <w:tc>
          <w:tcPr>
            <w:tcW w:w="8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12,329</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8,891</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49,315</w:t>
            </w:r>
          </w:p>
        </w:tc>
        <w:tc>
          <w:tcPr>
            <w:tcW w:w="0" w:type="dxa"/>
            <w:vAlign w:val="bottom"/>
          </w:tcPr>
          <w:p>
            <w:pPr>
              <w:spacing w:after="0"/>
              <w:rPr>
                <w:sz w:val="1"/>
                <w:szCs w:val="1"/>
                <w:color w:val="auto"/>
              </w:rPr>
            </w:pPr>
          </w:p>
        </w:tc>
      </w:tr>
    </w:tbl>
    <w:p>
      <w:pPr>
        <w:spacing w:after="0" w:line="83" w:lineRule="exact"/>
        <w:rPr>
          <w:sz w:val="20"/>
          <w:szCs w:val="20"/>
          <w:color w:val="auto"/>
        </w:rPr>
      </w:pPr>
    </w:p>
    <w:p>
      <w:pPr>
        <w:ind w:left="420" w:right="680" w:hanging="412"/>
        <w:spacing w:after="0" w:line="216" w:lineRule="auto"/>
        <w:tabs>
          <w:tab w:leader="none" w:pos="413" w:val="left"/>
        </w:tabs>
        <w:numPr>
          <w:ilvl w:val="0"/>
          <w:numId w:val="3"/>
        </w:numPr>
        <w:rPr>
          <w:rFonts w:ascii="Arial" w:cs="Arial" w:eastAsia="Arial" w:hAnsi="Arial"/>
          <w:sz w:val="21"/>
          <w:szCs w:val="21"/>
          <w:color w:val="auto"/>
          <w:vertAlign w:val="superscript"/>
        </w:rPr>
      </w:pPr>
      <w:r>
        <w:rPr>
          <w:rFonts w:ascii="Arial" w:cs="Arial" w:eastAsia="Arial" w:hAnsi="Arial"/>
          <w:sz w:val="16"/>
          <w:szCs w:val="16"/>
          <w:color w:val="auto"/>
        </w:rPr>
        <w:t>International sales include FMS contracted through the U.S. Government and direct commercial sales to international governments and other international customers.</w:t>
      </w:r>
    </w:p>
    <w:p>
      <w:pPr>
        <w:sectPr>
          <w:pgSz w:w="11900" w:h="16838" w:orient="portrait"/>
          <w:cols w:equalWidth="0" w:num="1">
            <w:col w:w="11180"/>
          </w:cols>
          <w:pgMar w:left="320" w:top="382"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82" w:right="39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Lockheed Martin Corporation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(unaudited) (continued)</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920" w:type="dxa"/>
            <w:vAlign w:val="bottom"/>
            <w:tcBorders>
              <w:bottom w:val="single" w:sz="8" w:color="auto"/>
            </w:tcBorders>
            <w:gridSpan w:val="5"/>
          </w:tcPr>
          <w:p>
            <w:pPr>
              <w:jc w:val="right"/>
              <w:ind w:right="550"/>
              <w:spacing w:after="0"/>
              <w:rPr>
                <w:sz w:val="20"/>
                <w:szCs w:val="20"/>
                <w:color w:val="auto"/>
              </w:rPr>
            </w:pPr>
            <w:r>
              <w:rPr>
                <w:rFonts w:ascii="Arial" w:cs="Arial" w:eastAsia="Arial" w:hAnsi="Arial"/>
                <w:sz w:val="18"/>
                <w:szCs w:val="18"/>
                <w:b w:val="1"/>
                <w:bCs w:val="1"/>
                <w:color w:val="auto"/>
              </w:rPr>
              <w:t>Quarter Ended September 27, 2020</w:t>
            </w:r>
          </w:p>
        </w:tc>
        <w:tc>
          <w:tcPr>
            <w:tcW w:w="3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r>
      <w:tr>
        <w:trPr>
          <w:trHeight w:val="223"/>
        </w:trPr>
        <w:tc>
          <w:tcPr>
            <w:tcW w:w="4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Aeronautics</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MFC</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RMS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Space</w:t>
            </w: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Total</w:t>
            </w:r>
          </w:p>
        </w:tc>
      </w:tr>
      <w:tr>
        <w:trPr>
          <w:trHeight w:val="223"/>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4100" w:type="dxa"/>
            <w:vAlign w:val="bottom"/>
          </w:tcPr>
          <w:p>
            <w:pPr>
              <w:ind w:left="220"/>
              <w:spacing w:after="0"/>
              <w:rPr>
                <w:sz w:val="20"/>
                <w:szCs w:val="20"/>
                <w:color w:val="auto"/>
              </w:rPr>
            </w:pPr>
            <w:r>
              <w:rPr>
                <w:rFonts w:ascii="Arial" w:cs="Arial" w:eastAsia="Arial" w:hAnsi="Arial"/>
                <w:sz w:val="18"/>
                <w:szCs w:val="18"/>
                <w:color w:val="auto"/>
              </w:rPr>
              <w:t>Products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5,742</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2,614</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3,120</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2,393</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13,869</w:t>
            </w:r>
          </w:p>
        </w:tc>
      </w:tr>
      <w:tr>
        <w:trPr>
          <w:trHeight w:val="230"/>
        </w:trPr>
        <w:tc>
          <w:tcPr>
            <w:tcW w:w="41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Services</w:t>
            </w: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938</w:t>
            </w: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357</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878</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453</w:t>
            </w: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2,626</w:t>
            </w:r>
          </w:p>
        </w:tc>
      </w:tr>
      <w:tr>
        <w:trPr>
          <w:trHeight w:val="223"/>
        </w:trPr>
        <w:tc>
          <w:tcPr>
            <w:tcW w:w="41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Total net sales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6,680</w:t>
            </w: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2,971</w:t>
            </w:r>
          </w:p>
        </w:tc>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3,998</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2,846</w:t>
            </w:r>
          </w:p>
        </w:tc>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16,495</w:t>
            </w:r>
          </w:p>
        </w:tc>
      </w:tr>
      <w:tr>
        <w:trPr>
          <w:trHeight w:val="223"/>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sales by contract type</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4100" w:type="dxa"/>
            <w:vAlign w:val="bottom"/>
          </w:tcPr>
          <w:p>
            <w:pPr>
              <w:ind w:left="220"/>
              <w:spacing w:after="0"/>
              <w:rPr>
                <w:sz w:val="20"/>
                <w:szCs w:val="20"/>
                <w:color w:val="auto"/>
              </w:rPr>
            </w:pPr>
            <w:r>
              <w:rPr>
                <w:rFonts w:ascii="Arial" w:cs="Arial" w:eastAsia="Arial" w:hAnsi="Arial"/>
                <w:sz w:val="18"/>
                <w:szCs w:val="18"/>
                <w:color w:val="auto"/>
              </w:rPr>
              <w:t>Fixed-price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4,718</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2,034</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2,666</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516</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9,934</w:t>
            </w:r>
          </w:p>
        </w:tc>
      </w:tr>
      <w:tr>
        <w:trPr>
          <w:trHeight w:val="230"/>
        </w:trPr>
        <w:tc>
          <w:tcPr>
            <w:tcW w:w="41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Cost-reimbursable</w:t>
            </w: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1,962</w:t>
            </w: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937</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1,332</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2,330</w:t>
            </w: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6,561</w:t>
            </w:r>
          </w:p>
        </w:tc>
      </w:tr>
      <w:tr>
        <w:trPr>
          <w:trHeight w:val="223"/>
        </w:trPr>
        <w:tc>
          <w:tcPr>
            <w:tcW w:w="41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Total net sales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6,680</w:t>
            </w: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2,971</w:t>
            </w:r>
          </w:p>
        </w:tc>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3,998</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2,846</w:t>
            </w:r>
          </w:p>
        </w:tc>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16,495</w:t>
            </w:r>
          </w:p>
        </w:tc>
      </w:tr>
      <w:tr>
        <w:trPr>
          <w:trHeight w:val="223"/>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sales by customer</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4100" w:type="dxa"/>
            <w:vAlign w:val="bottom"/>
          </w:tcPr>
          <w:p>
            <w:pPr>
              <w:ind w:left="220"/>
              <w:spacing w:after="0"/>
              <w:rPr>
                <w:sz w:val="20"/>
                <w:szCs w:val="20"/>
                <w:color w:val="auto"/>
              </w:rPr>
            </w:pPr>
            <w:r>
              <w:rPr>
                <w:rFonts w:ascii="Arial" w:cs="Arial" w:eastAsia="Arial" w:hAnsi="Arial"/>
                <w:sz w:val="18"/>
                <w:szCs w:val="18"/>
                <w:color w:val="auto"/>
              </w:rPr>
              <w:t>U.S. Government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3,930</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2,206</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2,971</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2,463</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11,570</w:t>
            </w:r>
          </w:p>
        </w:tc>
      </w:tr>
      <w:tr>
        <w:trPr>
          <w:trHeight w:val="229"/>
        </w:trPr>
        <w:tc>
          <w:tcPr>
            <w:tcW w:w="410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International </w:t>
            </w:r>
            <w:r>
              <w:rPr>
                <w:rFonts w:ascii="Arial" w:cs="Arial" w:eastAsia="Arial" w:hAnsi="Arial"/>
                <w:sz w:val="23"/>
                <w:szCs w:val="23"/>
                <w:color w:val="auto"/>
                <w:vertAlign w:val="superscript"/>
              </w:rPr>
              <w:t>(a)</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2,729</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764</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914</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381</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4,788</w:t>
            </w:r>
          </w:p>
        </w:tc>
      </w:tr>
      <w:tr>
        <w:trPr>
          <w:trHeight w:val="230"/>
        </w:trPr>
        <w:tc>
          <w:tcPr>
            <w:tcW w:w="41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U.S. commercial and other</w:t>
            </w: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113</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r>
      <w:tr>
        <w:trPr>
          <w:trHeight w:val="223"/>
        </w:trPr>
        <w:tc>
          <w:tcPr>
            <w:tcW w:w="41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 net sales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6,680</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2,971</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3,998</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2,846</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16,495</w:t>
            </w:r>
          </w:p>
        </w:tc>
      </w:tr>
      <w:tr>
        <w:trPr>
          <w:trHeight w:val="223"/>
        </w:trPr>
        <w:tc>
          <w:tcPr>
            <w:tcW w:w="4100" w:type="dxa"/>
            <w:vAlign w:val="bottom"/>
          </w:tcPr>
          <w:p>
            <w:pPr>
              <w:ind w:left="20"/>
              <w:spacing w:after="0"/>
              <w:rPr>
                <w:sz w:val="20"/>
                <w:szCs w:val="20"/>
                <w:color w:val="auto"/>
              </w:rPr>
            </w:pPr>
            <w:r>
              <w:rPr>
                <w:rFonts w:ascii="Arial" w:cs="Arial" w:eastAsia="Arial" w:hAnsi="Arial"/>
                <w:sz w:val="18"/>
                <w:szCs w:val="18"/>
                <w:b w:val="1"/>
                <w:bCs w:val="1"/>
                <w:color w:val="auto"/>
              </w:rPr>
              <w:t>Net sales by geographic region</w:t>
            </w: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4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United States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3,951</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2,207</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3,084</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2,465</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11,707</w:t>
            </w:r>
          </w:p>
        </w:tc>
      </w:tr>
      <w:tr>
        <w:trPr>
          <w:trHeight w:val="230"/>
        </w:trPr>
        <w:tc>
          <w:tcPr>
            <w:tcW w:w="4100" w:type="dxa"/>
            <w:vAlign w:val="bottom"/>
          </w:tcPr>
          <w:p>
            <w:pPr>
              <w:ind w:left="220"/>
              <w:spacing w:after="0"/>
              <w:rPr>
                <w:sz w:val="20"/>
                <w:szCs w:val="20"/>
                <w:color w:val="auto"/>
              </w:rPr>
            </w:pPr>
            <w:r>
              <w:rPr>
                <w:rFonts w:ascii="Arial" w:cs="Arial" w:eastAsia="Arial" w:hAnsi="Arial"/>
                <w:sz w:val="18"/>
                <w:szCs w:val="18"/>
                <w:color w:val="auto"/>
              </w:rPr>
              <w:t>Asia Pacific</w:t>
            </w:r>
          </w:p>
        </w:tc>
        <w:tc>
          <w:tcPr>
            <w:tcW w:w="14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1,099</w:t>
            </w:r>
          </w:p>
        </w:tc>
        <w:tc>
          <w:tcPr>
            <w:tcW w:w="36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70</w:t>
            </w:r>
          </w:p>
        </w:tc>
        <w:tc>
          <w:tcPr>
            <w:tcW w:w="38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383</w:t>
            </w:r>
          </w:p>
        </w:tc>
        <w:tc>
          <w:tcPr>
            <w:tcW w:w="34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1,573</w:t>
            </w:r>
          </w:p>
        </w:tc>
      </w:tr>
      <w:tr>
        <w:trPr>
          <w:trHeight w:val="229"/>
        </w:trPr>
        <w:tc>
          <w:tcPr>
            <w:tcW w:w="4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Europe</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1,141</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208</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191</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360</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w:t>
            </w:r>
          </w:p>
        </w:tc>
      </w:tr>
      <w:tr>
        <w:trPr>
          <w:trHeight w:val="229"/>
        </w:trPr>
        <w:tc>
          <w:tcPr>
            <w:tcW w:w="4100" w:type="dxa"/>
            <w:vAlign w:val="bottom"/>
          </w:tcPr>
          <w:p>
            <w:pPr>
              <w:ind w:left="220"/>
              <w:spacing w:after="0"/>
              <w:rPr>
                <w:sz w:val="20"/>
                <w:szCs w:val="20"/>
                <w:color w:val="auto"/>
              </w:rPr>
            </w:pPr>
            <w:r>
              <w:rPr>
                <w:rFonts w:ascii="Arial" w:cs="Arial" w:eastAsia="Arial" w:hAnsi="Arial"/>
                <w:sz w:val="18"/>
                <w:szCs w:val="18"/>
                <w:color w:val="auto"/>
              </w:rPr>
              <w:t>Middle East</w:t>
            </w:r>
          </w:p>
        </w:tc>
        <w:tc>
          <w:tcPr>
            <w:tcW w:w="14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440</w:t>
            </w:r>
          </w:p>
        </w:tc>
        <w:tc>
          <w:tcPr>
            <w:tcW w:w="36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475</w:t>
            </w:r>
          </w:p>
        </w:tc>
        <w:tc>
          <w:tcPr>
            <w:tcW w:w="38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206</w:t>
            </w:r>
          </w:p>
        </w:tc>
        <w:tc>
          <w:tcPr>
            <w:tcW w:w="34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1,121</w:t>
            </w:r>
          </w:p>
        </w:tc>
      </w:tr>
      <w:tr>
        <w:trPr>
          <w:trHeight w:val="230"/>
        </w:trPr>
        <w:tc>
          <w:tcPr>
            <w:tcW w:w="41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134</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r>
      <w:tr>
        <w:trPr>
          <w:trHeight w:val="230"/>
        </w:trPr>
        <w:tc>
          <w:tcPr>
            <w:tcW w:w="41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Total net sales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6,680</w:t>
            </w: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2,971</w:t>
            </w:r>
          </w:p>
        </w:tc>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3,998</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2,846</w:t>
            </w:r>
          </w:p>
        </w:tc>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16,495</w:t>
            </w:r>
          </w:p>
        </w:tc>
      </w:tr>
    </w:tbl>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000" w:type="dxa"/>
            <w:vAlign w:val="bottom"/>
            <w:tcBorders>
              <w:bottom w:val="single" w:sz="8" w:color="auto"/>
            </w:tcBorders>
            <w:gridSpan w:val="5"/>
          </w:tcPr>
          <w:p>
            <w:pPr>
              <w:jc w:val="right"/>
              <w:ind w:right="370"/>
              <w:spacing w:after="0"/>
              <w:rPr>
                <w:sz w:val="20"/>
                <w:szCs w:val="20"/>
                <w:color w:val="auto"/>
              </w:rPr>
            </w:pPr>
            <w:r>
              <w:rPr>
                <w:rFonts w:ascii="Arial" w:cs="Arial" w:eastAsia="Arial" w:hAnsi="Arial"/>
                <w:sz w:val="18"/>
                <w:szCs w:val="18"/>
                <w:b w:val="1"/>
                <w:bCs w:val="1"/>
                <w:color w:val="auto"/>
              </w:rPr>
              <w:t>Nine Months Ended September 27, 2020</w:t>
            </w: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r>
      <w:tr>
        <w:trPr>
          <w:trHeight w:val="223"/>
        </w:trPr>
        <w:tc>
          <w:tcPr>
            <w:tcW w:w="4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Aeronautics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MFC</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RMS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Space</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Total</w:t>
            </w:r>
          </w:p>
        </w:tc>
      </w:tr>
      <w:tr>
        <w:trPr>
          <w:trHeight w:val="223"/>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4100" w:type="dxa"/>
            <w:vAlign w:val="bottom"/>
          </w:tcPr>
          <w:p>
            <w:pPr>
              <w:ind w:left="220"/>
              <w:spacing w:after="0"/>
              <w:rPr>
                <w:sz w:val="20"/>
                <w:szCs w:val="20"/>
                <w:color w:val="auto"/>
              </w:rPr>
            </w:pPr>
            <w:r>
              <w:rPr>
                <w:rFonts w:ascii="Arial" w:cs="Arial" w:eastAsia="Arial" w:hAnsi="Arial"/>
                <w:sz w:val="18"/>
                <w:szCs w:val="18"/>
                <w:color w:val="auto"/>
              </w:rPr>
              <w:t>Products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16,671</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7,311</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9,365</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7,260</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40,607</w:t>
            </w:r>
          </w:p>
        </w:tc>
      </w:tr>
      <w:tr>
        <w:trPr>
          <w:trHeight w:val="230"/>
        </w:trPr>
        <w:tc>
          <w:tcPr>
            <w:tcW w:w="41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Services</w:t>
            </w: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2,881</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1,080</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2,418</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1,380</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7,759</w:t>
            </w:r>
          </w:p>
        </w:tc>
      </w:tr>
      <w:tr>
        <w:trPr>
          <w:trHeight w:val="223"/>
        </w:trPr>
        <w:tc>
          <w:tcPr>
            <w:tcW w:w="41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Total net sales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19,552</w:t>
            </w: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8,391</w:t>
            </w:r>
          </w:p>
        </w:tc>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11,783</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8,640</w:t>
            </w:r>
          </w:p>
        </w:tc>
        <w:tc>
          <w:tcPr>
            <w:tcW w:w="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48,366</w:t>
            </w:r>
          </w:p>
        </w:tc>
      </w:tr>
      <w:tr>
        <w:trPr>
          <w:trHeight w:val="223"/>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sales by contract type</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4100" w:type="dxa"/>
            <w:vAlign w:val="bottom"/>
          </w:tcPr>
          <w:p>
            <w:pPr>
              <w:ind w:left="220"/>
              <w:spacing w:after="0"/>
              <w:rPr>
                <w:sz w:val="20"/>
                <w:szCs w:val="20"/>
                <w:color w:val="auto"/>
              </w:rPr>
            </w:pPr>
            <w:r>
              <w:rPr>
                <w:rFonts w:ascii="Arial" w:cs="Arial" w:eastAsia="Arial" w:hAnsi="Arial"/>
                <w:sz w:val="18"/>
                <w:szCs w:val="18"/>
                <w:color w:val="auto"/>
              </w:rPr>
              <w:t>Fixed-price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13,769</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5,629</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7,787</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1,518</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28,703</w:t>
            </w:r>
          </w:p>
        </w:tc>
      </w:tr>
      <w:tr>
        <w:trPr>
          <w:trHeight w:val="230"/>
        </w:trPr>
        <w:tc>
          <w:tcPr>
            <w:tcW w:w="41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Cost-reimbursable</w:t>
            </w: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5,783</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2,762</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3,996</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7,122</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19,663</w:t>
            </w:r>
          </w:p>
        </w:tc>
      </w:tr>
      <w:tr>
        <w:trPr>
          <w:trHeight w:val="223"/>
        </w:trPr>
        <w:tc>
          <w:tcPr>
            <w:tcW w:w="41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Total net sales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19,552</w:t>
            </w: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8,391</w:t>
            </w:r>
          </w:p>
        </w:tc>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11,783</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8,640</w:t>
            </w:r>
          </w:p>
        </w:tc>
        <w:tc>
          <w:tcPr>
            <w:tcW w:w="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48,366</w:t>
            </w:r>
          </w:p>
        </w:tc>
      </w:tr>
      <w:tr>
        <w:trPr>
          <w:trHeight w:val="223"/>
        </w:trPr>
        <w:tc>
          <w:tcPr>
            <w:tcW w:w="4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sales by customer</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4100" w:type="dxa"/>
            <w:vAlign w:val="bottom"/>
          </w:tcPr>
          <w:p>
            <w:pPr>
              <w:ind w:left="220"/>
              <w:spacing w:after="0"/>
              <w:rPr>
                <w:sz w:val="20"/>
                <w:szCs w:val="20"/>
                <w:color w:val="auto"/>
              </w:rPr>
            </w:pPr>
            <w:r>
              <w:rPr>
                <w:rFonts w:ascii="Arial" w:cs="Arial" w:eastAsia="Arial" w:hAnsi="Arial"/>
                <w:sz w:val="18"/>
                <w:szCs w:val="18"/>
                <w:color w:val="auto"/>
              </w:rPr>
              <w:t>U.S. Government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13,315</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6,259</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8,685</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7,479</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35,738</w:t>
            </w:r>
          </w:p>
        </w:tc>
      </w:tr>
      <w:tr>
        <w:trPr>
          <w:trHeight w:val="230"/>
        </w:trPr>
        <w:tc>
          <w:tcPr>
            <w:tcW w:w="410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International </w:t>
            </w:r>
            <w:r>
              <w:rPr>
                <w:rFonts w:ascii="Arial" w:cs="Arial" w:eastAsia="Arial" w:hAnsi="Arial"/>
                <w:sz w:val="23"/>
                <w:szCs w:val="23"/>
                <w:color w:val="auto"/>
                <w:vertAlign w:val="superscript"/>
              </w:rPr>
              <w:t>(a)</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6,182</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2,123</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2,780</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1,131</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12,216</w:t>
            </w:r>
          </w:p>
        </w:tc>
      </w:tr>
      <w:tr>
        <w:trPr>
          <w:trHeight w:val="229"/>
        </w:trPr>
        <w:tc>
          <w:tcPr>
            <w:tcW w:w="41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U.S. commercial and other</w:t>
            </w: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55</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318</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30</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w:t>
            </w:r>
          </w:p>
        </w:tc>
      </w:tr>
      <w:tr>
        <w:trPr>
          <w:trHeight w:val="223"/>
        </w:trPr>
        <w:tc>
          <w:tcPr>
            <w:tcW w:w="41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 net sales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19,552</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8,391</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11,783</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8,640</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48,366</w:t>
            </w:r>
          </w:p>
        </w:tc>
      </w:tr>
      <w:tr>
        <w:trPr>
          <w:trHeight w:val="223"/>
        </w:trPr>
        <w:tc>
          <w:tcPr>
            <w:tcW w:w="4100" w:type="dxa"/>
            <w:vAlign w:val="bottom"/>
          </w:tcPr>
          <w:p>
            <w:pPr>
              <w:ind w:left="20"/>
              <w:spacing w:after="0"/>
              <w:rPr>
                <w:sz w:val="20"/>
                <w:szCs w:val="20"/>
                <w:color w:val="auto"/>
              </w:rPr>
            </w:pPr>
            <w:r>
              <w:rPr>
                <w:rFonts w:ascii="Arial" w:cs="Arial" w:eastAsia="Arial" w:hAnsi="Arial"/>
                <w:sz w:val="18"/>
                <w:szCs w:val="18"/>
                <w:b w:val="1"/>
                <w:bCs w:val="1"/>
                <w:color w:val="auto"/>
              </w:rPr>
              <w:t>Net sales by geographic region</w:t>
            </w: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4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United States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13,370</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6,268</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9,003</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7,509</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36,150</w:t>
            </w:r>
          </w:p>
        </w:tc>
      </w:tr>
      <w:tr>
        <w:trPr>
          <w:trHeight w:val="229"/>
        </w:trPr>
        <w:tc>
          <w:tcPr>
            <w:tcW w:w="4100" w:type="dxa"/>
            <w:vAlign w:val="bottom"/>
          </w:tcPr>
          <w:p>
            <w:pPr>
              <w:ind w:left="220"/>
              <w:spacing w:after="0"/>
              <w:rPr>
                <w:sz w:val="20"/>
                <w:szCs w:val="20"/>
                <w:color w:val="auto"/>
              </w:rPr>
            </w:pPr>
            <w:r>
              <w:rPr>
                <w:rFonts w:ascii="Arial" w:cs="Arial" w:eastAsia="Arial" w:hAnsi="Arial"/>
                <w:sz w:val="18"/>
                <w:szCs w:val="18"/>
                <w:color w:val="auto"/>
              </w:rPr>
              <w:t>Asia Pacific</w:t>
            </w:r>
          </w:p>
        </w:tc>
        <w:tc>
          <w:tcPr>
            <w:tcW w:w="14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2,447</w:t>
            </w:r>
          </w:p>
        </w:tc>
        <w:tc>
          <w:tcPr>
            <w:tcW w:w="32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217</w:t>
            </w:r>
          </w:p>
        </w:tc>
        <w:tc>
          <w:tcPr>
            <w:tcW w:w="38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1,165</w:t>
            </w:r>
          </w:p>
        </w:tc>
        <w:tc>
          <w:tcPr>
            <w:tcW w:w="340" w:type="dxa"/>
            <w:vAlign w:val="bottom"/>
          </w:tcPr>
          <w:p>
            <w:pPr>
              <w:spacing w:after="0"/>
              <w:rPr>
                <w:sz w:val="19"/>
                <w:szCs w:val="19"/>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65</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3,894</w:t>
            </w:r>
          </w:p>
        </w:tc>
      </w:tr>
      <w:tr>
        <w:trPr>
          <w:trHeight w:val="230"/>
        </w:trPr>
        <w:tc>
          <w:tcPr>
            <w:tcW w:w="4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Europe</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2,595</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546</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528</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1,072</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4,741</w:t>
            </w:r>
          </w:p>
        </w:tc>
      </w:tr>
      <w:tr>
        <w:trPr>
          <w:trHeight w:val="230"/>
        </w:trPr>
        <w:tc>
          <w:tcPr>
            <w:tcW w:w="4100" w:type="dxa"/>
            <w:vAlign w:val="bottom"/>
          </w:tcPr>
          <w:p>
            <w:pPr>
              <w:ind w:left="220"/>
              <w:spacing w:after="0"/>
              <w:rPr>
                <w:sz w:val="20"/>
                <w:szCs w:val="20"/>
                <w:color w:val="auto"/>
              </w:rPr>
            </w:pPr>
            <w:r>
              <w:rPr>
                <w:rFonts w:ascii="Arial" w:cs="Arial" w:eastAsia="Arial" w:hAnsi="Arial"/>
                <w:sz w:val="18"/>
                <w:szCs w:val="18"/>
                <w:color w:val="auto"/>
              </w:rPr>
              <w:t>Middle East</w:t>
            </w:r>
          </w:p>
        </w:tc>
        <w:tc>
          <w:tcPr>
            <w:tcW w:w="14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981</w:t>
            </w:r>
          </w:p>
        </w:tc>
        <w:tc>
          <w:tcPr>
            <w:tcW w:w="32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1,324</w:t>
            </w:r>
          </w:p>
        </w:tc>
        <w:tc>
          <w:tcPr>
            <w:tcW w:w="38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626</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2,925</w:t>
            </w:r>
          </w:p>
        </w:tc>
      </w:tr>
      <w:tr>
        <w:trPr>
          <w:trHeight w:val="229"/>
        </w:trPr>
        <w:tc>
          <w:tcPr>
            <w:tcW w:w="41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159</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461</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w:t>
            </w:r>
          </w:p>
        </w:tc>
      </w:tr>
      <w:tr>
        <w:trPr>
          <w:trHeight w:val="230"/>
        </w:trPr>
        <w:tc>
          <w:tcPr>
            <w:tcW w:w="41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Total net sales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19,552</w:t>
            </w: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8,391</w:t>
            </w:r>
          </w:p>
        </w:tc>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11,783</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8,640</w:t>
            </w:r>
          </w:p>
        </w:tc>
        <w:tc>
          <w:tcPr>
            <w:tcW w:w="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48,366</w:t>
            </w:r>
          </w:p>
        </w:tc>
      </w:tr>
    </w:tbl>
    <w:p>
      <w:pPr>
        <w:spacing w:after="0" w:line="123" w:lineRule="exact"/>
        <w:rPr>
          <w:sz w:val="20"/>
          <w:szCs w:val="20"/>
          <w:color w:val="auto"/>
        </w:rPr>
      </w:pPr>
    </w:p>
    <w:p>
      <w:pPr>
        <w:ind w:left="420" w:right="680" w:hanging="412"/>
        <w:spacing w:after="0" w:line="216" w:lineRule="auto"/>
        <w:tabs>
          <w:tab w:leader="none" w:pos="413" w:val="left"/>
        </w:tabs>
        <w:numPr>
          <w:ilvl w:val="0"/>
          <w:numId w:val="4"/>
        </w:numPr>
        <w:rPr>
          <w:rFonts w:ascii="Arial" w:cs="Arial" w:eastAsia="Arial" w:hAnsi="Arial"/>
          <w:sz w:val="21"/>
          <w:szCs w:val="21"/>
          <w:color w:val="auto"/>
          <w:vertAlign w:val="superscript"/>
        </w:rPr>
      </w:pPr>
      <w:r>
        <w:rPr>
          <w:rFonts w:ascii="Arial" w:cs="Arial" w:eastAsia="Arial" w:hAnsi="Arial"/>
          <w:sz w:val="16"/>
          <w:szCs w:val="16"/>
          <w:color w:val="auto"/>
        </w:rPr>
        <w:t>International sales include FMS contracted through the U.S. Government and direct commercial sales to international governments and other international customers.</w:t>
      </w:r>
    </w:p>
    <w:p>
      <w:pPr>
        <w:sectPr>
          <w:pgSz w:w="11900" w:h="16838" w:orient="portrait"/>
          <w:cols w:equalWidth="0" w:num="1">
            <w:col w:w="11180"/>
          </w:cols>
          <w:pgMar w:left="320" w:top="382"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82" w:right="39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Lockheed Martin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 (continued)</w:t>
      </w:r>
    </w:p>
    <w:p>
      <w:pPr>
        <w:spacing w:after="0" w:line="200" w:lineRule="exact"/>
        <w:rPr>
          <w:sz w:val="20"/>
          <w:szCs w:val="20"/>
          <w:color w:val="auto"/>
        </w:rPr>
      </w:pPr>
    </w:p>
    <w:p>
      <w:pPr>
        <w:spacing w:after="0" w:line="309" w:lineRule="exact"/>
        <w:rPr>
          <w:sz w:val="20"/>
          <w:szCs w:val="20"/>
          <w:color w:val="auto"/>
        </w:rPr>
      </w:pPr>
    </w:p>
    <w:p>
      <w:pPr>
        <w:ind w:right="200" w:firstLine="405"/>
        <w:spacing w:after="0" w:line="254" w:lineRule="auto"/>
        <w:rPr>
          <w:sz w:val="20"/>
          <w:szCs w:val="20"/>
          <w:color w:val="auto"/>
        </w:rPr>
      </w:pPr>
      <w:r>
        <w:rPr>
          <w:rFonts w:ascii="Arial" w:cs="Arial" w:eastAsia="Arial" w:hAnsi="Arial"/>
          <w:sz w:val="18"/>
          <w:szCs w:val="18"/>
          <w:color w:val="auto"/>
        </w:rPr>
        <w:t>Our Aeronautics business segment includes our largest program, the F-35 Lightning II Joint Strike Fighter, an international multi-role, multi-variant, stealth fighter aircraft. Net sales for the F-35 program represented approximately 28% and 27% of our total consolidated net sales for the quarter and nine months ended September 26, 2021 and 28% of our total consolidated net sales for both the quarter and nine months ended September 27, 2020.</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980" w:type="dxa"/>
            <w:vAlign w:val="bottom"/>
          </w:tcPr>
          <w:p>
            <w:pPr>
              <w:ind w:left="420"/>
              <w:spacing w:after="0"/>
              <w:rPr>
                <w:sz w:val="20"/>
                <w:szCs w:val="20"/>
                <w:color w:val="auto"/>
              </w:rPr>
            </w:pPr>
            <w:r>
              <w:rPr>
                <w:rFonts w:ascii="Arial" w:cs="Arial" w:eastAsia="Arial" w:hAnsi="Arial"/>
                <w:sz w:val="18"/>
                <w:szCs w:val="18"/>
                <w:color w:val="auto"/>
              </w:rPr>
              <w:t>Total assets for each of our business segments were as follows (in millions):</w:t>
            </w:r>
          </w:p>
        </w:tc>
        <w:tc>
          <w:tcPr>
            <w:tcW w:w="6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03"/>
        </w:trPr>
        <w:tc>
          <w:tcPr>
            <w:tcW w:w="6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20" w:type="dxa"/>
            <w:vAlign w:val="bottom"/>
          </w:tcPr>
          <w:p>
            <w:pPr>
              <w:jc w:val="right"/>
              <w:ind w:right="270"/>
              <w:spacing w:after="0" w:line="202" w:lineRule="exact"/>
              <w:rPr>
                <w:sz w:val="20"/>
                <w:szCs w:val="20"/>
                <w:color w:val="auto"/>
              </w:rPr>
            </w:pPr>
            <w:r>
              <w:rPr>
                <w:rFonts w:ascii="Arial" w:cs="Arial" w:eastAsia="Arial" w:hAnsi="Arial"/>
                <w:sz w:val="18"/>
                <w:szCs w:val="18"/>
                <w:b w:val="1"/>
                <w:bCs w:val="1"/>
                <w:color w:val="auto"/>
              </w:rPr>
              <w:t>September 26,</w:t>
            </w:r>
          </w:p>
        </w:tc>
        <w:tc>
          <w:tcPr>
            <w:tcW w:w="520" w:type="dxa"/>
            <w:vAlign w:val="bottom"/>
          </w:tcPr>
          <w:p>
            <w:pPr>
              <w:spacing w:after="0"/>
              <w:rPr>
                <w:sz w:val="17"/>
                <w:szCs w:val="17"/>
                <w:color w:val="auto"/>
              </w:rPr>
            </w:pPr>
          </w:p>
        </w:tc>
        <w:tc>
          <w:tcPr>
            <w:tcW w:w="1440" w:type="dxa"/>
            <w:vAlign w:val="bottom"/>
          </w:tcPr>
          <w:p>
            <w:pPr>
              <w:jc w:val="right"/>
              <w:ind w:right="130"/>
              <w:spacing w:after="0" w:line="202" w:lineRule="exact"/>
              <w:rPr>
                <w:sz w:val="20"/>
                <w:szCs w:val="20"/>
                <w:color w:val="auto"/>
              </w:rPr>
            </w:pPr>
            <w:r>
              <w:rPr>
                <w:rFonts w:ascii="Arial" w:cs="Arial" w:eastAsia="Arial" w:hAnsi="Arial"/>
                <w:sz w:val="18"/>
                <w:szCs w:val="18"/>
                <w:b w:val="1"/>
                <w:bCs w:val="1"/>
                <w:color w:val="auto"/>
              </w:rPr>
              <w:t>December 31,</w:t>
            </w:r>
          </w:p>
        </w:tc>
      </w:tr>
      <w:tr>
        <w:trPr>
          <w:trHeight w:val="229"/>
        </w:trPr>
        <w:tc>
          <w:tcPr>
            <w:tcW w:w="6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2020</w:t>
            </w:r>
          </w:p>
        </w:tc>
      </w:tr>
      <w:tr>
        <w:trPr>
          <w:trHeight w:val="223"/>
        </w:trPr>
        <w:tc>
          <w:tcPr>
            <w:tcW w:w="698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Assets</w:t>
            </w:r>
          </w:p>
        </w:tc>
        <w:tc>
          <w:tcPr>
            <w:tcW w:w="6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6980" w:type="dxa"/>
            <w:vAlign w:val="bottom"/>
          </w:tcPr>
          <w:p>
            <w:pPr>
              <w:ind w:left="640"/>
              <w:spacing w:after="0"/>
              <w:rPr>
                <w:sz w:val="20"/>
                <w:szCs w:val="20"/>
                <w:color w:val="auto"/>
              </w:rPr>
            </w:pPr>
            <w:r>
              <w:rPr>
                <w:rFonts w:ascii="Arial" w:cs="Arial" w:eastAsia="Arial" w:hAnsi="Arial"/>
                <w:sz w:val="18"/>
                <w:szCs w:val="18"/>
                <w:color w:val="auto"/>
              </w:rPr>
              <w:t>Aeronautics</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620" w:type="dxa"/>
            <w:vAlign w:val="bottom"/>
          </w:tcPr>
          <w:p>
            <w:pPr>
              <w:jc w:val="right"/>
              <w:ind w:right="590"/>
              <w:spacing w:after="0"/>
              <w:rPr>
                <w:sz w:val="20"/>
                <w:szCs w:val="20"/>
                <w:color w:val="auto"/>
              </w:rPr>
            </w:pPr>
            <w:r>
              <w:rPr>
                <w:rFonts w:ascii="Arial" w:cs="Arial" w:eastAsia="Arial" w:hAnsi="Arial"/>
                <w:sz w:val="18"/>
                <w:szCs w:val="18"/>
                <w:b w:val="1"/>
                <w:bCs w:val="1"/>
                <w:color w:val="auto"/>
              </w:rPr>
              <w:t>12,369</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430"/>
              <w:spacing w:after="0"/>
              <w:rPr>
                <w:sz w:val="20"/>
                <w:szCs w:val="20"/>
                <w:color w:val="auto"/>
              </w:rPr>
            </w:pPr>
            <w:r>
              <w:rPr>
                <w:rFonts w:ascii="Arial" w:cs="Arial" w:eastAsia="Arial" w:hAnsi="Arial"/>
                <w:sz w:val="18"/>
                <w:szCs w:val="18"/>
                <w:color w:val="auto"/>
              </w:rPr>
              <w:t>9,903</w:t>
            </w:r>
          </w:p>
        </w:tc>
      </w:tr>
      <w:tr>
        <w:trPr>
          <w:trHeight w:val="229"/>
        </w:trPr>
        <w:tc>
          <w:tcPr>
            <w:tcW w:w="69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Missiles and Fire Control</w:t>
            </w:r>
          </w:p>
        </w:tc>
        <w:tc>
          <w:tcPr>
            <w:tcW w:w="66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590"/>
              <w:spacing w:after="0"/>
              <w:rPr>
                <w:sz w:val="20"/>
                <w:szCs w:val="20"/>
                <w:color w:val="auto"/>
              </w:rPr>
            </w:pPr>
            <w:r>
              <w:rPr>
                <w:rFonts w:ascii="Arial" w:cs="Arial" w:eastAsia="Arial" w:hAnsi="Arial"/>
                <w:sz w:val="18"/>
                <w:szCs w:val="18"/>
                <w:b w:val="1"/>
                <w:bCs w:val="1"/>
                <w:color w:val="auto"/>
              </w:rPr>
              <w:t>5,056</w:t>
            </w:r>
          </w:p>
        </w:tc>
        <w:tc>
          <w:tcPr>
            <w:tcW w:w="5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4,966</w:t>
            </w:r>
          </w:p>
        </w:tc>
      </w:tr>
      <w:tr>
        <w:trPr>
          <w:trHeight w:val="230"/>
        </w:trPr>
        <w:tc>
          <w:tcPr>
            <w:tcW w:w="6980" w:type="dxa"/>
            <w:vAlign w:val="bottom"/>
          </w:tcPr>
          <w:p>
            <w:pPr>
              <w:ind w:left="640"/>
              <w:spacing w:after="0"/>
              <w:rPr>
                <w:sz w:val="20"/>
                <w:szCs w:val="20"/>
                <w:color w:val="auto"/>
              </w:rPr>
            </w:pPr>
            <w:r>
              <w:rPr>
                <w:rFonts w:ascii="Arial" w:cs="Arial" w:eastAsia="Arial" w:hAnsi="Arial"/>
                <w:sz w:val="18"/>
                <w:szCs w:val="18"/>
                <w:color w:val="auto"/>
              </w:rPr>
              <w:t>Rotary and Mission Systems</w:t>
            </w:r>
          </w:p>
        </w:tc>
        <w:tc>
          <w:tcPr>
            <w:tcW w:w="660" w:type="dxa"/>
            <w:vAlign w:val="bottom"/>
          </w:tcPr>
          <w:p>
            <w:pPr>
              <w:spacing w:after="0"/>
              <w:rPr>
                <w:sz w:val="19"/>
                <w:szCs w:val="19"/>
                <w:color w:val="auto"/>
              </w:rPr>
            </w:pPr>
          </w:p>
        </w:tc>
        <w:tc>
          <w:tcPr>
            <w:tcW w:w="1620" w:type="dxa"/>
            <w:vAlign w:val="bottom"/>
          </w:tcPr>
          <w:p>
            <w:pPr>
              <w:jc w:val="right"/>
              <w:ind w:right="590"/>
              <w:spacing w:after="0"/>
              <w:rPr>
                <w:sz w:val="20"/>
                <w:szCs w:val="20"/>
                <w:color w:val="auto"/>
              </w:rPr>
            </w:pPr>
            <w:r>
              <w:rPr>
                <w:rFonts w:ascii="Arial" w:cs="Arial" w:eastAsia="Arial" w:hAnsi="Arial"/>
                <w:sz w:val="18"/>
                <w:szCs w:val="18"/>
                <w:b w:val="1"/>
                <w:bCs w:val="1"/>
                <w:color w:val="auto"/>
              </w:rPr>
              <w:t>17,807</w:t>
            </w:r>
          </w:p>
        </w:tc>
        <w:tc>
          <w:tcPr>
            <w:tcW w:w="520" w:type="dxa"/>
            <w:vAlign w:val="bottom"/>
          </w:tcPr>
          <w:p>
            <w:pPr>
              <w:spacing w:after="0"/>
              <w:rPr>
                <w:sz w:val="19"/>
                <w:szCs w:val="19"/>
                <w:color w:val="auto"/>
              </w:rPr>
            </w:pPr>
          </w:p>
        </w:tc>
        <w:tc>
          <w:tcPr>
            <w:tcW w:w="1440" w:type="dxa"/>
            <w:vAlign w:val="bottom"/>
          </w:tcPr>
          <w:p>
            <w:pPr>
              <w:jc w:val="right"/>
              <w:ind w:right="430"/>
              <w:spacing w:after="0"/>
              <w:rPr>
                <w:sz w:val="20"/>
                <w:szCs w:val="20"/>
                <w:color w:val="auto"/>
              </w:rPr>
            </w:pPr>
            <w:r>
              <w:rPr>
                <w:rFonts w:ascii="Arial" w:cs="Arial" w:eastAsia="Arial" w:hAnsi="Arial"/>
                <w:sz w:val="18"/>
                <w:szCs w:val="18"/>
                <w:color w:val="auto"/>
              </w:rPr>
              <w:t>18,035</w:t>
            </w:r>
          </w:p>
        </w:tc>
      </w:tr>
      <w:tr>
        <w:trPr>
          <w:trHeight w:val="229"/>
        </w:trPr>
        <w:tc>
          <w:tcPr>
            <w:tcW w:w="698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Space</w:t>
            </w:r>
          </w:p>
        </w:tc>
        <w:tc>
          <w:tcPr>
            <w:tcW w:w="6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b w:val="1"/>
                <w:bCs w:val="1"/>
                <w:color w:val="auto"/>
              </w:rPr>
              <w:t>6,551</w:t>
            </w:r>
          </w:p>
        </w:tc>
        <w:tc>
          <w:tcPr>
            <w:tcW w:w="5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6,451</w:t>
            </w:r>
          </w:p>
        </w:tc>
      </w:tr>
      <w:tr>
        <w:trPr>
          <w:trHeight w:val="223"/>
        </w:trPr>
        <w:tc>
          <w:tcPr>
            <w:tcW w:w="6980" w:type="dxa"/>
            <w:vAlign w:val="bottom"/>
          </w:tcPr>
          <w:p>
            <w:pPr>
              <w:ind w:left="760"/>
              <w:spacing w:after="0"/>
              <w:rPr>
                <w:sz w:val="20"/>
                <w:szCs w:val="20"/>
                <w:color w:val="auto"/>
              </w:rPr>
            </w:pPr>
            <w:r>
              <w:rPr>
                <w:rFonts w:ascii="Arial" w:cs="Arial" w:eastAsia="Arial" w:hAnsi="Arial"/>
                <w:sz w:val="18"/>
                <w:szCs w:val="18"/>
                <w:color w:val="auto"/>
              </w:rPr>
              <w:t>Total business segment assets</w:t>
            </w:r>
          </w:p>
        </w:tc>
        <w:tc>
          <w:tcPr>
            <w:tcW w:w="660" w:type="dxa"/>
            <w:vAlign w:val="bottom"/>
          </w:tcPr>
          <w:p>
            <w:pPr>
              <w:spacing w:after="0"/>
              <w:rPr>
                <w:sz w:val="19"/>
                <w:szCs w:val="19"/>
                <w:color w:val="auto"/>
              </w:rPr>
            </w:pPr>
          </w:p>
        </w:tc>
        <w:tc>
          <w:tcPr>
            <w:tcW w:w="1620" w:type="dxa"/>
            <w:vAlign w:val="bottom"/>
          </w:tcPr>
          <w:p>
            <w:pPr>
              <w:jc w:val="right"/>
              <w:ind w:right="590"/>
              <w:spacing w:after="0"/>
              <w:rPr>
                <w:sz w:val="20"/>
                <w:szCs w:val="20"/>
                <w:color w:val="auto"/>
              </w:rPr>
            </w:pPr>
            <w:r>
              <w:rPr>
                <w:rFonts w:ascii="Arial" w:cs="Arial" w:eastAsia="Arial" w:hAnsi="Arial"/>
                <w:sz w:val="18"/>
                <w:szCs w:val="18"/>
                <w:b w:val="1"/>
                <w:bCs w:val="1"/>
                <w:color w:val="auto"/>
              </w:rPr>
              <w:t>41,783</w:t>
            </w:r>
          </w:p>
        </w:tc>
        <w:tc>
          <w:tcPr>
            <w:tcW w:w="520" w:type="dxa"/>
            <w:vAlign w:val="bottom"/>
          </w:tcPr>
          <w:p>
            <w:pPr>
              <w:spacing w:after="0"/>
              <w:rPr>
                <w:sz w:val="19"/>
                <w:szCs w:val="19"/>
                <w:color w:val="auto"/>
              </w:rPr>
            </w:pPr>
          </w:p>
        </w:tc>
        <w:tc>
          <w:tcPr>
            <w:tcW w:w="1440" w:type="dxa"/>
            <w:vAlign w:val="bottom"/>
          </w:tcPr>
          <w:p>
            <w:pPr>
              <w:jc w:val="right"/>
              <w:ind w:right="430"/>
              <w:spacing w:after="0"/>
              <w:rPr>
                <w:sz w:val="20"/>
                <w:szCs w:val="20"/>
                <w:color w:val="auto"/>
              </w:rPr>
            </w:pPr>
            <w:r>
              <w:rPr>
                <w:rFonts w:ascii="Arial" w:cs="Arial" w:eastAsia="Arial" w:hAnsi="Arial"/>
                <w:sz w:val="18"/>
                <w:szCs w:val="18"/>
                <w:color w:val="auto"/>
              </w:rPr>
              <w:t>39,355</w:t>
            </w:r>
          </w:p>
        </w:tc>
      </w:tr>
      <w:tr>
        <w:trPr>
          <w:trHeight w:val="229"/>
        </w:trPr>
        <w:tc>
          <w:tcPr>
            <w:tcW w:w="6980" w:type="dxa"/>
            <w:vAlign w:val="bottom"/>
            <w:tcBorders>
              <w:bottom w:val="single" w:sz="8" w:color="auto"/>
            </w:tcBorders>
            <w:shd w:val="clear" w:color="auto" w:fill="CCEEFF"/>
          </w:tcPr>
          <w:p>
            <w:pPr>
              <w:ind w:left="640"/>
              <w:spacing w:after="0" w:line="230" w:lineRule="exact"/>
              <w:rPr>
                <w:sz w:val="20"/>
                <w:szCs w:val="20"/>
                <w:color w:val="auto"/>
              </w:rPr>
            </w:pPr>
            <w:r>
              <w:rPr>
                <w:rFonts w:ascii="Arial" w:cs="Arial" w:eastAsia="Arial" w:hAnsi="Arial"/>
                <w:sz w:val="18"/>
                <w:szCs w:val="18"/>
                <w:color w:val="auto"/>
              </w:rPr>
              <w:t xml:space="preserve">Corporate assets </w:t>
            </w:r>
            <w:r>
              <w:rPr>
                <w:rFonts w:ascii="Arial" w:cs="Arial" w:eastAsia="Arial" w:hAnsi="Arial"/>
                <w:sz w:val="23"/>
                <w:szCs w:val="23"/>
                <w:color w:val="auto"/>
                <w:vertAlign w:val="superscript"/>
              </w:rPr>
              <w:t>(a)</w:t>
            </w:r>
          </w:p>
        </w:tc>
        <w:tc>
          <w:tcPr>
            <w:tcW w:w="6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b w:val="1"/>
                <w:bCs w:val="1"/>
                <w:color w:val="auto"/>
              </w:rPr>
              <w:t>10,060</w:t>
            </w:r>
          </w:p>
        </w:tc>
        <w:tc>
          <w:tcPr>
            <w:tcW w:w="5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11,355</w:t>
            </w:r>
          </w:p>
        </w:tc>
      </w:tr>
      <w:tr>
        <w:trPr>
          <w:trHeight w:val="230"/>
        </w:trPr>
        <w:tc>
          <w:tcPr>
            <w:tcW w:w="698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rPr>
              <w:t>Total assets</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51,843</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50,710</w:t>
            </w:r>
          </w:p>
        </w:tc>
      </w:tr>
    </w:tbl>
    <w:p>
      <w:pPr>
        <w:spacing w:after="0" w:line="137" w:lineRule="exact"/>
        <w:rPr>
          <w:sz w:val="20"/>
          <w:szCs w:val="20"/>
          <w:color w:val="auto"/>
        </w:rPr>
      </w:pPr>
    </w:p>
    <w:p>
      <w:pPr>
        <w:ind w:left="420" w:right="20" w:hanging="412"/>
        <w:spacing w:after="0" w:line="216" w:lineRule="auto"/>
        <w:tabs>
          <w:tab w:leader="none" w:pos="413" w:val="left"/>
        </w:tabs>
        <w:numPr>
          <w:ilvl w:val="0"/>
          <w:numId w:val="5"/>
        </w:numPr>
        <w:rPr>
          <w:rFonts w:ascii="Arial" w:cs="Arial" w:eastAsia="Arial" w:hAnsi="Arial"/>
          <w:sz w:val="21"/>
          <w:szCs w:val="21"/>
          <w:color w:val="auto"/>
          <w:vertAlign w:val="superscript"/>
        </w:rPr>
      </w:pPr>
      <w:r>
        <w:rPr>
          <w:rFonts w:ascii="Arial" w:cs="Arial" w:eastAsia="Arial" w:hAnsi="Arial"/>
          <w:sz w:val="16"/>
          <w:szCs w:val="16"/>
          <w:color w:val="auto"/>
        </w:rPr>
        <w:t>Corporate assets primarily include cash and cash equivalents, deferred income taxes, assets for the portion of environmental costs that are probable of future recovery and investments held in a separate trust.</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CONTRACT ASSETS AND LIABILITIES</w:t>
      </w:r>
    </w:p>
    <w:p>
      <w:pPr>
        <w:spacing w:after="0" w:line="207" w:lineRule="exact"/>
        <w:rPr>
          <w:sz w:val="20"/>
          <w:szCs w:val="20"/>
          <w:color w:val="auto"/>
        </w:rPr>
      </w:pPr>
    </w:p>
    <w:p>
      <w:pPr>
        <w:ind w:right="100" w:firstLine="405"/>
        <w:spacing w:after="0" w:line="256" w:lineRule="auto"/>
        <w:rPr>
          <w:sz w:val="20"/>
          <w:szCs w:val="20"/>
          <w:color w:val="auto"/>
        </w:rPr>
      </w:pPr>
      <w:r>
        <w:rPr>
          <w:rFonts w:ascii="Arial" w:cs="Arial" w:eastAsia="Arial" w:hAnsi="Arial"/>
          <w:sz w:val="18"/>
          <w:szCs w:val="18"/>
          <w:color w:val="auto"/>
        </w:rPr>
        <w:t>Contract assets include unbilled amounts typically resulting from sales under contracts when the percentage-of-completion cost-to-cost method of revenue recognition is utilized and revenue recognized exceeds the amount billed to the customer. Contract liabilities include advance payments and billings in excess of revenue recognized. Contract assets and contract liabilities were as follows (in millions):</w:t>
      </w:r>
    </w:p>
    <w:tbl>
      <w:tblPr>
        <w:tblLayout w:type="fixed"/>
        <w:tblInd w:w="0" w:type="dxa"/>
        <w:tblCellMar>
          <w:top w:w="0" w:type="dxa"/>
          <w:left w:w="0" w:type="dxa"/>
          <w:bottom w:w="0" w:type="dxa"/>
          <w:right w:w="0" w:type="dxa"/>
        </w:tblCellMar>
      </w:tblPr>
      <w:tr>
        <w:trPr>
          <w:trHeight w:val="189"/>
        </w:trPr>
        <w:tc>
          <w:tcPr>
            <w:tcW w:w="470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1640" w:type="dxa"/>
            <w:vAlign w:val="bottom"/>
          </w:tcPr>
          <w:p>
            <w:pPr>
              <w:jc w:val="right"/>
              <w:ind w:right="270"/>
              <w:spacing w:after="0" w:line="189" w:lineRule="exact"/>
              <w:rPr>
                <w:sz w:val="20"/>
                <w:szCs w:val="20"/>
                <w:color w:val="auto"/>
              </w:rPr>
            </w:pPr>
            <w:r>
              <w:rPr>
                <w:rFonts w:ascii="Arial" w:cs="Arial" w:eastAsia="Arial" w:hAnsi="Arial"/>
                <w:sz w:val="18"/>
                <w:szCs w:val="18"/>
                <w:b w:val="1"/>
                <w:bCs w:val="1"/>
                <w:color w:val="auto"/>
              </w:rPr>
              <w:t>September 26,</w:t>
            </w:r>
          </w:p>
        </w:tc>
        <w:tc>
          <w:tcPr>
            <w:tcW w:w="480" w:type="dxa"/>
            <w:vAlign w:val="bottom"/>
          </w:tcPr>
          <w:p>
            <w:pPr>
              <w:spacing w:after="0"/>
              <w:rPr>
                <w:sz w:val="16"/>
                <w:szCs w:val="16"/>
                <w:color w:val="auto"/>
              </w:rPr>
            </w:pPr>
          </w:p>
        </w:tc>
        <w:tc>
          <w:tcPr>
            <w:tcW w:w="1400" w:type="dxa"/>
            <w:vAlign w:val="bottom"/>
          </w:tcPr>
          <w:p>
            <w:pPr>
              <w:jc w:val="center"/>
              <w:ind w:right="70"/>
              <w:spacing w:after="0" w:line="189" w:lineRule="exact"/>
              <w:rPr>
                <w:sz w:val="20"/>
                <w:szCs w:val="20"/>
                <w:color w:val="auto"/>
              </w:rPr>
            </w:pPr>
            <w:r>
              <w:rPr>
                <w:rFonts w:ascii="Arial" w:cs="Arial" w:eastAsia="Arial" w:hAnsi="Arial"/>
                <w:sz w:val="18"/>
                <w:szCs w:val="18"/>
                <w:b w:val="1"/>
                <w:bCs w:val="1"/>
                <w:color w:val="auto"/>
                <w:w w:val="99"/>
              </w:rPr>
              <w:t>December 31,</w:t>
            </w:r>
          </w:p>
        </w:tc>
      </w:tr>
      <w:tr>
        <w:trPr>
          <w:trHeight w:val="230"/>
        </w:trPr>
        <w:tc>
          <w:tcPr>
            <w:tcW w:w="470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b w:val="1"/>
                <w:bCs w:val="1"/>
                <w:color w:val="auto"/>
              </w:rPr>
              <w:t>2021</w:t>
            </w:r>
          </w:p>
        </w:tc>
        <w:tc>
          <w:tcPr>
            <w:tcW w:w="4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2020</w:t>
            </w:r>
          </w:p>
        </w:tc>
      </w:tr>
      <w:tr>
        <w:trPr>
          <w:trHeight w:val="223"/>
        </w:trPr>
        <w:tc>
          <w:tcPr>
            <w:tcW w:w="4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Contract assets</w:t>
            </w:r>
          </w:p>
        </w:tc>
        <w:tc>
          <w:tcPr>
            <w:tcW w:w="3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40" w:type="dxa"/>
            <w:vAlign w:val="bottom"/>
            <w:shd w:val="clear" w:color="auto" w:fill="CCEEFF"/>
          </w:tcPr>
          <w:p>
            <w:pPr>
              <w:jc w:val="right"/>
              <w:ind w:right="610"/>
              <w:spacing w:after="0"/>
              <w:rPr>
                <w:sz w:val="20"/>
                <w:szCs w:val="20"/>
                <w:color w:val="auto"/>
              </w:rPr>
            </w:pPr>
            <w:r>
              <w:rPr>
                <w:rFonts w:ascii="Arial" w:cs="Arial" w:eastAsia="Arial" w:hAnsi="Arial"/>
                <w:sz w:val="18"/>
                <w:szCs w:val="18"/>
                <w:b w:val="1"/>
                <w:bCs w:val="1"/>
                <w:color w:val="auto"/>
              </w:rPr>
              <w:t>12,697</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rPr>
              <w:t>9,545</w:t>
            </w:r>
          </w:p>
        </w:tc>
      </w:tr>
      <w:tr>
        <w:trPr>
          <w:trHeight w:val="237"/>
        </w:trPr>
        <w:tc>
          <w:tcPr>
            <w:tcW w:w="47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Contract liabilities</w:t>
            </w:r>
          </w:p>
        </w:tc>
        <w:tc>
          <w:tcPr>
            <w:tcW w:w="30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7,515</w:t>
            </w:r>
          </w:p>
        </w:tc>
        <w:tc>
          <w:tcPr>
            <w:tcW w:w="4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rPr>
              <w:t>7,545</w:t>
            </w:r>
          </w:p>
        </w:tc>
      </w:tr>
    </w:tbl>
    <w:p>
      <w:pPr>
        <w:spacing w:after="0" w:line="269"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Contract assets increased $3.2 billion during the nine months ended September 26, 2021, primarily due to the recognition of revenue related to the satisfaction or partial satisfaction of performance obligations during the nine months ended September 26, 2021 for which we have not yet billed our customers. There were no significant credit or impairment losses related to our contract assets during the quarters and nine months ended September 26, 2021 and September 27, 2020.</w:t>
      </w:r>
    </w:p>
    <w:p>
      <w:pPr>
        <w:spacing w:after="0" w:line="163" w:lineRule="exact"/>
        <w:rPr>
          <w:sz w:val="20"/>
          <w:szCs w:val="20"/>
          <w:color w:val="auto"/>
        </w:rPr>
      </w:pPr>
    </w:p>
    <w:p>
      <w:pPr>
        <w:ind w:right="360" w:firstLine="405"/>
        <w:spacing w:after="0" w:line="254" w:lineRule="auto"/>
        <w:rPr>
          <w:sz w:val="20"/>
          <w:szCs w:val="20"/>
          <w:color w:val="auto"/>
        </w:rPr>
      </w:pPr>
      <w:r>
        <w:rPr>
          <w:rFonts w:ascii="Arial" w:cs="Arial" w:eastAsia="Arial" w:hAnsi="Arial"/>
          <w:sz w:val="18"/>
          <w:szCs w:val="18"/>
          <w:color w:val="auto"/>
        </w:rPr>
        <w:t>Contract liabilities decreased $30 million during the nine months ended September 26, 2021, primarily due to revenue recognized in excess of payments received on these performance obligations. During the quarter and nine months ended September 26, 2021, we recognized $700 million and $3.9 billion of our contract liabilities at December 31, 2020 as revenue. During the quarter and nine months ended September 27, 2020, we recognized $919 million and $3.5 billion of our contract liabilities at December 31, 2019 as revenue.</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Lockheed Martin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 (continued)</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980" w:type="dxa"/>
            <w:vAlign w:val="bottom"/>
          </w:tcPr>
          <w:p>
            <w:pPr>
              <w:spacing w:after="0"/>
              <w:rPr>
                <w:sz w:val="20"/>
                <w:szCs w:val="20"/>
                <w:color w:val="auto"/>
              </w:rPr>
            </w:pPr>
            <w:r>
              <w:rPr>
                <w:rFonts w:ascii="Arial" w:cs="Arial" w:eastAsia="Arial" w:hAnsi="Arial"/>
                <w:sz w:val="18"/>
                <w:szCs w:val="18"/>
                <w:b w:val="1"/>
                <w:bCs w:val="1"/>
                <w:color w:val="auto"/>
              </w:rPr>
              <w:t>NOTE 6 - INVENTORIES</w:t>
            </w:r>
          </w:p>
        </w:tc>
        <w:tc>
          <w:tcPr>
            <w:tcW w:w="17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05"/>
        </w:trPr>
        <w:tc>
          <w:tcPr>
            <w:tcW w:w="5980" w:type="dxa"/>
            <w:vAlign w:val="bottom"/>
          </w:tcPr>
          <w:p>
            <w:pPr>
              <w:ind w:left="460"/>
              <w:spacing w:after="0"/>
              <w:rPr>
                <w:sz w:val="20"/>
                <w:szCs w:val="20"/>
                <w:color w:val="auto"/>
              </w:rPr>
            </w:pPr>
            <w:r>
              <w:rPr>
                <w:rFonts w:ascii="Arial" w:cs="Arial" w:eastAsia="Arial" w:hAnsi="Arial"/>
                <w:sz w:val="18"/>
                <w:szCs w:val="18"/>
                <w:color w:val="auto"/>
              </w:rPr>
              <w:t>Inventories consisted of the following (in millions):</w:t>
            </w:r>
          </w:p>
        </w:tc>
        <w:tc>
          <w:tcPr>
            <w:tcW w:w="17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03"/>
        </w:trPr>
        <w:tc>
          <w:tcPr>
            <w:tcW w:w="59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620" w:type="dxa"/>
            <w:vAlign w:val="bottom"/>
          </w:tcPr>
          <w:p>
            <w:pPr>
              <w:jc w:val="right"/>
              <w:ind w:right="290"/>
              <w:spacing w:after="0" w:line="202" w:lineRule="exact"/>
              <w:rPr>
                <w:sz w:val="20"/>
                <w:szCs w:val="20"/>
                <w:color w:val="auto"/>
              </w:rPr>
            </w:pPr>
            <w:r>
              <w:rPr>
                <w:rFonts w:ascii="Arial" w:cs="Arial" w:eastAsia="Arial" w:hAnsi="Arial"/>
                <w:sz w:val="18"/>
                <w:szCs w:val="18"/>
                <w:b w:val="1"/>
                <w:bCs w:val="1"/>
                <w:color w:val="auto"/>
                <w:w w:val="99"/>
              </w:rPr>
              <w:t>September 26,</w:t>
            </w:r>
          </w:p>
        </w:tc>
        <w:tc>
          <w:tcPr>
            <w:tcW w:w="500" w:type="dxa"/>
            <w:vAlign w:val="bottom"/>
          </w:tcPr>
          <w:p>
            <w:pPr>
              <w:spacing w:after="0"/>
              <w:rPr>
                <w:sz w:val="17"/>
                <w:szCs w:val="17"/>
                <w:color w:val="auto"/>
              </w:rPr>
            </w:pPr>
          </w:p>
        </w:tc>
        <w:tc>
          <w:tcPr>
            <w:tcW w:w="140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December 31,</w:t>
            </w:r>
          </w:p>
        </w:tc>
      </w:tr>
      <w:tr>
        <w:trPr>
          <w:trHeight w:val="230"/>
        </w:trPr>
        <w:tc>
          <w:tcPr>
            <w:tcW w:w="59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b w:val="1"/>
                <w:bCs w:val="1"/>
                <w:color w:val="auto"/>
              </w:rPr>
              <w:t>2021</w:t>
            </w:r>
          </w:p>
        </w:tc>
        <w:tc>
          <w:tcPr>
            <w:tcW w:w="5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2020</w:t>
            </w:r>
          </w:p>
        </w:tc>
      </w:tr>
      <w:tr>
        <w:trPr>
          <w:trHeight w:val="223"/>
        </w:trPr>
        <w:tc>
          <w:tcPr>
            <w:tcW w:w="59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Materials, spares and supplies</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20" w:type="dxa"/>
            <w:vAlign w:val="bottom"/>
            <w:shd w:val="clear" w:color="auto" w:fill="CCEEFF"/>
          </w:tcPr>
          <w:p>
            <w:pPr>
              <w:jc w:val="right"/>
              <w:ind w:right="650"/>
              <w:spacing w:after="0"/>
              <w:rPr>
                <w:sz w:val="20"/>
                <w:szCs w:val="20"/>
                <w:color w:val="auto"/>
              </w:rPr>
            </w:pPr>
            <w:r>
              <w:rPr>
                <w:rFonts w:ascii="Arial" w:cs="Arial" w:eastAsia="Arial" w:hAnsi="Arial"/>
                <w:sz w:val="18"/>
                <w:szCs w:val="18"/>
                <w:b w:val="1"/>
                <w:bCs w:val="1"/>
                <w:color w:val="auto"/>
              </w:rPr>
              <w:t>627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612</w:t>
            </w:r>
          </w:p>
        </w:tc>
      </w:tr>
      <w:tr>
        <w:trPr>
          <w:trHeight w:val="229"/>
        </w:trPr>
        <w:tc>
          <w:tcPr>
            <w:tcW w:w="5980" w:type="dxa"/>
            <w:vAlign w:val="bottom"/>
          </w:tcPr>
          <w:p>
            <w:pPr>
              <w:ind w:left="20"/>
              <w:spacing w:after="0"/>
              <w:rPr>
                <w:sz w:val="20"/>
                <w:szCs w:val="20"/>
                <w:color w:val="auto"/>
              </w:rPr>
            </w:pPr>
            <w:r>
              <w:rPr>
                <w:rFonts w:ascii="Arial" w:cs="Arial" w:eastAsia="Arial" w:hAnsi="Arial"/>
                <w:sz w:val="18"/>
                <w:szCs w:val="18"/>
                <w:color w:val="auto"/>
              </w:rPr>
              <w:t>Work-in-process</w:t>
            </w:r>
          </w:p>
        </w:tc>
        <w:tc>
          <w:tcPr>
            <w:tcW w:w="1720" w:type="dxa"/>
            <w:vAlign w:val="bottom"/>
          </w:tcPr>
          <w:p>
            <w:pPr>
              <w:spacing w:after="0"/>
              <w:rPr>
                <w:sz w:val="19"/>
                <w:szCs w:val="19"/>
                <w:color w:val="auto"/>
              </w:rPr>
            </w:pPr>
          </w:p>
        </w:tc>
        <w:tc>
          <w:tcPr>
            <w:tcW w:w="1620" w:type="dxa"/>
            <w:vAlign w:val="bottom"/>
          </w:tcPr>
          <w:p>
            <w:pPr>
              <w:jc w:val="right"/>
              <w:ind w:right="650"/>
              <w:spacing w:after="0"/>
              <w:rPr>
                <w:sz w:val="20"/>
                <w:szCs w:val="20"/>
                <w:color w:val="auto"/>
              </w:rPr>
            </w:pPr>
            <w:r>
              <w:rPr>
                <w:rFonts w:ascii="Arial" w:cs="Arial" w:eastAsia="Arial" w:hAnsi="Arial"/>
                <w:sz w:val="18"/>
                <w:szCs w:val="18"/>
                <w:b w:val="1"/>
                <w:bCs w:val="1"/>
                <w:color w:val="auto"/>
              </w:rPr>
              <w:t>2,079</w:t>
            </w:r>
          </w:p>
        </w:tc>
        <w:tc>
          <w:tcPr>
            <w:tcW w:w="500" w:type="dxa"/>
            <w:vAlign w:val="bottom"/>
          </w:tcPr>
          <w:p>
            <w:pPr>
              <w:spacing w:after="0"/>
              <w:rPr>
                <w:sz w:val="19"/>
                <w:szCs w:val="19"/>
                <w:color w:val="auto"/>
              </w:rPr>
            </w:pPr>
          </w:p>
        </w:tc>
        <w:tc>
          <w:tcPr>
            <w:tcW w:w="1400" w:type="dxa"/>
            <w:vAlign w:val="bottom"/>
          </w:tcPr>
          <w:p>
            <w:pPr>
              <w:jc w:val="right"/>
              <w:ind w:right="430"/>
              <w:spacing w:after="0"/>
              <w:rPr>
                <w:sz w:val="20"/>
                <w:szCs w:val="20"/>
                <w:color w:val="auto"/>
              </w:rPr>
            </w:pPr>
            <w:r>
              <w:rPr>
                <w:rFonts w:ascii="Arial" w:cs="Arial" w:eastAsia="Arial" w:hAnsi="Arial"/>
                <w:sz w:val="18"/>
                <w:szCs w:val="18"/>
                <w:color w:val="auto"/>
              </w:rPr>
              <w:t>2,693</w:t>
            </w:r>
          </w:p>
        </w:tc>
      </w:tr>
      <w:tr>
        <w:trPr>
          <w:trHeight w:val="230"/>
        </w:trPr>
        <w:tc>
          <w:tcPr>
            <w:tcW w:w="598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Finished goods</w:t>
            </w:r>
          </w:p>
        </w:tc>
        <w:tc>
          <w:tcPr>
            <w:tcW w:w="17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b w:val="1"/>
                <w:bCs w:val="1"/>
                <w:color w:val="auto"/>
              </w:rPr>
              <w:t>197</w:t>
            </w:r>
          </w:p>
        </w:tc>
        <w:tc>
          <w:tcPr>
            <w:tcW w:w="5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240</w:t>
            </w:r>
          </w:p>
        </w:tc>
      </w:tr>
      <w:tr>
        <w:trPr>
          <w:trHeight w:val="230"/>
        </w:trPr>
        <w:tc>
          <w:tcPr>
            <w:tcW w:w="598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rPr>
              <w:t>Total inventories</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2,903</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3,545</w:t>
            </w:r>
          </w:p>
        </w:tc>
      </w:tr>
    </w:tbl>
    <w:p>
      <w:pPr>
        <w:spacing w:after="0" w:line="269"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auto"/>
        </w:rPr>
        <w:t>Costs incurred to fulfill a contract in advance of the contract being awarded are included in inventories as work-in-process if we determine that those costs relate directly to a contract or to an anticipated contract that we can specifically identify and contract award is probable, the costs generate or enhance resources that will be used in satisfying performance obligations, and the costs are recoverable (referred to as pre-contract costs). Pre-contract costs that are initially capitalized in inventory are generally recognized as cost of sales consistent with the transfer of products and services to the customer upon the receipt of the anticipated contract. All other pre-contract costs, including start-up costs, are expensed as incurred. As of September 26, 2021 and December 31, 2020, $767 million and $583 million of pre-contract costs were included in inventories.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Lockheed Martin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 (continued)</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POSTRETIREMENT BENEFIT PLANS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FAS Expense (Income)</w:t>
      </w:r>
    </w:p>
    <w:p>
      <w:pPr>
        <w:spacing w:after="0" w:line="207" w:lineRule="exact"/>
        <w:rPr>
          <w:sz w:val="20"/>
          <w:szCs w:val="20"/>
          <w:color w:val="auto"/>
        </w:rPr>
      </w:pPr>
    </w:p>
    <w:p>
      <w:pPr>
        <w:ind w:right="320" w:firstLine="445"/>
        <w:spacing w:after="0" w:line="261" w:lineRule="auto"/>
        <w:rPr>
          <w:sz w:val="20"/>
          <w:szCs w:val="20"/>
          <w:color w:val="auto"/>
        </w:rPr>
      </w:pPr>
      <w:r>
        <w:rPr>
          <w:rFonts w:ascii="Arial" w:cs="Arial" w:eastAsia="Arial" w:hAnsi="Arial"/>
          <w:sz w:val="18"/>
          <w:szCs w:val="18"/>
          <w:color w:val="auto"/>
        </w:rPr>
        <w:t>Our pretax FAS expense (income) related to our qualified defined benefit pension plans and retiree medical and life insurance plans consisted of the following (in millions):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62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3"/>
          </w:tcPr>
          <w:p>
            <w:pPr>
              <w:jc w:val="right"/>
              <w:ind w:right="1130"/>
              <w:spacing w:after="0"/>
              <w:rPr>
                <w:sz w:val="20"/>
                <w:szCs w:val="20"/>
                <w:color w:val="auto"/>
              </w:rPr>
            </w:pPr>
            <w:r>
              <w:rPr>
                <w:rFonts w:ascii="Arial" w:cs="Arial" w:eastAsia="Arial" w:hAnsi="Arial"/>
                <w:sz w:val="18"/>
                <w:szCs w:val="18"/>
                <w:b w:val="1"/>
                <w:bCs w:val="1"/>
                <w:color w:val="auto"/>
              </w:rPr>
              <w:t>Quarters Ended</w:t>
            </w:r>
          </w:p>
        </w:tc>
        <w:tc>
          <w:tcPr>
            <w:tcW w:w="44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3"/>
          </w:tcPr>
          <w:p>
            <w:pPr>
              <w:jc w:val="right"/>
              <w:ind w:right="75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69"/>
        </w:trPr>
        <w:tc>
          <w:tcPr>
            <w:tcW w:w="3620" w:type="dxa"/>
            <w:vAlign w:val="bottom"/>
          </w:tcPr>
          <w:p>
            <w:pPr>
              <w:spacing w:after="0"/>
              <w:rPr>
                <w:sz w:val="14"/>
                <w:szCs w:val="14"/>
                <w:color w:val="auto"/>
              </w:rPr>
            </w:pPr>
          </w:p>
        </w:tc>
        <w:tc>
          <w:tcPr>
            <w:tcW w:w="2120" w:type="dxa"/>
            <w:vAlign w:val="bottom"/>
            <w:gridSpan w:val="2"/>
          </w:tcPr>
          <w:p>
            <w:pPr>
              <w:jc w:val="right"/>
              <w:ind w:right="250"/>
              <w:spacing w:after="0" w:line="169" w:lineRule="exact"/>
              <w:rPr>
                <w:sz w:val="20"/>
                <w:szCs w:val="20"/>
                <w:color w:val="auto"/>
              </w:rPr>
            </w:pPr>
            <w:r>
              <w:rPr>
                <w:rFonts w:ascii="Arial" w:cs="Arial" w:eastAsia="Arial" w:hAnsi="Arial"/>
                <w:sz w:val="18"/>
                <w:szCs w:val="18"/>
                <w:b w:val="1"/>
                <w:bCs w:val="1"/>
                <w:color w:val="auto"/>
              </w:rPr>
              <w:t>September 26,</w:t>
            </w:r>
          </w:p>
        </w:tc>
        <w:tc>
          <w:tcPr>
            <w:tcW w:w="1900" w:type="dxa"/>
            <w:vAlign w:val="bottom"/>
            <w:gridSpan w:val="2"/>
          </w:tcPr>
          <w:p>
            <w:pPr>
              <w:jc w:val="right"/>
              <w:ind w:right="190"/>
              <w:spacing w:after="0" w:line="169" w:lineRule="exact"/>
              <w:rPr>
                <w:sz w:val="20"/>
                <w:szCs w:val="20"/>
                <w:color w:val="auto"/>
              </w:rPr>
            </w:pPr>
            <w:r>
              <w:rPr>
                <w:rFonts w:ascii="Arial" w:cs="Arial" w:eastAsia="Arial" w:hAnsi="Arial"/>
                <w:sz w:val="18"/>
                <w:szCs w:val="18"/>
                <w:b w:val="1"/>
                <w:bCs w:val="1"/>
                <w:color w:val="auto"/>
              </w:rPr>
              <w:t>September 27,</w:t>
            </w:r>
          </w:p>
        </w:tc>
        <w:tc>
          <w:tcPr>
            <w:tcW w:w="1920" w:type="dxa"/>
            <w:vAlign w:val="bottom"/>
            <w:gridSpan w:val="2"/>
          </w:tcPr>
          <w:p>
            <w:pPr>
              <w:jc w:val="right"/>
              <w:ind w:right="250"/>
              <w:spacing w:after="0" w:line="169" w:lineRule="exact"/>
              <w:rPr>
                <w:sz w:val="20"/>
                <w:szCs w:val="20"/>
                <w:color w:val="auto"/>
              </w:rPr>
            </w:pPr>
            <w:r>
              <w:rPr>
                <w:rFonts w:ascii="Arial" w:cs="Arial" w:eastAsia="Arial" w:hAnsi="Arial"/>
                <w:sz w:val="18"/>
                <w:szCs w:val="18"/>
                <w:b w:val="1"/>
                <w:bCs w:val="1"/>
                <w:color w:val="auto"/>
              </w:rPr>
              <w:t>September 26,</w:t>
            </w:r>
          </w:p>
        </w:tc>
        <w:tc>
          <w:tcPr>
            <w:tcW w:w="1680" w:type="dxa"/>
            <w:vAlign w:val="bottom"/>
            <w:gridSpan w:val="2"/>
          </w:tcPr>
          <w:p>
            <w:pPr>
              <w:jc w:val="right"/>
              <w:spacing w:after="0" w:line="169" w:lineRule="exact"/>
              <w:rPr>
                <w:sz w:val="20"/>
                <w:szCs w:val="20"/>
                <w:color w:val="auto"/>
              </w:rPr>
            </w:pPr>
            <w:r>
              <w:rPr>
                <w:rFonts w:ascii="Arial" w:cs="Arial" w:eastAsia="Arial" w:hAnsi="Arial"/>
                <w:sz w:val="18"/>
                <w:szCs w:val="18"/>
                <w:b w:val="1"/>
                <w:bCs w:val="1"/>
                <w:color w:val="auto"/>
              </w:rPr>
              <w:t>September 27,</w:t>
            </w:r>
          </w:p>
        </w:tc>
        <w:tc>
          <w:tcPr>
            <w:tcW w:w="0" w:type="dxa"/>
            <w:vAlign w:val="bottom"/>
          </w:tcPr>
          <w:p>
            <w:pPr>
              <w:spacing w:after="0"/>
              <w:rPr>
                <w:sz w:val="1"/>
                <w:szCs w:val="1"/>
                <w:color w:val="auto"/>
              </w:rPr>
            </w:pPr>
          </w:p>
        </w:tc>
      </w:tr>
      <w:tr>
        <w:trPr>
          <w:trHeight w:val="230"/>
        </w:trPr>
        <w:tc>
          <w:tcPr>
            <w:tcW w:w="36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2020</w:t>
            </w: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b w:val="1"/>
                <w:bCs w:val="1"/>
                <w:color w:val="auto"/>
              </w:rPr>
              <w:t>2021</w:t>
            </w:r>
          </w:p>
        </w:tc>
        <w:tc>
          <w:tcPr>
            <w:tcW w:w="5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169"/>
        </w:trPr>
        <w:tc>
          <w:tcPr>
            <w:tcW w:w="3620" w:type="dxa"/>
            <w:vAlign w:val="bottom"/>
            <w:shd w:val="clear" w:color="auto" w:fill="CCEEFF"/>
          </w:tcPr>
          <w:p>
            <w:pPr>
              <w:ind w:left="480"/>
              <w:spacing w:after="0" w:line="169" w:lineRule="exact"/>
              <w:rPr>
                <w:sz w:val="20"/>
                <w:szCs w:val="20"/>
                <w:color w:val="auto"/>
              </w:rPr>
            </w:pPr>
            <w:r>
              <w:rPr>
                <w:rFonts w:ascii="Arial" w:cs="Arial" w:eastAsia="Arial" w:hAnsi="Arial"/>
                <w:sz w:val="18"/>
                <w:szCs w:val="18"/>
                <w:b w:val="1"/>
                <w:bCs w:val="1"/>
                <w:color w:val="auto"/>
              </w:rPr>
              <w:t>Qualified defined benefit pension</w:t>
            </w:r>
          </w:p>
        </w:tc>
        <w:tc>
          <w:tcPr>
            <w:tcW w:w="66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plans</w:t>
            </w:r>
          </w:p>
        </w:tc>
        <w:tc>
          <w:tcPr>
            <w:tcW w:w="6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20" w:type="dxa"/>
            <w:vAlign w:val="bottom"/>
          </w:tcPr>
          <w:p>
            <w:pPr>
              <w:ind w:left="560"/>
              <w:spacing w:after="0"/>
              <w:rPr>
                <w:sz w:val="20"/>
                <w:szCs w:val="20"/>
                <w:color w:val="auto"/>
              </w:rPr>
            </w:pPr>
            <w:r>
              <w:rPr>
                <w:rFonts w:ascii="Arial" w:cs="Arial" w:eastAsia="Arial" w:hAnsi="Arial"/>
                <w:sz w:val="18"/>
                <w:szCs w:val="18"/>
                <w:color w:val="auto"/>
              </w:rPr>
              <w:t>Operating:</w:t>
            </w:r>
          </w:p>
        </w:tc>
        <w:tc>
          <w:tcPr>
            <w:tcW w:w="6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Service cost</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460" w:type="dxa"/>
            <w:vAlign w:val="bottom"/>
            <w:shd w:val="clear" w:color="auto" w:fill="CCEEFF"/>
          </w:tcPr>
          <w:p>
            <w:pPr>
              <w:jc w:val="right"/>
              <w:ind w:right="550"/>
              <w:spacing w:after="0"/>
              <w:rPr>
                <w:sz w:val="20"/>
                <w:szCs w:val="20"/>
                <w:color w:val="auto"/>
              </w:rPr>
            </w:pPr>
            <w:r>
              <w:rPr>
                <w:rFonts w:ascii="Arial" w:cs="Arial" w:eastAsia="Arial" w:hAnsi="Arial"/>
                <w:sz w:val="18"/>
                <w:szCs w:val="18"/>
                <w:b w:val="1"/>
                <w:bCs w:val="1"/>
                <w:color w:val="auto"/>
              </w:rPr>
              <w:t>26</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25</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80" w:type="dxa"/>
            <w:vAlign w:val="bottom"/>
            <w:shd w:val="clear" w:color="auto" w:fill="CCEEFF"/>
          </w:tcPr>
          <w:p>
            <w:pPr>
              <w:jc w:val="right"/>
              <w:ind w:right="570"/>
              <w:spacing w:after="0"/>
              <w:rPr>
                <w:sz w:val="20"/>
                <w:szCs w:val="20"/>
                <w:color w:val="auto"/>
              </w:rPr>
            </w:pPr>
            <w:r>
              <w:rPr>
                <w:rFonts w:ascii="Arial" w:cs="Arial" w:eastAsia="Arial" w:hAnsi="Arial"/>
                <w:sz w:val="18"/>
                <w:szCs w:val="18"/>
                <w:b w:val="1"/>
                <w:bCs w:val="1"/>
                <w:color w:val="auto"/>
              </w:rPr>
              <w:t>80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9"/>
        </w:trPr>
        <w:tc>
          <w:tcPr>
            <w:tcW w:w="3620" w:type="dxa"/>
            <w:vAlign w:val="bottom"/>
          </w:tcPr>
          <w:p>
            <w:pPr>
              <w:ind w:left="560"/>
              <w:spacing w:after="0"/>
              <w:rPr>
                <w:sz w:val="20"/>
                <w:szCs w:val="20"/>
                <w:color w:val="auto"/>
              </w:rPr>
            </w:pPr>
            <w:r>
              <w:rPr>
                <w:rFonts w:ascii="Arial" w:cs="Arial" w:eastAsia="Arial" w:hAnsi="Arial"/>
                <w:sz w:val="18"/>
                <w:szCs w:val="18"/>
                <w:color w:val="auto"/>
              </w:rPr>
              <w:t>Non-operating:</w:t>
            </w:r>
          </w:p>
        </w:tc>
        <w:tc>
          <w:tcPr>
            <w:tcW w:w="6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Interest cost</w:t>
            </w:r>
          </w:p>
        </w:tc>
        <w:tc>
          <w:tcPr>
            <w:tcW w:w="6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550"/>
              <w:spacing w:after="0"/>
              <w:rPr>
                <w:sz w:val="20"/>
                <w:szCs w:val="20"/>
                <w:color w:val="auto"/>
              </w:rPr>
            </w:pPr>
            <w:r>
              <w:rPr>
                <w:rFonts w:ascii="Arial" w:cs="Arial" w:eastAsia="Arial" w:hAnsi="Arial"/>
                <w:sz w:val="18"/>
                <w:szCs w:val="18"/>
                <w:b w:val="1"/>
                <w:bCs w:val="1"/>
                <w:color w:val="auto"/>
              </w:rPr>
              <w:t>302</w:t>
            </w:r>
          </w:p>
        </w:tc>
        <w:tc>
          <w:tcPr>
            <w:tcW w:w="5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385</w:t>
            </w: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570"/>
              <w:spacing w:after="0"/>
              <w:rPr>
                <w:sz w:val="20"/>
                <w:szCs w:val="20"/>
                <w:color w:val="auto"/>
              </w:rPr>
            </w:pPr>
            <w:r>
              <w:rPr>
                <w:rFonts w:ascii="Arial" w:cs="Arial" w:eastAsia="Arial" w:hAnsi="Arial"/>
                <w:sz w:val="18"/>
                <w:szCs w:val="18"/>
                <w:b w:val="1"/>
                <w:bCs w:val="1"/>
                <w:color w:val="auto"/>
              </w:rPr>
              <w:t>923</w:t>
            </w:r>
          </w:p>
        </w:tc>
        <w:tc>
          <w:tcPr>
            <w:tcW w:w="5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1,154</w:t>
            </w:r>
          </w:p>
        </w:tc>
        <w:tc>
          <w:tcPr>
            <w:tcW w:w="0" w:type="dxa"/>
            <w:vAlign w:val="bottom"/>
          </w:tcPr>
          <w:p>
            <w:pPr>
              <w:spacing w:after="0"/>
              <w:rPr>
                <w:sz w:val="1"/>
                <w:szCs w:val="1"/>
                <w:color w:val="auto"/>
              </w:rPr>
            </w:pPr>
          </w:p>
        </w:tc>
      </w:tr>
      <w:tr>
        <w:trPr>
          <w:trHeight w:val="229"/>
        </w:trPr>
        <w:tc>
          <w:tcPr>
            <w:tcW w:w="3620" w:type="dxa"/>
            <w:vAlign w:val="bottom"/>
          </w:tcPr>
          <w:p>
            <w:pPr>
              <w:ind w:left="680"/>
              <w:spacing w:after="0"/>
              <w:rPr>
                <w:sz w:val="20"/>
                <w:szCs w:val="20"/>
                <w:color w:val="auto"/>
              </w:rPr>
            </w:pPr>
            <w:r>
              <w:rPr>
                <w:rFonts w:ascii="Arial" w:cs="Arial" w:eastAsia="Arial" w:hAnsi="Arial"/>
                <w:sz w:val="18"/>
                <w:szCs w:val="18"/>
                <w:color w:val="auto"/>
              </w:rPr>
              <w:t>Expected return on plan assets</w:t>
            </w:r>
          </w:p>
        </w:tc>
        <w:tc>
          <w:tcPr>
            <w:tcW w:w="660" w:type="dxa"/>
            <w:vAlign w:val="bottom"/>
          </w:tcPr>
          <w:p>
            <w:pPr>
              <w:spacing w:after="0"/>
              <w:rPr>
                <w:sz w:val="19"/>
                <w:szCs w:val="19"/>
                <w:color w:val="auto"/>
              </w:rPr>
            </w:pPr>
          </w:p>
        </w:tc>
        <w:tc>
          <w:tcPr>
            <w:tcW w:w="1460" w:type="dxa"/>
            <w:vAlign w:val="bottom"/>
          </w:tcPr>
          <w:p>
            <w:pPr>
              <w:jc w:val="right"/>
              <w:ind w:right="490"/>
              <w:spacing w:after="0"/>
              <w:rPr>
                <w:sz w:val="20"/>
                <w:szCs w:val="20"/>
                <w:color w:val="auto"/>
              </w:rPr>
            </w:pPr>
            <w:r>
              <w:rPr>
                <w:rFonts w:ascii="Arial" w:cs="Arial" w:eastAsia="Arial" w:hAnsi="Arial"/>
                <w:sz w:val="18"/>
                <w:szCs w:val="18"/>
                <w:b w:val="1"/>
                <w:bCs w:val="1"/>
                <w:color w:val="auto"/>
              </w:rPr>
              <w:t>(517)</w:t>
            </w:r>
          </w:p>
        </w:tc>
        <w:tc>
          <w:tcPr>
            <w:tcW w:w="520" w:type="dxa"/>
            <w:vAlign w:val="bottom"/>
          </w:tcPr>
          <w:p>
            <w:pPr>
              <w:spacing w:after="0"/>
              <w:rPr>
                <w:sz w:val="19"/>
                <w:szCs w:val="19"/>
                <w:color w:val="auto"/>
              </w:rPr>
            </w:pPr>
          </w:p>
        </w:tc>
        <w:tc>
          <w:tcPr>
            <w:tcW w:w="1380" w:type="dxa"/>
            <w:vAlign w:val="bottom"/>
          </w:tcPr>
          <w:p>
            <w:pPr>
              <w:jc w:val="right"/>
              <w:ind w:right="490"/>
              <w:spacing w:after="0"/>
              <w:rPr>
                <w:sz w:val="20"/>
                <w:szCs w:val="20"/>
                <w:color w:val="auto"/>
              </w:rPr>
            </w:pPr>
            <w:r>
              <w:rPr>
                <w:rFonts w:ascii="Arial" w:cs="Arial" w:eastAsia="Arial" w:hAnsi="Arial"/>
                <w:sz w:val="18"/>
                <w:szCs w:val="18"/>
                <w:color w:val="auto"/>
              </w:rPr>
              <w:t>(566)</w:t>
            </w:r>
          </w:p>
        </w:tc>
        <w:tc>
          <w:tcPr>
            <w:tcW w:w="440" w:type="dxa"/>
            <w:vAlign w:val="bottom"/>
          </w:tcPr>
          <w:p>
            <w:pPr>
              <w:spacing w:after="0"/>
              <w:rPr>
                <w:sz w:val="19"/>
                <w:szCs w:val="19"/>
                <w:color w:val="auto"/>
              </w:rPr>
            </w:pPr>
          </w:p>
        </w:tc>
        <w:tc>
          <w:tcPr>
            <w:tcW w:w="1480" w:type="dxa"/>
            <w:vAlign w:val="bottom"/>
          </w:tcPr>
          <w:p>
            <w:pPr>
              <w:jc w:val="right"/>
              <w:ind w:right="510"/>
              <w:spacing w:after="0"/>
              <w:rPr>
                <w:sz w:val="20"/>
                <w:szCs w:val="20"/>
                <w:color w:val="auto"/>
              </w:rPr>
            </w:pPr>
            <w:r>
              <w:rPr>
                <w:rFonts w:ascii="Arial" w:cs="Arial" w:eastAsia="Arial" w:hAnsi="Arial"/>
                <w:sz w:val="18"/>
                <w:szCs w:val="18"/>
                <w:b w:val="1"/>
                <w:bCs w:val="1"/>
                <w:color w:val="auto"/>
              </w:rPr>
              <w:t>(1,655)</w:t>
            </w:r>
          </w:p>
        </w:tc>
        <w:tc>
          <w:tcPr>
            <w:tcW w:w="500" w:type="dxa"/>
            <w:vAlign w:val="bottom"/>
          </w:tcPr>
          <w:p>
            <w:pPr>
              <w:spacing w:after="0"/>
              <w:rPr>
                <w:sz w:val="19"/>
                <w:szCs w:val="19"/>
                <w:color w:val="auto"/>
              </w:rPr>
            </w:pPr>
          </w:p>
        </w:tc>
        <w:tc>
          <w:tcPr>
            <w:tcW w:w="1180" w:type="dxa"/>
            <w:vAlign w:val="bottom"/>
          </w:tcPr>
          <w:p>
            <w:pPr>
              <w:jc w:val="right"/>
              <w:ind w:right="270"/>
              <w:spacing w:after="0"/>
              <w:rPr>
                <w:sz w:val="20"/>
                <w:szCs w:val="20"/>
                <w:color w:val="auto"/>
              </w:rPr>
            </w:pPr>
            <w:r>
              <w:rPr>
                <w:rFonts w:ascii="Arial" w:cs="Arial" w:eastAsia="Arial" w:hAnsi="Arial"/>
                <w:sz w:val="18"/>
                <w:szCs w:val="18"/>
                <w:color w:val="auto"/>
              </w:rPr>
              <w:t>(1,698)</w:t>
            </w: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Recognized net actuarial losses</w:t>
            </w:r>
          </w:p>
        </w:tc>
        <w:tc>
          <w:tcPr>
            <w:tcW w:w="6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550"/>
              <w:spacing w:after="0"/>
              <w:rPr>
                <w:sz w:val="20"/>
                <w:szCs w:val="20"/>
                <w:color w:val="auto"/>
              </w:rPr>
            </w:pPr>
            <w:r>
              <w:rPr>
                <w:rFonts w:ascii="Arial" w:cs="Arial" w:eastAsia="Arial" w:hAnsi="Arial"/>
                <w:sz w:val="18"/>
                <w:szCs w:val="18"/>
                <w:b w:val="1"/>
                <w:bCs w:val="1"/>
                <w:color w:val="auto"/>
              </w:rPr>
              <w:t>210</w:t>
            </w:r>
          </w:p>
        </w:tc>
        <w:tc>
          <w:tcPr>
            <w:tcW w:w="5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213</w:t>
            </w: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570"/>
              <w:spacing w:after="0"/>
              <w:rPr>
                <w:sz w:val="20"/>
                <w:szCs w:val="20"/>
                <w:color w:val="auto"/>
              </w:rPr>
            </w:pPr>
            <w:r>
              <w:rPr>
                <w:rFonts w:ascii="Arial" w:cs="Arial" w:eastAsia="Arial" w:hAnsi="Arial"/>
                <w:sz w:val="18"/>
                <w:szCs w:val="18"/>
                <w:b w:val="1"/>
                <w:bCs w:val="1"/>
                <w:color w:val="auto"/>
              </w:rPr>
              <w:t>714</w:t>
            </w:r>
          </w:p>
        </w:tc>
        <w:tc>
          <w:tcPr>
            <w:tcW w:w="5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30"/>
        </w:trPr>
        <w:tc>
          <w:tcPr>
            <w:tcW w:w="3620" w:type="dxa"/>
            <w:vAlign w:val="bottom"/>
          </w:tcPr>
          <w:p>
            <w:pPr>
              <w:ind w:left="680"/>
              <w:spacing w:after="0"/>
              <w:rPr>
                <w:sz w:val="20"/>
                <w:szCs w:val="20"/>
                <w:color w:val="auto"/>
              </w:rPr>
            </w:pPr>
            <w:r>
              <w:rPr>
                <w:rFonts w:ascii="Arial" w:cs="Arial" w:eastAsia="Arial" w:hAnsi="Arial"/>
                <w:sz w:val="18"/>
                <w:szCs w:val="18"/>
                <w:color w:val="auto"/>
              </w:rPr>
              <w:t>Amortization of prior service credits</w:t>
            </w:r>
          </w:p>
        </w:tc>
        <w:tc>
          <w:tcPr>
            <w:tcW w:w="660" w:type="dxa"/>
            <w:vAlign w:val="bottom"/>
          </w:tcPr>
          <w:p>
            <w:pPr>
              <w:spacing w:after="0"/>
              <w:rPr>
                <w:sz w:val="19"/>
                <w:szCs w:val="19"/>
                <w:color w:val="auto"/>
              </w:rPr>
            </w:pPr>
          </w:p>
        </w:tc>
        <w:tc>
          <w:tcPr>
            <w:tcW w:w="1460" w:type="dxa"/>
            <w:vAlign w:val="bottom"/>
          </w:tcPr>
          <w:p>
            <w:pPr>
              <w:jc w:val="right"/>
              <w:ind w:right="490"/>
              <w:spacing w:after="0"/>
              <w:rPr>
                <w:sz w:val="20"/>
                <w:szCs w:val="20"/>
                <w:color w:val="auto"/>
              </w:rPr>
            </w:pPr>
            <w:r>
              <w:rPr>
                <w:rFonts w:ascii="Arial" w:cs="Arial" w:eastAsia="Arial" w:hAnsi="Arial"/>
                <w:sz w:val="18"/>
                <w:szCs w:val="18"/>
                <w:b w:val="1"/>
                <w:bCs w:val="1"/>
                <w:color w:val="auto"/>
              </w:rPr>
              <w:t>(88)</w:t>
            </w:r>
          </w:p>
        </w:tc>
        <w:tc>
          <w:tcPr>
            <w:tcW w:w="520" w:type="dxa"/>
            <w:vAlign w:val="bottom"/>
          </w:tcPr>
          <w:p>
            <w:pPr>
              <w:spacing w:after="0"/>
              <w:rPr>
                <w:sz w:val="19"/>
                <w:szCs w:val="19"/>
                <w:color w:val="auto"/>
              </w:rPr>
            </w:pPr>
          </w:p>
        </w:tc>
        <w:tc>
          <w:tcPr>
            <w:tcW w:w="1380" w:type="dxa"/>
            <w:vAlign w:val="bottom"/>
          </w:tcPr>
          <w:p>
            <w:pPr>
              <w:jc w:val="right"/>
              <w:ind w:right="490"/>
              <w:spacing w:after="0"/>
              <w:rPr>
                <w:sz w:val="20"/>
                <w:szCs w:val="20"/>
                <w:color w:val="auto"/>
              </w:rPr>
            </w:pPr>
            <w:r>
              <w:rPr>
                <w:rFonts w:ascii="Arial" w:cs="Arial" w:eastAsia="Arial" w:hAnsi="Arial"/>
                <w:sz w:val="18"/>
                <w:szCs w:val="18"/>
                <w:color w:val="auto"/>
              </w:rPr>
              <w:t>(86)</w:t>
            </w:r>
          </w:p>
        </w:tc>
        <w:tc>
          <w:tcPr>
            <w:tcW w:w="440" w:type="dxa"/>
            <w:vAlign w:val="bottom"/>
          </w:tcPr>
          <w:p>
            <w:pPr>
              <w:spacing w:after="0"/>
              <w:rPr>
                <w:sz w:val="19"/>
                <w:szCs w:val="19"/>
                <w:color w:val="auto"/>
              </w:rPr>
            </w:pPr>
          </w:p>
        </w:tc>
        <w:tc>
          <w:tcPr>
            <w:tcW w:w="1480" w:type="dxa"/>
            <w:vAlign w:val="bottom"/>
          </w:tcPr>
          <w:p>
            <w:pPr>
              <w:jc w:val="right"/>
              <w:ind w:right="510"/>
              <w:spacing w:after="0"/>
              <w:rPr>
                <w:sz w:val="20"/>
                <w:szCs w:val="20"/>
                <w:color w:val="auto"/>
              </w:rPr>
            </w:pPr>
            <w:r>
              <w:rPr>
                <w:rFonts w:ascii="Arial" w:cs="Arial" w:eastAsia="Arial" w:hAnsi="Arial"/>
                <w:sz w:val="18"/>
                <w:szCs w:val="18"/>
                <w:b w:val="1"/>
                <w:bCs w:val="1"/>
                <w:color w:val="auto"/>
              </w:rPr>
              <w:t>(262)</w:t>
            </w:r>
          </w:p>
        </w:tc>
        <w:tc>
          <w:tcPr>
            <w:tcW w:w="500" w:type="dxa"/>
            <w:vAlign w:val="bottom"/>
          </w:tcPr>
          <w:p>
            <w:pPr>
              <w:spacing w:after="0"/>
              <w:rPr>
                <w:sz w:val="19"/>
                <w:szCs w:val="19"/>
                <w:color w:val="auto"/>
              </w:rPr>
            </w:pPr>
          </w:p>
        </w:tc>
        <w:tc>
          <w:tcPr>
            <w:tcW w:w="1180" w:type="dxa"/>
            <w:vAlign w:val="bottom"/>
          </w:tcPr>
          <w:p>
            <w:pPr>
              <w:jc w:val="right"/>
              <w:ind w:right="27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29"/>
        </w:trPr>
        <w:tc>
          <w:tcPr>
            <w:tcW w:w="362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Pension settlement charge</w:t>
            </w:r>
          </w:p>
        </w:tc>
        <w:tc>
          <w:tcPr>
            <w:tcW w:w="6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b w:val="1"/>
                <w:bCs w:val="1"/>
                <w:color w:val="auto"/>
              </w:rPr>
              <w:t>1,665</w:t>
            </w:r>
          </w:p>
        </w:tc>
        <w:tc>
          <w:tcPr>
            <w:tcW w:w="5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b w:val="1"/>
                <w:bCs w:val="1"/>
                <w:color w:val="auto"/>
              </w:rPr>
              <w:t>1,665</w:t>
            </w:r>
          </w:p>
        </w:tc>
        <w:tc>
          <w:tcPr>
            <w:tcW w:w="5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3620" w:type="dxa"/>
            <w:vAlign w:val="bottom"/>
          </w:tcPr>
          <w:p>
            <w:pPr>
              <w:ind w:left="780"/>
              <w:spacing w:after="0" w:line="182" w:lineRule="exact"/>
              <w:rPr>
                <w:sz w:val="20"/>
                <w:szCs w:val="20"/>
                <w:color w:val="auto"/>
              </w:rPr>
            </w:pPr>
            <w:r>
              <w:rPr>
                <w:rFonts w:ascii="Arial" w:cs="Arial" w:eastAsia="Arial" w:hAnsi="Arial"/>
                <w:sz w:val="18"/>
                <w:szCs w:val="18"/>
                <w:color w:val="auto"/>
              </w:rPr>
              <w:t>Non-service FAS pension</w:t>
            </w:r>
          </w:p>
        </w:tc>
        <w:tc>
          <w:tcPr>
            <w:tcW w:w="660" w:type="dxa"/>
            <w:vAlign w:val="bottom"/>
          </w:tcPr>
          <w:p>
            <w:pPr>
              <w:spacing w:after="0"/>
              <w:rPr>
                <w:sz w:val="15"/>
                <w:szCs w:val="15"/>
                <w:color w:val="auto"/>
              </w:rPr>
            </w:pPr>
          </w:p>
        </w:tc>
        <w:tc>
          <w:tcPr>
            <w:tcW w:w="1460" w:type="dxa"/>
            <w:vAlign w:val="bottom"/>
            <w:vMerge w:val="restart"/>
          </w:tcPr>
          <w:p>
            <w:pPr>
              <w:jc w:val="right"/>
              <w:ind w:right="550"/>
              <w:spacing w:after="0"/>
              <w:rPr>
                <w:sz w:val="20"/>
                <w:szCs w:val="20"/>
                <w:color w:val="auto"/>
              </w:rPr>
            </w:pPr>
            <w:r>
              <w:rPr>
                <w:rFonts w:ascii="Arial" w:cs="Arial" w:eastAsia="Arial" w:hAnsi="Arial"/>
                <w:sz w:val="18"/>
                <w:szCs w:val="18"/>
                <w:b w:val="1"/>
                <w:bCs w:val="1"/>
                <w:color w:val="auto"/>
              </w:rPr>
              <w:t>1,572</w:t>
            </w:r>
          </w:p>
        </w:tc>
        <w:tc>
          <w:tcPr>
            <w:tcW w:w="5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80" w:type="dxa"/>
            <w:vAlign w:val="bottom"/>
            <w:vMerge w:val="restart"/>
          </w:tcPr>
          <w:p>
            <w:pPr>
              <w:jc w:val="right"/>
              <w:ind w:right="570"/>
              <w:spacing w:after="0"/>
              <w:rPr>
                <w:sz w:val="20"/>
                <w:szCs w:val="20"/>
                <w:color w:val="auto"/>
              </w:rPr>
            </w:pPr>
            <w:r>
              <w:rPr>
                <w:rFonts w:ascii="Arial" w:cs="Arial" w:eastAsia="Arial" w:hAnsi="Arial"/>
                <w:sz w:val="18"/>
                <w:szCs w:val="18"/>
                <w:b w:val="1"/>
                <w:bCs w:val="1"/>
                <w:color w:val="auto"/>
              </w:rPr>
              <w:t>1,385</w:t>
            </w:r>
          </w:p>
        </w:tc>
        <w:tc>
          <w:tcPr>
            <w:tcW w:w="5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62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expense (income)</w:t>
            </w:r>
          </w:p>
        </w:tc>
        <w:tc>
          <w:tcPr>
            <w:tcW w:w="6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(54)</w:t>
            </w: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vMerge w:val="continue"/>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182"/>
        </w:trPr>
        <w:tc>
          <w:tcPr>
            <w:tcW w:w="3620" w:type="dxa"/>
            <w:vAlign w:val="bottom"/>
            <w:shd w:val="clear" w:color="auto" w:fill="CCEEFF"/>
          </w:tcPr>
          <w:p>
            <w:pPr>
              <w:ind w:left="900"/>
              <w:spacing w:after="0" w:line="182" w:lineRule="exact"/>
              <w:rPr>
                <w:sz w:val="20"/>
                <w:szCs w:val="20"/>
                <w:color w:val="auto"/>
              </w:rPr>
            </w:pPr>
            <w:r>
              <w:rPr>
                <w:rFonts w:ascii="Arial" w:cs="Arial" w:eastAsia="Arial" w:hAnsi="Arial"/>
                <w:sz w:val="18"/>
                <w:szCs w:val="18"/>
                <w:color w:val="auto"/>
              </w:rPr>
              <w:t>Total FAS pension expense</w:t>
            </w:r>
          </w:p>
        </w:tc>
        <w:tc>
          <w:tcPr>
            <w:tcW w:w="6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460" w:type="dxa"/>
            <w:vAlign w:val="bottom"/>
            <w:vMerge w:val="restart"/>
            <w:shd w:val="clear" w:color="auto" w:fill="CCEEFF"/>
          </w:tcPr>
          <w:p>
            <w:pPr>
              <w:jc w:val="right"/>
              <w:ind w:right="550"/>
              <w:spacing w:after="0"/>
              <w:rPr>
                <w:sz w:val="20"/>
                <w:szCs w:val="20"/>
                <w:color w:val="auto"/>
              </w:rPr>
            </w:pPr>
            <w:r>
              <w:rPr>
                <w:rFonts w:ascii="Arial" w:cs="Arial" w:eastAsia="Arial" w:hAnsi="Arial"/>
                <w:sz w:val="18"/>
                <w:szCs w:val="18"/>
                <w:b w:val="1"/>
                <w:bCs w:val="1"/>
                <w:color w:val="auto"/>
              </w:rPr>
              <w:t>1,598</w:t>
            </w:r>
          </w:p>
        </w:tc>
        <w:tc>
          <w:tcPr>
            <w:tcW w:w="5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80" w:type="dxa"/>
            <w:vAlign w:val="bottom"/>
            <w:vMerge w:val="restart"/>
            <w:shd w:val="clear" w:color="auto" w:fill="CCEEFF"/>
          </w:tcPr>
          <w:p>
            <w:pPr>
              <w:jc w:val="right"/>
              <w:ind w:right="570"/>
              <w:spacing w:after="0"/>
              <w:rPr>
                <w:sz w:val="20"/>
                <w:szCs w:val="20"/>
                <w:color w:val="auto"/>
              </w:rPr>
            </w:pPr>
            <w:r>
              <w:rPr>
                <w:rFonts w:ascii="Arial" w:cs="Arial" w:eastAsia="Arial" w:hAnsi="Arial"/>
                <w:sz w:val="18"/>
                <w:szCs w:val="18"/>
                <w:b w:val="1"/>
                <w:bCs w:val="1"/>
                <w:color w:val="auto"/>
              </w:rPr>
              <w:t>1,465</w:t>
            </w:r>
          </w:p>
        </w:tc>
        <w:tc>
          <w:tcPr>
            <w:tcW w:w="5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62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(income)</w:t>
            </w:r>
          </w:p>
        </w:tc>
        <w:tc>
          <w:tcPr>
            <w:tcW w:w="660" w:type="dxa"/>
            <w:vAlign w:val="bottom"/>
            <w:tcBorders>
              <w:bottom w:val="single" w:sz="8" w:color="auto"/>
            </w:tcBorders>
            <w:vMerge w:val="continue"/>
            <w:shd w:val="clear" w:color="auto" w:fill="CCEEFF"/>
          </w:tcPr>
          <w:p>
            <w:pPr>
              <w:spacing w:after="0"/>
              <w:rPr>
                <w:sz w:val="19"/>
                <w:szCs w:val="19"/>
                <w:color w:val="auto"/>
              </w:rPr>
            </w:pPr>
          </w:p>
        </w:tc>
        <w:tc>
          <w:tcPr>
            <w:tcW w:w="1460" w:type="dxa"/>
            <w:vAlign w:val="bottom"/>
            <w:tcBorders>
              <w:bottom w:val="single" w:sz="8" w:color="auto"/>
            </w:tcBorders>
            <w:vMerge w:val="continue"/>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(29)</w:t>
            </w:r>
          </w:p>
        </w:tc>
        <w:tc>
          <w:tcPr>
            <w:tcW w:w="440" w:type="dxa"/>
            <w:vAlign w:val="bottom"/>
            <w:tcBorders>
              <w:bottom w:val="single" w:sz="8" w:color="auto"/>
            </w:tcBorders>
            <w:vMerge w:val="continue"/>
            <w:shd w:val="clear" w:color="auto" w:fill="CCEEFF"/>
          </w:tcPr>
          <w:p>
            <w:pPr>
              <w:spacing w:after="0"/>
              <w:rPr>
                <w:sz w:val="19"/>
                <w:szCs w:val="19"/>
                <w:color w:val="auto"/>
              </w:rPr>
            </w:pPr>
          </w:p>
        </w:tc>
        <w:tc>
          <w:tcPr>
            <w:tcW w:w="1480" w:type="dxa"/>
            <w:vAlign w:val="bottom"/>
            <w:tcBorders>
              <w:bottom w:val="single" w:sz="8" w:color="auto"/>
            </w:tcBorders>
            <w:vMerge w:val="continue"/>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175"/>
        </w:trPr>
        <w:tc>
          <w:tcPr>
            <w:tcW w:w="3620" w:type="dxa"/>
            <w:vAlign w:val="bottom"/>
          </w:tcPr>
          <w:p>
            <w:pPr>
              <w:ind w:left="480"/>
              <w:spacing w:after="0" w:line="176" w:lineRule="exact"/>
              <w:rPr>
                <w:sz w:val="20"/>
                <w:szCs w:val="20"/>
                <w:color w:val="auto"/>
              </w:rPr>
            </w:pPr>
            <w:r>
              <w:rPr>
                <w:rFonts w:ascii="Arial" w:cs="Arial" w:eastAsia="Arial" w:hAnsi="Arial"/>
                <w:sz w:val="18"/>
                <w:szCs w:val="18"/>
                <w:b w:val="1"/>
                <w:bCs w:val="1"/>
                <w:color w:val="auto"/>
              </w:rPr>
              <w:t>Retiree medical and life insurance</w:t>
            </w:r>
          </w:p>
        </w:tc>
        <w:tc>
          <w:tcPr>
            <w:tcW w:w="6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620" w:type="dxa"/>
            <w:vAlign w:val="bottom"/>
          </w:tcPr>
          <w:p>
            <w:pPr>
              <w:ind w:left="20"/>
              <w:spacing w:after="0"/>
              <w:rPr>
                <w:sz w:val="20"/>
                <w:szCs w:val="20"/>
                <w:color w:val="auto"/>
              </w:rPr>
            </w:pPr>
            <w:r>
              <w:rPr>
                <w:rFonts w:ascii="Arial" w:cs="Arial" w:eastAsia="Arial" w:hAnsi="Arial"/>
                <w:sz w:val="18"/>
                <w:szCs w:val="18"/>
                <w:b w:val="1"/>
                <w:bCs w:val="1"/>
                <w:color w:val="auto"/>
              </w:rPr>
              <w:t>plans</w:t>
            </w:r>
          </w:p>
        </w:tc>
        <w:tc>
          <w:tcPr>
            <w:tcW w:w="6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Operating:</w:t>
            </w:r>
          </w:p>
        </w:tc>
        <w:tc>
          <w:tcPr>
            <w:tcW w:w="6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680"/>
              <w:spacing w:after="0"/>
              <w:rPr>
                <w:sz w:val="20"/>
                <w:szCs w:val="20"/>
                <w:color w:val="auto"/>
              </w:rPr>
            </w:pPr>
            <w:r>
              <w:rPr>
                <w:rFonts w:ascii="Arial" w:cs="Arial" w:eastAsia="Arial" w:hAnsi="Arial"/>
                <w:sz w:val="18"/>
                <w:szCs w:val="18"/>
                <w:color w:val="auto"/>
              </w:rPr>
              <w:t>Service cost</w:t>
            </w:r>
          </w:p>
        </w:tc>
        <w:tc>
          <w:tcPr>
            <w:tcW w:w="6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460" w:type="dxa"/>
            <w:vAlign w:val="bottom"/>
          </w:tcPr>
          <w:p>
            <w:pPr>
              <w:jc w:val="right"/>
              <w:ind w:right="550"/>
              <w:spacing w:after="0"/>
              <w:rPr>
                <w:sz w:val="20"/>
                <w:szCs w:val="20"/>
                <w:color w:val="auto"/>
              </w:rPr>
            </w:pPr>
            <w:r>
              <w:rPr>
                <w:rFonts w:ascii="Arial" w:cs="Arial" w:eastAsia="Arial" w:hAnsi="Arial"/>
                <w:sz w:val="18"/>
                <w:szCs w:val="18"/>
                <w:b w:val="1"/>
                <w:bCs w:val="1"/>
                <w:color w:val="auto"/>
              </w:rPr>
              <w:t>3</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530"/>
              <w:spacing w:after="0"/>
              <w:rPr>
                <w:sz w:val="20"/>
                <w:szCs w:val="20"/>
                <w:color w:val="auto"/>
              </w:rPr>
            </w:pPr>
            <w:r>
              <w:rPr>
                <w:rFonts w:ascii="Arial" w:cs="Arial" w:eastAsia="Arial" w:hAnsi="Arial"/>
                <w:sz w:val="18"/>
                <w:szCs w:val="18"/>
                <w:color w:val="auto"/>
              </w:rPr>
              <w:t>3</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80" w:type="dxa"/>
            <w:vAlign w:val="bottom"/>
          </w:tcPr>
          <w:p>
            <w:pPr>
              <w:jc w:val="right"/>
              <w:ind w:right="570"/>
              <w:spacing w:after="0"/>
              <w:rPr>
                <w:sz w:val="20"/>
                <w:szCs w:val="20"/>
                <w:color w:val="auto"/>
              </w:rPr>
            </w:pPr>
            <w:r>
              <w:rPr>
                <w:rFonts w:ascii="Arial" w:cs="Arial" w:eastAsia="Arial" w:hAnsi="Arial"/>
                <w:sz w:val="18"/>
                <w:szCs w:val="18"/>
                <w:b w:val="1"/>
                <w:bCs w:val="1"/>
                <w:color w:val="auto"/>
              </w:rPr>
              <w:t>10</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3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Non-operating:</w:t>
            </w:r>
          </w:p>
        </w:tc>
        <w:tc>
          <w:tcPr>
            <w:tcW w:w="6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20" w:type="dxa"/>
            <w:vAlign w:val="bottom"/>
          </w:tcPr>
          <w:p>
            <w:pPr>
              <w:ind w:left="680"/>
              <w:spacing w:after="0"/>
              <w:rPr>
                <w:sz w:val="20"/>
                <w:szCs w:val="20"/>
                <w:color w:val="auto"/>
              </w:rPr>
            </w:pPr>
            <w:r>
              <w:rPr>
                <w:rFonts w:ascii="Arial" w:cs="Arial" w:eastAsia="Arial" w:hAnsi="Arial"/>
                <w:sz w:val="18"/>
                <w:szCs w:val="18"/>
                <w:color w:val="auto"/>
              </w:rPr>
              <w:t>Interest cost</w:t>
            </w:r>
          </w:p>
        </w:tc>
        <w:tc>
          <w:tcPr>
            <w:tcW w:w="660" w:type="dxa"/>
            <w:vAlign w:val="bottom"/>
          </w:tcPr>
          <w:p>
            <w:pPr>
              <w:spacing w:after="0"/>
              <w:rPr>
                <w:sz w:val="19"/>
                <w:szCs w:val="19"/>
                <w:color w:val="auto"/>
              </w:rPr>
            </w:pPr>
          </w:p>
        </w:tc>
        <w:tc>
          <w:tcPr>
            <w:tcW w:w="1460" w:type="dxa"/>
            <w:vAlign w:val="bottom"/>
          </w:tcPr>
          <w:p>
            <w:pPr>
              <w:jc w:val="right"/>
              <w:ind w:right="550"/>
              <w:spacing w:after="0"/>
              <w:rPr>
                <w:sz w:val="20"/>
                <w:szCs w:val="20"/>
                <w:color w:val="auto"/>
              </w:rPr>
            </w:pPr>
            <w:r>
              <w:rPr>
                <w:rFonts w:ascii="Arial" w:cs="Arial" w:eastAsia="Arial" w:hAnsi="Arial"/>
                <w:sz w:val="18"/>
                <w:szCs w:val="18"/>
                <w:b w:val="1"/>
                <w:bCs w:val="1"/>
                <w:color w:val="auto"/>
              </w:rPr>
              <w:t>13</w:t>
            </w:r>
          </w:p>
        </w:tc>
        <w:tc>
          <w:tcPr>
            <w:tcW w:w="520" w:type="dxa"/>
            <w:vAlign w:val="bottom"/>
          </w:tcPr>
          <w:p>
            <w:pPr>
              <w:spacing w:after="0"/>
              <w:rPr>
                <w:sz w:val="19"/>
                <w:szCs w:val="19"/>
                <w:color w:val="auto"/>
              </w:rPr>
            </w:pPr>
          </w:p>
        </w:tc>
        <w:tc>
          <w:tcPr>
            <w:tcW w:w="1380" w:type="dxa"/>
            <w:vAlign w:val="bottom"/>
          </w:tcPr>
          <w:p>
            <w:pPr>
              <w:jc w:val="right"/>
              <w:ind w:right="530"/>
              <w:spacing w:after="0"/>
              <w:rPr>
                <w:sz w:val="20"/>
                <w:szCs w:val="20"/>
                <w:color w:val="auto"/>
              </w:rPr>
            </w:pPr>
            <w:r>
              <w:rPr>
                <w:rFonts w:ascii="Arial" w:cs="Arial" w:eastAsia="Arial" w:hAnsi="Arial"/>
                <w:sz w:val="18"/>
                <w:szCs w:val="18"/>
                <w:color w:val="auto"/>
              </w:rPr>
              <w:t>18</w:t>
            </w:r>
          </w:p>
        </w:tc>
        <w:tc>
          <w:tcPr>
            <w:tcW w:w="440" w:type="dxa"/>
            <w:vAlign w:val="bottom"/>
          </w:tcPr>
          <w:p>
            <w:pPr>
              <w:spacing w:after="0"/>
              <w:rPr>
                <w:sz w:val="19"/>
                <w:szCs w:val="19"/>
                <w:color w:val="auto"/>
              </w:rPr>
            </w:pPr>
          </w:p>
        </w:tc>
        <w:tc>
          <w:tcPr>
            <w:tcW w:w="1480" w:type="dxa"/>
            <w:vAlign w:val="bottom"/>
          </w:tcPr>
          <w:p>
            <w:pPr>
              <w:jc w:val="right"/>
              <w:ind w:right="570"/>
              <w:spacing w:after="0"/>
              <w:rPr>
                <w:sz w:val="20"/>
                <w:szCs w:val="20"/>
                <w:color w:val="auto"/>
              </w:rPr>
            </w:pPr>
            <w:r>
              <w:rPr>
                <w:rFonts w:ascii="Arial" w:cs="Arial" w:eastAsia="Arial" w:hAnsi="Arial"/>
                <w:sz w:val="18"/>
                <w:szCs w:val="18"/>
                <w:b w:val="1"/>
                <w:bCs w:val="1"/>
                <w:color w:val="auto"/>
              </w:rPr>
              <w:t>39</w:t>
            </w:r>
          </w:p>
        </w:tc>
        <w:tc>
          <w:tcPr>
            <w:tcW w:w="500" w:type="dxa"/>
            <w:vAlign w:val="bottom"/>
          </w:tcPr>
          <w:p>
            <w:pPr>
              <w:spacing w:after="0"/>
              <w:rPr>
                <w:sz w:val="19"/>
                <w:szCs w:val="19"/>
                <w:color w:val="auto"/>
              </w:rPr>
            </w:pPr>
          </w:p>
        </w:tc>
        <w:tc>
          <w:tcPr>
            <w:tcW w:w="1180" w:type="dxa"/>
            <w:vAlign w:val="bottom"/>
          </w:tcPr>
          <w:p>
            <w:pPr>
              <w:jc w:val="right"/>
              <w:ind w:right="33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Expected return on plan assets</w:t>
            </w:r>
          </w:p>
        </w:tc>
        <w:tc>
          <w:tcPr>
            <w:tcW w:w="6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490"/>
              <w:spacing w:after="0"/>
              <w:rPr>
                <w:sz w:val="20"/>
                <w:szCs w:val="20"/>
                <w:color w:val="auto"/>
              </w:rPr>
            </w:pPr>
            <w:r>
              <w:rPr>
                <w:rFonts w:ascii="Arial" w:cs="Arial" w:eastAsia="Arial" w:hAnsi="Arial"/>
                <w:sz w:val="18"/>
                <w:szCs w:val="18"/>
                <w:b w:val="1"/>
                <w:bCs w:val="1"/>
                <w:color w:val="auto"/>
              </w:rPr>
              <w:t>(35)</w:t>
            </w:r>
          </w:p>
        </w:tc>
        <w:tc>
          <w:tcPr>
            <w:tcW w:w="5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(32)</w:t>
            </w: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510"/>
              <w:spacing w:after="0"/>
              <w:rPr>
                <w:sz w:val="20"/>
                <w:szCs w:val="20"/>
                <w:color w:val="auto"/>
              </w:rPr>
            </w:pPr>
            <w:r>
              <w:rPr>
                <w:rFonts w:ascii="Arial" w:cs="Arial" w:eastAsia="Arial" w:hAnsi="Arial"/>
                <w:sz w:val="18"/>
                <w:szCs w:val="18"/>
                <w:b w:val="1"/>
                <w:bCs w:val="1"/>
                <w:color w:val="auto"/>
              </w:rPr>
              <w:t>(105)</w:t>
            </w:r>
          </w:p>
        </w:tc>
        <w:tc>
          <w:tcPr>
            <w:tcW w:w="5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30"/>
        </w:trPr>
        <w:tc>
          <w:tcPr>
            <w:tcW w:w="3620" w:type="dxa"/>
            <w:vAlign w:val="bottom"/>
          </w:tcPr>
          <w:p>
            <w:pPr>
              <w:ind w:left="680"/>
              <w:spacing w:after="0"/>
              <w:rPr>
                <w:sz w:val="20"/>
                <w:szCs w:val="20"/>
                <w:color w:val="auto"/>
              </w:rPr>
            </w:pPr>
            <w:r>
              <w:rPr>
                <w:rFonts w:ascii="Arial" w:cs="Arial" w:eastAsia="Arial" w:hAnsi="Arial"/>
                <w:sz w:val="18"/>
                <w:szCs w:val="18"/>
                <w:color w:val="auto"/>
              </w:rPr>
              <w:t>Recognized net actuarial gains</w:t>
            </w:r>
          </w:p>
        </w:tc>
        <w:tc>
          <w:tcPr>
            <w:tcW w:w="660" w:type="dxa"/>
            <w:vAlign w:val="bottom"/>
          </w:tcPr>
          <w:p>
            <w:pPr>
              <w:spacing w:after="0"/>
              <w:rPr>
                <w:sz w:val="19"/>
                <w:szCs w:val="19"/>
                <w:color w:val="auto"/>
              </w:rPr>
            </w:pPr>
          </w:p>
        </w:tc>
        <w:tc>
          <w:tcPr>
            <w:tcW w:w="1460" w:type="dxa"/>
            <w:vAlign w:val="bottom"/>
          </w:tcPr>
          <w:p>
            <w:pPr>
              <w:jc w:val="right"/>
              <w:ind w:right="550"/>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spacing w:after="0"/>
              <w:rPr>
                <w:sz w:val="19"/>
                <w:szCs w:val="19"/>
                <w:color w:val="auto"/>
              </w:rPr>
            </w:pPr>
          </w:p>
        </w:tc>
        <w:tc>
          <w:tcPr>
            <w:tcW w:w="1380" w:type="dxa"/>
            <w:vAlign w:val="bottom"/>
          </w:tcPr>
          <w:p>
            <w:pPr>
              <w:jc w:val="right"/>
              <w:ind w:right="490"/>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19"/>
                <w:szCs w:val="19"/>
                <w:color w:val="auto"/>
              </w:rPr>
            </w:pPr>
          </w:p>
        </w:tc>
        <w:tc>
          <w:tcPr>
            <w:tcW w:w="1480" w:type="dxa"/>
            <w:vAlign w:val="bottom"/>
          </w:tcPr>
          <w:p>
            <w:pPr>
              <w:jc w:val="right"/>
              <w:ind w:right="570"/>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spacing w:after="0"/>
              <w:rPr>
                <w:sz w:val="19"/>
                <w:szCs w:val="19"/>
                <w:color w:val="auto"/>
              </w:rPr>
            </w:pPr>
          </w:p>
        </w:tc>
        <w:tc>
          <w:tcPr>
            <w:tcW w:w="1180" w:type="dxa"/>
            <w:vAlign w:val="bottom"/>
          </w:tcPr>
          <w:p>
            <w:pPr>
              <w:jc w:val="right"/>
              <w:ind w:right="27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362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Amortization of prior service costs</w:t>
            </w:r>
          </w:p>
        </w:tc>
        <w:tc>
          <w:tcPr>
            <w:tcW w:w="6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b w:val="1"/>
                <w:bCs w:val="1"/>
                <w:color w:val="auto"/>
              </w:rPr>
              <w:t>9</w:t>
            </w:r>
          </w:p>
        </w:tc>
        <w:tc>
          <w:tcPr>
            <w:tcW w:w="5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rPr>
              <w:t>10</w:t>
            </w:r>
          </w:p>
        </w:tc>
        <w:tc>
          <w:tcPr>
            <w:tcW w:w="4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b w:val="1"/>
                <w:bCs w:val="1"/>
                <w:color w:val="auto"/>
              </w:rPr>
              <w:t>27</w:t>
            </w:r>
          </w:p>
        </w:tc>
        <w:tc>
          <w:tcPr>
            <w:tcW w:w="5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82"/>
        </w:trPr>
        <w:tc>
          <w:tcPr>
            <w:tcW w:w="3620" w:type="dxa"/>
            <w:vAlign w:val="bottom"/>
          </w:tcPr>
          <w:p>
            <w:pPr>
              <w:ind w:left="780"/>
              <w:spacing w:after="0" w:line="182" w:lineRule="exact"/>
              <w:rPr>
                <w:sz w:val="20"/>
                <w:szCs w:val="20"/>
                <w:color w:val="auto"/>
              </w:rPr>
            </w:pPr>
            <w:r>
              <w:rPr>
                <w:rFonts w:ascii="Arial" w:cs="Arial" w:eastAsia="Arial" w:hAnsi="Arial"/>
                <w:sz w:val="18"/>
                <w:szCs w:val="18"/>
                <w:color w:val="auto"/>
              </w:rPr>
              <w:t>Non-service FAS retiree medical</w:t>
            </w:r>
          </w:p>
        </w:tc>
        <w:tc>
          <w:tcPr>
            <w:tcW w:w="660" w:type="dxa"/>
            <w:vAlign w:val="bottom"/>
          </w:tcPr>
          <w:p>
            <w:pPr>
              <w:spacing w:after="0"/>
              <w:rPr>
                <w:sz w:val="15"/>
                <w:szCs w:val="15"/>
                <w:color w:val="auto"/>
              </w:rPr>
            </w:pPr>
          </w:p>
        </w:tc>
        <w:tc>
          <w:tcPr>
            <w:tcW w:w="146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(13)</w:t>
            </w:r>
          </w:p>
        </w:tc>
        <w:tc>
          <w:tcPr>
            <w:tcW w:w="5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80" w:type="dxa"/>
            <w:vAlign w:val="bottom"/>
            <w:vMerge w:val="restart"/>
          </w:tcPr>
          <w:p>
            <w:pPr>
              <w:jc w:val="right"/>
              <w:ind w:right="510"/>
              <w:spacing w:after="0"/>
              <w:rPr>
                <w:sz w:val="20"/>
                <w:szCs w:val="20"/>
                <w:color w:val="auto"/>
              </w:rPr>
            </w:pPr>
            <w:r>
              <w:rPr>
                <w:rFonts w:ascii="Arial" w:cs="Arial" w:eastAsia="Arial" w:hAnsi="Arial"/>
                <w:sz w:val="18"/>
                <w:szCs w:val="18"/>
                <w:b w:val="1"/>
                <w:bCs w:val="1"/>
                <w:color w:val="auto"/>
              </w:rPr>
              <w:t>(39)</w:t>
            </w:r>
          </w:p>
        </w:tc>
        <w:tc>
          <w:tcPr>
            <w:tcW w:w="5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62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and life (income)</w:t>
            </w:r>
          </w:p>
        </w:tc>
        <w:tc>
          <w:tcPr>
            <w:tcW w:w="6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(5)</w:t>
            </w: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vMerge w:val="continue"/>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82"/>
        </w:trPr>
        <w:tc>
          <w:tcPr>
            <w:tcW w:w="3620" w:type="dxa"/>
            <w:vAlign w:val="bottom"/>
            <w:shd w:val="clear" w:color="auto" w:fill="CCEEFF"/>
          </w:tcPr>
          <w:p>
            <w:pPr>
              <w:ind w:left="900"/>
              <w:spacing w:after="0" w:line="182" w:lineRule="exact"/>
              <w:rPr>
                <w:sz w:val="20"/>
                <w:szCs w:val="20"/>
                <w:color w:val="auto"/>
              </w:rPr>
            </w:pPr>
            <w:r>
              <w:rPr>
                <w:rFonts w:ascii="Arial" w:cs="Arial" w:eastAsia="Arial" w:hAnsi="Arial"/>
                <w:sz w:val="18"/>
                <w:szCs w:val="18"/>
                <w:color w:val="auto"/>
              </w:rPr>
              <w:t>Total FAS retiree medical and</w:t>
            </w:r>
          </w:p>
        </w:tc>
        <w:tc>
          <w:tcPr>
            <w:tcW w:w="6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460" w:type="dxa"/>
            <w:vAlign w:val="bottom"/>
            <w:vMerge w:val="restart"/>
            <w:shd w:val="clear" w:color="auto" w:fill="CCEEFF"/>
          </w:tcPr>
          <w:p>
            <w:pPr>
              <w:jc w:val="right"/>
              <w:ind w:right="490"/>
              <w:spacing w:after="0"/>
              <w:rPr>
                <w:sz w:val="20"/>
                <w:szCs w:val="20"/>
                <w:color w:val="auto"/>
              </w:rPr>
            </w:pPr>
            <w:r>
              <w:rPr>
                <w:rFonts w:ascii="Arial" w:cs="Arial" w:eastAsia="Arial" w:hAnsi="Arial"/>
                <w:sz w:val="18"/>
                <w:szCs w:val="18"/>
                <w:b w:val="1"/>
                <w:bCs w:val="1"/>
                <w:color w:val="auto"/>
              </w:rPr>
              <w:t>(10)</w:t>
            </w:r>
          </w:p>
        </w:tc>
        <w:tc>
          <w:tcPr>
            <w:tcW w:w="5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80" w:type="dxa"/>
            <w:vAlign w:val="bottom"/>
            <w:vMerge w:val="restart"/>
            <w:shd w:val="clear" w:color="auto" w:fill="CCEEFF"/>
          </w:tcPr>
          <w:p>
            <w:pPr>
              <w:jc w:val="right"/>
              <w:ind w:right="510"/>
              <w:spacing w:after="0"/>
              <w:rPr>
                <w:sz w:val="20"/>
                <w:szCs w:val="20"/>
                <w:color w:val="auto"/>
              </w:rPr>
            </w:pPr>
            <w:r>
              <w:rPr>
                <w:rFonts w:ascii="Arial" w:cs="Arial" w:eastAsia="Arial" w:hAnsi="Arial"/>
                <w:sz w:val="18"/>
                <w:szCs w:val="18"/>
                <w:b w:val="1"/>
                <w:bCs w:val="1"/>
                <w:color w:val="auto"/>
              </w:rPr>
              <w:t>(29)</w:t>
            </w:r>
          </w:p>
        </w:tc>
        <w:tc>
          <w:tcPr>
            <w:tcW w:w="5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62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life (income)</w:t>
            </w:r>
          </w:p>
        </w:tc>
        <w:tc>
          <w:tcPr>
            <w:tcW w:w="660" w:type="dxa"/>
            <w:vAlign w:val="bottom"/>
            <w:tcBorders>
              <w:bottom w:val="single" w:sz="8" w:color="auto"/>
            </w:tcBorders>
            <w:vMerge w:val="continue"/>
            <w:shd w:val="clear" w:color="auto" w:fill="CCEEFF"/>
          </w:tcPr>
          <w:p>
            <w:pPr>
              <w:spacing w:after="0"/>
              <w:rPr>
                <w:sz w:val="19"/>
                <w:szCs w:val="19"/>
                <w:color w:val="auto"/>
              </w:rPr>
            </w:pPr>
          </w:p>
        </w:tc>
        <w:tc>
          <w:tcPr>
            <w:tcW w:w="1460" w:type="dxa"/>
            <w:vAlign w:val="bottom"/>
            <w:tcBorders>
              <w:bottom w:val="single" w:sz="8" w:color="auto"/>
            </w:tcBorders>
            <w:vMerge w:val="continue"/>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(2)</w:t>
            </w:r>
          </w:p>
        </w:tc>
        <w:tc>
          <w:tcPr>
            <w:tcW w:w="440" w:type="dxa"/>
            <w:vAlign w:val="bottom"/>
            <w:tcBorders>
              <w:bottom w:val="single" w:sz="8" w:color="auto"/>
            </w:tcBorders>
            <w:vMerge w:val="continue"/>
            <w:shd w:val="clear" w:color="auto" w:fill="CCEEFF"/>
          </w:tcPr>
          <w:p>
            <w:pPr>
              <w:spacing w:after="0"/>
              <w:rPr>
                <w:sz w:val="19"/>
                <w:szCs w:val="19"/>
                <w:color w:val="auto"/>
              </w:rPr>
            </w:pPr>
          </w:p>
        </w:tc>
        <w:tc>
          <w:tcPr>
            <w:tcW w:w="1480" w:type="dxa"/>
            <w:vAlign w:val="bottom"/>
            <w:tcBorders>
              <w:bottom w:val="single" w:sz="8" w:color="auto"/>
            </w:tcBorders>
            <w:vMerge w:val="continue"/>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20" w:firstLine="405"/>
        <w:spacing w:after="0" w:line="256" w:lineRule="auto"/>
        <w:rPr>
          <w:sz w:val="20"/>
          <w:szCs w:val="20"/>
          <w:color w:val="auto"/>
        </w:rPr>
      </w:pPr>
      <w:r>
        <w:rPr>
          <w:rFonts w:ascii="Arial" w:cs="Arial" w:eastAsia="Arial" w:hAnsi="Arial"/>
          <w:sz w:val="18"/>
          <w:szCs w:val="18"/>
          <w:color w:val="auto"/>
        </w:rPr>
        <w:t>We record the service cost component of FAS pension expense (income) as part of cost of sales; non-service cost components of our qualified defined benefit pension plans as part of non-service FAS pension (expense) income; and non-service income for our retiree medical and life insurance plans as part of other non-operating income (expense), net in the consolidated statements of earnings.</w:t>
      </w:r>
    </w:p>
    <w:p>
      <w:pPr>
        <w:spacing w:after="0" w:line="161" w:lineRule="exact"/>
        <w:rPr>
          <w:sz w:val="20"/>
          <w:szCs w:val="20"/>
          <w:color w:val="auto"/>
        </w:rPr>
      </w:pPr>
    </w:p>
    <w:p>
      <w:pPr>
        <w:ind w:right="100" w:firstLine="405"/>
        <w:spacing w:after="0" w:line="250" w:lineRule="auto"/>
        <w:rPr>
          <w:sz w:val="20"/>
          <w:szCs w:val="20"/>
          <w:color w:val="auto"/>
        </w:rPr>
      </w:pPr>
      <w:r>
        <w:rPr>
          <w:rFonts w:ascii="Arial" w:cs="Arial" w:eastAsia="Arial" w:hAnsi="Arial"/>
          <w:sz w:val="18"/>
          <w:szCs w:val="18"/>
          <w:color w:val="auto"/>
        </w:rPr>
        <w:t>The recognized net actuarial losses and amortization of prior service credits or costs in the table above, along with similar costs related to our other postretirement benefit plans ($6 million and $13 million for the quarter and nine months ended September 26, 2021 and</w:t>
      </w:r>
    </w:p>
    <w:p>
      <w:pPr>
        <w:spacing w:after="0" w:line="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$4 million and $ 14 million for the quarter and nine months ended September 27, 2020) were reclassified from Accumulated Other Comprehensive Loss (AOCL) and recorded as a component of net periodic benefit cost (income) for the periods presented. These costs totaled $137 million ($107 million, net of tax) and $492 million ($387 million, net of tax) during the quarter and nine months ended September 26, 2021, and $140 million ($110 million, net of tax) and $420 million ($330 million, net of tax) during the quarter and nine months ended September 27, 2020 and were recorded on our consolidated statements of comprehensive income as an increase to other comprehensive income.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of Group Annuity Contracts and Pension Remeasurement</w:t>
      </w:r>
    </w:p>
    <w:p>
      <w:pPr>
        <w:spacing w:after="0" w:line="207" w:lineRule="exact"/>
        <w:rPr>
          <w:sz w:val="20"/>
          <w:szCs w:val="20"/>
          <w:color w:val="auto"/>
        </w:rPr>
      </w:pPr>
    </w:p>
    <w:p>
      <w:pPr>
        <w:ind w:right="400" w:firstLine="405"/>
        <w:spacing w:after="0" w:line="254" w:lineRule="auto"/>
        <w:rPr>
          <w:sz w:val="20"/>
          <w:szCs w:val="20"/>
          <w:color w:val="auto"/>
        </w:rPr>
      </w:pPr>
      <w:r>
        <w:rPr>
          <w:rFonts w:ascii="Arial" w:cs="Arial" w:eastAsia="Arial" w:hAnsi="Arial"/>
          <w:sz w:val="18"/>
          <w:szCs w:val="18"/>
          <w:color w:val="auto"/>
        </w:rPr>
        <w:t>On August 3, 2021, we purchased group annuity contracts to transfer $4.9 billion of gross defined benefit pension obligations and related plan assets to an insurance company for approximately 18,000 U.S. retirees and beneficiaries. The group annuity contracts were purchased using assets from Lockheed Martin’s master retirement trust and no additional funding contribution was required by us. This transaction has no impact on the amount, timing, or form of the</w:t>
      </w:r>
    </w:p>
    <w:p>
      <w:pPr>
        <w:sectPr>
          <w:pgSz w:w="11900" w:h="16838" w:orient="portrait"/>
          <w:cols w:equalWidth="0" w:num="1">
            <w:col w:w="11240"/>
          </w:cols>
          <w:pgMar w:left="320" w:top="38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Lockheed Martin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 (continued)</w:t>
      </w:r>
    </w:p>
    <w:p>
      <w:pPr>
        <w:spacing w:after="0" w:line="200" w:lineRule="exact"/>
        <w:rPr>
          <w:sz w:val="20"/>
          <w:szCs w:val="20"/>
          <w:color w:val="auto"/>
        </w:rPr>
      </w:pPr>
    </w:p>
    <w:p>
      <w:pPr>
        <w:spacing w:after="0" w:line="309"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monthly retirement benefit payments to the affected retirees and beneficiaries. In connection with this transaction, we recognized a noncash pension settlement charge of $1.7 billion ($1.3 billion, or $4.72 per share, after tax) for the affected plans in the quarter ended September 26, 2021, which represents the accelerated recognition of actuarial losses that were included in the AOCL account within stockholders’ equity.</w:t>
      </w:r>
    </w:p>
    <w:p>
      <w:pPr>
        <w:spacing w:after="0" w:line="175" w:lineRule="exact"/>
        <w:rPr>
          <w:sz w:val="20"/>
          <w:szCs w:val="20"/>
          <w:color w:val="auto"/>
        </w:rPr>
      </w:pPr>
    </w:p>
    <w:p>
      <w:pPr>
        <w:ind w:right="340" w:firstLine="405"/>
        <w:spacing w:after="0" w:line="256" w:lineRule="auto"/>
        <w:rPr>
          <w:sz w:val="20"/>
          <w:szCs w:val="20"/>
          <w:color w:val="auto"/>
        </w:rPr>
      </w:pPr>
      <w:r>
        <w:rPr>
          <w:rFonts w:ascii="Arial" w:cs="Arial" w:eastAsia="Arial" w:hAnsi="Arial"/>
          <w:sz w:val="18"/>
          <w:szCs w:val="18"/>
          <w:color w:val="auto"/>
        </w:rPr>
        <w:t>As a result of this transaction, we were required to remeasure the benefit obligations and plan assets for the affected defined benefit pension plans as of the August 3, 2021 close date. The remeasurement reflects the use of updated actuarial assumptions as of the remeasurement date, primarily the discount rate and actual return on plan assets.</w:t>
      </w:r>
    </w:p>
    <w:p>
      <w:pPr>
        <w:spacing w:after="0" w:line="161" w:lineRule="exact"/>
        <w:rPr>
          <w:sz w:val="20"/>
          <w:szCs w:val="20"/>
          <w:color w:val="auto"/>
        </w:rPr>
      </w:pPr>
    </w:p>
    <w:p>
      <w:pPr>
        <w:ind w:right="100" w:firstLine="405"/>
        <w:spacing w:after="0" w:line="256" w:lineRule="auto"/>
        <w:rPr>
          <w:sz w:val="20"/>
          <w:szCs w:val="20"/>
          <w:color w:val="auto"/>
        </w:rPr>
      </w:pPr>
      <w:r>
        <w:rPr>
          <w:rFonts w:ascii="Arial" w:cs="Arial" w:eastAsia="Arial" w:hAnsi="Arial"/>
          <w:sz w:val="18"/>
          <w:szCs w:val="18"/>
          <w:color w:val="auto"/>
        </w:rPr>
        <w:t>The following table provides a reconciliation of the benefit obligations, plan assets and net unfunded status related to all of our qualified defined benefit pension plans, inclusive of the plans affected by the interim remeasurement and plans that were not, for the nine months ended September 26, 2021 (in millions):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86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b w:val="1"/>
                <w:bCs w:val="1"/>
                <w:color w:val="auto"/>
              </w:rPr>
              <w:t>Change in benefit obligation</w:t>
            </w:r>
          </w:p>
        </w:tc>
        <w:tc>
          <w:tcPr>
            <w:tcW w:w="2260" w:type="dxa"/>
            <w:vAlign w:val="bottom"/>
            <w:tcBorders>
              <w:top w:val="single" w:sz="8" w:color="auto"/>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spacing w:after="0"/>
              <w:rPr>
                <w:sz w:val="21"/>
                <w:szCs w:val="21"/>
                <w:color w:val="auto"/>
              </w:rPr>
            </w:pPr>
          </w:p>
        </w:tc>
      </w:tr>
      <w:tr>
        <w:trPr>
          <w:trHeight w:val="229"/>
        </w:trPr>
        <w:tc>
          <w:tcPr>
            <w:tcW w:w="7860" w:type="dxa"/>
            <w:vAlign w:val="bottom"/>
          </w:tcPr>
          <w:p>
            <w:pPr>
              <w:ind w:left="560"/>
              <w:spacing w:after="0"/>
              <w:rPr>
                <w:sz w:val="20"/>
                <w:szCs w:val="20"/>
                <w:color w:val="auto"/>
              </w:rPr>
            </w:pPr>
            <w:r>
              <w:rPr>
                <w:rFonts w:ascii="Arial" w:cs="Arial" w:eastAsia="Arial" w:hAnsi="Arial"/>
                <w:sz w:val="18"/>
                <w:szCs w:val="18"/>
                <w:color w:val="auto"/>
              </w:rPr>
              <w:t>Beginning balance at December 31, 2020</w:t>
            </w:r>
          </w:p>
        </w:tc>
        <w:tc>
          <w:tcPr>
            <w:tcW w:w="226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210"/>
              <w:spacing w:after="0"/>
              <w:rPr>
                <w:sz w:val="20"/>
                <w:szCs w:val="20"/>
                <w:color w:val="auto"/>
              </w:rPr>
            </w:pPr>
            <w:r>
              <w:rPr>
                <w:rFonts w:ascii="Arial" w:cs="Arial" w:eastAsia="Arial" w:hAnsi="Arial"/>
                <w:sz w:val="18"/>
                <w:szCs w:val="18"/>
                <w:b w:val="1"/>
                <w:bCs w:val="1"/>
                <w:color w:val="auto"/>
              </w:rPr>
              <w:t>51,352</w:t>
            </w:r>
          </w:p>
        </w:tc>
      </w:tr>
      <w:tr>
        <w:trPr>
          <w:trHeight w:val="229"/>
        </w:trPr>
        <w:tc>
          <w:tcPr>
            <w:tcW w:w="7860" w:type="dxa"/>
            <w:vAlign w:val="bottom"/>
            <w:shd w:val="clear" w:color="auto" w:fill="CCEEFF"/>
          </w:tcPr>
          <w:p>
            <w:pPr>
              <w:ind w:left="760"/>
              <w:spacing w:after="0"/>
              <w:rPr>
                <w:sz w:val="20"/>
                <w:szCs w:val="20"/>
                <w:color w:val="auto"/>
              </w:rPr>
            </w:pPr>
            <w:r>
              <w:rPr>
                <w:rFonts w:ascii="Arial" w:cs="Arial" w:eastAsia="Arial" w:hAnsi="Arial"/>
                <w:sz w:val="18"/>
                <w:szCs w:val="18"/>
                <w:color w:val="auto"/>
              </w:rPr>
              <w:t>Service cost</w:t>
            </w:r>
          </w:p>
        </w:tc>
        <w:tc>
          <w:tcPr>
            <w:tcW w:w="2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80</w:t>
            </w:r>
          </w:p>
        </w:tc>
      </w:tr>
      <w:tr>
        <w:trPr>
          <w:trHeight w:val="230"/>
        </w:trPr>
        <w:tc>
          <w:tcPr>
            <w:tcW w:w="7860" w:type="dxa"/>
            <w:vAlign w:val="bottom"/>
          </w:tcPr>
          <w:p>
            <w:pPr>
              <w:ind w:left="760"/>
              <w:spacing w:after="0"/>
              <w:rPr>
                <w:sz w:val="20"/>
                <w:szCs w:val="20"/>
                <w:color w:val="auto"/>
              </w:rPr>
            </w:pPr>
            <w:r>
              <w:rPr>
                <w:rFonts w:ascii="Arial" w:cs="Arial" w:eastAsia="Arial" w:hAnsi="Arial"/>
                <w:sz w:val="18"/>
                <w:szCs w:val="18"/>
                <w:color w:val="auto"/>
              </w:rPr>
              <w:t>Interest cost</w:t>
            </w:r>
          </w:p>
        </w:tc>
        <w:tc>
          <w:tcPr>
            <w:tcW w:w="2260" w:type="dxa"/>
            <w:vAlign w:val="bottom"/>
          </w:tcPr>
          <w:p>
            <w:pPr>
              <w:spacing w:after="0"/>
              <w:rPr>
                <w:sz w:val="19"/>
                <w:szCs w:val="19"/>
                <w:color w:val="auto"/>
              </w:rPr>
            </w:pPr>
          </w:p>
        </w:tc>
        <w:tc>
          <w:tcPr>
            <w:tcW w:w="1120" w:type="dxa"/>
            <w:vAlign w:val="bottom"/>
          </w:tcPr>
          <w:p>
            <w:pPr>
              <w:jc w:val="right"/>
              <w:ind w:right="210"/>
              <w:spacing w:after="0"/>
              <w:rPr>
                <w:sz w:val="20"/>
                <w:szCs w:val="20"/>
                <w:color w:val="auto"/>
              </w:rPr>
            </w:pPr>
            <w:r>
              <w:rPr>
                <w:rFonts w:ascii="Arial" w:cs="Arial" w:eastAsia="Arial" w:hAnsi="Arial"/>
                <w:sz w:val="18"/>
                <w:szCs w:val="18"/>
                <w:b w:val="1"/>
                <w:bCs w:val="1"/>
                <w:color w:val="auto"/>
              </w:rPr>
              <w:t>923</w:t>
            </w:r>
          </w:p>
        </w:tc>
      </w:tr>
      <w:tr>
        <w:trPr>
          <w:trHeight w:val="229"/>
        </w:trPr>
        <w:tc>
          <w:tcPr>
            <w:tcW w:w="7860" w:type="dxa"/>
            <w:vAlign w:val="bottom"/>
            <w:shd w:val="clear" w:color="auto" w:fill="CCEEFF"/>
          </w:tcPr>
          <w:p>
            <w:pPr>
              <w:ind w:left="760"/>
              <w:spacing w:after="0"/>
              <w:rPr>
                <w:sz w:val="20"/>
                <w:szCs w:val="20"/>
                <w:color w:val="auto"/>
              </w:rPr>
            </w:pPr>
            <w:r>
              <w:rPr>
                <w:rFonts w:ascii="Arial" w:cs="Arial" w:eastAsia="Arial" w:hAnsi="Arial"/>
                <w:sz w:val="18"/>
                <w:szCs w:val="18"/>
                <w:color w:val="auto"/>
              </w:rPr>
              <w:t>Benefits paid</w:t>
            </w:r>
          </w:p>
        </w:tc>
        <w:tc>
          <w:tcPr>
            <w:tcW w:w="2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(1,611)</w:t>
            </w:r>
          </w:p>
        </w:tc>
      </w:tr>
      <w:tr>
        <w:trPr>
          <w:trHeight w:val="230"/>
        </w:trPr>
        <w:tc>
          <w:tcPr>
            <w:tcW w:w="7860" w:type="dxa"/>
            <w:vAlign w:val="bottom"/>
          </w:tcPr>
          <w:p>
            <w:pPr>
              <w:ind w:left="760"/>
              <w:spacing w:after="0" w:line="230" w:lineRule="exact"/>
              <w:rPr>
                <w:sz w:val="20"/>
                <w:szCs w:val="20"/>
                <w:color w:val="auto"/>
              </w:rPr>
            </w:pPr>
            <w:r>
              <w:rPr>
                <w:rFonts w:ascii="Arial" w:cs="Arial" w:eastAsia="Arial" w:hAnsi="Arial"/>
                <w:sz w:val="18"/>
                <w:szCs w:val="18"/>
                <w:color w:val="auto"/>
              </w:rPr>
              <w:t>Settlements</w:t>
            </w:r>
            <w:r>
              <w:rPr>
                <w:rFonts w:ascii="Arial" w:cs="Arial" w:eastAsia="Arial" w:hAnsi="Arial"/>
                <w:sz w:val="23"/>
                <w:szCs w:val="23"/>
                <w:color w:val="auto"/>
                <w:vertAlign w:val="superscript"/>
              </w:rPr>
              <w:t>(a)</w:t>
            </w:r>
          </w:p>
        </w:tc>
        <w:tc>
          <w:tcPr>
            <w:tcW w:w="2260" w:type="dxa"/>
            <w:vAlign w:val="bottom"/>
          </w:tcPr>
          <w:p>
            <w:pPr>
              <w:spacing w:after="0"/>
              <w:rPr>
                <w:sz w:val="19"/>
                <w:szCs w:val="19"/>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rPr>
              <w:t>(4,885)</w:t>
            </w:r>
          </w:p>
        </w:tc>
      </w:tr>
      <w:tr>
        <w:trPr>
          <w:trHeight w:val="229"/>
        </w:trPr>
        <w:tc>
          <w:tcPr>
            <w:tcW w:w="7860" w:type="dxa"/>
            <w:vAlign w:val="bottom"/>
            <w:tcBorders>
              <w:bottom w:val="single" w:sz="8" w:color="auto"/>
            </w:tcBorders>
            <w:shd w:val="clear" w:color="auto" w:fill="CCEEFF"/>
          </w:tcPr>
          <w:p>
            <w:pPr>
              <w:ind w:left="760"/>
              <w:spacing w:after="0" w:line="230" w:lineRule="exact"/>
              <w:rPr>
                <w:sz w:val="20"/>
                <w:szCs w:val="20"/>
                <w:color w:val="auto"/>
              </w:rPr>
            </w:pPr>
            <w:r>
              <w:rPr>
                <w:rFonts w:ascii="Arial" w:cs="Arial" w:eastAsia="Arial" w:hAnsi="Arial"/>
                <w:sz w:val="18"/>
                <w:szCs w:val="18"/>
                <w:color w:val="auto"/>
              </w:rPr>
              <w:t>Change in benefit obligation due to remeasurement</w:t>
            </w:r>
            <w:r>
              <w:rPr>
                <w:rFonts w:ascii="Arial" w:cs="Arial" w:eastAsia="Arial" w:hAnsi="Arial"/>
                <w:sz w:val="23"/>
                <w:szCs w:val="23"/>
                <w:color w:val="auto"/>
                <w:vertAlign w:val="superscript"/>
              </w:rPr>
              <w:t>(b)</w:t>
            </w:r>
          </w:p>
        </w:tc>
        <w:tc>
          <w:tcPr>
            <w:tcW w:w="2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(1,253)</w:t>
            </w:r>
          </w:p>
        </w:tc>
      </w:tr>
      <w:tr>
        <w:trPr>
          <w:trHeight w:val="223"/>
        </w:trPr>
        <w:tc>
          <w:tcPr>
            <w:tcW w:w="786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Ending balance at September 26, 2021</w:t>
            </w:r>
          </w:p>
        </w:tc>
        <w:tc>
          <w:tcPr>
            <w:tcW w:w="22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44,606</w:t>
            </w:r>
          </w:p>
        </w:tc>
      </w:tr>
      <w:tr>
        <w:trPr>
          <w:trHeight w:val="223"/>
        </w:trPr>
        <w:tc>
          <w:tcPr>
            <w:tcW w:w="786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Change in plan assets</w:t>
            </w:r>
          </w:p>
        </w:tc>
        <w:tc>
          <w:tcPr>
            <w:tcW w:w="2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7860" w:type="dxa"/>
            <w:vAlign w:val="bottom"/>
          </w:tcPr>
          <w:p>
            <w:pPr>
              <w:ind w:left="560"/>
              <w:spacing w:after="0"/>
              <w:rPr>
                <w:sz w:val="20"/>
                <w:szCs w:val="20"/>
                <w:color w:val="auto"/>
              </w:rPr>
            </w:pPr>
            <w:r>
              <w:rPr>
                <w:rFonts w:ascii="Arial" w:cs="Arial" w:eastAsia="Arial" w:hAnsi="Arial"/>
                <w:sz w:val="18"/>
                <w:szCs w:val="18"/>
                <w:color w:val="auto"/>
              </w:rPr>
              <w:t>Beginning balance at December 31, 2020</w:t>
            </w:r>
          </w:p>
        </w:tc>
        <w:tc>
          <w:tcPr>
            <w:tcW w:w="2260" w:type="dxa"/>
            <w:vAlign w:val="bottom"/>
          </w:tcPr>
          <w:p>
            <w:pPr>
              <w:jc w:val="right"/>
              <w:ind w:right="19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210"/>
              <w:spacing w:after="0"/>
              <w:rPr>
                <w:sz w:val="20"/>
                <w:szCs w:val="20"/>
                <w:color w:val="auto"/>
              </w:rPr>
            </w:pPr>
            <w:r>
              <w:rPr>
                <w:rFonts w:ascii="Arial" w:cs="Arial" w:eastAsia="Arial" w:hAnsi="Arial"/>
                <w:sz w:val="18"/>
                <w:szCs w:val="18"/>
                <w:b w:val="1"/>
                <w:bCs w:val="1"/>
                <w:color w:val="auto"/>
              </w:rPr>
              <w:t>38,481</w:t>
            </w:r>
          </w:p>
        </w:tc>
      </w:tr>
      <w:tr>
        <w:trPr>
          <w:trHeight w:val="230"/>
        </w:trPr>
        <w:tc>
          <w:tcPr>
            <w:tcW w:w="7860" w:type="dxa"/>
            <w:vAlign w:val="bottom"/>
            <w:shd w:val="clear" w:color="auto" w:fill="CCEEFF"/>
          </w:tcPr>
          <w:p>
            <w:pPr>
              <w:ind w:left="760"/>
              <w:spacing w:after="0" w:line="230" w:lineRule="exact"/>
              <w:rPr>
                <w:sz w:val="20"/>
                <w:szCs w:val="20"/>
                <w:color w:val="auto"/>
              </w:rPr>
            </w:pPr>
            <w:r>
              <w:rPr>
                <w:rFonts w:ascii="Arial" w:cs="Arial" w:eastAsia="Arial" w:hAnsi="Arial"/>
                <w:sz w:val="18"/>
                <w:szCs w:val="18"/>
                <w:color w:val="auto"/>
              </w:rPr>
              <w:t>Expected return on plan assets</w:t>
            </w:r>
            <w:r>
              <w:rPr>
                <w:rFonts w:ascii="Arial" w:cs="Arial" w:eastAsia="Arial" w:hAnsi="Arial"/>
                <w:sz w:val="23"/>
                <w:szCs w:val="23"/>
                <w:color w:val="auto"/>
                <w:vertAlign w:val="superscript"/>
              </w:rPr>
              <w:t>(c)</w:t>
            </w:r>
          </w:p>
        </w:tc>
        <w:tc>
          <w:tcPr>
            <w:tcW w:w="2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1,655</w:t>
            </w:r>
          </w:p>
        </w:tc>
      </w:tr>
      <w:tr>
        <w:trPr>
          <w:trHeight w:val="229"/>
        </w:trPr>
        <w:tc>
          <w:tcPr>
            <w:tcW w:w="7860" w:type="dxa"/>
            <w:vAlign w:val="bottom"/>
          </w:tcPr>
          <w:p>
            <w:pPr>
              <w:ind w:left="760"/>
              <w:spacing w:after="0" w:line="230" w:lineRule="exact"/>
              <w:rPr>
                <w:sz w:val="20"/>
                <w:szCs w:val="20"/>
                <w:color w:val="auto"/>
              </w:rPr>
            </w:pPr>
            <w:r>
              <w:rPr>
                <w:rFonts w:ascii="Arial" w:cs="Arial" w:eastAsia="Arial" w:hAnsi="Arial"/>
                <w:sz w:val="18"/>
                <w:szCs w:val="18"/>
                <w:color w:val="auto"/>
              </w:rPr>
              <w:t>Incremental return on plan assets recognized in remeasurement</w:t>
            </w:r>
            <w:r>
              <w:rPr>
                <w:rFonts w:ascii="Arial" w:cs="Arial" w:eastAsia="Arial" w:hAnsi="Arial"/>
                <w:sz w:val="23"/>
                <w:szCs w:val="23"/>
                <w:color w:val="auto"/>
                <w:vertAlign w:val="superscript"/>
              </w:rPr>
              <w:t>(c)</w:t>
            </w:r>
          </w:p>
        </w:tc>
        <w:tc>
          <w:tcPr>
            <w:tcW w:w="2260" w:type="dxa"/>
            <w:vAlign w:val="bottom"/>
          </w:tcPr>
          <w:p>
            <w:pPr>
              <w:spacing w:after="0"/>
              <w:rPr>
                <w:sz w:val="19"/>
                <w:szCs w:val="19"/>
                <w:color w:val="auto"/>
              </w:rPr>
            </w:pPr>
          </w:p>
        </w:tc>
        <w:tc>
          <w:tcPr>
            <w:tcW w:w="1120" w:type="dxa"/>
            <w:vAlign w:val="bottom"/>
          </w:tcPr>
          <w:p>
            <w:pPr>
              <w:jc w:val="right"/>
              <w:ind w:right="210"/>
              <w:spacing w:after="0"/>
              <w:rPr>
                <w:sz w:val="20"/>
                <w:szCs w:val="20"/>
                <w:color w:val="auto"/>
              </w:rPr>
            </w:pPr>
            <w:r>
              <w:rPr>
                <w:rFonts w:ascii="Arial" w:cs="Arial" w:eastAsia="Arial" w:hAnsi="Arial"/>
                <w:sz w:val="18"/>
                <w:szCs w:val="18"/>
                <w:b w:val="1"/>
                <w:bCs w:val="1"/>
                <w:color w:val="auto"/>
              </w:rPr>
              <w:t>1,618</w:t>
            </w:r>
          </w:p>
        </w:tc>
      </w:tr>
      <w:tr>
        <w:trPr>
          <w:trHeight w:val="230"/>
        </w:trPr>
        <w:tc>
          <w:tcPr>
            <w:tcW w:w="7860" w:type="dxa"/>
            <w:vAlign w:val="bottom"/>
            <w:shd w:val="clear" w:color="auto" w:fill="CCEEFF"/>
          </w:tcPr>
          <w:p>
            <w:pPr>
              <w:ind w:left="760"/>
              <w:spacing w:after="0"/>
              <w:rPr>
                <w:sz w:val="20"/>
                <w:szCs w:val="20"/>
                <w:color w:val="auto"/>
              </w:rPr>
            </w:pPr>
            <w:r>
              <w:rPr>
                <w:rFonts w:ascii="Arial" w:cs="Arial" w:eastAsia="Arial" w:hAnsi="Arial"/>
                <w:sz w:val="18"/>
                <w:szCs w:val="18"/>
                <w:color w:val="auto"/>
              </w:rPr>
              <w:t>Benefits paid</w:t>
            </w:r>
          </w:p>
        </w:tc>
        <w:tc>
          <w:tcPr>
            <w:tcW w:w="2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(1,611)</w:t>
            </w:r>
          </w:p>
        </w:tc>
      </w:tr>
      <w:tr>
        <w:trPr>
          <w:trHeight w:val="230"/>
        </w:trPr>
        <w:tc>
          <w:tcPr>
            <w:tcW w:w="7860" w:type="dxa"/>
            <w:vAlign w:val="bottom"/>
          </w:tcPr>
          <w:p>
            <w:pPr>
              <w:ind w:left="760"/>
              <w:spacing w:after="0" w:line="230" w:lineRule="exact"/>
              <w:rPr>
                <w:sz w:val="20"/>
                <w:szCs w:val="20"/>
                <w:color w:val="auto"/>
              </w:rPr>
            </w:pPr>
            <w:r>
              <w:rPr>
                <w:rFonts w:ascii="Arial" w:cs="Arial" w:eastAsia="Arial" w:hAnsi="Arial"/>
                <w:sz w:val="18"/>
                <w:szCs w:val="18"/>
                <w:color w:val="auto"/>
              </w:rPr>
              <w:t>Settlements</w:t>
            </w:r>
            <w:r>
              <w:rPr>
                <w:rFonts w:ascii="Arial" w:cs="Arial" w:eastAsia="Arial" w:hAnsi="Arial"/>
                <w:sz w:val="23"/>
                <w:szCs w:val="23"/>
                <w:color w:val="auto"/>
                <w:vertAlign w:val="superscript"/>
              </w:rPr>
              <w:t>(a)</w:t>
            </w:r>
          </w:p>
        </w:tc>
        <w:tc>
          <w:tcPr>
            <w:tcW w:w="2260" w:type="dxa"/>
            <w:vAlign w:val="bottom"/>
          </w:tcPr>
          <w:p>
            <w:pPr>
              <w:spacing w:after="0"/>
              <w:rPr>
                <w:sz w:val="19"/>
                <w:szCs w:val="19"/>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rPr>
              <w:t>(4,885)</w:t>
            </w:r>
          </w:p>
        </w:tc>
      </w:tr>
      <w:tr>
        <w:trPr>
          <w:trHeight w:val="230"/>
        </w:trPr>
        <w:tc>
          <w:tcPr>
            <w:tcW w:w="786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Company contributions</w:t>
            </w:r>
          </w:p>
        </w:tc>
        <w:tc>
          <w:tcPr>
            <w:tcW w:w="2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r>
      <w:tr>
        <w:trPr>
          <w:trHeight w:val="223"/>
        </w:trPr>
        <w:tc>
          <w:tcPr>
            <w:tcW w:w="786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Ending balance at September 26, 2021</w:t>
            </w:r>
          </w:p>
        </w:tc>
        <w:tc>
          <w:tcPr>
            <w:tcW w:w="22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35,258</w:t>
            </w:r>
          </w:p>
        </w:tc>
      </w:tr>
      <w:tr>
        <w:trPr>
          <w:trHeight w:val="223"/>
        </w:trPr>
        <w:tc>
          <w:tcPr>
            <w:tcW w:w="7860" w:type="dxa"/>
            <w:vAlign w:val="bottom"/>
            <w:tcBorders>
              <w:bottom w:val="single" w:sz="8" w:color="auto"/>
            </w:tcBorders>
            <w:shd w:val="clear" w:color="auto" w:fill="CCEEFF"/>
          </w:tcPr>
          <w:p>
            <w:pPr>
              <w:ind w:left="540"/>
              <w:spacing w:after="0" w:line="223" w:lineRule="exact"/>
              <w:rPr>
                <w:sz w:val="20"/>
                <w:szCs w:val="20"/>
                <w:color w:val="auto"/>
              </w:rPr>
            </w:pPr>
            <w:r>
              <w:rPr>
                <w:rFonts w:ascii="Arial" w:cs="Arial" w:eastAsia="Arial" w:hAnsi="Arial"/>
                <w:sz w:val="18"/>
                <w:szCs w:val="18"/>
                <w:b w:val="1"/>
                <w:bCs w:val="1"/>
                <w:color w:val="auto"/>
              </w:rPr>
              <w:t>Net Unfunded status of the plans</w:t>
            </w:r>
            <w:r>
              <w:rPr>
                <w:rFonts w:ascii="Arial" w:cs="Arial" w:eastAsia="Arial" w:hAnsi="Arial"/>
                <w:sz w:val="23"/>
                <w:szCs w:val="23"/>
                <w:b w:val="1"/>
                <w:bCs w:val="1"/>
                <w:color w:val="auto"/>
                <w:vertAlign w:val="superscript"/>
              </w:rPr>
              <w:t>(d)</w:t>
            </w:r>
          </w:p>
        </w:tc>
        <w:tc>
          <w:tcPr>
            <w:tcW w:w="22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(9,348)</w:t>
            </w:r>
          </w:p>
        </w:tc>
      </w:tr>
    </w:tbl>
    <w:p>
      <w:pPr>
        <w:spacing w:after="0" w:line="234" w:lineRule="exact"/>
        <w:rPr>
          <w:sz w:val="20"/>
          <w:szCs w:val="20"/>
          <w:color w:val="auto"/>
        </w:rPr>
      </w:pPr>
    </w:p>
    <w:p>
      <w:pPr>
        <w:ind w:left="420" w:right="100" w:hanging="412"/>
        <w:spacing w:after="0" w:line="199" w:lineRule="auto"/>
        <w:tabs>
          <w:tab w:leader="none" w:pos="413" w:val="left"/>
        </w:tabs>
        <w:numPr>
          <w:ilvl w:val="0"/>
          <w:numId w:val="6"/>
        </w:numPr>
        <w:rPr>
          <w:rFonts w:ascii="Arial" w:cs="Arial" w:eastAsia="Arial" w:hAnsi="Arial"/>
          <w:sz w:val="21"/>
          <w:szCs w:val="21"/>
          <w:color w:val="auto"/>
          <w:vertAlign w:val="superscript"/>
        </w:rPr>
      </w:pPr>
      <w:r>
        <w:rPr>
          <w:rFonts w:ascii="Arial" w:cs="Arial" w:eastAsia="Arial" w:hAnsi="Arial"/>
          <w:sz w:val="14"/>
          <w:szCs w:val="14"/>
          <w:color w:val="auto"/>
        </w:rPr>
        <w:t>Represents the transfer of gross defined benefit pension obligations and related plan assets to an insurance company pursuant to the group annuity contracts purchased on August 3, 2021.</w:t>
      </w:r>
    </w:p>
    <w:p>
      <w:pPr>
        <w:ind w:left="400" w:hanging="392"/>
        <w:spacing w:after="0" w:line="214" w:lineRule="auto"/>
        <w:tabs>
          <w:tab w:leader="none" w:pos="400" w:val="left"/>
        </w:tabs>
        <w:numPr>
          <w:ilvl w:val="0"/>
          <w:numId w:val="6"/>
        </w:numPr>
        <w:rPr>
          <w:rFonts w:ascii="Arial" w:cs="Arial" w:eastAsia="Arial" w:hAnsi="Arial"/>
          <w:sz w:val="21"/>
          <w:szCs w:val="21"/>
          <w:color w:val="auto"/>
          <w:vertAlign w:val="superscript"/>
        </w:rPr>
      </w:pPr>
      <w:r>
        <w:rPr>
          <w:rFonts w:ascii="Arial" w:cs="Arial" w:eastAsia="Arial" w:hAnsi="Arial"/>
          <w:sz w:val="14"/>
          <w:szCs w:val="14"/>
          <w:color w:val="auto"/>
        </w:rPr>
        <w:t>Primarily reflects an increase in the discount rate from 2.50% at December 31, 2020 to 2.75% at the remeasurement date.</w:t>
      </w:r>
    </w:p>
    <w:p>
      <w:pPr>
        <w:spacing w:after="0" w:line="44" w:lineRule="exact"/>
        <w:rPr>
          <w:rFonts w:ascii="Arial" w:cs="Arial" w:eastAsia="Arial" w:hAnsi="Arial"/>
          <w:sz w:val="21"/>
          <w:szCs w:val="21"/>
          <w:color w:val="auto"/>
          <w:vertAlign w:val="superscript"/>
        </w:rPr>
      </w:pPr>
    </w:p>
    <w:p>
      <w:pPr>
        <w:ind w:left="420" w:hanging="412"/>
        <w:spacing w:after="0" w:line="218" w:lineRule="auto"/>
        <w:tabs>
          <w:tab w:leader="none" w:pos="408" w:val="left"/>
        </w:tabs>
        <w:numPr>
          <w:ilvl w:val="0"/>
          <w:numId w:val="6"/>
        </w:numPr>
        <w:rPr>
          <w:rFonts w:ascii="Arial" w:cs="Arial" w:eastAsia="Arial" w:hAnsi="Arial"/>
          <w:sz w:val="21"/>
          <w:szCs w:val="21"/>
          <w:color w:val="auto"/>
          <w:vertAlign w:val="superscript"/>
        </w:rPr>
      </w:pPr>
      <w:r>
        <w:rPr>
          <w:rFonts w:ascii="Arial" w:cs="Arial" w:eastAsia="Arial" w:hAnsi="Arial"/>
          <w:sz w:val="14"/>
          <w:szCs w:val="14"/>
          <w:color w:val="auto"/>
        </w:rPr>
        <w:t>The expected return on plan assets represents approximately 4.00% for the period January 1, 2021 through August 3, 2021 (the proportional effect, or approximately seven twelfths, of our previously expected 7.00% annual long-term rate of return on plan assets assumption). The incremental return on plan assets recognized in remeasurement represents the difference between our actual return on plan assets of approximately 8.00% and our expected return of approximately 4.00% for the period January 1, 2021 through August 3, 2021.</w:t>
      </w:r>
    </w:p>
    <w:p>
      <w:pPr>
        <w:spacing w:after="0" w:line="43" w:lineRule="exact"/>
        <w:rPr>
          <w:rFonts w:ascii="Arial" w:cs="Arial" w:eastAsia="Arial" w:hAnsi="Arial"/>
          <w:sz w:val="21"/>
          <w:szCs w:val="21"/>
          <w:color w:val="auto"/>
          <w:vertAlign w:val="superscript"/>
        </w:rPr>
      </w:pPr>
    </w:p>
    <w:p>
      <w:pPr>
        <w:ind w:left="420" w:right="20" w:hanging="412"/>
        <w:spacing w:after="0" w:line="218" w:lineRule="auto"/>
        <w:tabs>
          <w:tab w:leader="none" w:pos="413" w:val="left"/>
        </w:tabs>
        <w:numPr>
          <w:ilvl w:val="0"/>
          <w:numId w:val="6"/>
        </w:numPr>
        <w:rPr>
          <w:rFonts w:ascii="Arial" w:cs="Arial" w:eastAsia="Arial" w:hAnsi="Arial"/>
          <w:sz w:val="21"/>
          <w:szCs w:val="21"/>
          <w:color w:val="auto"/>
          <w:vertAlign w:val="superscript"/>
        </w:rPr>
      </w:pPr>
      <w:r>
        <w:rPr>
          <w:rFonts w:ascii="Arial" w:cs="Arial" w:eastAsia="Arial" w:hAnsi="Arial"/>
          <w:sz w:val="14"/>
          <w:szCs w:val="14"/>
          <w:color w:val="auto"/>
        </w:rPr>
        <w:t>For plans where the benefit obligation is in excess of plan assets, we report the net obligation (which was $9,351 million as of September 26, 2021) as part of accrued pension liabilities on our consolidated balance sheet. Conversely, for plans where the assets exceed the benefit obligation, we include the net asset (which was $3 million as of September 26, 2021) as part of other noncurrent assets on our consolidated balance sheet. The net unfunded status of the plans of $9,348 million in the table above represents the net total of these two amounts.</w:t>
      </w:r>
    </w:p>
    <w:p>
      <w:pPr>
        <w:spacing w:after="0" w:line="160" w:lineRule="exact"/>
        <w:rPr>
          <w:sz w:val="20"/>
          <w:szCs w:val="20"/>
          <w:color w:val="auto"/>
        </w:rPr>
      </w:pPr>
    </w:p>
    <w:p>
      <w:pPr>
        <w:ind w:right="320" w:firstLine="405"/>
        <w:spacing w:after="0" w:line="261" w:lineRule="auto"/>
        <w:rPr>
          <w:sz w:val="20"/>
          <w:szCs w:val="20"/>
          <w:color w:val="auto"/>
        </w:rPr>
      </w:pPr>
      <w:r>
        <w:rPr>
          <w:rFonts w:ascii="Arial" w:cs="Arial" w:eastAsia="Arial" w:hAnsi="Arial"/>
          <w:sz w:val="18"/>
          <w:szCs w:val="18"/>
          <w:color w:val="auto"/>
        </w:rPr>
        <w:t>In connection with the plan remeasurements, we lowered our expected long-term rate of return on plan assets from 7.00% to 6.50%, which reflects recent changes in our asset allocation targets.</w:t>
      </w:r>
    </w:p>
    <w:p>
      <w:pPr>
        <w:spacing w:after="0" w:line="157" w:lineRule="exact"/>
        <w:rPr>
          <w:sz w:val="20"/>
          <w:szCs w:val="20"/>
          <w:color w:val="auto"/>
        </w:rPr>
      </w:pPr>
    </w:p>
    <w:p>
      <w:pPr>
        <w:ind w:right="280" w:firstLine="405"/>
        <w:spacing w:after="0" w:line="250" w:lineRule="auto"/>
        <w:rPr>
          <w:sz w:val="20"/>
          <w:szCs w:val="20"/>
          <w:color w:val="auto"/>
        </w:rPr>
      </w:pPr>
      <w:r>
        <w:rPr>
          <w:rFonts w:ascii="Arial" w:cs="Arial" w:eastAsia="Arial" w:hAnsi="Arial"/>
          <w:sz w:val="18"/>
          <w:szCs w:val="18"/>
          <w:color w:val="auto"/>
        </w:rPr>
        <w:t>The plan remeasurement resulted in a decrease of $2.9 billion to our net unfunded pension obligations (which includes the change in benefit obligation due to remeasurement of $1.3 billion and the incremental return on plan assets recognized in remeasurement of</w:t>
      </w:r>
    </w:p>
    <w:p>
      <w:pPr>
        <w:spacing w:after="0" w:line="1"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$1.6 billion in the table above) with a corresponding increase of $2.3 billion after taxes in stockholders’ equity. The change in stockholders’ equity reflects the decrease in deferred actuarial losses, which will be recognized as an increase in net FAS pension income (or a decrease in net FAS pension expense) over the estimated remaining life expectancy of the covered employees beginning in the third quarter of 2021. However, deferred net actuarial gains or losses in stockholders’ equity are adjusted annually when the funded status of our postretirement benefit plans are measured, which will result in additional changes to our FAS pension income or expense in future periods.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Lockheed Martin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 (continued)</w:t>
      </w:r>
    </w:p>
    <w:p>
      <w:pPr>
        <w:spacing w:after="0" w:line="200" w:lineRule="exact"/>
        <w:rPr>
          <w:sz w:val="20"/>
          <w:szCs w:val="20"/>
          <w:color w:val="auto"/>
        </w:rPr>
      </w:pPr>
    </w:p>
    <w:p>
      <w:pPr>
        <w:spacing w:after="0" w:line="309" w:lineRule="exact"/>
        <w:rPr>
          <w:sz w:val="20"/>
          <w:szCs w:val="20"/>
          <w:color w:val="auto"/>
        </w:rPr>
      </w:pPr>
    </w:p>
    <w:p>
      <w:pPr>
        <w:ind w:right="120" w:firstLine="405"/>
        <w:spacing w:after="0" w:line="253" w:lineRule="auto"/>
        <w:rPr>
          <w:sz w:val="20"/>
          <w:szCs w:val="20"/>
          <w:color w:val="auto"/>
        </w:rPr>
      </w:pPr>
      <w:r>
        <w:rPr>
          <w:rFonts w:ascii="Arial" w:cs="Arial" w:eastAsia="Arial" w:hAnsi="Arial"/>
          <w:sz w:val="18"/>
          <w:szCs w:val="18"/>
          <w:color w:val="auto"/>
        </w:rPr>
        <w:t>The purchase of the group annuity contracts and the pension remeasurement did not have an impact on our CAS pension cost and did not significantly impact our total FAS pension expense or net FAS/CAS pension adjustment for the quarter ended September 26, 2021 or expected full year 2021, except for the noncash pension settlement charge. The increase in the discount rate, incremental return on plan assets, and settlement charge reduced FAS pension expense in future periods, which was offset by the impact of the lower expected long-term rate of return on plan assets.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Requirements</w:t>
      </w:r>
    </w:p>
    <w:p>
      <w:pPr>
        <w:spacing w:after="0" w:line="207" w:lineRule="exact"/>
        <w:rPr>
          <w:sz w:val="20"/>
          <w:szCs w:val="20"/>
          <w:color w:val="auto"/>
        </w:rPr>
      </w:pPr>
    </w:p>
    <w:p>
      <w:pPr>
        <w:jc w:val="both"/>
        <w:ind w:right="100" w:firstLine="405"/>
        <w:spacing w:after="0" w:line="256" w:lineRule="auto"/>
        <w:rPr>
          <w:sz w:val="20"/>
          <w:szCs w:val="20"/>
          <w:color w:val="auto"/>
        </w:rPr>
      </w:pPr>
      <w:r>
        <w:rPr>
          <w:rFonts w:ascii="Arial" w:cs="Arial" w:eastAsia="Arial" w:hAnsi="Arial"/>
          <w:sz w:val="18"/>
          <w:szCs w:val="18"/>
          <w:color w:val="auto"/>
        </w:rPr>
        <w:t>The required funding of our qualified defined benefit pension plans is determined in accordance with the Employee Retirement Income Security Act of 1974 (ERISA), as amended, along with consideration of CAS and Internal Revenue Code rules. We made no contributions to our qualified defined benefit pension plans during the quarters and nine months ended September 26, 2021 and September 27, 2020.</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LEGAL PROCEEDINGS AND CONTINGENCIES</w:t>
      </w:r>
    </w:p>
    <w:p>
      <w:pPr>
        <w:spacing w:after="0" w:line="220"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We are a party to litigation and other proceedings that arise in the ordinary course of our business, including matters arising under provisions relating to the protection of the environment, and are subject to contingencies related to certain businesses we previously owned. These types of matters could result in fines, penalties, cost reimbursements or contributions, compensatory or treble damages or non-monetary sanctions or relief. We believe the probability is remote that the outcome of each of these matters, including the legal proceedings described below, will have a material adverse effect on the corporation as a whole, notwithstanding that the unfavorable resolution of any matter may have a material effect on our net earnings and cash flows in any particular interim reporting period. Among the factors that we consider in this assessment are the nature of existing legal proceedings and claims, the asserted or possible damages or loss contingency (if estimable), the progress of the case, existing law and precedent, the opinions or views of legal counsel and other advisers, our experience in similar cases and the experience of other companies, the facts available to us at the time of assessment and how we intend to respond to the proceeding or claim. Our assessment of these factors may change over time as individual proceedings or claims progress.</w:t>
      </w:r>
    </w:p>
    <w:p>
      <w:pPr>
        <w:spacing w:after="0" w:line="171" w:lineRule="exact"/>
        <w:rPr>
          <w:sz w:val="20"/>
          <w:szCs w:val="20"/>
          <w:color w:val="auto"/>
        </w:rPr>
      </w:pPr>
    </w:p>
    <w:p>
      <w:pPr>
        <w:ind w:right="20" w:firstLine="445"/>
        <w:spacing w:after="0" w:line="252" w:lineRule="auto"/>
        <w:rPr>
          <w:sz w:val="20"/>
          <w:szCs w:val="20"/>
          <w:color w:val="auto"/>
        </w:rPr>
      </w:pPr>
      <w:r>
        <w:rPr>
          <w:rFonts w:ascii="Arial" w:cs="Arial" w:eastAsia="Arial" w:hAnsi="Arial"/>
          <w:sz w:val="18"/>
          <w:szCs w:val="18"/>
          <w:color w:val="auto"/>
        </w:rPr>
        <w:t>Although we cannot predict the outcome of legal or other proceedings with certainty, where there is at least a reasonable possibility that a loss may have been incurred, GAAP requires us to disclose an estimate of the reasonably possible loss or range of loss or make a statement that such an estimate cannot be made. We follow a thorough process in which we seek to estimate the reasonably possible loss or range of loss, and only if we are unable to make such an estimate do we conclude and disclose that an estimate cannot be made. Accordingly, unless otherwise indicated below in our discussion of legal proceedings, a reasonably possible loss or range of loss associated with any individual legal proceeding cannot be estimated.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States of America, ex rel. Patzer; Cimma v. Sikorsky Aircraft Corp., et al</w:t>
      </w:r>
    </w:p>
    <w:p>
      <w:pPr>
        <w:spacing w:after="0" w:line="203" w:lineRule="exact"/>
        <w:rPr>
          <w:sz w:val="20"/>
          <w:szCs w:val="20"/>
          <w:color w:val="auto"/>
        </w:rPr>
      </w:pPr>
    </w:p>
    <w:p>
      <w:pPr>
        <w:ind w:right="100" w:firstLine="445"/>
        <w:spacing w:after="0" w:line="252" w:lineRule="auto"/>
        <w:rPr>
          <w:sz w:val="20"/>
          <w:szCs w:val="20"/>
          <w:color w:val="auto"/>
        </w:rPr>
      </w:pPr>
      <w:r>
        <w:rPr>
          <w:rFonts w:ascii="Arial" w:cs="Arial" w:eastAsia="Arial" w:hAnsi="Arial"/>
          <w:sz w:val="18"/>
          <w:szCs w:val="18"/>
          <w:color w:val="auto"/>
        </w:rPr>
        <w:t>As a result of our acquisition of Sikorsky Aircraft Corporation (Sikorsky), we assumed the defense of and any potential liability for two civil False Claims Act lawsuits pending in the U.S. District Court for the Eastern District of Wisconsin. In October 2014, the U.S. Government filed a complaint in intervention in the first suit, which was brought by qui tam relator Mary Patzer, a former Derco Aerospace (Derco) employee. In May 2017, the U.S. Government filed a complaint in intervention in a second suit, which was brought by qui tam relator Peter Cimma, a former Sikorsky Support Services, Inc. (SSSI) employee. In November 2017, the Court consolidated the cases into a single action for discovery and trial.</w:t>
      </w:r>
    </w:p>
    <w:p>
      <w:pPr>
        <w:spacing w:after="0" w:line="168" w:lineRule="exact"/>
        <w:rPr>
          <w:sz w:val="20"/>
          <w:szCs w:val="20"/>
          <w:color w:val="auto"/>
        </w:rPr>
      </w:pPr>
    </w:p>
    <w:p>
      <w:pPr>
        <w:ind w:right="20" w:firstLine="445"/>
        <w:spacing w:after="0" w:line="252" w:lineRule="auto"/>
        <w:rPr>
          <w:sz w:val="20"/>
          <w:szCs w:val="20"/>
          <w:color w:val="auto"/>
        </w:rPr>
      </w:pPr>
      <w:r>
        <w:rPr>
          <w:rFonts w:ascii="Arial" w:cs="Arial" w:eastAsia="Arial" w:hAnsi="Arial"/>
          <w:sz w:val="18"/>
          <w:szCs w:val="18"/>
          <w:color w:val="auto"/>
        </w:rPr>
        <w:t>The U.S. Government alleges that Sikorsky and two of its wholly-owned subsidiaries, Derco and SSSI, violated the civil False Claims Act and the Truth in Negotiations Act in connection with a contract the U.S. Navy awarded to SSSI in June 2006 to support the Navy’s T-34 and T-44 fixed-wing turboprop training aircraft. SSSI subcontracted with Derco, primarily to procure and manage spare parts for the training aircraft. The U.S. Government contends that SSSI overbilled the Navy on the contract as the result of Derco’s use of prohibited cost-plus-percentage-of-cost pricing to add profit and overhead costs as a percentage of the price of the spare parts that Derco procured and then sold to SSSI. The U.S. Government also alleges that Derco’s claims to SSSI, SSSI’s claims to the Navy, and SSSI’s yearly Certificates of Final Indirect Costs from 2006 through 2012 were false and that SSSI submitted inaccurate cost or pricing data in violation of</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Lockheed Martin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 (continued)</w:t>
      </w:r>
    </w:p>
    <w:p>
      <w:pPr>
        <w:spacing w:after="0" w:line="200" w:lineRule="exact"/>
        <w:rPr>
          <w:sz w:val="20"/>
          <w:szCs w:val="20"/>
          <w:color w:val="auto"/>
        </w:rPr>
      </w:pPr>
    </w:p>
    <w:p>
      <w:pPr>
        <w:spacing w:after="0" w:line="309"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the Truth in Negotiations Act for a sole-sourced, follow-on “bridge” contract. The U.S. Government’s complaints assert common law claims for breach of contract and unjust enrichment.</w:t>
      </w:r>
    </w:p>
    <w:p>
      <w:pPr>
        <w:spacing w:after="0" w:line="171" w:lineRule="exact"/>
        <w:rPr>
          <w:sz w:val="20"/>
          <w:szCs w:val="20"/>
          <w:color w:val="auto"/>
        </w:rPr>
      </w:pPr>
    </w:p>
    <w:p>
      <w:pPr>
        <w:ind w:right="100" w:firstLine="405"/>
        <w:spacing w:after="0" w:line="252" w:lineRule="auto"/>
        <w:rPr>
          <w:sz w:val="20"/>
          <w:szCs w:val="20"/>
          <w:color w:val="auto"/>
        </w:rPr>
      </w:pPr>
      <w:r>
        <w:rPr>
          <w:rFonts w:ascii="Arial" w:cs="Arial" w:eastAsia="Arial" w:hAnsi="Arial"/>
          <w:sz w:val="18"/>
          <w:szCs w:val="18"/>
          <w:color w:val="auto"/>
        </w:rPr>
        <w:t>The U.S. Government further alleged violations of the Anti-Kickback Act and False Claims Act based on a monthly “chargeback,” through which SSSI billed Derco for the cost of certain SSSI personnel, allegedly in exchange for SSSI’s permitting a pricing arrangement that was “highly favorable” to Derco. On January 12, 2018, the Corporation filed a partial motion to dismiss intended to narrow the U.S. Government’s claims, including by seeking dismissal of the Anti-Kickback Act allegations. The Corporation also moved to dismiss Cimma as a party under the False Claims Act’s first-to-file rule, which permits only the first relator to recover in a pending case. The District Court granted these motions, in part, on July 20, 2018, dismissing the Government’s claims under the Anti-Kickback Act and dismissing Cimma as a party to the litigation.</w:t>
      </w:r>
    </w:p>
    <w:p>
      <w:pPr>
        <w:spacing w:after="0" w:line="166" w:lineRule="exact"/>
        <w:rPr>
          <w:sz w:val="20"/>
          <w:szCs w:val="20"/>
          <w:color w:val="auto"/>
        </w:rPr>
      </w:pPr>
    </w:p>
    <w:p>
      <w:pPr>
        <w:ind w:right="120" w:firstLine="405"/>
        <w:spacing w:after="0" w:line="252" w:lineRule="auto"/>
        <w:rPr>
          <w:sz w:val="20"/>
          <w:szCs w:val="20"/>
          <w:color w:val="auto"/>
        </w:rPr>
      </w:pPr>
      <w:r>
        <w:rPr>
          <w:rFonts w:ascii="Arial" w:cs="Arial" w:eastAsia="Arial" w:hAnsi="Arial"/>
          <w:sz w:val="18"/>
          <w:szCs w:val="18"/>
          <w:color w:val="auto"/>
        </w:rPr>
        <w:t>The U.S. Government seeks damages of approximately $52 million, subject to trebling, plus statutory penalties. We believe that we have legal and factual defenses to the U.S. Government’s remaining claims. Although we continue to evaluate our liability and exposure, we do not currently believe that it is probable that we will incur a material loss. If, contrary to our expectations, the U.S. Government prevails in this matter and proves damages at or near $52 million and is successful in having such damages trebled, the outcome could have an adverse effect on our results of operations in the period in which a liability is recognized and on our cash flows for the period in which any damages are paid.</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Lockheed Martin v. Metropolitan Transportation Authority</w:t>
      </w:r>
    </w:p>
    <w:p>
      <w:pPr>
        <w:spacing w:after="0" w:line="189"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On April 24, 2009, we filed a declaratory judgment action against the New York Metropolitan Transportation Authority and its Capital Construction Company (collectively, the MTA) asking the U.S. District Court for the Southern District of New York to find that the MTA is in material breach of our agreement based on the MTA’s failure to provide access to sites where work must be performed and the customer-furnished equipment necessary to complete the contract. The MTA filed an answer and counterclaim alleging that we breached the contract and subsequently terminated the contract for alleged default. The primary damages sought by the MTA are the costs to complete the contract and potential re-procurement costs. While we are unable to estimate the cost of another contractor to complete the contract and the costs of re-procurement, we note that our contract with the MTA had a total value of $323 million, of which $241 million was paid to us, and that the MTA is seeking damages of approximately $190 million. We dispute the MTA’s allegations and are defending against them. Additionally, following an investigation, our sureties on a performance bond related to this matter, who were represented by independent counsel, concluded that the MTA’s termination of the contract was improper. Finally, our declaratory judgment action was later amended to include claims for monetary damages against the MTA of approximately $95 million. This matter was taken under submission by the District Court in December 2014, after a five -week bench trial and the filing of post-trial pleadings by the parties. We continue to await a decision from the District Court. Although this matter relates to our former Information Systems &amp; Global Solutions (IS&amp;GS) business, we retained responsibility for the litigation when we divested IS&amp;GS in 2016.</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07" w:lineRule="exact"/>
        <w:rPr>
          <w:sz w:val="20"/>
          <w:szCs w:val="20"/>
          <w:color w:val="auto"/>
        </w:rPr>
      </w:pPr>
    </w:p>
    <w:p>
      <w:pPr>
        <w:ind w:right="100" w:firstLine="405"/>
        <w:spacing w:after="0" w:line="251" w:lineRule="auto"/>
        <w:rPr>
          <w:sz w:val="20"/>
          <w:szCs w:val="20"/>
          <w:color w:val="auto"/>
        </w:rPr>
      </w:pPr>
      <w:r>
        <w:rPr>
          <w:rFonts w:ascii="Arial" w:cs="Arial" w:eastAsia="Arial" w:hAnsi="Arial"/>
          <w:sz w:val="18"/>
          <w:szCs w:val="18"/>
          <w:color w:val="auto"/>
        </w:rPr>
        <w:t>We are involved in proceedings and potential proceedings relating to soil, sediment, surface water, and groundwater contamination, disposal of hazardous substances, and other environmental matters at several of our current or former facilities, facilities for which we may have contractual responsibility, and at third-party sites where we have been designated as a potentially responsible party (PRP). A substantial portion of environmental costs will be included in our net sales and cost of sales in future periods pursuant to U.S. Government regulations. At the time a liability is recorded for future environmental costs, we record assets for estimated future recovery considered probable through the pricing of products and services to agencies of the U.S. Government, regardless of the contract form (e.g., cost-reimbursable, fixed-price). We continually evaluate the recoverability of our assets for the portion of environmental costs that are probable of future recovery by assessing, among other factors, U.S. Government regulations, our U.S. Government business base and contract mix, our history of receiving reimbursement of such costs, and efforts by some U.S. Government representatives to limit such reimbursement. We include the portions of those environmental costs expected to be allocated to our non-U.S. Government contracts, or determined not to be recoverable under U.S. Government contracts, in our cost of sales at the time the liability is established or adjusted.</w:t>
      </w:r>
    </w:p>
    <w:p>
      <w:pPr>
        <w:spacing w:after="0" w:line="170" w:lineRule="exact"/>
        <w:rPr>
          <w:sz w:val="20"/>
          <w:szCs w:val="20"/>
          <w:color w:val="auto"/>
        </w:rPr>
      </w:pPr>
    </w:p>
    <w:p>
      <w:pPr>
        <w:ind w:right="420" w:firstLine="405"/>
        <w:spacing w:after="0" w:line="256" w:lineRule="auto"/>
        <w:rPr>
          <w:sz w:val="20"/>
          <w:szCs w:val="20"/>
          <w:color w:val="auto"/>
        </w:rPr>
      </w:pPr>
      <w:r>
        <w:rPr>
          <w:rFonts w:ascii="Arial" w:cs="Arial" w:eastAsia="Arial" w:hAnsi="Arial"/>
          <w:sz w:val="18"/>
          <w:szCs w:val="18"/>
          <w:color w:val="auto"/>
        </w:rPr>
        <w:t>At September 26, 2021 and December 31, 2020, the aggregate amount of liabilities recorded relative to environmental matters was $771 million and $789 million, most of which are recorded in other noncurrent liabilities on our consolidated balance sheets. We have recorded assets for the portion of environmental costs that are probable of future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Lockheed Martin Corporation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(unaudited) (continued)</w:t>
      </w:r>
    </w:p>
    <w:p>
      <w:pPr>
        <w:spacing w:after="0" w:line="200" w:lineRule="exact"/>
        <w:rPr>
          <w:sz w:val="20"/>
          <w:szCs w:val="20"/>
          <w:color w:val="auto"/>
        </w:rPr>
      </w:pPr>
    </w:p>
    <w:p>
      <w:pPr>
        <w:spacing w:after="0" w:line="309"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recovery under U.S. Government contracts totaling $669 million and $685 million at September 26, 2021 and December 31, 2020, most of which are recorded in other noncurrent assets on our consolidated balance sheets.</w:t>
      </w:r>
    </w:p>
    <w:p>
      <w:pPr>
        <w:spacing w:after="0" w:line="171" w:lineRule="exact"/>
        <w:rPr>
          <w:sz w:val="20"/>
          <w:szCs w:val="20"/>
          <w:color w:val="auto"/>
        </w:rPr>
      </w:pPr>
    </w:p>
    <w:p>
      <w:pPr>
        <w:ind w:right="20" w:firstLine="405"/>
        <w:spacing w:after="0" w:line="251" w:lineRule="auto"/>
        <w:rPr>
          <w:sz w:val="20"/>
          <w:szCs w:val="20"/>
          <w:color w:val="auto"/>
        </w:rPr>
      </w:pPr>
      <w:r>
        <w:rPr>
          <w:rFonts w:ascii="Arial" w:cs="Arial" w:eastAsia="Arial" w:hAnsi="Arial"/>
          <w:sz w:val="18"/>
          <w:szCs w:val="18"/>
          <w:color w:val="auto"/>
        </w:rPr>
        <w:t>Environmental remediation activities usually span many years, which makes estimating liabilities a matter of judgment because of uncertainties with respect to assessing the extent of the contamination as well as such factors as changing remediation technologies and changing regulatory environmental standards. We are monitoring or investigating a number of former and present operating facilities for potential future remediation. We perform quarterly reviews of the status of our environmental remediation sites and the related liabilities and receivables. Additionally, in our quarterly reviews, we consider these and other factors in estimating the timing and amount of any future costs that may be required for remediation activities, and we record a liability when it is probable that a loss has occurred or will occur for a particular site and the loss can be reasonably estimated. The amount of liability recorded is based on our estimate of the costs to be incurred for remediation for that site. We do not discount the recorded liabilities, as the amount and timing of future cash payments are not fixed or cannot be reliably determined. We cannot reasonably determine the extent of our financial exposure in all cases as, although a loss may be probable or reasonably possible, in some cases it is not possible at this time to estimate the reasonably possible loss or range of loss. We project costs and recovery of costs over approximately 20 years.</w:t>
      </w:r>
    </w:p>
    <w:p>
      <w:pPr>
        <w:spacing w:after="0" w:line="170"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auto"/>
        </w:rPr>
        <w:t>We also pursue claims for recovery of costs incurred or for contribution to site remediation costs against other PRPs, including the U.S. Government, and are conducting remediation activities under various consent decrees, orders, and agreements relating to soil, groundwater, sediment, or surface water contamination at certain sites of former or current operations. Under agreements related to certain sites in California, New York, United States Virgin Islands and Washington, the U.S. Government and/or a private party reimburses us an amount equal to a percentage, specific to each site, of expenditures for certain remediation activities in their capacity as PRPs under the Comprehensive Environmental Response, Compensation and Liability Act (CERCLA).</w:t>
      </w:r>
    </w:p>
    <w:p>
      <w:pPr>
        <w:spacing w:after="0" w:line="168" w:lineRule="exact"/>
        <w:rPr>
          <w:sz w:val="20"/>
          <w:szCs w:val="20"/>
          <w:color w:val="auto"/>
        </w:rPr>
      </w:pPr>
    </w:p>
    <w:p>
      <w:pPr>
        <w:ind w:right="200" w:firstLine="405"/>
        <w:spacing w:after="0" w:line="252" w:lineRule="auto"/>
        <w:rPr>
          <w:sz w:val="20"/>
          <w:szCs w:val="20"/>
          <w:color w:val="auto"/>
        </w:rPr>
      </w:pPr>
      <w:r>
        <w:rPr>
          <w:rFonts w:ascii="Arial" w:cs="Arial" w:eastAsia="Arial" w:hAnsi="Arial"/>
          <w:sz w:val="18"/>
          <w:szCs w:val="18"/>
          <w:color w:val="auto"/>
        </w:rPr>
        <w:t>In addition to the proceedings and potential proceedings discussed above, the California State Water Resources Control Board, a branch of the California Environmental Protection Agency, has indicated it will work to re-establish a maximum level of the contaminant hexavalent chromium in drinking water after a prior standard of 10 parts per billion (ppb) was challenged and withdrawn, and is also reevaluating its existing drinking water standard of 6 ppb for perchlorate. The U.S. Environmental Protection Agency decided in June 2020 not to regulate perchlorate in drinking water at the federal level, although this decision has been challenged, and is considering whether to regulate hexavalent chromium.</w:t>
      </w:r>
    </w:p>
    <w:p>
      <w:pPr>
        <w:spacing w:after="0" w:line="181" w:lineRule="exact"/>
        <w:rPr>
          <w:sz w:val="20"/>
          <w:szCs w:val="20"/>
          <w:color w:val="auto"/>
        </w:rPr>
      </w:pPr>
    </w:p>
    <w:p>
      <w:pPr>
        <w:ind w:right="20" w:firstLine="405"/>
        <w:spacing w:after="0" w:line="253" w:lineRule="auto"/>
        <w:rPr>
          <w:sz w:val="20"/>
          <w:szCs w:val="20"/>
          <w:color w:val="auto"/>
        </w:rPr>
      </w:pPr>
      <w:r>
        <w:rPr>
          <w:rFonts w:ascii="Arial" w:cs="Arial" w:eastAsia="Arial" w:hAnsi="Arial"/>
          <w:sz w:val="18"/>
          <w:szCs w:val="18"/>
          <w:color w:val="auto"/>
        </w:rPr>
        <w:t>If substantially lower standards are adopted for perchlorate (in California) or for hexavalent chromium (in California or at the federal level), we expect a material increase in our estimates for environmental liabilities and the related assets for the portion of the increased costs that are probable of future recovery in the pricing of our products and services for the U.S. Government. The amount that would be allocable to our non-U.S. Government contracts or that is determined not to be recoverable under U.S. Government contracts would be expensed, which may have a material effect on our earnings in any particular interim reporting period.</w:t>
      </w:r>
    </w:p>
    <w:p>
      <w:pPr>
        <w:spacing w:after="0" w:line="165" w:lineRule="exact"/>
        <w:rPr>
          <w:sz w:val="20"/>
          <w:szCs w:val="20"/>
          <w:color w:val="auto"/>
        </w:rPr>
      </w:pPr>
    </w:p>
    <w:p>
      <w:pPr>
        <w:ind w:right="80" w:firstLine="405"/>
        <w:spacing w:after="0" w:line="250" w:lineRule="auto"/>
        <w:rPr>
          <w:sz w:val="20"/>
          <w:szCs w:val="20"/>
          <w:color w:val="auto"/>
        </w:rPr>
      </w:pPr>
      <w:r>
        <w:rPr>
          <w:rFonts w:ascii="Arial" w:cs="Arial" w:eastAsia="Arial" w:hAnsi="Arial"/>
          <w:sz w:val="18"/>
          <w:szCs w:val="18"/>
          <w:color w:val="auto"/>
        </w:rPr>
        <w:t>We also are evaluating the potential impact of existing and contemplated legal requirements addressing a class of chemicals known generally as per- and polyfluoroalkyl substances (PFAS). PFAS have been used ubiquitously, such as in fire-fighting foams, manufacturing processes, and stain- and stick-resistant products (e.g., Teflon, stain-resistant fabrics). Because we have used products and processes over the years containing some of those compounds, they likely exist as contaminants at many of our environmental remediation</w:t>
      </w:r>
    </w:p>
    <w:p>
      <w:pPr>
        <w:spacing w:after="0" w:line="2" w:lineRule="exact"/>
        <w:rPr>
          <w:sz w:val="20"/>
          <w:szCs w:val="20"/>
          <w:color w:val="auto"/>
        </w:rPr>
      </w:pPr>
    </w:p>
    <w:p>
      <w:pPr>
        <w:ind w:right="80"/>
        <w:spacing w:after="0" w:line="291" w:lineRule="auto"/>
        <w:rPr>
          <w:sz w:val="20"/>
          <w:szCs w:val="20"/>
          <w:color w:val="auto"/>
        </w:rPr>
      </w:pPr>
      <w:r>
        <w:rPr>
          <w:rFonts w:ascii="Arial" w:cs="Arial" w:eastAsia="Arial" w:hAnsi="Arial"/>
          <w:sz w:val="17"/>
          <w:szCs w:val="17"/>
          <w:color w:val="auto"/>
        </w:rPr>
        <w:t>sites. Governmental authorities have announced plans, and in some instances have begun, to regulate certain of these compounds at extremely low concentrations in drinking water, which could lead to increased cleanup costs at many of our environmental remediation sites.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Letters of Credit, Surety Bonds and Third-Party Guarantees</w:t>
      </w:r>
    </w:p>
    <w:p>
      <w:pPr>
        <w:spacing w:after="0" w:line="220"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We have entered into standby letters of credit and surety bonds issued on our behalf by financial institutions, and we have directly issued guarantees to third parties primarily relating to advances received from customers and the guarantee of future performance on certain contracts. Letters of credit and surety bonds generally are available for draw down in the event we do not perform. In some cases, we may guarantee the contractual performance of third parties such as joint venture partners. We had total outstanding letters of credit, surety bonds and third-party guarantees aggregating $3.4 billion at both September 26, 2021 and December 31, 2020. Third-party guarantees do not include guarantees issued on behalf of subsidiaries and other consolidated entities.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82" w:right="37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Lockheed Martin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 (continued)</w:t>
      </w:r>
    </w:p>
    <w:p>
      <w:pPr>
        <w:spacing w:after="0" w:line="200" w:lineRule="exact"/>
        <w:rPr>
          <w:sz w:val="20"/>
          <w:szCs w:val="20"/>
          <w:color w:val="auto"/>
        </w:rPr>
      </w:pPr>
    </w:p>
    <w:p>
      <w:pPr>
        <w:spacing w:after="0" w:line="309" w:lineRule="exact"/>
        <w:rPr>
          <w:sz w:val="20"/>
          <w:szCs w:val="20"/>
          <w:color w:val="auto"/>
        </w:rPr>
      </w:pPr>
    </w:p>
    <w:p>
      <w:pPr>
        <w:ind w:right="120" w:firstLine="445"/>
        <w:spacing w:after="0" w:line="253" w:lineRule="auto"/>
        <w:rPr>
          <w:sz w:val="20"/>
          <w:szCs w:val="20"/>
          <w:color w:val="auto"/>
        </w:rPr>
      </w:pPr>
      <w:r>
        <w:rPr>
          <w:rFonts w:ascii="Arial" w:cs="Arial" w:eastAsia="Arial" w:hAnsi="Arial"/>
          <w:sz w:val="18"/>
          <w:szCs w:val="18"/>
          <w:color w:val="auto"/>
        </w:rPr>
        <w:t>At September 26, 2021 and December 31, 2020, third-party guarantees totaled $842 million and $871 million, of which approximately 69% and 71% related to guarantees of contractual performance of joint ventures to which we currently are or previously were a party. These amounts represent our estimate of the maximum amounts we would expect to incur upon the contractual non-performance of the joint venture, joint venture partners or divested businesses. Generally, we also have cross-indemnities in place that may enable us to recover amounts that may be paid on behalf of a joint venture partner.</w:t>
      </w:r>
    </w:p>
    <w:p>
      <w:pPr>
        <w:spacing w:after="0" w:line="178" w:lineRule="exact"/>
        <w:rPr>
          <w:sz w:val="20"/>
          <w:szCs w:val="20"/>
          <w:color w:val="auto"/>
        </w:rPr>
      </w:pPr>
    </w:p>
    <w:p>
      <w:pPr>
        <w:ind w:right="160" w:firstLine="445"/>
        <w:spacing w:after="0" w:line="254" w:lineRule="auto"/>
        <w:rPr>
          <w:sz w:val="20"/>
          <w:szCs w:val="20"/>
          <w:color w:val="auto"/>
        </w:rPr>
      </w:pPr>
      <w:r>
        <w:rPr>
          <w:rFonts w:ascii="Arial" w:cs="Arial" w:eastAsia="Arial" w:hAnsi="Arial"/>
          <w:sz w:val="18"/>
          <w:szCs w:val="18"/>
          <w:color w:val="auto"/>
        </w:rPr>
        <w:t>In determining our exposures, we evaluate the reputation, performance on contractual obligations, technical capabilities and credit quality of our current and former joint venture partners and the transferee under novation agreements all of which include a guarantee as required by the FAR. At September 26, 2021 and December 31, 2020, there were no material amounts recorded in our financial statements related to third-party guarantees or novation agreements.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FAIR VALUE MEASUREMENTS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Assets and liabilities measured and recorded at fair value on a recurring basis consisted of the following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84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b w:val="1"/>
                <w:bCs w:val="1"/>
                <w:color w:val="auto"/>
              </w:rPr>
              <w:t>September 26, 2021</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b w:val="1"/>
                <w:bCs w:val="1"/>
                <w:color w:val="auto"/>
              </w:rPr>
              <w:t>December 31, 2020</w:t>
            </w:r>
          </w:p>
        </w:tc>
        <w:tc>
          <w:tcPr>
            <w:tcW w:w="3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8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6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Level 1</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8"/>
              </w:rPr>
              <w:t>Level 2</w:t>
            </w:r>
          </w:p>
        </w:tc>
        <w:tc>
          <w:tcPr>
            <w:tcW w:w="5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6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Level 1</w:t>
            </w: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8"/>
              </w:rPr>
              <w:t>Level 2</w:t>
            </w:r>
          </w:p>
        </w:tc>
        <w:tc>
          <w:tcPr>
            <w:tcW w:w="0" w:type="dxa"/>
            <w:vAlign w:val="bottom"/>
          </w:tcPr>
          <w:p>
            <w:pPr>
              <w:spacing w:after="0"/>
              <w:rPr>
                <w:sz w:val="1"/>
                <w:szCs w:val="1"/>
                <w:color w:val="auto"/>
              </w:rPr>
            </w:pPr>
          </w:p>
        </w:tc>
      </w:tr>
      <w:tr>
        <w:trPr>
          <w:trHeight w:val="223"/>
        </w:trPr>
        <w:tc>
          <w:tcPr>
            <w:tcW w:w="184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Assets</w:t>
            </w:r>
          </w:p>
        </w:tc>
        <w:tc>
          <w:tcPr>
            <w:tcW w:w="6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840" w:type="dxa"/>
            <w:vAlign w:val="bottom"/>
          </w:tcPr>
          <w:p>
            <w:pPr>
              <w:ind w:left="600"/>
              <w:spacing w:after="0"/>
              <w:rPr>
                <w:sz w:val="20"/>
                <w:szCs w:val="20"/>
                <w:color w:val="auto"/>
              </w:rPr>
            </w:pPr>
            <w:r>
              <w:rPr>
                <w:rFonts w:ascii="Arial" w:cs="Arial" w:eastAsia="Arial" w:hAnsi="Arial"/>
                <w:sz w:val="18"/>
                <w:szCs w:val="18"/>
                <w:color w:val="auto"/>
              </w:rPr>
              <w:t>Mutual funds</w:t>
            </w:r>
          </w:p>
        </w:tc>
        <w:tc>
          <w:tcPr>
            <w:tcW w:w="6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b w:val="1"/>
                <w:bCs w:val="1"/>
                <w:color w:val="auto"/>
              </w:rPr>
              <w:t>1,377</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ind w:right="350"/>
              <w:spacing w:after="0"/>
              <w:rPr>
                <w:sz w:val="20"/>
                <w:szCs w:val="20"/>
                <w:color w:val="auto"/>
              </w:rPr>
            </w:pPr>
            <w:r>
              <w:rPr>
                <w:rFonts w:ascii="Arial" w:cs="Arial" w:eastAsia="Arial" w:hAnsi="Arial"/>
                <w:sz w:val="18"/>
                <w:szCs w:val="18"/>
                <w:b w:val="1"/>
                <w:bCs w:val="1"/>
                <w:color w:val="auto"/>
              </w:rPr>
              <w:t>1,377</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1,335</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30"/>
              <w:spacing w:after="0"/>
              <w:rPr>
                <w:sz w:val="20"/>
                <w:szCs w:val="20"/>
                <w:color w:val="auto"/>
              </w:rPr>
            </w:pPr>
            <w:r>
              <w:rPr>
                <w:rFonts w:ascii="Arial" w:cs="Arial" w:eastAsia="Arial" w:hAnsi="Arial"/>
                <w:sz w:val="18"/>
                <w:szCs w:val="18"/>
                <w:color w:val="auto"/>
              </w:rPr>
              <w:t>1,335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1840" w:type="dxa"/>
            <w:vAlign w:val="bottom"/>
            <w:shd w:val="clear" w:color="auto" w:fill="CCEEFF"/>
          </w:tcPr>
          <w:p>
            <w:pPr>
              <w:ind w:left="600"/>
              <w:spacing w:after="0" w:line="189" w:lineRule="exact"/>
              <w:rPr>
                <w:sz w:val="20"/>
                <w:szCs w:val="20"/>
                <w:color w:val="auto"/>
              </w:rPr>
            </w:pPr>
            <w:r>
              <w:rPr>
                <w:rFonts w:ascii="Arial" w:cs="Arial" w:eastAsia="Arial" w:hAnsi="Arial"/>
                <w:sz w:val="18"/>
                <w:szCs w:val="18"/>
                <w:color w:val="auto"/>
              </w:rPr>
              <w:t>U.S.</w:t>
            </w:r>
          </w:p>
        </w:tc>
        <w:tc>
          <w:tcPr>
            <w:tcW w:w="6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8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Government</w:t>
            </w:r>
          </w:p>
        </w:tc>
        <w:tc>
          <w:tcPr>
            <w:tcW w:w="68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102</w:t>
            </w:r>
          </w:p>
        </w:tc>
        <w:tc>
          <w:tcPr>
            <w:tcW w:w="68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102</w:t>
            </w:r>
          </w:p>
        </w:tc>
        <w:tc>
          <w:tcPr>
            <w:tcW w:w="5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securities</w:t>
            </w:r>
          </w:p>
        </w:tc>
        <w:tc>
          <w:tcPr>
            <w:tcW w:w="68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92</w:t>
            </w:r>
          </w:p>
        </w:tc>
        <w:tc>
          <w:tcPr>
            <w:tcW w:w="6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188"/>
        </w:trPr>
        <w:tc>
          <w:tcPr>
            <w:tcW w:w="1840" w:type="dxa"/>
            <w:vAlign w:val="bottom"/>
          </w:tcPr>
          <w:p>
            <w:pPr>
              <w:ind w:left="600"/>
              <w:spacing w:after="0" w:line="189" w:lineRule="exact"/>
              <w:rPr>
                <w:sz w:val="20"/>
                <w:szCs w:val="20"/>
                <w:color w:val="auto"/>
              </w:rPr>
            </w:pPr>
            <w:r>
              <w:rPr>
                <w:rFonts w:ascii="Arial" w:cs="Arial" w:eastAsia="Arial" w:hAnsi="Arial"/>
                <w:sz w:val="18"/>
                <w:szCs w:val="18"/>
                <w:color w:val="auto"/>
              </w:rPr>
              <w:t>Other</w:t>
            </w:r>
          </w:p>
        </w:tc>
        <w:tc>
          <w:tcPr>
            <w:tcW w:w="680" w:type="dxa"/>
            <w:vAlign w:val="bottom"/>
          </w:tcPr>
          <w:p>
            <w:pPr>
              <w:spacing w:after="0"/>
              <w:rPr>
                <w:sz w:val="16"/>
                <w:szCs w:val="16"/>
                <w:color w:val="auto"/>
              </w:rPr>
            </w:pPr>
          </w:p>
        </w:tc>
        <w:tc>
          <w:tcPr>
            <w:tcW w:w="92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649</w:t>
            </w:r>
          </w:p>
        </w:tc>
        <w:tc>
          <w:tcPr>
            <w:tcW w:w="680" w:type="dxa"/>
            <w:vAlign w:val="bottom"/>
          </w:tcPr>
          <w:p>
            <w:pPr>
              <w:spacing w:after="0"/>
              <w:rPr>
                <w:sz w:val="16"/>
                <w:szCs w:val="16"/>
                <w:color w:val="auto"/>
              </w:rPr>
            </w:pPr>
          </w:p>
        </w:tc>
        <w:tc>
          <w:tcPr>
            <w:tcW w:w="130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436</w:t>
            </w:r>
          </w:p>
        </w:tc>
        <w:tc>
          <w:tcPr>
            <w:tcW w:w="300" w:type="dxa"/>
            <w:vAlign w:val="bottom"/>
          </w:tcPr>
          <w:p>
            <w:pPr>
              <w:spacing w:after="0"/>
              <w:rPr>
                <w:sz w:val="16"/>
                <w:szCs w:val="16"/>
                <w:color w:val="auto"/>
              </w:rPr>
            </w:pPr>
          </w:p>
        </w:tc>
        <w:tc>
          <w:tcPr>
            <w:tcW w:w="100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213</w:t>
            </w:r>
          </w:p>
        </w:tc>
        <w:tc>
          <w:tcPr>
            <w:tcW w:w="5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840" w:type="dxa"/>
            <w:vAlign w:val="bottom"/>
          </w:tcPr>
          <w:p>
            <w:pPr>
              <w:ind w:left="140"/>
              <w:spacing w:after="0"/>
              <w:rPr>
                <w:sz w:val="20"/>
                <w:szCs w:val="20"/>
                <w:color w:val="auto"/>
              </w:rPr>
            </w:pPr>
            <w:r>
              <w:rPr>
                <w:rFonts w:ascii="Arial" w:cs="Arial" w:eastAsia="Arial" w:hAnsi="Arial"/>
                <w:sz w:val="18"/>
                <w:szCs w:val="18"/>
                <w:color w:val="auto"/>
              </w:rPr>
              <w:t>securities</w:t>
            </w:r>
          </w:p>
        </w:tc>
        <w:tc>
          <w:tcPr>
            <w:tcW w:w="6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68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555</w:t>
            </w:r>
          </w:p>
        </w:tc>
        <w:tc>
          <w:tcPr>
            <w:tcW w:w="680" w:type="dxa"/>
            <w:vAlign w:val="bottom"/>
          </w:tcPr>
          <w:p>
            <w:pPr>
              <w:spacing w:after="0"/>
              <w:rPr>
                <w:sz w:val="18"/>
                <w:szCs w:val="18"/>
                <w:color w:val="auto"/>
              </w:rPr>
            </w:pPr>
          </w:p>
        </w:tc>
        <w:tc>
          <w:tcPr>
            <w:tcW w:w="1280" w:type="dxa"/>
            <w:vAlign w:val="bottom"/>
          </w:tcPr>
          <w:p>
            <w:pPr>
              <w:jc w:val="right"/>
              <w:ind w:right="330"/>
              <w:spacing w:after="0"/>
              <w:rPr>
                <w:sz w:val="20"/>
                <w:szCs w:val="20"/>
                <w:color w:val="auto"/>
              </w:rPr>
            </w:pPr>
            <w:r>
              <w:rPr>
                <w:rFonts w:ascii="Arial" w:cs="Arial" w:eastAsia="Arial" w:hAnsi="Arial"/>
                <w:sz w:val="18"/>
                <w:szCs w:val="18"/>
                <w:color w:val="auto"/>
              </w:rPr>
              <w:t>341</w:t>
            </w: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30"/>
        </w:trPr>
        <w:tc>
          <w:tcPr>
            <w:tcW w:w="18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Derivatives</w:t>
            </w:r>
          </w:p>
        </w:tc>
        <w:tc>
          <w:tcPr>
            <w:tcW w:w="6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w:t>
            </w:r>
          </w:p>
        </w:tc>
        <w:tc>
          <w:tcPr>
            <w:tcW w:w="6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19</w:t>
            </w: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52</w:t>
            </w:r>
          </w:p>
        </w:tc>
        <w:tc>
          <w:tcPr>
            <w:tcW w:w="6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9"/>
        </w:trPr>
        <w:tc>
          <w:tcPr>
            <w:tcW w:w="1840" w:type="dxa"/>
            <w:vAlign w:val="bottom"/>
          </w:tcPr>
          <w:p>
            <w:pPr>
              <w:ind w:left="480"/>
              <w:spacing w:after="0"/>
              <w:rPr>
                <w:sz w:val="20"/>
                <w:szCs w:val="20"/>
                <w:color w:val="auto"/>
              </w:rPr>
            </w:pPr>
            <w:r>
              <w:rPr>
                <w:rFonts w:ascii="Arial" w:cs="Arial" w:eastAsia="Arial" w:hAnsi="Arial"/>
                <w:sz w:val="18"/>
                <w:szCs w:val="18"/>
                <w:b w:val="1"/>
                <w:bCs w:val="1"/>
                <w:color w:val="auto"/>
              </w:rPr>
              <w:t>Liabilities</w:t>
            </w:r>
          </w:p>
        </w:tc>
        <w:tc>
          <w:tcPr>
            <w:tcW w:w="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Derivatives</w:t>
            </w:r>
          </w:p>
        </w:tc>
        <w:tc>
          <w:tcPr>
            <w:tcW w:w="6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40</w:t>
            </w:r>
          </w:p>
        </w:tc>
        <w:tc>
          <w:tcPr>
            <w:tcW w:w="6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40</w:t>
            </w: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6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75"/>
        </w:trPr>
        <w:tc>
          <w:tcPr>
            <w:tcW w:w="1840" w:type="dxa"/>
            <w:vAlign w:val="bottom"/>
          </w:tcPr>
          <w:p>
            <w:pPr>
              <w:ind w:left="480"/>
              <w:spacing w:after="0" w:line="176" w:lineRule="exact"/>
              <w:rPr>
                <w:sz w:val="20"/>
                <w:szCs w:val="20"/>
                <w:color w:val="auto"/>
              </w:rPr>
            </w:pPr>
            <w:r>
              <w:rPr>
                <w:rFonts w:ascii="Arial" w:cs="Arial" w:eastAsia="Arial" w:hAnsi="Arial"/>
                <w:sz w:val="18"/>
                <w:szCs w:val="18"/>
                <w:b w:val="1"/>
                <w:bCs w:val="1"/>
                <w:color w:val="auto"/>
              </w:rPr>
              <w:t>Assets</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840" w:type="dxa"/>
            <w:vAlign w:val="bottom"/>
          </w:tcPr>
          <w:p>
            <w:pPr>
              <w:ind w:left="20"/>
              <w:spacing w:after="0" w:line="230" w:lineRule="exact"/>
              <w:rPr>
                <w:sz w:val="20"/>
                <w:szCs w:val="20"/>
                <w:color w:val="auto"/>
              </w:rPr>
            </w:pPr>
            <w:r>
              <w:rPr>
                <w:rFonts w:ascii="Arial" w:cs="Arial" w:eastAsia="Arial" w:hAnsi="Arial"/>
                <w:sz w:val="18"/>
                <w:szCs w:val="18"/>
                <w:b w:val="1"/>
                <w:bCs w:val="1"/>
                <w:color w:val="auto"/>
              </w:rPr>
              <w:t xml:space="preserve">measured at NAV </w:t>
            </w:r>
            <w:r>
              <w:rPr>
                <w:rFonts w:ascii="Arial" w:cs="Arial" w:eastAsia="Arial" w:hAnsi="Arial"/>
                <w:sz w:val="23"/>
                <w:szCs w:val="23"/>
                <w:b w:val="1"/>
                <w:bCs w:val="1"/>
                <w:color w:val="auto"/>
                <w:vertAlign w:val="superscript"/>
              </w:rPr>
              <w:t>(a)</w:t>
            </w:r>
          </w:p>
        </w:tc>
        <w:tc>
          <w:tcPr>
            <w:tcW w:w="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1840" w:type="dxa"/>
            <w:vAlign w:val="bottom"/>
            <w:shd w:val="clear" w:color="auto" w:fill="CCEEFF"/>
          </w:tcPr>
          <w:p>
            <w:pPr>
              <w:ind w:left="600"/>
              <w:spacing w:after="0" w:line="189" w:lineRule="exact"/>
              <w:rPr>
                <w:sz w:val="20"/>
                <w:szCs w:val="20"/>
                <w:color w:val="auto"/>
              </w:rPr>
            </w:pPr>
            <w:r>
              <w:rPr>
                <w:rFonts w:ascii="Arial" w:cs="Arial" w:eastAsia="Arial" w:hAnsi="Arial"/>
                <w:sz w:val="18"/>
                <w:szCs w:val="18"/>
                <w:color w:val="auto"/>
              </w:rPr>
              <w:t>Other</w:t>
            </w:r>
          </w:p>
        </w:tc>
        <w:tc>
          <w:tcPr>
            <w:tcW w:w="68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w:t>
            </w:r>
          </w:p>
        </w:tc>
        <w:tc>
          <w:tcPr>
            <w:tcW w:w="6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8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commingled funds</w:t>
            </w:r>
          </w:p>
        </w:tc>
        <w:tc>
          <w:tcPr>
            <w:tcW w:w="6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6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400" w:hanging="392"/>
        <w:spacing w:after="0"/>
        <w:tabs>
          <w:tab w:leader="none" w:pos="400" w:val="left"/>
        </w:tabs>
        <w:numPr>
          <w:ilvl w:val="0"/>
          <w:numId w:val="7"/>
        </w:numPr>
        <w:rPr>
          <w:rFonts w:ascii="Arial" w:cs="Arial" w:eastAsia="Arial" w:hAnsi="Arial"/>
          <w:sz w:val="21"/>
          <w:szCs w:val="21"/>
          <w:color w:val="auto"/>
          <w:vertAlign w:val="superscript"/>
        </w:rPr>
      </w:pPr>
      <w:r>
        <w:rPr>
          <w:rFonts w:ascii="Arial" w:cs="Arial" w:eastAsia="Arial" w:hAnsi="Arial"/>
          <w:sz w:val="16"/>
          <w:szCs w:val="16"/>
          <w:color w:val="auto"/>
        </w:rPr>
        <w:t>Net Asset Value (NAV) is the total value of the fund divided by the number of the fund’s shares outstanding.</w:t>
      </w:r>
    </w:p>
    <w:p>
      <w:pPr>
        <w:spacing w:after="0" w:line="167" w:lineRule="exact"/>
        <w:rPr>
          <w:sz w:val="20"/>
          <w:szCs w:val="20"/>
          <w:color w:val="auto"/>
        </w:rPr>
      </w:pPr>
    </w:p>
    <w:p>
      <w:pPr>
        <w:ind w:right="180" w:firstLine="445"/>
        <w:spacing w:after="0" w:line="251" w:lineRule="auto"/>
        <w:rPr>
          <w:sz w:val="20"/>
          <w:szCs w:val="20"/>
          <w:color w:val="auto"/>
        </w:rPr>
      </w:pPr>
      <w:r>
        <w:rPr>
          <w:rFonts w:ascii="Arial" w:cs="Arial" w:eastAsia="Arial" w:hAnsi="Arial"/>
          <w:sz w:val="18"/>
          <w:szCs w:val="18"/>
          <w:color w:val="auto"/>
        </w:rPr>
        <w:t>Substantially all assets measured at fair value, other than derivatives, represent investments held in a separate trust to fund certain of our non-qualified deferred compensation plans and are recorded in other noncurrent assets on our consolidated balance sheets. The fair values of mutual funds and certain other securities are determined by reference to the quoted market price per unit in active markets multiplied by the number of units held without consideration of transaction costs. The fair values of U.S. Government and certain other securities are determined using pricing models that use observable inputs (e.g., interest rates and yield curves observable at commonly quoted intervals), bids provided by brokers or dealers or quoted prices of securities with similar characteristics. The fair values of derivative instruments, which consist of foreign currency forward contracts, including embedded derivatives, and interest rate swap contracts, are primarily determined based on the present value of future cash flows using model-derived valuations that use observable inputs such as interest rates, credit spreads and foreign currency exchange rates.</w:t>
      </w:r>
    </w:p>
    <w:p>
      <w:pPr>
        <w:spacing w:after="0" w:line="185"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We use derivative instruments principally to reduce our exposure to market risks from changes in foreign currency exchange rates and interest rates. We do not enter into or hold derivative instruments for speculative trading purposes. We transact business globally and are subject to risks associated with changing foreign currency exchange rates. We enter into foreign currency hedges such as forward and option contracts that change in value as foreign currency exchange rates change. Our most significant foreign currency exposures relate to the British pound sterling, the euro, the Canadian dollar and the Australian dollar. These contracts hedge forecasted foreign currency transactions in order to mitigate fluctuations in our earnings and cash flows associated with changes in foreign currency exchange rates. We designate foreign currency hedges as cash flow hedges. We also are exposed to the impact of interest rate changes primarily through our borrowing activities. For fixed rate borrowings, we may use variable interest rate swaps, effectively converting fixed rate borrowings to variable rate borrowings in order to hedge changes in the fair value of the debt. These swaps are designated as fair value hedges. For variable rate borrowings, we may use fixed interest rate swaps, effectively converting variable rate borrowings to fixed rate borrowings in order to mitigate the impact of interest rate changes on earnings. These swaps are designated as cash flow hedges. We also may enter into derivative instruments that are not</w:t>
      </w:r>
    </w:p>
    <w:p>
      <w:pPr>
        <w:sectPr>
          <w:pgSz w:w="11900" w:h="16838" w:orient="portrait"/>
          <w:cols w:equalWidth="0" w:num="1">
            <w:col w:w="11240"/>
          </w:cols>
          <w:pgMar w:left="320" w:top="38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Lockheed Martin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 (continued)</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designated as hedges and do not qualify for hedge accounting, which are intended to mitigate certain economic exposures.</w:t>
      </w:r>
    </w:p>
    <w:p>
      <w:pPr>
        <w:spacing w:after="0" w:line="198" w:lineRule="exact"/>
        <w:rPr>
          <w:sz w:val="20"/>
          <w:szCs w:val="20"/>
          <w:color w:val="auto"/>
        </w:rPr>
      </w:pPr>
    </w:p>
    <w:p>
      <w:pPr>
        <w:ind w:right="60" w:firstLine="445"/>
        <w:spacing w:after="0" w:line="252" w:lineRule="auto"/>
        <w:rPr>
          <w:sz w:val="20"/>
          <w:szCs w:val="20"/>
          <w:color w:val="auto"/>
        </w:rPr>
      </w:pPr>
      <w:r>
        <w:rPr>
          <w:rFonts w:ascii="Arial" w:cs="Arial" w:eastAsia="Arial" w:hAnsi="Arial"/>
          <w:sz w:val="18"/>
          <w:szCs w:val="18"/>
          <w:color w:val="auto"/>
        </w:rPr>
        <w:t>The aggregate notional amount of our outstanding foreign currency hedges was $3.4 billion at both September 26, 2021 and December 31, 2020. The aggregate notional amount of our outstanding interest rate swaps was $ 500 million and $572 million at September 26, 2021 and December 31, 2020. The fair values of our outstanding foreign currency hedges and interest rate swaps at September 26, 2021 and December 31, 2020 were not significant. Derivative instruments did not have a material impact on net earnings and comprehensive income during the quarters and nine months ended September 26, 2021 and September 27, 2020. Substantially all of our derivatives are designated for hedge accounting.</w:t>
      </w:r>
    </w:p>
    <w:p>
      <w:pPr>
        <w:spacing w:after="0" w:line="168"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In addition to the financial instruments listed in the table above, we hold other financial instruments, including cash and cash equivalents, receivables, accounts payable and debt. The carrying amounts for cash and cash equivalents, receivables and accounts payable approximated their fair values. The estimated fair value of our outstanding debt was $15.6 billion and $16.9 billion at September 26, 2021 and December 31, 2020. The outstanding principal amount of debt was $12.8 billion at September 26, 2021 and $13.3 billion at December 31, 2020, excluding $1.1 billion of unamortized discounts and issuance costs at both September 26, 2021 and December 31, 2020. The estimated fair values of our outstanding debt were determined based on the present value of future cash flows using model-derived valuations that use observable inputs such as interest rates and credit spreads (Level 2). We also hold investments in early stage companies. Most of these investments are in equity securities without readily determinable fair values. Investments with quoted market prices in active markets (Level 1) are recorded at fair value at the end of each reporting period and reflected in other securities in the table above. See “Note 11 - Other - Lockheed Martin Ventures Fund”.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STOCKHOLDERS’ EQUITY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Repurchases of Common Stock</w:t>
      </w:r>
    </w:p>
    <w:p>
      <w:pPr>
        <w:spacing w:after="0" w:line="207" w:lineRule="exact"/>
        <w:rPr>
          <w:sz w:val="20"/>
          <w:szCs w:val="20"/>
          <w:color w:val="auto"/>
        </w:rPr>
      </w:pPr>
    </w:p>
    <w:p>
      <w:pPr>
        <w:ind w:right="60" w:firstLine="445"/>
        <w:spacing w:after="0" w:line="252" w:lineRule="auto"/>
        <w:rPr>
          <w:sz w:val="20"/>
          <w:szCs w:val="20"/>
          <w:color w:val="auto"/>
        </w:rPr>
      </w:pPr>
      <w:r>
        <w:rPr>
          <w:rFonts w:ascii="Arial" w:cs="Arial" w:eastAsia="Arial" w:hAnsi="Arial"/>
          <w:sz w:val="18"/>
          <w:szCs w:val="18"/>
          <w:color w:val="auto"/>
        </w:rPr>
        <w:t>During the nine months ended September 26, 2021, we repurchased 5.6 million shares of our common stock for $ 2.0 billion under accelerated share repurchase (ASR) agreements pursuant to Rule 10b5-1 of the Securities Exchange Act of 1934. The total remaining authorization for future common share repurchases under our share repurchase program was $6.0 billion as of September 26, 2021, including a $5.0 billion increase to the program authorized by our Board of Directors on September 23, 2021. As we repurchase our common shares, we reduce common stock for the $ 1 of par value of the shares repurchased, with the excess purchase price over par value recorded as a reduction of additional paid-in capital. If additional paid-in capital is reduced to zero, we record the remainder of the excess purchase price over par value as a reduction of retained earnings.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0" w:lineRule="exact"/>
        <w:rPr>
          <w:sz w:val="20"/>
          <w:szCs w:val="20"/>
          <w:color w:val="auto"/>
        </w:rPr>
      </w:pPr>
    </w:p>
    <w:p>
      <w:pPr>
        <w:ind w:right="20" w:firstLine="445"/>
        <w:spacing w:after="0" w:line="252" w:lineRule="auto"/>
        <w:rPr>
          <w:sz w:val="20"/>
          <w:szCs w:val="20"/>
          <w:color w:val="auto"/>
        </w:rPr>
      </w:pPr>
      <w:r>
        <w:rPr>
          <w:rFonts w:ascii="Arial" w:cs="Arial" w:eastAsia="Arial" w:hAnsi="Arial"/>
          <w:sz w:val="18"/>
          <w:szCs w:val="18"/>
          <w:color w:val="auto"/>
        </w:rPr>
        <w:t>We declared cash dividends totaling $775 million ($2.80 per share) and $3.0 billion ($10.60 per share) during the quarter and nine months ended September 26, 2021. Dividends declared in the quarter ended September 26, 2021 represent our 2021 fourth quarter dividend payment, a per share increase of $0.20 over our 2021 third quarter dividend of $2.60 per share, which we declared in the second quarter of 2021. Our fourth quarter dividend will be paid in December 2021. We declared dividends totaling $ 730 million ($2.60 per share) and $2.8 billion ($9.80 per share) during the quarter and nine months ended September 27, 2020. The total amount declared may differ from the total amount of dividends paid during a period due to the timing of dividend-equivalents paid on RSUs and PSUs. These dividend-equivalents are accrued during the vesting period and are paid upon the vesting of the RSUs and PSUs, which primarily occurs in the first quarter each year.</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Lockheed Martin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 (continued)</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Loss</w:t>
      </w:r>
    </w:p>
    <w:p>
      <w:pPr>
        <w:spacing w:after="0" w:line="2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the balance of AOCL, net of tax, consisted of the following (in millions):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0" w:type="dxa"/>
            <w:vAlign w:val="bottom"/>
          </w:tcPr>
          <w:p>
            <w:pPr>
              <w:spacing w:after="0"/>
              <w:rPr>
                <w:sz w:val="17"/>
                <w:szCs w:val="17"/>
                <w:color w:val="auto"/>
              </w:rPr>
            </w:pPr>
          </w:p>
        </w:tc>
        <w:tc>
          <w:tcPr>
            <w:tcW w:w="5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60" w:type="dxa"/>
            <w:vAlign w:val="bottom"/>
          </w:tcPr>
          <w:p>
            <w:pPr>
              <w:jc w:val="right"/>
              <w:ind w:right="430"/>
              <w:spacing w:after="0"/>
              <w:rPr>
                <w:sz w:val="20"/>
                <w:szCs w:val="20"/>
                <w:color w:val="auto"/>
              </w:rPr>
            </w:pPr>
            <w:r>
              <w:rPr>
                <w:rFonts w:ascii="Arial" w:cs="Arial" w:eastAsia="Arial" w:hAnsi="Arial"/>
                <w:sz w:val="18"/>
                <w:szCs w:val="18"/>
                <w:b w:val="1"/>
                <w:bCs w:val="1"/>
                <w:color w:val="auto"/>
              </w:rPr>
              <w:t>Postretirement</w:t>
            </w:r>
          </w:p>
        </w:tc>
        <w:tc>
          <w:tcPr>
            <w:tcW w:w="400" w:type="dxa"/>
            <w:vAlign w:val="bottom"/>
          </w:tcPr>
          <w:p>
            <w:pPr>
              <w:spacing w:after="0"/>
              <w:rPr>
                <w:sz w:val="17"/>
                <w:szCs w:val="17"/>
                <w:color w:val="auto"/>
              </w:rPr>
            </w:pPr>
          </w:p>
        </w:tc>
        <w:tc>
          <w:tcPr>
            <w:tcW w:w="126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w w:val="98"/>
              </w:rPr>
              <w:t>Other, net</w:t>
            </w:r>
          </w:p>
        </w:tc>
        <w:tc>
          <w:tcPr>
            <w:tcW w:w="540" w:type="dxa"/>
            <w:vAlign w:val="bottom"/>
          </w:tcPr>
          <w:p>
            <w:pPr>
              <w:spacing w:after="0"/>
              <w:rPr>
                <w:sz w:val="17"/>
                <w:szCs w:val="17"/>
                <w:color w:val="auto"/>
              </w:rPr>
            </w:pPr>
          </w:p>
        </w:tc>
        <w:tc>
          <w:tcPr>
            <w:tcW w:w="102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AOCL</w:t>
            </w:r>
          </w:p>
        </w:tc>
        <w:tc>
          <w:tcPr>
            <w:tcW w:w="0" w:type="dxa"/>
            <w:vAlign w:val="bottom"/>
          </w:tcPr>
          <w:p>
            <w:pPr>
              <w:spacing w:after="0"/>
              <w:rPr>
                <w:sz w:val="1"/>
                <w:szCs w:val="1"/>
                <w:color w:val="auto"/>
              </w:rPr>
            </w:pPr>
          </w:p>
        </w:tc>
      </w:tr>
      <w:tr>
        <w:trPr>
          <w:trHeight w:val="229"/>
        </w:trPr>
        <w:tc>
          <w:tcPr>
            <w:tcW w:w="380" w:type="dxa"/>
            <w:vAlign w:val="bottom"/>
            <w:tcBorders>
              <w:bottom w:val="single" w:sz="8" w:color="auto"/>
            </w:tcBorders>
          </w:tcPr>
          <w:p>
            <w:pPr>
              <w:spacing w:after="0"/>
              <w:rPr>
                <w:sz w:val="19"/>
                <w:szCs w:val="19"/>
                <w:color w:val="auto"/>
              </w:rPr>
            </w:pPr>
          </w:p>
        </w:tc>
        <w:tc>
          <w:tcPr>
            <w:tcW w:w="528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2"/>
          </w:tcPr>
          <w:p>
            <w:pPr>
              <w:jc w:val="right"/>
              <w:ind w:right="730"/>
              <w:spacing w:after="0"/>
              <w:rPr>
                <w:sz w:val="20"/>
                <w:szCs w:val="20"/>
                <w:color w:val="auto"/>
              </w:rPr>
            </w:pPr>
            <w:r>
              <w:rPr>
                <w:rFonts w:ascii="Arial" w:cs="Arial" w:eastAsia="Arial" w:hAnsi="Arial"/>
                <w:sz w:val="18"/>
                <w:szCs w:val="18"/>
                <w:b w:val="1"/>
                <w:bCs w:val="1"/>
                <w:color w:val="auto"/>
              </w:rPr>
              <w:t>Benefit Plans</w:t>
            </w: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0" w:type="dxa"/>
            <w:vAlign w:val="bottom"/>
            <w:shd w:val="clear" w:color="auto" w:fill="CCEEFF"/>
          </w:tcPr>
          <w:p>
            <w:pPr>
              <w:spacing w:after="0"/>
              <w:rPr>
                <w:sz w:val="19"/>
                <w:szCs w:val="19"/>
                <w:color w:val="auto"/>
              </w:rPr>
            </w:pPr>
          </w:p>
        </w:tc>
        <w:tc>
          <w:tcPr>
            <w:tcW w:w="5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Balance at December 31, 2020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6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(16,155)</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34</w:t>
            </w:r>
          </w:p>
        </w:tc>
        <w:tc>
          <w:tcPr>
            <w:tcW w:w="5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(16,121)</w:t>
            </w:r>
          </w:p>
        </w:tc>
        <w:tc>
          <w:tcPr>
            <w:tcW w:w="0" w:type="dxa"/>
            <w:vAlign w:val="bottom"/>
          </w:tcPr>
          <w:p>
            <w:pPr>
              <w:spacing w:after="0"/>
              <w:rPr>
                <w:sz w:val="1"/>
                <w:szCs w:val="1"/>
                <w:color w:val="auto"/>
              </w:rPr>
            </w:pPr>
          </w:p>
        </w:tc>
      </w:tr>
      <w:tr>
        <w:trPr>
          <w:trHeight w:val="246"/>
        </w:trPr>
        <w:tc>
          <w:tcPr>
            <w:tcW w:w="380" w:type="dxa"/>
            <w:vAlign w:val="bottom"/>
          </w:tcPr>
          <w:p>
            <w:pPr>
              <w:ind w:left="140"/>
              <w:spacing w:after="0"/>
              <w:rPr>
                <w:sz w:val="20"/>
                <w:szCs w:val="20"/>
                <w:color w:val="auto"/>
              </w:rPr>
            </w:pPr>
            <w:r>
              <w:rPr>
                <w:rFonts w:ascii="Arial" w:cs="Arial" w:eastAsia="Arial" w:hAnsi="Arial"/>
                <w:sz w:val="11"/>
                <w:szCs w:val="11"/>
                <w:color w:val="auto"/>
              </w:rPr>
              <w:t>(a)</w:t>
            </w:r>
          </w:p>
        </w:tc>
        <w:tc>
          <w:tcPr>
            <w:tcW w:w="5280" w:type="dxa"/>
            <w:vAlign w:val="bottom"/>
          </w:tcPr>
          <w:p>
            <w:pPr>
              <w:ind w:left="220"/>
              <w:spacing w:after="0"/>
              <w:rPr>
                <w:sz w:val="20"/>
                <w:szCs w:val="20"/>
                <w:color w:val="auto"/>
              </w:rPr>
            </w:pPr>
            <w:r>
              <w:rPr>
                <w:rFonts w:ascii="Arial" w:cs="Arial" w:eastAsia="Arial" w:hAnsi="Arial"/>
                <w:sz w:val="18"/>
                <w:szCs w:val="18"/>
                <w:color w:val="auto"/>
              </w:rPr>
              <w:t>Other comprehensive income (loss) before reclassifications</w:t>
            </w:r>
          </w:p>
        </w:tc>
        <w:tc>
          <w:tcPr>
            <w:tcW w:w="500" w:type="dxa"/>
            <w:vAlign w:val="bottom"/>
          </w:tcPr>
          <w:p>
            <w:pPr>
              <w:spacing w:after="0"/>
              <w:rPr>
                <w:sz w:val="21"/>
                <w:szCs w:val="21"/>
                <w:color w:val="auto"/>
              </w:rPr>
            </w:pPr>
          </w:p>
        </w:tc>
        <w:tc>
          <w:tcPr>
            <w:tcW w:w="186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2,258</w:t>
            </w:r>
          </w:p>
        </w:tc>
        <w:tc>
          <w:tcPr>
            <w:tcW w:w="400" w:type="dxa"/>
            <w:vAlign w:val="bottom"/>
          </w:tcPr>
          <w:p>
            <w:pPr>
              <w:spacing w:after="0"/>
              <w:rPr>
                <w:sz w:val="21"/>
                <w:szCs w:val="21"/>
                <w:color w:val="auto"/>
              </w:rPr>
            </w:pPr>
          </w:p>
        </w:tc>
        <w:tc>
          <w:tcPr>
            <w:tcW w:w="126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(55)</w:t>
            </w:r>
          </w:p>
        </w:tc>
        <w:tc>
          <w:tcPr>
            <w:tcW w:w="540" w:type="dxa"/>
            <w:vAlign w:val="bottom"/>
          </w:tcPr>
          <w:p>
            <w:pPr>
              <w:spacing w:after="0"/>
              <w:rPr>
                <w:sz w:val="21"/>
                <w:szCs w:val="21"/>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2,203</w:t>
            </w:r>
          </w:p>
        </w:tc>
        <w:tc>
          <w:tcPr>
            <w:tcW w:w="0" w:type="dxa"/>
            <w:vAlign w:val="bottom"/>
          </w:tcPr>
          <w:p>
            <w:pPr>
              <w:spacing w:after="0"/>
              <w:rPr>
                <w:sz w:val="1"/>
                <w:szCs w:val="1"/>
                <w:color w:val="auto"/>
              </w:rPr>
            </w:pPr>
          </w:p>
        </w:tc>
      </w:tr>
      <w:tr>
        <w:trPr>
          <w:trHeight w:val="78"/>
        </w:trPr>
        <w:tc>
          <w:tcPr>
            <w:tcW w:w="380" w:type="dxa"/>
            <w:vAlign w:val="bottom"/>
          </w:tcPr>
          <w:p>
            <w:pPr>
              <w:spacing w:after="0"/>
              <w:rPr>
                <w:sz w:val="6"/>
                <w:szCs w:val="6"/>
                <w:color w:val="auto"/>
              </w:rPr>
            </w:pPr>
          </w:p>
        </w:tc>
        <w:tc>
          <w:tcPr>
            <w:tcW w:w="52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380" w:type="dxa"/>
            <w:vAlign w:val="bottom"/>
            <w:shd w:val="clear" w:color="auto" w:fill="CCEEFF"/>
          </w:tcPr>
          <w:p>
            <w:pPr>
              <w:spacing w:after="0"/>
              <w:rPr>
                <w:sz w:val="19"/>
                <w:szCs w:val="19"/>
                <w:color w:val="auto"/>
              </w:rPr>
            </w:pPr>
          </w:p>
        </w:tc>
        <w:tc>
          <w:tcPr>
            <w:tcW w:w="5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Amounts reclassified from AOCL</w:t>
            </w:r>
          </w:p>
        </w:tc>
        <w:tc>
          <w:tcPr>
            <w:tcW w:w="5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0" w:type="dxa"/>
            <w:vAlign w:val="bottom"/>
          </w:tcPr>
          <w:p>
            <w:pPr>
              <w:spacing w:after="0"/>
              <w:rPr>
                <w:sz w:val="19"/>
                <w:szCs w:val="19"/>
                <w:color w:val="auto"/>
              </w:rPr>
            </w:pPr>
          </w:p>
        </w:tc>
        <w:tc>
          <w:tcPr>
            <w:tcW w:w="528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Pension settlement charge </w:t>
            </w:r>
            <w:r>
              <w:rPr>
                <w:rFonts w:ascii="Arial" w:cs="Arial" w:eastAsia="Arial" w:hAnsi="Arial"/>
                <w:sz w:val="21"/>
                <w:szCs w:val="21"/>
                <w:color w:val="auto"/>
                <w:vertAlign w:val="superscript"/>
              </w:rPr>
              <w:t>(b)</w:t>
            </w:r>
          </w:p>
        </w:tc>
        <w:tc>
          <w:tcPr>
            <w:tcW w:w="500" w:type="dxa"/>
            <w:vAlign w:val="bottom"/>
          </w:tcPr>
          <w:p>
            <w:pPr>
              <w:spacing w:after="0"/>
              <w:rPr>
                <w:sz w:val="19"/>
                <w:szCs w:val="19"/>
                <w:color w:val="auto"/>
              </w:rPr>
            </w:pPr>
          </w:p>
        </w:tc>
        <w:tc>
          <w:tcPr>
            <w:tcW w:w="1860" w:type="dxa"/>
            <w:vAlign w:val="bottom"/>
          </w:tcPr>
          <w:p>
            <w:pPr>
              <w:jc w:val="right"/>
              <w:ind w:right="270"/>
              <w:spacing w:after="0"/>
              <w:rPr>
                <w:sz w:val="20"/>
                <w:szCs w:val="20"/>
                <w:color w:val="auto"/>
              </w:rPr>
            </w:pPr>
            <w:r>
              <w:rPr>
                <w:rFonts w:ascii="Arial" w:cs="Arial" w:eastAsia="Arial" w:hAnsi="Arial"/>
                <w:sz w:val="18"/>
                <w:szCs w:val="18"/>
                <w:b w:val="1"/>
                <w:bCs w:val="1"/>
                <w:color w:val="auto"/>
              </w:rPr>
              <w:t>1,310</w:t>
            </w:r>
          </w:p>
        </w:tc>
        <w:tc>
          <w:tcPr>
            <w:tcW w:w="400" w:type="dxa"/>
            <w:vAlign w:val="bottom"/>
          </w:tcPr>
          <w:p>
            <w:pPr>
              <w:spacing w:after="0"/>
              <w:rPr>
                <w:sz w:val="19"/>
                <w:szCs w:val="19"/>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1,310</w:t>
            </w:r>
          </w:p>
        </w:tc>
        <w:tc>
          <w:tcPr>
            <w:tcW w:w="0" w:type="dxa"/>
            <w:vAlign w:val="bottom"/>
          </w:tcPr>
          <w:p>
            <w:pPr>
              <w:spacing w:after="0"/>
              <w:rPr>
                <w:sz w:val="1"/>
                <w:szCs w:val="1"/>
                <w:color w:val="auto"/>
              </w:rPr>
            </w:pPr>
          </w:p>
        </w:tc>
      </w:tr>
      <w:tr>
        <w:trPr>
          <w:trHeight w:val="229"/>
        </w:trPr>
        <w:tc>
          <w:tcPr>
            <w:tcW w:w="380" w:type="dxa"/>
            <w:vAlign w:val="bottom"/>
            <w:shd w:val="clear" w:color="auto" w:fill="CCEEFF"/>
          </w:tcPr>
          <w:p>
            <w:pPr>
              <w:spacing w:after="0"/>
              <w:rPr>
                <w:sz w:val="19"/>
                <w:szCs w:val="19"/>
                <w:color w:val="auto"/>
              </w:rPr>
            </w:pPr>
          </w:p>
        </w:tc>
        <w:tc>
          <w:tcPr>
            <w:tcW w:w="528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Recognition of net actuarial losses </w:t>
            </w:r>
            <w:r>
              <w:rPr>
                <w:rFonts w:ascii="Arial" w:cs="Arial" w:eastAsia="Arial" w:hAnsi="Arial"/>
                <w:sz w:val="21"/>
                <w:szCs w:val="21"/>
                <w:color w:val="auto"/>
                <w:vertAlign w:val="superscript"/>
              </w:rPr>
              <w:t>(c)</w:t>
            </w:r>
          </w:p>
        </w:tc>
        <w:tc>
          <w:tcPr>
            <w:tcW w:w="50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579</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579</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528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Amortization of net prior service credits </w:t>
            </w:r>
            <w:r>
              <w:rPr>
                <w:rFonts w:ascii="Arial" w:cs="Arial" w:eastAsia="Arial" w:hAnsi="Arial"/>
                <w:sz w:val="21"/>
                <w:szCs w:val="21"/>
                <w:color w:val="auto"/>
                <w:vertAlign w:val="superscript"/>
              </w:rPr>
              <w:t>(c)</w:t>
            </w:r>
          </w:p>
        </w:tc>
        <w:tc>
          <w:tcPr>
            <w:tcW w:w="500" w:type="dxa"/>
            <w:vAlign w:val="bottom"/>
          </w:tcPr>
          <w:p>
            <w:pPr>
              <w:spacing w:after="0"/>
              <w:rPr>
                <w:sz w:val="19"/>
                <w:szCs w:val="19"/>
                <w:color w:val="auto"/>
              </w:rPr>
            </w:pPr>
          </w:p>
        </w:tc>
        <w:tc>
          <w:tcPr>
            <w:tcW w:w="1860" w:type="dxa"/>
            <w:vAlign w:val="bottom"/>
          </w:tcPr>
          <w:p>
            <w:pPr>
              <w:jc w:val="right"/>
              <w:ind w:right="210"/>
              <w:spacing w:after="0"/>
              <w:rPr>
                <w:sz w:val="20"/>
                <w:szCs w:val="20"/>
                <w:color w:val="auto"/>
              </w:rPr>
            </w:pPr>
            <w:r>
              <w:rPr>
                <w:rFonts w:ascii="Arial" w:cs="Arial" w:eastAsia="Arial" w:hAnsi="Arial"/>
                <w:sz w:val="18"/>
                <w:szCs w:val="18"/>
                <w:b w:val="1"/>
                <w:bCs w:val="1"/>
                <w:color w:val="auto"/>
              </w:rPr>
              <w:t>(192)</w:t>
            </w:r>
          </w:p>
        </w:tc>
        <w:tc>
          <w:tcPr>
            <w:tcW w:w="400" w:type="dxa"/>
            <w:vAlign w:val="bottom"/>
          </w:tcPr>
          <w:p>
            <w:pPr>
              <w:spacing w:after="0"/>
              <w:rPr>
                <w:sz w:val="19"/>
                <w:szCs w:val="19"/>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(192)</w:t>
            </w:r>
          </w:p>
        </w:tc>
        <w:tc>
          <w:tcPr>
            <w:tcW w:w="0" w:type="dxa"/>
            <w:vAlign w:val="bottom"/>
          </w:tcPr>
          <w:p>
            <w:pPr>
              <w:spacing w:after="0"/>
              <w:rPr>
                <w:sz w:val="1"/>
                <w:szCs w:val="1"/>
                <w:color w:val="auto"/>
              </w:rPr>
            </w:pPr>
          </w:p>
        </w:tc>
      </w:tr>
      <w:tr>
        <w:trPr>
          <w:trHeight w:val="229"/>
        </w:trPr>
        <w:tc>
          <w:tcPr>
            <w:tcW w:w="380" w:type="dxa"/>
            <w:vAlign w:val="bottom"/>
            <w:tcBorders>
              <w:bottom w:val="single" w:sz="8" w:color="auto"/>
            </w:tcBorders>
            <w:shd w:val="clear" w:color="auto" w:fill="CCEEFF"/>
          </w:tcPr>
          <w:p>
            <w:pPr>
              <w:spacing w:after="0"/>
              <w:rPr>
                <w:sz w:val="19"/>
                <w:szCs w:val="19"/>
                <w:color w:val="auto"/>
              </w:rPr>
            </w:pPr>
          </w:p>
        </w:tc>
        <w:tc>
          <w:tcPr>
            <w:tcW w:w="528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Other</w:t>
            </w:r>
          </w:p>
        </w:tc>
        <w:tc>
          <w:tcPr>
            <w:tcW w:w="5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4</w:t>
            </w:r>
          </w:p>
        </w:tc>
        <w:tc>
          <w:tcPr>
            <w:tcW w:w="5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23"/>
        </w:trPr>
        <w:tc>
          <w:tcPr>
            <w:tcW w:w="380" w:type="dxa"/>
            <w:vAlign w:val="bottom"/>
            <w:tcBorders>
              <w:bottom w:val="single" w:sz="8" w:color="auto"/>
            </w:tcBorders>
          </w:tcPr>
          <w:p>
            <w:pPr>
              <w:spacing w:after="0"/>
              <w:rPr>
                <w:sz w:val="19"/>
                <w:szCs w:val="19"/>
                <w:color w:val="auto"/>
              </w:rPr>
            </w:pPr>
          </w:p>
        </w:tc>
        <w:tc>
          <w:tcPr>
            <w:tcW w:w="52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Total reclassified from AOCL</w:t>
            </w:r>
          </w:p>
        </w:tc>
        <w:tc>
          <w:tcPr>
            <w:tcW w:w="5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1,697</w:t>
            </w: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4</w:t>
            </w: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1,701</w:t>
            </w:r>
          </w:p>
        </w:tc>
        <w:tc>
          <w:tcPr>
            <w:tcW w:w="0" w:type="dxa"/>
            <w:vAlign w:val="bottom"/>
          </w:tcPr>
          <w:p>
            <w:pPr>
              <w:spacing w:after="0"/>
              <w:rPr>
                <w:sz w:val="1"/>
                <w:szCs w:val="1"/>
                <w:color w:val="auto"/>
              </w:rPr>
            </w:pPr>
          </w:p>
        </w:tc>
      </w:tr>
      <w:tr>
        <w:trPr>
          <w:trHeight w:val="223"/>
        </w:trPr>
        <w:tc>
          <w:tcPr>
            <w:tcW w:w="380" w:type="dxa"/>
            <w:vAlign w:val="bottom"/>
            <w:tcBorders>
              <w:bottom w:val="single" w:sz="8" w:color="auto"/>
            </w:tcBorders>
            <w:shd w:val="clear" w:color="auto" w:fill="CCEEFF"/>
          </w:tcPr>
          <w:p>
            <w:pPr>
              <w:spacing w:after="0"/>
              <w:rPr>
                <w:sz w:val="19"/>
                <w:szCs w:val="19"/>
                <w:color w:val="auto"/>
              </w:rPr>
            </w:pPr>
          </w:p>
        </w:tc>
        <w:tc>
          <w:tcPr>
            <w:tcW w:w="52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Total other comprehensive income (loss)</w:t>
            </w:r>
          </w:p>
        </w:tc>
        <w:tc>
          <w:tcPr>
            <w:tcW w:w="5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3,955</w:t>
            </w: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(51)</w:t>
            </w:r>
          </w:p>
        </w:tc>
        <w:tc>
          <w:tcPr>
            <w:tcW w:w="5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3,904</w:t>
            </w:r>
          </w:p>
        </w:tc>
        <w:tc>
          <w:tcPr>
            <w:tcW w:w="0" w:type="dxa"/>
            <w:vAlign w:val="bottom"/>
          </w:tcPr>
          <w:p>
            <w:pPr>
              <w:spacing w:after="0"/>
              <w:rPr>
                <w:sz w:val="1"/>
                <w:szCs w:val="1"/>
                <w:color w:val="auto"/>
              </w:rPr>
            </w:pPr>
          </w:p>
        </w:tc>
      </w:tr>
      <w:tr>
        <w:trPr>
          <w:trHeight w:val="230"/>
        </w:trPr>
        <w:tc>
          <w:tcPr>
            <w:tcW w:w="380" w:type="dxa"/>
            <w:vAlign w:val="bottom"/>
            <w:tcBorders>
              <w:bottom w:val="single" w:sz="8" w:color="auto"/>
            </w:tcBorders>
          </w:tcPr>
          <w:p>
            <w:pPr>
              <w:spacing w:after="0"/>
              <w:rPr>
                <w:sz w:val="20"/>
                <w:szCs w:val="20"/>
                <w:color w:val="auto"/>
              </w:rPr>
            </w:pPr>
          </w:p>
        </w:tc>
        <w:tc>
          <w:tcPr>
            <w:tcW w:w="52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Balance at September 26, 2021</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8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(12,200)</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(17)</w:t>
            </w: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(12,217)</w:t>
            </w:r>
          </w:p>
        </w:tc>
        <w:tc>
          <w:tcPr>
            <w:tcW w:w="0" w:type="dxa"/>
            <w:vAlign w:val="bottom"/>
          </w:tcPr>
          <w:p>
            <w:pPr>
              <w:spacing w:after="0"/>
              <w:rPr>
                <w:sz w:val="1"/>
                <w:szCs w:val="1"/>
                <w:color w:val="auto"/>
              </w:rPr>
            </w:pPr>
          </w:p>
        </w:tc>
      </w:tr>
      <w:tr>
        <w:trPr>
          <w:trHeight w:val="243"/>
        </w:trPr>
        <w:tc>
          <w:tcPr>
            <w:tcW w:w="380" w:type="dxa"/>
            <w:vAlign w:val="bottom"/>
            <w:shd w:val="clear" w:color="auto" w:fill="CCEEFF"/>
          </w:tcPr>
          <w:p>
            <w:pPr>
              <w:spacing w:after="0"/>
              <w:rPr>
                <w:sz w:val="21"/>
                <w:szCs w:val="21"/>
                <w:color w:val="auto"/>
              </w:rPr>
            </w:pPr>
          </w:p>
        </w:tc>
        <w:tc>
          <w:tcPr>
            <w:tcW w:w="52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8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80" w:type="dxa"/>
            <w:vAlign w:val="bottom"/>
          </w:tcPr>
          <w:p>
            <w:pPr>
              <w:spacing w:after="0"/>
              <w:rPr>
                <w:sz w:val="19"/>
                <w:szCs w:val="19"/>
                <w:color w:val="auto"/>
              </w:rPr>
            </w:pPr>
          </w:p>
        </w:tc>
        <w:tc>
          <w:tcPr>
            <w:tcW w:w="5280" w:type="dxa"/>
            <w:vAlign w:val="bottom"/>
          </w:tcPr>
          <w:p>
            <w:pPr>
              <w:ind w:left="100"/>
              <w:spacing w:after="0"/>
              <w:rPr>
                <w:sz w:val="20"/>
                <w:szCs w:val="20"/>
                <w:color w:val="auto"/>
              </w:rPr>
            </w:pPr>
            <w:r>
              <w:rPr>
                <w:rFonts w:ascii="Arial" w:cs="Arial" w:eastAsia="Arial" w:hAnsi="Arial"/>
                <w:sz w:val="18"/>
                <w:szCs w:val="18"/>
                <w:color w:val="auto"/>
              </w:rPr>
              <w:t>Balance at December 31, 2019</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210"/>
              <w:spacing w:after="0"/>
              <w:rPr>
                <w:sz w:val="20"/>
                <w:szCs w:val="20"/>
                <w:color w:val="auto"/>
              </w:rPr>
            </w:pPr>
            <w:r>
              <w:rPr>
                <w:rFonts w:ascii="Arial" w:cs="Arial" w:eastAsia="Arial" w:hAnsi="Arial"/>
                <w:sz w:val="18"/>
                <w:szCs w:val="18"/>
                <w:color w:val="auto"/>
              </w:rPr>
              <w:t>(15,528)</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(26)</w:t>
            </w: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(15,554)</w:t>
            </w:r>
          </w:p>
        </w:tc>
        <w:tc>
          <w:tcPr>
            <w:tcW w:w="0" w:type="dxa"/>
            <w:vAlign w:val="bottom"/>
          </w:tcPr>
          <w:p>
            <w:pPr>
              <w:spacing w:after="0"/>
              <w:rPr>
                <w:sz w:val="1"/>
                <w:szCs w:val="1"/>
                <w:color w:val="auto"/>
              </w:rPr>
            </w:pPr>
          </w:p>
        </w:tc>
      </w:tr>
      <w:tr>
        <w:trPr>
          <w:trHeight w:val="230"/>
        </w:trPr>
        <w:tc>
          <w:tcPr>
            <w:tcW w:w="380" w:type="dxa"/>
            <w:vAlign w:val="bottom"/>
            <w:shd w:val="clear" w:color="auto" w:fill="CCEEFF"/>
          </w:tcPr>
          <w:p>
            <w:pPr>
              <w:spacing w:after="0"/>
              <w:rPr>
                <w:sz w:val="19"/>
                <w:szCs w:val="19"/>
                <w:color w:val="auto"/>
              </w:rPr>
            </w:pPr>
          </w:p>
        </w:tc>
        <w:tc>
          <w:tcPr>
            <w:tcW w:w="5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comprehensive loss before reclassifications</w:t>
            </w:r>
          </w:p>
        </w:tc>
        <w:tc>
          <w:tcPr>
            <w:tcW w:w="50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(40)</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9"/>
        </w:trPr>
        <w:tc>
          <w:tcPr>
            <w:tcW w:w="380" w:type="dxa"/>
            <w:vAlign w:val="bottom"/>
          </w:tcPr>
          <w:p>
            <w:pPr>
              <w:spacing w:after="0"/>
              <w:rPr>
                <w:sz w:val="19"/>
                <w:szCs w:val="19"/>
                <w:color w:val="auto"/>
              </w:rPr>
            </w:pPr>
          </w:p>
        </w:tc>
        <w:tc>
          <w:tcPr>
            <w:tcW w:w="5280" w:type="dxa"/>
            <w:vAlign w:val="bottom"/>
          </w:tcPr>
          <w:p>
            <w:pPr>
              <w:ind w:left="220"/>
              <w:spacing w:after="0"/>
              <w:rPr>
                <w:sz w:val="20"/>
                <w:szCs w:val="20"/>
                <w:color w:val="auto"/>
              </w:rPr>
            </w:pPr>
            <w:r>
              <w:rPr>
                <w:rFonts w:ascii="Arial" w:cs="Arial" w:eastAsia="Arial" w:hAnsi="Arial"/>
                <w:sz w:val="18"/>
                <w:szCs w:val="18"/>
                <w:color w:val="auto"/>
              </w:rPr>
              <w:t>Amounts reclassified from AOCL</w:t>
            </w:r>
          </w:p>
        </w:tc>
        <w:tc>
          <w:tcPr>
            <w:tcW w:w="5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0" w:type="dxa"/>
            <w:vAlign w:val="bottom"/>
            <w:shd w:val="clear" w:color="auto" w:fill="CCEEFF"/>
          </w:tcPr>
          <w:p>
            <w:pPr>
              <w:spacing w:after="0"/>
              <w:rPr>
                <w:sz w:val="19"/>
                <w:szCs w:val="19"/>
                <w:color w:val="auto"/>
              </w:rPr>
            </w:pPr>
          </w:p>
        </w:tc>
        <w:tc>
          <w:tcPr>
            <w:tcW w:w="528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Recognition of net actuarial losses </w:t>
            </w:r>
            <w:r>
              <w:rPr>
                <w:rFonts w:ascii="Arial" w:cs="Arial" w:eastAsia="Arial" w:hAnsi="Arial"/>
                <w:sz w:val="21"/>
                <w:szCs w:val="21"/>
                <w:color w:val="auto"/>
                <w:vertAlign w:val="superscript"/>
              </w:rPr>
              <w:t>(c)</w:t>
            </w:r>
          </w:p>
        </w:tc>
        <w:tc>
          <w:tcPr>
            <w:tcW w:w="50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517</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528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Amortization of net prior service credits </w:t>
            </w:r>
            <w:r>
              <w:rPr>
                <w:rFonts w:ascii="Arial" w:cs="Arial" w:eastAsia="Arial" w:hAnsi="Arial"/>
                <w:sz w:val="21"/>
                <w:szCs w:val="21"/>
                <w:color w:val="auto"/>
                <w:vertAlign w:val="superscript"/>
              </w:rPr>
              <w:t>(c)</w:t>
            </w:r>
          </w:p>
        </w:tc>
        <w:tc>
          <w:tcPr>
            <w:tcW w:w="500" w:type="dxa"/>
            <w:vAlign w:val="bottom"/>
          </w:tcPr>
          <w:p>
            <w:pPr>
              <w:spacing w:after="0"/>
              <w:rPr>
                <w:sz w:val="19"/>
                <w:szCs w:val="19"/>
                <w:color w:val="auto"/>
              </w:rPr>
            </w:pPr>
          </w:p>
        </w:tc>
        <w:tc>
          <w:tcPr>
            <w:tcW w:w="1860" w:type="dxa"/>
            <w:vAlign w:val="bottom"/>
          </w:tcPr>
          <w:p>
            <w:pPr>
              <w:jc w:val="right"/>
              <w:ind w:right="210"/>
              <w:spacing w:after="0"/>
              <w:rPr>
                <w:sz w:val="20"/>
                <w:szCs w:val="20"/>
                <w:color w:val="auto"/>
              </w:rPr>
            </w:pPr>
            <w:r>
              <w:rPr>
                <w:rFonts w:ascii="Arial" w:cs="Arial" w:eastAsia="Arial" w:hAnsi="Arial"/>
                <w:sz w:val="18"/>
                <w:szCs w:val="18"/>
                <w:color w:val="auto"/>
              </w:rPr>
              <w:t>(187)</w:t>
            </w:r>
          </w:p>
        </w:tc>
        <w:tc>
          <w:tcPr>
            <w:tcW w:w="400" w:type="dxa"/>
            <w:vAlign w:val="bottom"/>
          </w:tcPr>
          <w:p>
            <w:pPr>
              <w:spacing w:after="0"/>
              <w:rPr>
                <w:sz w:val="19"/>
                <w:szCs w:val="19"/>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29"/>
        </w:trPr>
        <w:tc>
          <w:tcPr>
            <w:tcW w:w="380" w:type="dxa"/>
            <w:vAlign w:val="bottom"/>
            <w:tcBorders>
              <w:bottom w:val="single" w:sz="8" w:color="auto"/>
            </w:tcBorders>
            <w:shd w:val="clear" w:color="auto" w:fill="CCEEFF"/>
          </w:tcPr>
          <w:p>
            <w:pPr>
              <w:spacing w:after="0"/>
              <w:rPr>
                <w:sz w:val="19"/>
                <w:szCs w:val="19"/>
                <w:color w:val="auto"/>
              </w:rPr>
            </w:pPr>
          </w:p>
        </w:tc>
        <w:tc>
          <w:tcPr>
            <w:tcW w:w="528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Other</w:t>
            </w:r>
          </w:p>
        </w:tc>
        <w:tc>
          <w:tcPr>
            <w:tcW w:w="5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5</w:t>
            </w:r>
          </w:p>
        </w:tc>
        <w:tc>
          <w:tcPr>
            <w:tcW w:w="5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380" w:type="dxa"/>
            <w:vAlign w:val="bottom"/>
            <w:tcBorders>
              <w:bottom w:val="single" w:sz="8" w:color="auto"/>
            </w:tcBorders>
          </w:tcPr>
          <w:p>
            <w:pPr>
              <w:spacing w:after="0"/>
              <w:rPr>
                <w:sz w:val="19"/>
                <w:szCs w:val="19"/>
                <w:color w:val="auto"/>
              </w:rPr>
            </w:pPr>
          </w:p>
        </w:tc>
        <w:tc>
          <w:tcPr>
            <w:tcW w:w="52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Total reclassified from AOCL</w:t>
            </w:r>
          </w:p>
        </w:tc>
        <w:tc>
          <w:tcPr>
            <w:tcW w:w="5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330</w:t>
            </w: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5</w:t>
            </w: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23"/>
        </w:trPr>
        <w:tc>
          <w:tcPr>
            <w:tcW w:w="380" w:type="dxa"/>
            <w:vAlign w:val="bottom"/>
            <w:tcBorders>
              <w:bottom w:val="single" w:sz="8" w:color="auto"/>
            </w:tcBorders>
            <w:shd w:val="clear" w:color="auto" w:fill="CCEEFF"/>
          </w:tcPr>
          <w:p>
            <w:pPr>
              <w:spacing w:after="0"/>
              <w:rPr>
                <w:sz w:val="19"/>
                <w:szCs w:val="19"/>
                <w:color w:val="auto"/>
              </w:rPr>
            </w:pPr>
          </w:p>
        </w:tc>
        <w:tc>
          <w:tcPr>
            <w:tcW w:w="52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Total other comprehensive income (loss)</w:t>
            </w:r>
          </w:p>
        </w:tc>
        <w:tc>
          <w:tcPr>
            <w:tcW w:w="5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330</w:t>
            </w: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(35)</w:t>
            </w:r>
          </w:p>
        </w:tc>
        <w:tc>
          <w:tcPr>
            <w:tcW w:w="5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30"/>
        </w:trPr>
        <w:tc>
          <w:tcPr>
            <w:tcW w:w="380" w:type="dxa"/>
            <w:vAlign w:val="bottom"/>
            <w:tcBorders>
              <w:bottom w:val="single" w:sz="8" w:color="auto"/>
            </w:tcBorders>
          </w:tcPr>
          <w:p>
            <w:pPr>
              <w:spacing w:after="0"/>
              <w:rPr>
                <w:sz w:val="20"/>
                <w:szCs w:val="20"/>
                <w:color w:val="auto"/>
              </w:rPr>
            </w:pPr>
          </w:p>
        </w:tc>
        <w:tc>
          <w:tcPr>
            <w:tcW w:w="52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Balance at September 27, 2020</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(15,198)</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(61)</w:t>
            </w: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(15,259)</w:t>
            </w:r>
          </w:p>
        </w:tc>
        <w:tc>
          <w:tcPr>
            <w:tcW w:w="0" w:type="dxa"/>
            <w:vAlign w:val="bottom"/>
          </w:tcPr>
          <w:p>
            <w:pPr>
              <w:spacing w:after="0"/>
              <w:rPr>
                <w:sz w:val="1"/>
                <w:szCs w:val="1"/>
                <w:color w:val="auto"/>
              </w:rPr>
            </w:pPr>
          </w:p>
        </w:tc>
      </w:tr>
    </w:tbl>
    <w:p>
      <w:pPr>
        <w:spacing w:after="0" w:line="231" w:lineRule="exact"/>
        <w:rPr>
          <w:sz w:val="20"/>
          <w:szCs w:val="20"/>
          <w:color w:val="auto"/>
        </w:rPr>
      </w:pPr>
    </w:p>
    <w:p>
      <w:pPr>
        <w:ind w:left="420" w:right="80" w:hanging="412"/>
        <w:spacing w:after="0" w:line="225" w:lineRule="auto"/>
        <w:tabs>
          <w:tab w:leader="none" w:pos="413" w:val="left"/>
        </w:tabs>
        <w:numPr>
          <w:ilvl w:val="0"/>
          <w:numId w:val="8"/>
        </w:numPr>
        <w:rPr>
          <w:rFonts w:ascii="Arial" w:cs="Arial" w:eastAsia="Arial" w:hAnsi="Arial"/>
          <w:sz w:val="21"/>
          <w:szCs w:val="21"/>
          <w:color w:val="auto"/>
          <w:vertAlign w:val="superscript"/>
        </w:rPr>
      </w:pPr>
      <w:r>
        <w:rPr>
          <w:rFonts w:ascii="Arial" w:cs="Arial" w:eastAsia="Arial" w:hAnsi="Arial"/>
          <w:sz w:val="16"/>
          <w:szCs w:val="16"/>
          <w:color w:val="auto"/>
        </w:rPr>
        <w:t>Changes in AOCL before reclassifications related to our postretirement benefit plans represent the net actuarial gains from the interim remeasurement of certain defined benefit pension plans required as a result of the purchase of group annuity contracts to transfer $4.9 billion of our gross defined benefit pension obligations and related plan assets to an insurance company on August 3, 2021. See “Note 7 - Postretirement Benefit Plans”.</w:t>
      </w:r>
    </w:p>
    <w:p>
      <w:pPr>
        <w:spacing w:after="0" w:line="49" w:lineRule="exact"/>
        <w:rPr>
          <w:rFonts w:ascii="Arial" w:cs="Arial" w:eastAsia="Arial" w:hAnsi="Arial"/>
          <w:sz w:val="21"/>
          <w:szCs w:val="21"/>
          <w:color w:val="auto"/>
          <w:vertAlign w:val="superscript"/>
        </w:rPr>
      </w:pPr>
    </w:p>
    <w:p>
      <w:pPr>
        <w:ind w:left="420" w:right="460" w:hanging="412"/>
        <w:spacing w:after="0" w:line="225" w:lineRule="auto"/>
        <w:tabs>
          <w:tab w:leader="none" w:pos="413" w:val="left"/>
        </w:tabs>
        <w:numPr>
          <w:ilvl w:val="0"/>
          <w:numId w:val="8"/>
        </w:numPr>
        <w:rPr>
          <w:rFonts w:ascii="Arial" w:cs="Arial" w:eastAsia="Arial" w:hAnsi="Arial"/>
          <w:sz w:val="21"/>
          <w:szCs w:val="21"/>
          <w:color w:val="auto"/>
          <w:vertAlign w:val="superscript"/>
        </w:rPr>
      </w:pPr>
      <w:r>
        <w:rPr>
          <w:rFonts w:ascii="Arial" w:cs="Arial" w:eastAsia="Arial" w:hAnsi="Arial"/>
          <w:sz w:val="16"/>
          <w:szCs w:val="16"/>
          <w:color w:val="auto"/>
        </w:rPr>
        <w:t>During the quarter ended September 26, 2021, we recognized a noncash, non-operating pension settlement charge of $1.7 billion ($1.3 billion, or $4.72 per share, after-tax) in connection with the purchase of group annuity contracts to transfer $4.9 billion of our gross defined benefit pension obligations and related plan assets to an insurance company on August 3, 2021. See “Note 7 - Postretirement Benefit Plans”.</w:t>
      </w:r>
    </w:p>
    <w:p>
      <w:pPr>
        <w:spacing w:after="0" w:line="49" w:lineRule="exact"/>
        <w:rPr>
          <w:rFonts w:ascii="Arial" w:cs="Arial" w:eastAsia="Arial" w:hAnsi="Arial"/>
          <w:sz w:val="21"/>
          <w:szCs w:val="21"/>
          <w:color w:val="auto"/>
          <w:vertAlign w:val="superscript"/>
        </w:rPr>
      </w:pPr>
    </w:p>
    <w:p>
      <w:pPr>
        <w:ind w:left="420" w:right="240" w:hanging="412"/>
        <w:spacing w:after="0" w:line="233" w:lineRule="auto"/>
        <w:tabs>
          <w:tab w:leader="none" w:pos="408" w:val="left"/>
        </w:tabs>
        <w:numPr>
          <w:ilvl w:val="0"/>
          <w:numId w:val="8"/>
        </w:numPr>
        <w:rPr>
          <w:rFonts w:ascii="Arial" w:cs="Arial" w:eastAsia="Arial" w:hAnsi="Arial"/>
          <w:sz w:val="21"/>
          <w:szCs w:val="21"/>
          <w:color w:val="auto"/>
          <w:vertAlign w:val="superscript"/>
        </w:rPr>
      </w:pPr>
      <w:r>
        <w:rPr>
          <w:rFonts w:ascii="Arial" w:cs="Arial" w:eastAsia="Arial" w:hAnsi="Arial"/>
          <w:sz w:val="16"/>
          <w:szCs w:val="16"/>
          <w:color w:val="auto"/>
        </w:rPr>
        <w:t>Reclassifications from AOCL related to our postretirement benefit plans were recorded as a component of FAS expense (income) for each period presented. See “Note 7 - Postretirement Benefit Plans”. These amounts include $107 million and $110 million, net of tax, for the quarters ended September 26, 2021 and September 27, 2020, which are comprised of the recognition of net actuarial losses of $171 million and $173 million for the quarters ended September 26, 2021 and September 27, 2020, and the amortization of net prior service credits of $64 million and $63 million for the quarters ended September 26, 2021 and September 27, 2020.</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OTHER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Estimates</w:t>
      </w:r>
    </w:p>
    <w:p>
      <w:pPr>
        <w:spacing w:after="0" w:line="207"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Significant estimates and assumptions are made in estimating contract sales and costs, including the profit booking rate. At the outset of a long-term contract, we identify and monitor risks to the achievement of the technical, schedule and cost aspects of the contract, as well as variable consideration, and assess the effects of those risks on our estimates of sales and total costs to complete the contract. The estimates consider the technical requirements (e.g., a newly-developed product versus a mature product), the schedule and associated tasks (e.g., the number and type of milestone events) and costs (e.g., material, labor, subcontractor, overhead, general and administrative and the estimated costs to fulfill our industrial cooperation agreements, sometimes referred to as offset or localization agreements, required under certain contracts with international customers). The initial profit booking rate of each contract considers risks surrounding</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Lockheed Martin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 (continued)</w:t>
      </w:r>
    </w:p>
    <w:p>
      <w:pPr>
        <w:spacing w:after="0" w:line="200" w:lineRule="exact"/>
        <w:rPr>
          <w:sz w:val="20"/>
          <w:szCs w:val="20"/>
          <w:color w:val="auto"/>
        </w:rPr>
      </w:pPr>
    </w:p>
    <w:p>
      <w:pPr>
        <w:spacing w:after="0" w:line="30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ability to achieve the technical requirements, schedule and costs in the initial estimated total costs to complete the contract. Profit booking rates may increase during the performance of the contract if we successfully retire risks surrounding the technical, schedule and cost aspects of the contract, which decreases the estimated total costs to complete the contract or may increase the variable consideration we expect to receive on the contract. Conversely, our profit booking rates may decrease if the estimated total costs to complete the contract increase or our estimates of variable consideration we expect to receive decrease. All of the estimates are subject to change during the performance of the contract and may affect the profit booking rate. When estimates of total costs to be incurred on a contract exceed total estimates of the transaction price, a provision for the entire loss is determined at the contract level and is recorded in the period in which the loss is determined.</w:t>
      </w:r>
    </w:p>
    <w:p>
      <w:pPr>
        <w:spacing w:after="0" w:line="178"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auto"/>
        </w:rPr>
        <w:t>In addition, comparability of our segment sales, operating profit and operating margin may be impacted favorably or unfavorably by changes in profit booking rates on our contracts for which we recognize revenue over time using the percentage-of-completion cost-to-cost method to measure progress towards completion. Increases in profit booking rates, typically referred to as risk retirements, usually relate to revisions in the estimated total costs to fulfill the performance obligations that reflect improved conditions on a particular contract. Conversely, conditions on a particular contract may deteriorate, resulting in an increase in the estimated total costs to fulfill the performance obligations and a reduction in the profit booking rate. Increases or decreases in profit booking rates are recognized in the current period and reflect the inception-to-date effect of such changes. Segment operating profit and margin may also be impacted favorably or unfavorably by other items, which may or may not impact sales. Favorable items may include the positive resolution of contractual matters, cost recoveries on severance and restructuring charges, insurance recoveries and gains on sales of assets. Unfavorable items may include the adverse resolution of contractual matters; restructuring charges, except for significant severance actions, which are excluded from segment operating results; reserves for disputes; certain asset impairments; and losses on sales of certain assets.</w:t>
      </w:r>
    </w:p>
    <w:p>
      <w:pPr>
        <w:spacing w:after="0" w:line="170" w:lineRule="exact"/>
        <w:rPr>
          <w:sz w:val="20"/>
          <w:szCs w:val="20"/>
          <w:color w:val="auto"/>
        </w:rPr>
      </w:pPr>
    </w:p>
    <w:p>
      <w:pPr>
        <w:ind w:right="100" w:firstLine="445"/>
        <w:spacing w:after="0" w:line="252" w:lineRule="auto"/>
        <w:rPr>
          <w:sz w:val="20"/>
          <w:szCs w:val="20"/>
          <w:color w:val="auto"/>
        </w:rPr>
      </w:pPr>
      <w:r>
        <w:rPr>
          <w:rFonts w:ascii="Arial" w:cs="Arial" w:eastAsia="Arial" w:hAnsi="Arial"/>
          <w:sz w:val="18"/>
          <w:szCs w:val="18"/>
          <w:color w:val="auto"/>
        </w:rPr>
        <w:t>Our consolidated net adjustments not related to volume, including net profit booking rate adjustments and other matters, increased segment operating profit by approximately $580 million and $1.5 billion during the quarter and nine months ended September 26, 2021 and $415 million and $1.4 billion during the quarters and nine months ended September 27, 2020. These adjustments increased net earnings by approximately $458 million ($ 1.65 per share) and $1.2 billion ($ 4.14 per share) during the quarter and nine months ended September 26, 2021 and $328 million ($ 1.17 per share) and $1.1 billion ($3.82 per share) during the quarter and nine months ended September 27, 2020. We recognized net sales from performance obligations satisfied in prior periods of approximately $616 million and $1.6 billion during the quarter and nine months ended September 26, 2021, and $487 million and $1.5 billion during the quarter and nine months ended September 27, 2020, which primarily relate to changes in profit booking rates that impacted revenue.</w:t>
      </w:r>
    </w:p>
    <w:p>
      <w:pPr>
        <w:spacing w:after="0" w:line="165" w:lineRule="exact"/>
        <w:rPr>
          <w:sz w:val="20"/>
          <w:szCs w:val="20"/>
          <w:color w:val="auto"/>
        </w:rPr>
      </w:pPr>
    </w:p>
    <w:p>
      <w:pPr>
        <w:ind w:right="20" w:firstLine="405"/>
        <w:spacing w:after="0" w:line="251" w:lineRule="auto"/>
        <w:rPr>
          <w:sz w:val="20"/>
          <w:szCs w:val="20"/>
          <w:color w:val="auto"/>
        </w:rPr>
      </w:pPr>
      <w:r>
        <w:rPr>
          <w:rFonts w:ascii="Arial" w:cs="Arial" w:eastAsia="Arial" w:hAnsi="Arial"/>
          <w:sz w:val="18"/>
          <w:szCs w:val="18"/>
          <w:color w:val="auto"/>
        </w:rPr>
        <w:t>As previously disclosed, we have experienced performance issues on a classified fixed-price incentive fee contract that involves highly complex design and systems integration at our Aeronautics business segment. During the second quarter of 2021, we completed a comprehensive review and negotiation of scope of the program with our customer, including the technical requirements, performance to date, remaining work, schedule, and estimated costs to complete the program. At the conclusion of the review, we determined that the total costs to complete the current phase of the program will exceed the contract price. Accordingly, during the second quarter of 2021, we recognized a loss of $225 million ($ 169 million, or $0.61 per share, after tax) on the program at our Aeronautics business segment, which represented our estimated total losses on the current phase of the program. During the third quarter of 2021, we signed a Memorandum of Agreement (MOA) with the customer to modify the contract scope and price. We are working with the customer to incorporate the MOA updates into the contract, which we currently expect to complete by the end of 2021. The terms of the MOA are consistent with the assumptions used to estimate the loss recognized in the second quarter of 2021. Therefore, our current estimated loss remains at $ 225 million. We will continue to monitor our performance, any future changes in scope, and estimated costs to complete the program and may have to record additional losses in future periods if we experience further performance issues, increases in scope, or cost growth, which could be material to our operating results. In addition, we and our industry team will incur advanced procurement costs (also referred to as precontract costs) in order to enhance our ability to achieve the revised schedule and certain milestones. We will monitor the recoverability of precontract costs, which could be impacted by the customer’s decision regarding future phases of the program.</w:t>
      </w:r>
    </w:p>
    <w:p>
      <w:pPr>
        <w:spacing w:after="0" w:line="182" w:lineRule="exact"/>
        <w:rPr>
          <w:sz w:val="20"/>
          <w:szCs w:val="20"/>
          <w:color w:val="auto"/>
        </w:rPr>
      </w:pPr>
    </w:p>
    <w:p>
      <w:pPr>
        <w:ind w:right="40" w:firstLine="445"/>
        <w:spacing w:after="0" w:line="254" w:lineRule="auto"/>
        <w:rPr>
          <w:sz w:val="20"/>
          <w:szCs w:val="20"/>
          <w:color w:val="auto"/>
        </w:rPr>
      </w:pPr>
      <w:r>
        <w:rPr>
          <w:rFonts w:ascii="Arial" w:cs="Arial" w:eastAsia="Arial" w:hAnsi="Arial"/>
          <w:sz w:val="18"/>
          <w:szCs w:val="18"/>
          <w:color w:val="auto"/>
        </w:rPr>
        <w:t>As previously disclosed, we are responsible for a program to design, develop and construct a ground-based radar at our RMS business segment. The program has experienced performance issues for which we have periodically accrued reserves. During the quarter ended September 26, 2021, we revised our estimated costs to complete the program by reviewing the technical requirements, performance to date, remaining work, and schedule and recorded a charge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Lockheed Martin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 (continued)</w:t>
      </w:r>
    </w:p>
    <w:p>
      <w:pPr>
        <w:spacing w:after="0" w:line="200" w:lineRule="exact"/>
        <w:rPr>
          <w:sz w:val="20"/>
          <w:szCs w:val="20"/>
          <w:color w:val="auto"/>
        </w:rPr>
      </w:pPr>
    </w:p>
    <w:p>
      <w:pPr>
        <w:spacing w:after="0" w:line="309"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approximately $45 million ($34 million, or $0.12 per share, after-tax) at our RMS business segment, which resulted in cumulative losses of approximately $280 million on this program as of September 26, 2021. We will continue to monitor our performance, any future changes in scope, and estimated costs to complete the program and may have to record additional losses in future periods if we experience further performance issues, increases in scope, or cost growth. However, based on the losses previously recorded and our current estimate of the sales and costs to complete the program, at this time we do not anticipate that additional losses, if any, would be material to our operating results or financial condition.</w:t>
      </w:r>
    </w:p>
    <w:p>
      <w:pPr>
        <w:spacing w:after="0" w:line="181" w:lineRule="exact"/>
        <w:rPr>
          <w:sz w:val="20"/>
          <w:szCs w:val="20"/>
          <w:color w:val="auto"/>
        </w:rPr>
      </w:pPr>
    </w:p>
    <w:p>
      <w:pPr>
        <w:ind w:right="80" w:firstLine="445"/>
        <w:spacing w:after="0" w:line="253" w:lineRule="auto"/>
        <w:rPr>
          <w:sz w:val="20"/>
          <w:szCs w:val="20"/>
          <w:color w:val="auto"/>
        </w:rPr>
      </w:pPr>
      <w:r>
        <w:rPr>
          <w:rFonts w:ascii="Arial" w:cs="Arial" w:eastAsia="Arial" w:hAnsi="Arial"/>
          <w:sz w:val="18"/>
          <w:szCs w:val="18"/>
          <w:color w:val="auto"/>
        </w:rPr>
        <w:t>As previously disclosed, we have a program, EADGE-T, to design, integrate and install an air missile defense command, control, communications, computers - intelligence (C4I) system for an international customer that has experienced performance issues and for which we have periodically accrued reserves at our RMS business segment. As of September 26, 2021, cumulative losses remained at approximately $260 million. We continue to monitor program requirements and our performance. At this time, we do not anticipate additional charges that would be material to our operating results or financial condition.</w:t>
      </w:r>
    </w:p>
    <w:p>
      <w:pPr>
        <w:spacing w:after="0" w:line="165"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As previously disclosed, we had a program to design, develop and install an upgraded turret for the Warrior Capability Sustainment Program (“Warrior”) at our MFC business segment. In March 2021, we received notification from our customer that it had made a decision to not proceed with the demonstration and manufacturing phases of the program and we were directed to suspend work on the program. We worked with our customer to develop a plan to wind down the program and entered into negotiations about final scope, milestones, remaining costs, and price during the second quarter of 2021. These negotiations were completed during the third quarter of 2021 along with the final settlement of substantially all of our claims. Upon completion of final settlements, we determined that future losses will not be incurred. As a result, we reversed previously recognized losses of approximately $25 million ($19 million, or $0.07 per share, after-tax) during the quarter ended September 26, 2021 to reflect the removal of terminated scope on this program, net of incremental close-out costs, and the settlement of the claims. Total cumulative losses on this program were approximately $75 million at September 26, 2021.</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07" w:lineRule="exact"/>
        <w:rPr>
          <w:sz w:val="20"/>
          <w:szCs w:val="20"/>
          <w:color w:val="auto"/>
        </w:rPr>
      </w:pPr>
    </w:p>
    <w:p>
      <w:pPr>
        <w:ind w:right="80" w:firstLine="445"/>
        <w:spacing w:after="0" w:line="236" w:lineRule="auto"/>
        <w:rPr>
          <w:sz w:val="20"/>
          <w:szCs w:val="20"/>
          <w:color w:val="auto"/>
        </w:rPr>
      </w:pPr>
      <w:r>
        <w:rPr>
          <w:rFonts w:ascii="Arial" w:cs="Arial" w:eastAsia="Arial" w:hAnsi="Arial"/>
          <w:sz w:val="18"/>
          <w:szCs w:val="18"/>
          <w:color w:val="auto"/>
        </w:rPr>
        <w:t>Backlog (i.e., unfulfilled or remaining performance obligations) represents the sales we expect to recognize for our products and services for which control has not yet transferred to the customer. Our backlog includes both funded (firm orders for our products and services for which funding has been both authorized and appropriated by the customer) and unfunded (firm orders for which funding has not been appropriated) amounts. We do not include unexercised options or potential orders under indefinite-delivery, indefinite-quantity agreements in our backlog. For our cost-reimbursable and fixed-priced-incentive contracts, the estimated consideration we expect to receive pursuant to the terms of the contract may exceed the contractual award amount. The estimated consideration is determined at the outset of the contract and is continuously reviewed throughout the contract period. In determining the estimated consideration, we consider the risks related to the technical, schedule and cost impacts to complete the contract and an estimate of any variable consideration. Periodically, we review these risks and may increase or decrease backlog accordingly. As the risks on such contracts are successfully retired, the estimated consideration from customers may be reduced, resulting in a reduction of backlog without a corresponding recognition of sales. As of September 26, 2021, our ending backlog was $134.8 billion. We expect to recognize approximately 38% of our backlog over the next 12 months and approximately 60% over the next 24 months as revenue with the remainder recognized thereafter.</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Lockheed Martin Ventures Fund</w:t>
      </w:r>
    </w:p>
    <w:p>
      <w:pPr>
        <w:spacing w:after="0" w:line="193"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auto"/>
        </w:rPr>
        <w:t>Through our Lockheed Martin Ventures Fund, we make strategic investments in certain early stage companies that we believe are advancing or developing new technologies applicable to our business. These investments may be in the form of common or preferred stock, warrants, convertible debt securities or investments in funds. Most of the investments are in equity securities without readily determinable fair values, which are measured initially at cost and are then adjusted to fair value only if there is an observable price change or reduced for impairment, if applicable. Investments with quoted market prices in active markets (Level 1) are recorded at fair value at the end of each reporting period. The carrying amounts of investments held in our Lockheed Martin Ventures Fund were $355 million and $173 million at September 26, 2021 and December 31, 2020. During the quarter and nine months ended September 26, 2021, we recorded $98 million ($74 million, or $0.27 per share, after-tax) and $180 million ($135 million, or $0.49 per share, after-tax) of net gains due to</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Lockheed Martin Corporation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(unaudited) (continued)</w:t>
      </w:r>
    </w:p>
    <w:p>
      <w:pPr>
        <w:spacing w:after="0" w:line="200" w:lineRule="exact"/>
        <w:rPr>
          <w:sz w:val="20"/>
          <w:szCs w:val="20"/>
          <w:color w:val="auto"/>
        </w:rPr>
      </w:pPr>
    </w:p>
    <w:p>
      <w:pPr>
        <w:spacing w:after="0" w:line="309"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changes in fair value and/or sales of investments which are reflected in the other non-operating income, net account on our consolidated statements of earnings.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Advanced Military Maintenance, Repair and Overhaul Center LLC (AMMROC)</w:t>
      </w:r>
    </w:p>
    <w:p>
      <w:pPr>
        <w:spacing w:after="0" w:line="193" w:lineRule="exact"/>
        <w:rPr>
          <w:sz w:val="20"/>
          <w:szCs w:val="20"/>
          <w:color w:val="auto"/>
        </w:rPr>
      </w:pPr>
    </w:p>
    <w:p>
      <w:pPr>
        <w:ind w:firstLine="445"/>
        <w:spacing w:after="0" w:line="237" w:lineRule="auto"/>
        <w:rPr>
          <w:sz w:val="20"/>
          <w:szCs w:val="20"/>
          <w:color w:val="auto"/>
        </w:rPr>
      </w:pPr>
      <w:r>
        <w:rPr>
          <w:rFonts w:ascii="Arial" w:cs="Arial" w:eastAsia="Arial" w:hAnsi="Arial"/>
          <w:sz w:val="18"/>
          <w:szCs w:val="18"/>
          <w:color w:val="auto"/>
        </w:rPr>
        <w:t>In July 2020, we entered into an agreement to sell our ownership interest in AMMROC to our joint venture partner for $307 million. As a result, we adjusted the carrying value of our investment to the selling price of $ 307 million, which resulted in the recognition of a noncash impairment charge of $128 million ($96 million, or $0.34 per share, after-tax) in our results of operations during the nine months ended September 27, 2020. The sale was completed on November 25, 2020. The purchase price was paid in cash installments in 2021, of which we received $231 million as of September 26, 2021 (the end of our third quarter). The final installment payment of $76 million was received on September 30, 2021 (subsequent to our third quarter).</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Severance and Restructuring Charges</w:t>
      </w:r>
    </w:p>
    <w:p>
      <w:pPr>
        <w:spacing w:after="0" w:line="220" w:lineRule="exact"/>
        <w:rPr>
          <w:sz w:val="20"/>
          <w:szCs w:val="20"/>
          <w:color w:val="auto"/>
        </w:rPr>
      </w:pPr>
    </w:p>
    <w:p>
      <w:pPr>
        <w:ind w:right="120" w:firstLine="405"/>
        <w:spacing w:after="0" w:line="253" w:lineRule="auto"/>
        <w:rPr>
          <w:sz w:val="20"/>
          <w:szCs w:val="20"/>
          <w:color w:val="auto"/>
        </w:rPr>
      </w:pPr>
      <w:r>
        <w:rPr>
          <w:rFonts w:ascii="Arial" w:cs="Arial" w:eastAsia="Arial" w:hAnsi="Arial"/>
          <w:sz w:val="18"/>
          <w:szCs w:val="18"/>
          <w:color w:val="auto"/>
        </w:rPr>
        <w:t>During the first quarter of 2021, we recorded severance and restructuring charges of $36 million ($28 million, or $0.10 per share, after-tax) associated with plans to close and consolidate certain facilities and reduce total workforce within our RMS business segment. The actions were taken to better align RMS' organization and cost structure to improve the efficiency of its operations and affordability of its products and services. Upon separation, terminated employees were to receive lump-sum severance payments primarily based on years of service, the majority of which will be paid over the next several quarters.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93"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Our effective income tax rate was 9.6% and 15.7% for the quarters and nine months ended September 26, 2021, and 14.7% and 15.7% for the quarters and nine months ended September 27, 2020. The rate for the third quarter of 2021 is lower than the third quarter of 2020 primarily due to lower pretax earnings resulting from a noncash pension settlement charge of $1.7 billion, which reduced the tax expense by approximately $355 million. The rates for both periods benefited from tax deductions for foreign derived intangible income, the research and development tax credit, and dividends paid to the corporation's defined contribution plans with an employee stock ownership plan feature.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on Discontinued Operations</w:t>
      </w:r>
    </w:p>
    <w:p>
      <w:pPr>
        <w:spacing w:after="0" w:line="193" w:lineRule="exact"/>
        <w:rPr>
          <w:sz w:val="20"/>
          <w:szCs w:val="20"/>
          <w:color w:val="auto"/>
        </w:rPr>
      </w:pPr>
    </w:p>
    <w:p>
      <w:pPr>
        <w:ind w:right="40" w:firstLine="445"/>
        <w:spacing w:after="0" w:line="246" w:lineRule="auto"/>
        <w:rPr>
          <w:sz w:val="20"/>
          <w:szCs w:val="20"/>
          <w:color w:val="auto"/>
        </w:rPr>
      </w:pPr>
      <w:r>
        <w:rPr>
          <w:rFonts w:ascii="Arial" w:cs="Arial" w:eastAsia="Arial" w:hAnsi="Arial"/>
          <w:sz w:val="18"/>
          <w:szCs w:val="18"/>
          <w:color w:val="auto"/>
        </w:rPr>
        <w:t>During the third quarter of 2020, we recognized a $55 million ($0.20 per share) non-cash charge resulting from the resolution of certain tax matters related to the former IS&amp;GS business divested in 2016.</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Revolving Credit Facility</w:t>
      </w:r>
    </w:p>
    <w:p>
      <w:pPr>
        <w:spacing w:after="0" w:line="220" w:lineRule="exact"/>
        <w:rPr>
          <w:sz w:val="20"/>
          <w:szCs w:val="20"/>
          <w:color w:val="auto"/>
        </w:rPr>
      </w:pPr>
    </w:p>
    <w:p>
      <w:pPr>
        <w:ind w:right="120" w:firstLine="405"/>
        <w:spacing w:after="0" w:line="253" w:lineRule="auto"/>
        <w:rPr>
          <w:sz w:val="20"/>
          <w:szCs w:val="20"/>
          <w:color w:val="auto"/>
        </w:rPr>
      </w:pPr>
      <w:r>
        <w:rPr>
          <w:rFonts w:ascii="Arial" w:cs="Arial" w:eastAsia="Arial" w:hAnsi="Arial"/>
          <w:sz w:val="18"/>
          <w:szCs w:val="18"/>
          <w:color w:val="auto"/>
        </w:rPr>
        <w:t>On August 24, 2021, we entered into a new $ 3.0 billion revolving credit facility (the Revolving Credit Facility) with various banks that is available for general corporate purposes including supporting commercial paper borrowings and which has an expiration date of August 24, 2026. We concurrently terminated our existing $2.5 billion revolving credit facility. We may request and the banks may grant, at their discretion, an increase in the borrowing capacity under the Revolving Credit Facility of up to an additional $500 million. There were no borrowings outstanding under the Revolving Credit Facility at September 26, 2021.</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Debt</w:t>
      </w:r>
    </w:p>
    <w:p>
      <w:pPr>
        <w:spacing w:after="0" w:line="207" w:lineRule="exact"/>
        <w:rPr>
          <w:sz w:val="20"/>
          <w:szCs w:val="20"/>
          <w:color w:val="auto"/>
        </w:rPr>
      </w:pPr>
    </w:p>
    <w:p>
      <w:pPr>
        <w:ind w:right="820" w:firstLine="445"/>
        <w:spacing w:after="0" w:line="261" w:lineRule="auto"/>
        <w:rPr>
          <w:sz w:val="20"/>
          <w:szCs w:val="20"/>
          <w:color w:val="auto"/>
        </w:rPr>
      </w:pPr>
      <w:r>
        <w:rPr>
          <w:rFonts w:ascii="Arial" w:cs="Arial" w:eastAsia="Arial" w:hAnsi="Arial"/>
          <w:sz w:val="18"/>
          <w:szCs w:val="18"/>
          <w:color w:val="auto"/>
        </w:rPr>
        <w:t>In September 2021, we repaid $500 million of long-term notes with a fixed interest rate of 3.35% according to their scheduled maturities.</w:t>
      </w:r>
    </w:p>
    <w:p>
      <w:pPr>
        <w:spacing w:after="0" w:line="157" w:lineRule="exact"/>
        <w:rPr>
          <w:sz w:val="20"/>
          <w:szCs w:val="20"/>
          <w:color w:val="auto"/>
        </w:rPr>
      </w:pPr>
    </w:p>
    <w:p>
      <w:pPr>
        <w:jc w:val="both"/>
        <w:ind w:right="260" w:firstLine="445"/>
        <w:spacing w:after="0" w:line="256" w:lineRule="auto"/>
        <w:rPr>
          <w:sz w:val="20"/>
          <w:szCs w:val="20"/>
          <w:color w:val="auto"/>
        </w:rPr>
      </w:pPr>
      <w:r>
        <w:rPr>
          <w:rFonts w:ascii="Arial" w:cs="Arial" w:eastAsia="Arial" w:hAnsi="Arial"/>
          <w:sz w:val="18"/>
          <w:szCs w:val="18"/>
          <w:color w:val="auto"/>
        </w:rPr>
        <w:t>In May 2020, we received net cash proceeds of $1.1 billion from issuance of senior unsecured notes. In June 2020, we used the net proceeds from the offering plus cash on hand to redeem $750 million of notes due in 2020 and $400 million of notes due in 2021, each at their redemption price.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82" w:right="37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Lockheed Martin Corporation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(unaudited) (continued)</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RECENT ACCOUNTING PRONOUNCEMENTS</w:t>
      </w:r>
    </w:p>
    <w:p>
      <w:pPr>
        <w:spacing w:after="0" w:line="220"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 xml:space="preserve">In 2017, the United Kingdom’s Financial Conduct Authority (FCA) announced that after 2021 it would no longer compel banks to submit the rates required to calculate the London Interbank Offered Rate (LIBOR), which have been widely used as reference rates for various securities and financial contracts, including loans, debt and derivatives. This announcement indicates that the continuation of LIBOR on the current basis is not guaranteed after 2021. Subsequently in March 2021, the FCA announced some USD LIBOR tenors (overnight, 1 month, 3 month, 6 month and 12 month) will continue to be published until June 30, 2023. Regulators in the U.S. and other jurisdictions have been working to replace these rates with alternative reference interest rates that are supported by transactions in liquid and observable markets, such as the Secured Overnight Financing Rate (SOFR) for USD LIBOR. Currently, our credit facility and certain of our derivative instruments reference LIBOR-based rates. Our credit facility contains provisions specifying alternative interest rate calculations to be employed when LIBOR ceases to be available as a benchmark; and we have adhered to the ISDA 2020 IBOR Fallbacks Protocol, which will govern our derivatives upon the final cessation of USD LIBOR. ASU 2020-04, </w:t>
      </w:r>
      <w:r>
        <w:rPr>
          <w:rFonts w:ascii="Arial" w:cs="Arial" w:eastAsia="Arial" w:hAnsi="Arial"/>
          <w:sz w:val="18"/>
          <w:szCs w:val="18"/>
          <w:i w:val="1"/>
          <w:iCs w:val="1"/>
          <w:color w:val="auto"/>
        </w:rPr>
        <w:t>Reference Rate Reform (Topic 848): Facilitation of the Effects of</w:t>
      </w:r>
      <w:r>
        <w:rPr>
          <w:rFonts w:ascii="Arial" w:cs="Arial" w:eastAsia="Arial" w:hAnsi="Arial"/>
          <w:sz w:val="18"/>
          <w:szCs w:val="18"/>
          <w:color w:val="auto"/>
        </w:rPr>
        <w:t xml:space="preserve"> </w:t>
      </w:r>
      <w:r>
        <w:rPr>
          <w:rFonts w:ascii="Arial" w:cs="Arial" w:eastAsia="Arial" w:hAnsi="Arial"/>
          <w:sz w:val="18"/>
          <w:szCs w:val="18"/>
          <w:i w:val="1"/>
          <w:iCs w:val="1"/>
          <w:color w:val="auto"/>
        </w:rPr>
        <w:t>Reference Rate Reform on Financial Reporting</w:t>
      </w:r>
      <w:r>
        <w:rPr>
          <w:rFonts w:ascii="Arial" w:cs="Arial" w:eastAsia="Arial" w:hAnsi="Arial"/>
          <w:sz w:val="18"/>
          <w:szCs w:val="18"/>
          <w:color w:val="auto"/>
        </w:rPr>
        <w:t>, as amended, helps limit the accounting impact from contract modifications,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hedging relationships, due to the transition from LIBOR to alternative reference rates that are completed by December 31, 2022. We do not expect a significant impact to our operating results, financial position or cash flows from the transition from LIBOR to alternative reference interest rates, but we will continue to monitor the impact of this transition until it is completed.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82" w:right="37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Lockheed Martin Corporation</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Review of Interim Financial Statements</w:t>
      </w:r>
    </w:p>
    <w:p>
      <w:pPr>
        <w:spacing w:after="0" w:line="274"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We have reviewed the accompanying consolidated balance sheet of Lockheed Martin Corporation (the Corporation) as of September 26, 2021, the related consolidated statements of earnings, comprehensive income and equity for the quarters and nine months ended September 26, 2021 and September 27, 2020, and consolidated statements of cash flows for the nine months ended September 26, 2021 and September 27, 2020, and the related notes (collectively referred to as the “consolidated interim financial statements”). Based on our reviews, we are not aware of any material modifications that should be made to the consolidated interim financial statements for them to be in conformity with U.S. generally accepted accounting principles.</w:t>
      </w:r>
    </w:p>
    <w:p>
      <w:pPr>
        <w:spacing w:after="0" w:line="23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have previously audited, in accordance with the standards of the Public Company Accounting Oversight Board (United States) (PCAOB), the consolidated balance sheet of the Corporation as of December 31, 2020, the related consolidated statements of earnings, comprehensive income, cash flows and equity for the year then ended, and the related notes (not presented herein); and in our report dated January 28, 2021, we expressed an unqualified audit opinion on those consolidated financial statements. In our opinion, the information set forth in the accompanying consolidated balance sheet as of December 31, 2020, is fairly stated, in all material respects, in relation to the consolidated balance sheet from which it has been derived.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Review Results</w:t>
      </w:r>
    </w:p>
    <w:p>
      <w:pPr>
        <w:spacing w:after="0" w:line="274"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These financial statements are the responsibility of the Corporation’s management. We are a public accounting firm registered with the PCAOB and are required to be independent with respect to the Corporation in accordance with the U.S. federal securities laws and the applicable rules and regulations of the SEC and the PCAOB. We conducted our review in accordance with the standards of the PCAOB. A review of interim financial statements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Tysons, Virginia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26, 2021</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2920"/>
        <w:spacing w:after="0" w:line="474"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BUSINESS OVERVIEW</w:t>
      </w:r>
    </w:p>
    <w:p>
      <w:pPr>
        <w:spacing w:after="0" w:line="1" w:lineRule="exact"/>
        <w:rPr>
          <w:sz w:val="20"/>
          <w:szCs w:val="20"/>
          <w:color w:val="auto"/>
        </w:rPr>
      </w:pPr>
    </w:p>
    <w:p>
      <w:pPr>
        <w:ind w:right="180" w:firstLine="445"/>
        <w:spacing w:after="0" w:line="252" w:lineRule="auto"/>
        <w:rPr>
          <w:sz w:val="20"/>
          <w:szCs w:val="20"/>
          <w:color w:val="auto"/>
        </w:rPr>
      </w:pPr>
      <w:r>
        <w:rPr>
          <w:rFonts w:ascii="Arial" w:cs="Arial" w:eastAsia="Arial" w:hAnsi="Arial"/>
          <w:sz w:val="18"/>
          <w:szCs w:val="18"/>
          <w:color w:val="auto"/>
        </w:rPr>
        <w:t>We are a global security and aerospace company principally engaged in the research, design, development, manufacture, integration and sustainment of advanced technology systems, products and services. We also provide a broad range of management, engineering, technical, scientific, logistics, system integration and cybersecurity services. We serve both U.S. and international customers with products and services that have defense, civil and commercial applications, with our principal customers being agencies of the U.S. Government. During the nine months ended September 26, 2021, 72% of our $49.3 billion in net sales were from the U.S. Government, either as a prime contractor or as a subcontractor (including 63% from the Department of Defense (DoD)), 27% were from international customers (including foreign military sales (FMS) contracted through the U.S. Government) and 1% were from U.S. commercial and other customers. Our main areas of focus are in defense, space, intelligence, homeland security and information technology, including cybersecurity.</w:t>
      </w:r>
    </w:p>
    <w:p>
      <w:pPr>
        <w:spacing w:after="0" w:line="165" w:lineRule="exact"/>
        <w:rPr>
          <w:sz w:val="20"/>
          <w:szCs w:val="20"/>
          <w:color w:val="auto"/>
        </w:rPr>
      </w:pPr>
    </w:p>
    <w:p>
      <w:pPr>
        <w:ind w:firstLine="445"/>
        <w:spacing w:after="0" w:line="261" w:lineRule="auto"/>
        <w:rPr>
          <w:sz w:val="20"/>
          <w:szCs w:val="20"/>
          <w:color w:val="auto"/>
        </w:rPr>
      </w:pPr>
      <w:r>
        <w:rPr>
          <w:rFonts w:ascii="Arial" w:cs="Arial" w:eastAsia="Arial" w:hAnsi="Arial"/>
          <w:sz w:val="18"/>
          <w:szCs w:val="18"/>
          <w:color w:val="auto"/>
        </w:rPr>
        <w:t>The following discussion is a supplement to and should be read in conjunction with the accompanying consolidated financial statements and notes thereto and with our 2020 Form 10-K.</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Renationalization of the Atomic Weapons Establishment Program</w:t>
      </w:r>
    </w:p>
    <w:p>
      <w:pPr>
        <w:spacing w:after="0" w:line="220" w:lineRule="exact"/>
        <w:rPr>
          <w:sz w:val="20"/>
          <w:szCs w:val="20"/>
          <w:color w:val="auto"/>
        </w:rPr>
      </w:pPr>
    </w:p>
    <w:p>
      <w:pPr>
        <w:ind w:right="60" w:firstLine="405"/>
        <w:spacing w:after="0" w:line="252" w:lineRule="auto"/>
        <w:rPr>
          <w:sz w:val="20"/>
          <w:szCs w:val="20"/>
          <w:color w:val="auto"/>
        </w:rPr>
      </w:pPr>
      <w:r>
        <w:rPr>
          <w:rFonts w:ascii="Arial" w:cs="Arial" w:eastAsia="Arial" w:hAnsi="Arial"/>
          <w:sz w:val="18"/>
          <w:szCs w:val="18"/>
          <w:color w:val="auto"/>
        </w:rPr>
        <w:t>As previously announced, on June 30, 2021 the UK Ministry of Defence terminated the contract to operate the UK’s nuclear deterrent program and assumed control of the entity that manages the program (referred to as the renationalization of the Atomic Weapons Establishment (AWE program). Accordingly, the AWE program, including the entity that manages the program, is no longer included in our financial results beginning in the third quarter of 2021. Because of the renationalization, no sales or operating profit for the AWE program are included in the company’s financial results for the quarter ended September 26, 2021. However, during the first six months of 2021, AWE generated sales of $865 million and operating profit of $15 million, which are included in the company’s financial results for the nine months ended September 26, 2021. During the quarter and nine months ended September 26, 2020, AWE generated sales of $350 million and $1.0 billion and operating profit of $10 million and $30 million which are included in the company’s financial results for 2020.</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Pending Acquisition Of Aerojet Rocketdyne</w:t>
      </w:r>
    </w:p>
    <w:p>
      <w:pPr>
        <w:spacing w:after="0" w:line="207"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On December 20, 2020, we entered into an agreement to acquire Aerojet Rocketdyne Holdings, Inc. (“Aerojet Rocketdyne”) for $51.00 per share, which is net of a $5.00 per share special cash dividend Aerojet Rocketdyne paid to its stockholders on March 24, 2021. At the time of announcement, this represented a post-dividend equity value of approximately $4.6 billion, on a fully diluted as-converted basis, and a transaction value of approximately $4.4 billion after the assumption of Aerojet Rocketdyne’s then-projected net cash. We expect to finance the acquisition primarily through new debt issuances. The transaction was approved by Aerojet Rocketdyne’s stockholders on March 9, 2021, which was a closing condition. As part of the regulatory review process of the transaction, on September 24, 2021, we and Aerojet Rocketdyne each certified substantial compliance with the Federal Trade Commission’s (FTC) requests for additional information, known as a “second request”, and the parties continue to engage with the FTC. Subject to satisfactory completion of the regulatory review process and satisfaction of the other closing conditions specified in the acquisition agreement, we anticipate closing the transaction in the first quarter of 2022. As previously disclosed, under the acquisition agreement, the “outside” date that gives rise to certain termination rights will automatically be extended from December 21, 2021 to March 21, 2022 in circumstances where all conditions have been satisfied but for the receipt of regulatory approvals. Our financial results will not include Aerojet Rocketdyne’s results until the acquisition is closed.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220" w:lineRule="exact"/>
        <w:rPr>
          <w:sz w:val="20"/>
          <w:szCs w:val="20"/>
          <w:color w:val="auto"/>
        </w:rPr>
      </w:pPr>
    </w:p>
    <w:p>
      <w:pPr>
        <w:ind w:right="60" w:firstLine="445"/>
        <w:spacing w:after="0" w:line="252" w:lineRule="auto"/>
        <w:rPr>
          <w:sz w:val="20"/>
          <w:szCs w:val="20"/>
          <w:color w:val="auto"/>
        </w:rPr>
      </w:pPr>
      <w:r>
        <w:rPr>
          <w:rFonts w:ascii="Arial" w:cs="Arial" w:eastAsia="Arial" w:hAnsi="Arial"/>
          <w:sz w:val="18"/>
          <w:szCs w:val="18"/>
          <w:color w:val="auto"/>
        </w:rPr>
        <w:t>The COVID-19 pandemic continues to present business challenges in 2021. During the first nine months of 2021, we continued to experience impacts in each of our business areas related to COVID-19, primarily in continued increased coronavirus-related costs, delays in supplier deliveries, travel restrictions, site access and quarantine restrictions, and the remote work and adjusted work schedules. In the second quarter of 2021, we had initiated a plan to reintroduce employees that had been working remotely to the workplace, however, we paused the reintroduction as COVID-19 cases rose in the third quarter of 2021. Although we have not yet returned to pre-pandemic operations, we are experiencing stabilization of our employee attendance. We continued to take measures to protect the health and safety of our employees, including measures to facilitate the provision of vaccines to our employees in line with state and local guidelines. We also continued to work with our customers and suppliers to minimize disruptions, including using</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accelerated progress payments from the U.S. Government and cash on hand to accelerate $ 1.5 billion of payments to our suppliers as of September 26, 2021 that are due by their terms in future periods. We will continue to monitor risk driven by the pandemic and, based on our current assessment, we expect to continue to accelerate payments to our suppliers based on risk assessed need through the end of 2022. Consistent to our current acceleration approach, we will prioritize small and COVID-19 impacted businesses.</w:t>
      </w:r>
    </w:p>
    <w:p>
      <w:pPr>
        <w:spacing w:after="0" w:line="177"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We are closely tracking developments regarding the Administration’s Path Out Of The Pandemic: COVID-19 Action Plan, announced by President Biden on September 9, 2021, including Executive Order 14042, the Safer Federal Workforce Task Force guidance issued September 24, 2021, and the DoD’s Force Health Protection Guidance. As of September 13, 2021, all personnel working at DoD facilities, including Lockheed Martin employees, must comply with DoD’s process to attest to vaccination status. Pursuant to the DoD mandate, this is required for physical access to DoD buildings and leased spaces in non-DoD buildings where official agency business is performed. Additionally, pursuant to Executive Order 14042, all U.S. based employees of Lockheed Martin and most of its suppliers, industry partners and contractors working directly or indirectly on covered government contracts, or working at a facility where those contracts are performed, administered, or otherwise supported, must be fully vaccinated, or have an approved medical or religious accommodation. This includes employees who telework. Contractors that are not working directly or indirectly on covered government contracts but who work at a facility where covered contracts are performed, administered, or otherwise supported are strongly encouraged to be fully vaccinated. We have determined the December 8, 2021 deadline for vaccination will apply to all U.S. sites. We are in the process of executing this executive order across our workforce. It is uncertain to what extent compliance with the vaccine mandate may result in workforce attrition for us or our suppliers. If attrition is significant, our operations and ability to execute on our contracts could be adversely affected.</w:t>
      </w:r>
    </w:p>
    <w:p>
      <w:pPr>
        <w:spacing w:after="0" w:line="169" w:lineRule="exact"/>
        <w:rPr>
          <w:sz w:val="20"/>
          <w:szCs w:val="20"/>
          <w:color w:val="auto"/>
        </w:rPr>
      </w:pPr>
    </w:p>
    <w:p>
      <w:pPr>
        <w:ind w:right="60" w:firstLine="445"/>
        <w:spacing w:after="0" w:line="252" w:lineRule="auto"/>
        <w:rPr>
          <w:sz w:val="20"/>
          <w:szCs w:val="20"/>
          <w:color w:val="auto"/>
        </w:rPr>
      </w:pPr>
      <w:r>
        <w:rPr>
          <w:rFonts w:ascii="Arial" w:cs="Arial" w:eastAsia="Arial" w:hAnsi="Arial"/>
          <w:sz w:val="18"/>
          <w:szCs w:val="18"/>
          <w:color w:val="auto"/>
        </w:rPr>
        <w:t>The ultimate impact of COVID-19 on our operations and financial performance in future periods, including our ability to execute our programs in the expected timeframe, remains uncertain and will depend on future COVID-19 related developments, including the duration of the pandemic, any potential subsequent waves of COVID-19 infection or potential new variants, the effectiveness of COVID-19 vaccines and the impacts of implementation of the vaccine mandates, and related government actions to prevent and manage disease spread, all of which are uncertain and cannot be predicted. The long-term impacts of COVID-19 on government budgets and other funding priorities, including international priorities, that impact demand for our products and services are also difficult to predict but could negatively affect our future results and business operations.</w:t>
      </w:r>
    </w:p>
    <w:p>
      <w:pPr>
        <w:spacing w:after="0" w:line="166" w:lineRule="exact"/>
        <w:rPr>
          <w:sz w:val="20"/>
          <w:szCs w:val="20"/>
          <w:color w:val="auto"/>
        </w:rPr>
      </w:pPr>
    </w:p>
    <w:p>
      <w:pPr>
        <w:ind w:right="120" w:firstLine="445"/>
        <w:spacing w:after="0" w:line="261" w:lineRule="auto"/>
        <w:rPr>
          <w:sz w:val="20"/>
          <w:szCs w:val="20"/>
          <w:color w:val="auto"/>
        </w:rPr>
      </w:pPr>
      <w:r>
        <w:rPr>
          <w:rFonts w:ascii="Arial" w:cs="Arial" w:eastAsia="Arial" w:hAnsi="Arial"/>
          <w:sz w:val="18"/>
          <w:szCs w:val="18"/>
          <w:color w:val="auto"/>
        </w:rPr>
        <w:t>For additional risks to the corporation related to the COVID-19 pandemic, see Item 1A, Risk Factors of our Annual Report on Form 10-K for the year ended December 31, 2020 (2020 Form 10-K).</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Financial Outlook</w:t>
      </w:r>
    </w:p>
    <w:p>
      <w:pPr>
        <w:spacing w:after="0" w:line="207" w:lineRule="exact"/>
        <w:rPr>
          <w:sz w:val="20"/>
          <w:szCs w:val="20"/>
          <w:color w:val="auto"/>
        </w:rPr>
      </w:pPr>
    </w:p>
    <w:p>
      <w:pPr>
        <w:ind w:right="180" w:firstLine="405"/>
        <w:spacing w:after="0" w:line="253" w:lineRule="auto"/>
        <w:rPr>
          <w:sz w:val="20"/>
          <w:szCs w:val="20"/>
          <w:color w:val="auto"/>
        </w:rPr>
      </w:pPr>
      <w:r>
        <w:rPr>
          <w:rFonts w:ascii="Arial" w:cs="Arial" w:eastAsia="Arial" w:hAnsi="Arial"/>
          <w:sz w:val="18"/>
          <w:szCs w:val="18"/>
          <w:color w:val="auto"/>
        </w:rPr>
        <w:t>We now expect our 2021 net sales to increase from 2020 to approximately $67 billion. The projected growth is driven by F-16 and classified programs at Aeronautics, increased volume within integrated air and missile defense programs at MFC, increased volume on Sikorsky helicopter programs and training and logistics solutions programs at RMS, and hypersonics development volume at Space. We continue to expect total business segment operating profit margin in 2021 to be approximately 11.0%. Cash from operations in 2021 is now expected to be greater than or equal to $8.3 billion, with no pension contributions.</w:t>
      </w:r>
    </w:p>
    <w:p>
      <w:pPr>
        <w:spacing w:after="0" w:line="165"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auto"/>
        </w:rPr>
        <w:t>It is our practice not to incorporate adjustments into our financial outlook for proposed acquisitions, divestitures, ventures, pension risk transfer transactions, changes in law, or new accounting standards until such items have been consummated, enacted or adopted. The outlook for 2021 assumes continued support and funding of our programs, known impacts of COVID-19, no additional impact to Lockheed Martin operations or the supply chain due to continued COVID-19 disruption or implementation of the vaccine executive order, continued accelerated payments to suppliers at current levels, and a statutory tax rate of 21%. Our 2021 outlook also reflects the supply chain impacts experienced in the third quarter of 2021 and the impact of net gains from investments held by the Lockheed Martin Ventures Fund recognized in the first nine months of 2021, but does not include any future gains or losses related to market volatility and changes in valuations of our investment holdings. Additionally, it assumes that there will not be significant reductions in customer budgets, changes in funding priorities and that the U.S. Government will not operate under a continuing resolution for an extended period in which new contract and program starts are restricted.</w:t>
      </w:r>
    </w:p>
    <w:p>
      <w:pPr>
        <w:spacing w:after="0" w:line="184" w:lineRule="exact"/>
        <w:rPr>
          <w:sz w:val="20"/>
          <w:szCs w:val="20"/>
          <w:color w:val="auto"/>
        </w:rPr>
      </w:pPr>
    </w:p>
    <w:p>
      <w:pPr>
        <w:ind w:right="280" w:firstLine="405"/>
        <w:spacing w:after="0" w:line="261" w:lineRule="auto"/>
        <w:rPr>
          <w:sz w:val="20"/>
          <w:szCs w:val="20"/>
          <w:color w:val="auto"/>
        </w:rPr>
      </w:pPr>
      <w:r>
        <w:rPr>
          <w:rFonts w:ascii="Arial" w:cs="Arial" w:eastAsia="Arial" w:hAnsi="Arial"/>
          <w:sz w:val="18"/>
          <w:szCs w:val="18"/>
          <w:color w:val="auto"/>
        </w:rPr>
        <w:t>Changes in circumstances may require us to revise our assumptions, which could materially change our current estimate of 2021 net sales, segment operating margin and cash from operations.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Financial Trends</w:t>
      </w:r>
    </w:p>
    <w:p>
      <w:pPr>
        <w:spacing w:after="0" w:line="220" w:lineRule="exact"/>
        <w:rPr>
          <w:sz w:val="20"/>
          <w:szCs w:val="20"/>
          <w:color w:val="auto"/>
        </w:rPr>
      </w:pPr>
    </w:p>
    <w:p>
      <w:pPr>
        <w:ind w:right="40" w:firstLine="405"/>
        <w:spacing w:after="0" w:line="251" w:lineRule="auto"/>
        <w:rPr>
          <w:sz w:val="20"/>
          <w:szCs w:val="20"/>
          <w:color w:val="auto"/>
        </w:rPr>
      </w:pPr>
      <w:r>
        <w:rPr>
          <w:rFonts w:ascii="Arial" w:cs="Arial" w:eastAsia="Arial" w:hAnsi="Arial"/>
          <w:sz w:val="18"/>
          <w:szCs w:val="18"/>
          <w:color w:val="auto"/>
        </w:rPr>
        <w:t>We expect 2022 net sales to decline from expected 2021 levels to approximately $66 billion and 2022 total business segment operating margin to be approximately 11.0%. Cash from operations in 2022 is expected to be greater than or equal to $8.4 billion, which excludes a potential decrease in 2022 cash from operations of up to $2 billion if the provisions in the Tax Cuts and Jobs Act of 2017 that eliminate the option to immediately deduct research and development expenditures in the period incurred and requires companies to amortize such expenditures over five years is not modified or repealed by Congress before it takes effect on January 1, 2022. Although we continue to have ongoing discussions with members of Congress, both on our own and with other industries through coalitions, we have no assurance that these provisions will be modified or repealed. See “Income Tax Expense” in “Management’s Discussion and Analysis of Financial Condition and Results of Operations” for additional information regarding potential impacts of changes in tax laws and regulations, including the treatment of research and development costs.</w:t>
      </w:r>
    </w:p>
    <w:p>
      <w:pPr>
        <w:spacing w:after="0" w:line="171" w:lineRule="exact"/>
        <w:rPr>
          <w:sz w:val="20"/>
          <w:szCs w:val="20"/>
          <w:color w:val="auto"/>
        </w:rPr>
      </w:pPr>
    </w:p>
    <w:p>
      <w:pPr>
        <w:ind w:right="60" w:firstLine="405"/>
        <w:spacing w:after="0" w:line="251" w:lineRule="auto"/>
        <w:rPr>
          <w:sz w:val="20"/>
          <w:szCs w:val="20"/>
          <w:color w:val="auto"/>
        </w:rPr>
      </w:pPr>
      <w:r>
        <w:rPr>
          <w:rFonts w:ascii="Arial" w:cs="Arial" w:eastAsia="Arial" w:hAnsi="Arial"/>
          <w:sz w:val="18"/>
          <w:szCs w:val="18"/>
          <w:color w:val="auto"/>
        </w:rPr>
        <w:t>The preliminary outlook for 2022 also assumes continued support and funding of our programs, a statutory tax rate of 21%, known impacts of COVID-19, and the continued acceleration of supplier payments at current levels. No additional impacts to the company’s operations, supply chain, or financial results as a result of continued COVID-19 disruption or implementation of the vaccine executive order have been incorporated into our preliminary outlook for 2022 as the company cannot predict how the pandemic will evolve or what impact it will continue to have. The ultimate impacts of COVID-19 on our financial results remains uncertain and there can be no assurance that our underlying assumptions are correct. Additionally, the company’s preliminary outlook for 2022 assumes that there will not be significant reductions in customer budgets, changes in funding priorities and that the U.S. Government will not operate under a continuing resolution for an extended period in which new contract and program starts are restricted. It also does not incorporate the pending acquisition of Aerojet Rocketdyne Holdings, Inc. Changes in circumstances may require us to revise our assumptions, which could materially change our current estimate of 2022 net sales, business segment operating margin, and cash flows.</w:t>
      </w:r>
    </w:p>
    <w:p>
      <w:pPr>
        <w:spacing w:after="0" w:line="171"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auto"/>
        </w:rPr>
        <w:t>We currently expect a total net FAS/CAS pension benefit of approximately $2.2 billion in 2022, which includes total expected U.S. Government cost accounting standards (CAS) pension cost of approximately $1.8 billion and total expected financial accounting standards (FAS) pension income of approximately $400 million. The estimated FAS pension income amount assumes a 2.75% discount rate (the same rate used for the remeasurement of the defined benefit pension plans impacted by the pension risk transfer transaction in the third quarter of 2021), a 10.0% return on plan assets in 2021, and a 6.5% expected long-term rate of return on plan assets in future years, among other assumptions. A change of plus or minus 25 basis points to the assumed discount rate, with all other assumptions held constant, would result in an incremental increase or decrease of approximately $10 million to the estimated net 2022 FAS/CAS pension benefit. A change of plus or minus 100 basis points to the return on plan assets in 2021 only, with all other assumptions held constant, would result in an incremental increase or decrease of approximately $15 million to the estimated net 2022 FAS/CAS pension benefit. We do not expect to make required contributions to our qualified defined benefit pension plans in 2022. We will complete the annual remeasurement of our postretirement benefit plans and update our estimated 2022 net FAS/CAS pension adjustment on December 31, 2021. The final assumptions, including the actual investment return for 2021 may differ materially from those discussed above.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CONSIDERATIONS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Government Funding</w:t>
      </w:r>
    </w:p>
    <w:p>
      <w:pPr>
        <w:spacing w:after="0" w:line="207" w:lineRule="exact"/>
        <w:rPr>
          <w:sz w:val="20"/>
          <w:szCs w:val="20"/>
          <w:color w:val="auto"/>
        </w:rPr>
      </w:pPr>
    </w:p>
    <w:p>
      <w:pPr>
        <w:ind w:right="60" w:firstLine="405"/>
        <w:spacing w:after="0" w:line="253" w:lineRule="auto"/>
        <w:rPr>
          <w:sz w:val="20"/>
          <w:szCs w:val="20"/>
          <w:color w:val="auto"/>
        </w:rPr>
      </w:pPr>
      <w:r>
        <w:rPr>
          <w:rFonts w:ascii="Arial" w:cs="Arial" w:eastAsia="Arial" w:hAnsi="Arial"/>
          <w:sz w:val="18"/>
          <w:szCs w:val="18"/>
          <w:color w:val="auto"/>
        </w:rPr>
        <w:t>On May 28, 2021, the Administration submitted to Congress the President’s fiscal year (FY) 2022 budget request, which proposes $753 billion for total national defense spending including $715 billion for the DoD, a 1.6% increase above the FY 2021 enacted amounts for both total national defense and the DoD (a U.S. Government fiscal year starts on October 1 and ends on September 30). This is the first budget over the past decade that is not restricted by the discretionary spending caps under the Budget Control Act of 2011. The budget also proposes to end the use of Overseas Contingency Operations (OCO) as a separate fund to finance overseas operations.</w:t>
      </w:r>
    </w:p>
    <w:p>
      <w:pPr>
        <w:spacing w:after="0" w:line="178"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auto"/>
        </w:rPr>
        <w:t>However, the U.S. Government has not yet enacted an annual budget for FY 2022. To avert a government shutdown, on September 30, 2021, a continuing resolution funding measure was enacted to finance all U.S. Government activities through December 3, 2021. Under the continuing resolution, partial-year funding at amounts consistent with appropriated levels for FY 2021 are available, subject to certain restrictions, but new spending initiatives are not authorized. Importantly, our key programs continue to be supported and funded despite the continuing resolution financing mechanism. However, during periods covered by continuing resolutions or in the event of a government shutdown, we may experience delays in procurement of products and services due to lack of funding, and those delays may affect our</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results of operations. In the coming months, Congress will need to approve or revise the President’s FY 2022 budget proposal through enactment of appropriations bills and other policy legislation, which would then require final approval from the President in order for the FY 2022 budget to become law and complete the budget process.</w:t>
      </w:r>
    </w:p>
    <w:p>
      <w:pPr>
        <w:spacing w:after="0" w:line="175"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auto"/>
        </w:rPr>
        <w:t>In addition to finalizing the FY 2022 budget, the U.S. Government continues to face a variety of fiscal and monetary policy issues, including rising debt levels. The legal limit on U.S. debt, commonly known as the debt ceiling, was reinstated on August 1, 2021 at the amount of U.S. Government debt outstanding on that date, after a two-year suspension in accordance with the Bipartisan Budget Act of 2019 (BBA-19). To avoid exceeding the new debt limit, the U.S. Department of the Treasury began to employ extraordinary measures to continue financing the U.S. Government. On October 15, 2021, the President signed legislation raising the debt limit by $480 billion to $28.9 trillion, which is estimated to provide federal borrowing authority until early December 2021. It is uncertain exactly when the debt ceiling will again become critical, and whether the Department of Treasury will again be able to use “extraordinary measures” to delay the point at which the limit would be exceeded beyond year-end to early 2022. If the debt ceiling is not raised, the U.S. Government may not be able to pay for expenditures or fulfill its funding obligations and there could be significant disruption to discretionary programs and wider financial and economic repercussions. Although we believe that key defense, intelligence and homeland security programs would receive priority in these circumstances, the effect on individual programs or Lockheed Martin cannot be predicted at this time.</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also the discussion of U.S. Government funding risks within “Item 1A, Risk Factors” included in our 2020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207" w:lineRule="exact"/>
        <w:rPr>
          <w:sz w:val="20"/>
          <w:szCs w:val="20"/>
          <w:color w:val="auto"/>
        </w:rPr>
      </w:pPr>
    </w:p>
    <w:p>
      <w:pPr>
        <w:ind w:right="280" w:firstLine="445"/>
        <w:spacing w:after="0" w:line="253" w:lineRule="auto"/>
        <w:rPr>
          <w:sz w:val="20"/>
          <w:szCs w:val="20"/>
          <w:color w:val="auto"/>
        </w:rPr>
      </w:pPr>
      <w:r>
        <w:rPr>
          <w:rFonts w:ascii="Arial" w:cs="Arial" w:eastAsia="Arial" w:hAnsi="Arial"/>
          <w:sz w:val="18"/>
          <w:szCs w:val="18"/>
          <w:color w:val="auto"/>
        </w:rPr>
        <w:t>Our operating cycle is primarily long-term and involves many types of contracts for the design, development and manufacture of products and related activities with varying delivery schedules. Consequently, the results of operations of a particular period, or period-to-period comparisons of sales and profits, may not be indicative of future operating results. The following discussions of comparative results among periods should be reviewed in this context. All per share amounts cited in these discussions are presented on a “per diluted share” basis, unless otherwise noted. Our consolidated results of operations were as follows (in millions, except per share data):</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24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gridSpan w:val="3"/>
          </w:tcPr>
          <w:p>
            <w:pPr>
              <w:jc w:val="right"/>
              <w:ind w:right="1210"/>
              <w:spacing w:after="0"/>
              <w:rPr>
                <w:sz w:val="20"/>
                <w:szCs w:val="20"/>
                <w:color w:val="auto"/>
              </w:rPr>
            </w:pPr>
            <w:r>
              <w:rPr>
                <w:rFonts w:ascii="Arial" w:cs="Arial" w:eastAsia="Arial" w:hAnsi="Arial"/>
                <w:sz w:val="18"/>
                <w:szCs w:val="18"/>
                <w:b w:val="1"/>
                <w:bCs w:val="1"/>
                <w:color w:val="auto"/>
              </w:rPr>
              <w:t>Quarters Ended</w:t>
            </w:r>
          </w:p>
        </w:tc>
        <w:tc>
          <w:tcPr>
            <w:tcW w:w="46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gridSpan w:val="3"/>
          </w:tcPr>
          <w:p>
            <w:pPr>
              <w:jc w:val="right"/>
              <w:ind w:right="83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69"/>
        </w:trPr>
        <w:tc>
          <w:tcPr>
            <w:tcW w:w="3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80" w:type="dxa"/>
            <w:vAlign w:val="bottom"/>
          </w:tcPr>
          <w:p>
            <w:pPr>
              <w:jc w:val="right"/>
              <w:ind w:right="250"/>
              <w:spacing w:after="0" w:line="169" w:lineRule="exact"/>
              <w:rPr>
                <w:sz w:val="20"/>
                <w:szCs w:val="20"/>
                <w:color w:val="auto"/>
              </w:rPr>
            </w:pPr>
            <w:r>
              <w:rPr>
                <w:rFonts w:ascii="Arial" w:cs="Arial" w:eastAsia="Arial" w:hAnsi="Arial"/>
                <w:sz w:val="18"/>
                <w:szCs w:val="18"/>
                <w:b w:val="1"/>
                <w:bCs w:val="1"/>
                <w:color w:val="auto"/>
                <w:w w:val="99"/>
              </w:rPr>
              <w:t>September 26,</w:t>
            </w:r>
          </w:p>
        </w:tc>
        <w:tc>
          <w:tcPr>
            <w:tcW w:w="440" w:type="dxa"/>
            <w:vAlign w:val="bottom"/>
          </w:tcPr>
          <w:p>
            <w:pPr>
              <w:spacing w:after="0"/>
              <w:rPr>
                <w:sz w:val="14"/>
                <w:szCs w:val="14"/>
                <w:color w:val="auto"/>
              </w:rPr>
            </w:pPr>
          </w:p>
        </w:tc>
        <w:tc>
          <w:tcPr>
            <w:tcW w:w="1580" w:type="dxa"/>
            <w:vAlign w:val="bottom"/>
          </w:tcPr>
          <w:p>
            <w:pPr>
              <w:jc w:val="right"/>
              <w:ind w:right="250"/>
              <w:spacing w:after="0" w:line="169" w:lineRule="exact"/>
              <w:rPr>
                <w:sz w:val="20"/>
                <w:szCs w:val="20"/>
                <w:color w:val="auto"/>
              </w:rPr>
            </w:pPr>
            <w:r>
              <w:rPr>
                <w:rFonts w:ascii="Arial" w:cs="Arial" w:eastAsia="Arial" w:hAnsi="Arial"/>
                <w:sz w:val="18"/>
                <w:szCs w:val="18"/>
                <w:b w:val="1"/>
                <w:bCs w:val="1"/>
                <w:color w:val="auto"/>
                <w:w w:val="99"/>
              </w:rPr>
              <w:t>September 27,</w:t>
            </w:r>
          </w:p>
        </w:tc>
        <w:tc>
          <w:tcPr>
            <w:tcW w:w="460" w:type="dxa"/>
            <w:vAlign w:val="bottom"/>
          </w:tcPr>
          <w:p>
            <w:pPr>
              <w:spacing w:after="0"/>
              <w:rPr>
                <w:sz w:val="14"/>
                <w:szCs w:val="14"/>
                <w:color w:val="auto"/>
              </w:rPr>
            </w:pPr>
          </w:p>
        </w:tc>
        <w:tc>
          <w:tcPr>
            <w:tcW w:w="1580" w:type="dxa"/>
            <w:vAlign w:val="bottom"/>
          </w:tcPr>
          <w:p>
            <w:pPr>
              <w:jc w:val="right"/>
              <w:ind w:right="270"/>
              <w:spacing w:after="0" w:line="169" w:lineRule="exact"/>
              <w:rPr>
                <w:sz w:val="20"/>
                <w:szCs w:val="20"/>
                <w:color w:val="auto"/>
              </w:rPr>
            </w:pPr>
            <w:r>
              <w:rPr>
                <w:rFonts w:ascii="Arial" w:cs="Arial" w:eastAsia="Arial" w:hAnsi="Arial"/>
                <w:sz w:val="18"/>
                <w:szCs w:val="18"/>
                <w:b w:val="1"/>
                <w:bCs w:val="1"/>
                <w:color w:val="auto"/>
                <w:w w:val="97"/>
              </w:rPr>
              <w:t>September 26,</w:t>
            </w:r>
          </w:p>
        </w:tc>
        <w:tc>
          <w:tcPr>
            <w:tcW w:w="440" w:type="dxa"/>
            <w:vAlign w:val="bottom"/>
          </w:tcPr>
          <w:p>
            <w:pPr>
              <w:spacing w:after="0"/>
              <w:rPr>
                <w:sz w:val="14"/>
                <w:szCs w:val="14"/>
                <w:color w:val="auto"/>
              </w:rPr>
            </w:pPr>
          </w:p>
        </w:tc>
        <w:tc>
          <w:tcPr>
            <w:tcW w:w="1360" w:type="dxa"/>
            <w:vAlign w:val="bottom"/>
          </w:tcPr>
          <w:p>
            <w:pPr>
              <w:jc w:val="right"/>
              <w:ind w:right="30"/>
              <w:spacing w:after="0" w:line="169" w:lineRule="exact"/>
              <w:rPr>
                <w:sz w:val="20"/>
                <w:szCs w:val="20"/>
                <w:color w:val="auto"/>
              </w:rPr>
            </w:pPr>
            <w:r>
              <w:rPr>
                <w:rFonts w:ascii="Arial" w:cs="Arial" w:eastAsia="Arial" w:hAnsi="Arial"/>
                <w:sz w:val="18"/>
                <w:szCs w:val="18"/>
                <w:b w:val="1"/>
                <w:bCs w:val="1"/>
                <w:color w:val="auto"/>
                <w:w w:val="99"/>
              </w:rPr>
              <w:t>September 27,</w:t>
            </w:r>
          </w:p>
        </w:tc>
        <w:tc>
          <w:tcPr>
            <w:tcW w:w="0" w:type="dxa"/>
            <w:vAlign w:val="bottom"/>
          </w:tcPr>
          <w:p>
            <w:pPr>
              <w:spacing w:after="0"/>
              <w:rPr>
                <w:sz w:val="1"/>
                <w:szCs w:val="1"/>
                <w:color w:val="auto"/>
              </w:rPr>
            </w:pPr>
          </w:p>
        </w:tc>
      </w:tr>
      <w:tr>
        <w:trPr>
          <w:trHeight w:val="230"/>
        </w:trPr>
        <w:tc>
          <w:tcPr>
            <w:tcW w:w="3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b w:val="1"/>
                <w:bCs w:val="1"/>
                <w:color w:val="auto"/>
              </w:rPr>
              <w:t>2021</w:t>
            </w:r>
          </w:p>
        </w:tc>
        <w:tc>
          <w:tcPr>
            <w:tcW w:w="4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b w:val="1"/>
                <w:bCs w:val="1"/>
                <w:color w:val="auto"/>
              </w:rPr>
              <w:t>2020</w:t>
            </w:r>
          </w:p>
        </w:tc>
        <w:tc>
          <w:tcPr>
            <w:tcW w:w="4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b w:val="1"/>
                <w:bCs w:val="1"/>
                <w:color w:val="auto"/>
              </w:rPr>
              <w:t>2021</w:t>
            </w:r>
          </w:p>
        </w:tc>
        <w:tc>
          <w:tcPr>
            <w:tcW w:w="4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3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sales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580" w:type="dxa"/>
            <w:vAlign w:val="bottom"/>
            <w:shd w:val="clear" w:color="auto" w:fill="CCEEFF"/>
          </w:tcPr>
          <w:p>
            <w:pPr>
              <w:jc w:val="right"/>
              <w:ind w:right="490"/>
              <w:spacing w:after="0"/>
              <w:rPr>
                <w:sz w:val="20"/>
                <w:szCs w:val="20"/>
                <w:color w:val="auto"/>
              </w:rPr>
            </w:pPr>
            <w:r>
              <w:rPr>
                <w:rFonts w:ascii="Arial" w:cs="Arial" w:eastAsia="Arial" w:hAnsi="Arial"/>
                <w:sz w:val="18"/>
                <w:szCs w:val="18"/>
                <w:b w:val="1"/>
                <w:bCs w:val="1"/>
                <w:color w:val="auto"/>
              </w:rPr>
              <w:t>16,028</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16,495</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580" w:type="dxa"/>
            <w:vAlign w:val="bottom"/>
            <w:shd w:val="clear" w:color="auto" w:fill="CCEEFF"/>
          </w:tcPr>
          <w:p>
            <w:pPr>
              <w:jc w:val="right"/>
              <w:ind w:right="490"/>
              <w:spacing w:after="0"/>
              <w:rPr>
                <w:sz w:val="20"/>
                <w:szCs w:val="20"/>
                <w:color w:val="auto"/>
              </w:rPr>
            </w:pPr>
            <w:r>
              <w:rPr>
                <w:rFonts w:ascii="Arial" w:cs="Arial" w:eastAsia="Arial" w:hAnsi="Arial"/>
                <w:sz w:val="18"/>
                <w:szCs w:val="18"/>
                <w:b w:val="1"/>
                <w:bCs w:val="1"/>
                <w:color w:val="auto"/>
              </w:rPr>
              <w:t>49,315</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48,366</w:t>
            </w:r>
          </w:p>
        </w:tc>
        <w:tc>
          <w:tcPr>
            <w:tcW w:w="0" w:type="dxa"/>
            <w:vAlign w:val="bottom"/>
          </w:tcPr>
          <w:p>
            <w:pPr>
              <w:spacing w:after="0"/>
              <w:rPr>
                <w:sz w:val="1"/>
                <w:szCs w:val="1"/>
                <w:color w:val="auto"/>
              </w:rPr>
            </w:pPr>
          </w:p>
        </w:tc>
      </w:tr>
      <w:tr>
        <w:trPr>
          <w:trHeight w:val="230"/>
        </w:trPr>
        <w:tc>
          <w:tcPr>
            <w:tcW w:w="324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Cost of sales</w:t>
            </w:r>
          </w:p>
        </w:tc>
        <w:tc>
          <w:tcPr>
            <w:tcW w:w="5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(13,726)</w:t>
            </w:r>
          </w:p>
        </w:tc>
        <w:tc>
          <w:tcPr>
            <w:tcW w:w="4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(14,359)</w:t>
            </w:r>
          </w:p>
        </w:tc>
        <w:tc>
          <w:tcPr>
            <w:tcW w:w="4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(42,676)</w:t>
            </w:r>
          </w:p>
        </w:tc>
        <w:tc>
          <w:tcPr>
            <w:tcW w:w="4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(41,926)</w:t>
            </w:r>
          </w:p>
        </w:tc>
        <w:tc>
          <w:tcPr>
            <w:tcW w:w="0" w:type="dxa"/>
            <w:vAlign w:val="bottom"/>
          </w:tcPr>
          <w:p>
            <w:pPr>
              <w:spacing w:after="0"/>
              <w:rPr>
                <w:sz w:val="1"/>
                <w:szCs w:val="1"/>
                <w:color w:val="auto"/>
              </w:rPr>
            </w:pPr>
          </w:p>
        </w:tc>
      </w:tr>
      <w:tr>
        <w:trPr>
          <w:trHeight w:val="223"/>
        </w:trPr>
        <w:tc>
          <w:tcPr>
            <w:tcW w:w="3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Gross profit</w:t>
            </w:r>
          </w:p>
        </w:tc>
        <w:tc>
          <w:tcPr>
            <w:tcW w:w="56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490"/>
              <w:spacing w:after="0"/>
              <w:rPr>
                <w:sz w:val="20"/>
                <w:szCs w:val="20"/>
                <w:color w:val="auto"/>
              </w:rPr>
            </w:pPr>
            <w:r>
              <w:rPr>
                <w:rFonts w:ascii="Arial" w:cs="Arial" w:eastAsia="Arial" w:hAnsi="Arial"/>
                <w:sz w:val="18"/>
                <w:szCs w:val="18"/>
                <w:b w:val="1"/>
                <w:bCs w:val="1"/>
                <w:color w:val="auto"/>
              </w:rPr>
              <w:t>2,302</w:t>
            </w:r>
          </w:p>
        </w:tc>
        <w:tc>
          <w:tcPr>
            <w:tcW w:w="44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2,136</w:t>
            </w:r>
          </w:p>
        </w:tc>
        <w:tc>
          <w:tcPr>
            <w:tcW w:w="46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490"/>
              <w:spacing w:after="0"/>
              <w:rPr>
                <w:sz w:val="20"/>
                <w:szCs w:val="20"/>
                <w:color w:val="auto"/>
              </w:rPr>
            </w:pPr>
            <w:r>
              <w:rPr>
                <w:rFonts w:ascii="Arial" w:cs="Arial" w:eastAsia="Arial" w:hAnsi="Arial"/>
                <w:sz w:val="18"/>
                <w:szCs w:val="18"/>
                <w:b w:val="1"/>
                <w:bCs w:val="1"/>
                <w:color w:val="auto"/>
              </w:rPr>
              <w:t>6,639</w:t>
            </w: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6,440</w:t>
            </w:r>
          </w:p>
        </w:tc>
        <w:tc>
          <w:tcPr>
            <w:tcW w:w="0" w:type="dxa"/>
            <w:vAlign w:val="bottom"/>
          </w:tcPr>
          <w:p>
            <w:pPr>
              <w:spacing w:after="0"/>
              <w:rPr>
                <w:sz w:val="1"/>
                <w:szCs w:val="1"/>
                <w:color w:val="auto"/>
              </w:rPr>
            </w:pPr>
          </w:p>
        </w:tc>
      </w:tr>
      <w:tr>
        <w:trPr>
          <w:trHeight w:val="230"/>
        </w:trPr>
        <w:tc>
          <w:tcPr>
            <w:tcW w:w="324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Other (expense) income, net</w:t>
            </w:r>
          </w:p>
        </w:tc>
        <w:tc>
          <w:tcPr>
            <w:tcW w:w="5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(8)</w:t>
            </w:r>
          </w:p>
        </w:tc>
        <w:tc>
          <w:tcPr>
            <w:tcW w:w="4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11</w:t>
            </w:r>
          </w:p>
        </w:tc>
        <w:tc>
          <w:tcPr>
            <w:tcW w:w="4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29</w:t>
            </w:r>
          </w:p>
        </w:tc>
        <w:tc>
          <w:tcPr>
            <w:tcW w:w="4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3"/>
        </w:trPr>
        <w:tc>
          <w:tcPr>
            <w:tcW w:w="3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Operating profit</w:t>
            </w:r>
          </w:p>
        </w:tc>
        <w:tc>
          <w:tcPr>
            <w:tcW w:w="56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490"/>
              <w:spacing w:after="0"/>
              <w:rPr>
                <w:sz w:val="20"/>
                <w:szCs w:val="20"/>
                <w:color w:val="auto"/>
              </w:rPr>
            </w:pPr>
            <w:r>
              <w:rPr>
                <w:rFonts w:ascii="Arial" w:cs="Arial" w:eastAsia="Arial" w:hAnsi="Arial"/>
                <w:sz w:val="18"/>
                <w:szCs w:val="18"/>
                <w:b w:val="1"/>
                <w:bCs w:val="1"/>
                <w:color w:val="auto"/>
              </w:rPr>
              <w:t>2,294</w:t>
            </w:r>
          </w:p>
        </w:tc>
        <w:tc>
          <w:tcPr>
            <w:tcW w:w="44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2,147</w:t>
            </w:r>
          </w:p>
        </w:tc>
        <w:tc>
          <w:tcPr>
            <w:tcW w:w="46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490"/>
              <w:spacing w:after="0"/>
              <w:rPr>
                <w:sz w:val="20"/>
                <w:szCs w:val="20"/>
                <w:color w:val="auto"/>
              </w:rPr>
            </w:pPr>
            <w:r>
              <w:rPr>
                <w:rFonts w:ascii="Arial" w:cs="Arial" w:eastAsia="Arial" w:hAnsi="Arial"/>
                <w:sz w:val="18"/>
                <w:szCs w:val="18"/>
                <w:b w:val="1"/>
                <w:bCs w:val="1"/>
                <w:color w:val="auto"/>
              </w:rPr>
              <w:t>6,668</w:t>
            </w: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6,355</w:t>
            </w:r>
          </w:p>
        </w:tc>
        <w:tc>
          <w:tcPr>
            <w:tcW w:w="0" w:type="dxa"/>
            <w:vAlign w:val="bottom"/>
          </w:tcPr>
          <w:p>
            <w:pPr>
              <w:spacing w:after="0"/>
              <w:rPr>
                <w:sz w:val="1"/>
                <w:szCs w:val="1"/>
                <w:color w:val="auto"/>
              </w:rPr>
            </w:pPr>
          </w:p>
        </w:tc>
      </w:tr>
      <w:tr>
        <w:trPr>
          <w:trHeight w:val="230"/>
        </w:trPr>
        <w:tc>
          <w:tcPr>
            <w:tcW w:w="3240" w:type="dxa"/>
            <w:vAlign w:val="bottom"/>
          </w:tcPr>
          <w:p>
            <w:pPr>
              <w:ind w:left="480"/>
              <w:spacing w:after="0"/>
              <w:rPr>
                <w:sz w:val="20"/>
                <w:szCs w:val="20"/>
                <w:color w:val="auto"/>
              </w:rPr>
            </w:pPr>
            <w:r>
              <w:rPr>
                <w:rFonts w:ascii="Arial" w:cs="Arial" w:eastAsia="Arial" w:hAnsi="Arial"/>
                <w:sz w:val="18"/>
                <w:szCs w:val="18"/>
                <w:color w:val="auto"/>
              </w:rPr>
              <w:t>Interest expense</w:t>
            </w:r>
          </w:p>
        </w:tc>
        <w:tc>
          <w:tcPr>
            <w:tcW w:w="560" w:type="dxa"/>
            <w:vAlign w:val="bottom"/>
          </w:tcPr>
          <w:p>
            <w:pPr>
              <w:spacing w:after="0"/>
              <w:rPr>
                <w:sz w:val="19"/>
                <w:szCs w:val="19"/>
                <w:color w:val="auto"/>
              </w:rPr>
            </w:pPr>
          </w:p>
        </w:tc>
        <w:tc>
          <w:tcPr>
            <w:tcW w:w="1580" w:type="dxa"/>
            <w:vAlign w:val="bottom"/>
          </w:tcPr>
          <w:p>
            <w:pPr>
              <w:jc w:val="right"/>
              <w:ind w:right="430"/>
              <w:spacing w:after="0"/>
              <w:rPr>
                <w:sz w:val="20"/>
                <w:szCs w:val="20"/>
                <w:color w:val="auto"/>
              </w:rPr>
            </w:pPr>
            <w:r>
              <w:rPr>
                <w:rFonts w:ascii="Arial" w:cs="Arial" w:eastAsia="Arial" w:hAnsi="Arial"/>
                <w:sz w:val="18"/>
                <w:szCs w:val="18"/>
                <w:b w:val="1"/>
                <w:bCs w:val="1"/>
                <w:color w:val="auto"/>
              </w:rPr>
              <w:t>(141)</w:t>
            </w:r>
          </w:p>
        </w:tc>
        <w:tc>
          <w:tcPr>
            <w:tcW w:w="440" w:type="dxa"/>
            <w:vAlign w:val="bottom"/>
          </w:tcPr>
          <w:p>
            <w:pPr>
              <w:spacing w:after="0"/>
              <w:rPr>
                <w:sz w:val="19"/>
                <w:szCs w:val="19"/>
                <w:color w:val="auto"/>
              </w:rPr>
            </w:pPr>
          </w:p>
        </w:tc>
        <w:tc>
          <w:tcPr>
            <w:tcW w:w="1580" w:type="dxa"/>
            <w:vAlign w:val="bottom"/>
          </w:tcPr>
          <w:p>
            <w:pPr>
              <w:jc w:val="right"/>
              <w:ind w:right="430"/>
              <w:spacing w:after="0"/>
              <w:rPr>
                <w:sz w:val="20"/>
                <w:szCs w:val="20"/>
                <w:color w:val="auto"/>
              </w:rPr>
            </w:pPr>
            <w:r>
              <w:rPr>
                <w:rFonts w:ascii="Arial" w:cs="Arial" w:eastAsia="Arial" w:hAnsi="Arial"/>
                <w:sz w:val="18"/>
                <w:szCs w:val="18"/>
                <w:color w:val="auto"/>
              </w:rPr>
              <w:t>(145)</w:t>
            </w:r>
          </w:p>
        </w:tc>
        <w:tc>
          <w:tcPr>
            <w:tcW w:w="460" w:type="dxa"/>
            <w:vAlign w:val="bottom"/>
          </w:tcPr>
          <w:p>
            <w:pPr>
              <w:spacing w:after="0"/>
              <w:rPr>
                <w:sz w:val="19"/>
                <w:szCs w:val="19"/>
                <w:color w:val="auto"/>
              </w:rPr>
            </w:pPr>
          </w:p>
        </w:tc>
        <w:tc>
          <w:tcPr>
            <w:tcW w:w="1580" w:type="dxa"/>
            <w:vAlign w:val="bottom"/>
          </w:tcPr>
          <w:p>
            <w:pPr>
              <w:jc w:val="right"/>
              <w:ind w:right="450"/>
              <w:spacing w:after="0"/>
              <w:rPr>
                <w:sz w:val="20"/>
                <w:szCs w:val="20"/>
                <w:color w:val="auto"/>
              </w:rPr>
            </w:pPr>
            <w:r>
              <w:rPr>
                <w:rFonts w:ascii="Arial" w:cs="Arial" w:eastAsia="Arial" w:hAnsi="Arial"/>
                <w:sz w:val="18"/>
                <w:szCs w:val="18"/>
                <w:b w:val="1"/>
                <w:bCs w:val="1"/>
                <w:color w:val="auto"/>
              </w:rPr>
              <w:t>(423)</w:t>
            </w:r>
          </w:p>
        </w:tc>
        <w:tc>
          <w:tcPr>
            <w:tcW w:w="440" w:type="dxa"/>
            <w:vAlign w:val="bottom"/>
          </w:tcPr>
          <w:p>
            <w:pPr>
              <w:spacing w:after="0"/>
              <w:rPr>
                <w:sz w:val="19"/>
                <w:szCs w:val="19"/>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188"/>
        </w:trPr>
        <w:tc>
          <w:tcPr>
            <w:tcW w:w="3240" w:type="dxa"/>
            <w:vAlign w:val="bottom"/>
            <w:shd w:val="clear" w:color="auto" w:fill="CCEEFF"/>
          </w:tcPr>
          <w:p>
            <w:pPr>
              <w:ind w:left="480"/>
              <w:spacing w:after="0" w:line="189" w:lineRule="exact"/>
              <w:rPr>
                <w:sz w:val="20"/>
                <w:szCs w:val="20"/>
                <w:color w:val="auto"/>
              </w:rPr>
            </w:pPr>
            <w:r>
              <w:rPr>
                <w:rFonts w:ascii="Arial" w:cs="Arial" w:eastAsia="Arial" w:hAnsi="Arial"/>
                <w:sz w:val="18"/>
                <w:szCs w:val="18"/>
                <w:color w:val="auto"/>
              </w:rPr>
              <w:t>Non-service FAS pension</w:t>
            </w:r>
          </w:p>
        </w:tc>
        <w:tc>
          <w:tcPr>
            <w:tcW w:w="560" w:type="dxa"/>
            <w:vAlign w:val="bottom"/>
            <w:shd w:val="clear" w:color="auto" w:fill="CCEEFF"/>
          </w:tcPr>
          <w:p>
            <w:pPr>
              <w:spacing w:after="0"/>
              <w:rPr>
                <w:sz w:val="16"/>
                <w:szCs w:val="16"/>
                <w:color w:val="auto"/>
              </w:rPr>
            </w:pPr>
          </w:p>
        </w:tc>
        <w:tc>
          <w:tcPr>
            <w:tcW w:w="1580" w:type="dxa"/>
            <w:vAlign w:val="bottom"/>
            <w:vMerge w:val="restart"/>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(1,572)</w:t>
            </w:r>
          </w:p>
        </w:tc>
        <w:tc>
          <w:tcPr>
            <w:tcW w:w="44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580" w:type="dxa"/>
            <w:vAlign w:val="bottom"/>
            <w:vMerge w:val="restart"/>
            <w:shd w:val="clear" w:color="auto" w:fill="CCEEFF"/>
          </w:tcPr>
          <w:p>
            <w:pPr>
              <w:jc w:val="right"/>
              <w:ind w:right="450"/>
              <w:spacing w:after="0"/>
              <w:rPr>
                <w:sz w:val="20"/>
                <w:szCs w:val="20"/>
                <w:color w:val="auto"/>
              </w:rPr>
            </w:pPr>
            <w:r>
              <w:rPr>
                <w:rFonts w:ascii="Arial" w:cs="Arial" w:eastAsia="Arial" w:hAnsi="Arial"/>
                <w:sz w:val="18"/>
                <w:szCs w:val="18"/>
                <w:b w:val="1"/>
                <w:bCs w:val="1"/>
                <w:color w:val="auto"/>
              </w:rPr>
              <w:t>(1,385)</w:t>
            </w:r>
          </w:p>
        </w:tc>
        <w:tc>
          <w:tcPr>
            <w:tcW w:w="4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 income</w:t>
            </w:r>
          </w:p>
        </w:tc>
        <w:tc>
          <w:tcPr>
            <w:tcW w:w="560" w:type="dxa"/>
            <w:vAlign w:val="bottom"/>
            <w:shd w:val="clear" w:color="auto" w:fill="CCEEFF"/>
          </w:tcPr>
          <w:p>
            <w:pPr>
              <w:spacing w:after="0"/>
              <w:rPr>
                <w:sz w:val="18"/>
                <w:szCs w:val="18"/>
                <w:color w:val="auto"/>
              </w:rPr>
            </w:pPr>
          </w:p>
        </w:tc>
        <w:tc>
          <w:tcPr>
            <w:tcW w:w="1580" w:type="dxa"/>
            <w:vAlign w:val="bottom"/>
            <w:vMerge w:val="continue"/>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54</w:t>
            </w:r>
          </w:p>
        </w:tc>
        <w:tc>
          <w:tcPr>
            <w:tcW w:w="460" w:type="dxa"/>
            <w:vAlign w:val="bottom"/>
            <w:shd w:val="clear" w:color="auto" w:fill="CCEEFF"/>
          </w:tcPr>
          <w:p>
            <w:pPr>
              <w:spacing w:after="0"/>
              <w:rPr>
                <w:sz w:val="18"/>
                <w:szCs w:val="18"/>
                <w:color w:val="auto"/>
              </w:rPr>
            </w:pPr>
          </w:p>
        </w:tc>
        <w:tc>
          <w:tcPr>
            <w:tcW w:w="1580" w:type="dxa"/>
            <w:vAlign w:val="bottom"/>
            <w:vMerge w:val="continue"/>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188"/>
        </w:trPr>
        <w:tc>
          <w:tcPr>
            <w:tcW w:w="3240" w:type="dxa"/>
            <w:vAlign w:val="bottom"/>
          </w:tcPr>
          <w:p>
            <w:pPr>
              <w:ind w:left="480"/>
              <w:spacing w:after="0" w:line="189" w:lineRule="exact"/>
              <w:rPr>
                <w:sz w:val="20"/>
                <w:szCs w:val="20"/>
                <w:color w:val="auto"/>
              </w:rPr>
            </w:pPr>
            <w:r>
              <w:rPr>
                <w:rFonts w:ascii="Arial" w:cs="Arial" w:eastAsia="Arial" w:hAnsi="Arial"/>
                <w:sz w:val="18"/>
                <w:szCs w:val="18"/>
                <w:color w:val="auto"/>
              </w:rPr>
              <w:t>Other non-operating income</w:t>
            </w:r>
          </w:p>
        </w:tc>
        <w:tc>
          <w:tcPr>
            <w:tcW w:w="560" w:type="dxa"/>
            <w:vAlign w:val="bottom"/>
          </w:tcPr>
          <w:p>
            <w:pPr>
              <w:spacing w:after="0"/>
              <w:rPr>
                <w:sz w:val="16"/>
                <w:szCs w:val="16"/>
                <w:color w:val="auto"/>
              </w:rPr>
            </w:pPr>
          </w:p>
        </w:tc>
        <w:tc>
          <w:tcPr>
            <w:tcW w:w="158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98</w:t>
            </w:r>
          </w:p>
        </w:tc>
        <w:tc>
          <w:tcPr>
            <w:tcW w:w="4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8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200</w:t>
            </w:r>
          </w:p>
        </w:tc>
        <w:tc>
          <w:tcPr>
            <w:tcW w:w="4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(expense), net</w:t>
            </w:r>
          </w:p>
        </w:tc>
        <w:tc>
          <w:tcPr>
            <w:tcW w:w="5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vMerge w:val="continue"/>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vMerge w:val="continue"/>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82"/>
        </w:trPr>
        <w:tc>
          <w:tcPr>
            <w:tcW w:w="324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Earnings from continuing operations</w:t>
            </w:r>
          </w:p>
        </w:tc>
        <w:tc>
          <w:tcPr>
            <w:tcW w:w="560" w:type="dxa"/>
            <w:vAlign w:val="bottom"/>
            <w:shd w:val="clear" w:color="auto" w:fill="CCEEFF"/>
          </w:tcPr>
          <w:p>
            <w:pPr>
              <w:spacing w:after="0"/>
              <w:rPr>
                <w:sz w:val="15"/>
                <w:szCs w:val="15"/>
                <w:color w:val="auto"/>
              </w:rPr>
            </w:pPr>
          </w:p>
        </w:tc>
        <w:tc>
          <w:tcPr>
            <w:tcW w:w="1580" w:type="dxa"/>
            <w:vAlign w:val="bottom"/>
            <w:vMerge w:val="restart"/>
            <w:shd w:val="clear" w:color="auto" w:fill="CCEEFF"/>
          </w:tcPr>
          <w:p>
            <w:pPr>
              <w:jc w:val="right"/>
              <w:ind w:right="490"/>
              <w:spacing w:after="0"/>
              <w:rPr>
                <w:sz w:val="20"/>
                <w:szCs w:val="20"/>
                <w:color w:val="auto"/>
              </w:rPr>
            </w:pPr>
            <w:r>
              <w:rPr>
                <w:rFonts w:ascii="Arial" w:cs="Arial" w:eastAsia="Arial" w:hAnsi="Arial"/>
                <w:sz w:val="18"/>
                <w:szCs w:val="18"/>
                <w:b w:val="1"/>
                <w:bCs w:val="1"/>
                <w:color w:val="auto"/>
              </w:rPr>
              <w:t>679</w:t>
            </w:r>
          </w:p>
        </w:tc>
        <w:tc>
          <w:tcPr>
            <w:tcW w:w="44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580" w:type="dxa"/>
            <w:vAlign w:val="bottom"/>
            <w:vMerge w:val="restart"/>
            <w:shd w:val="clear" w:color="auto" w:fill="CCEEFF"/>
          </w:tcPr>
          <w:p>
            <w:pPr>
              <w:jc w:val="right"/>
              <w:ind w:right="490"/>
              <w:spacing w:after="0"/>
              <w:rPr>
                <w:sz w:val="20"/>
                <w:szCs w:val="20"/>
                <w:color w:val="auto"/>
              </w:rPr>
            </w:pPr>
            <w:r>
              <w:rPr>
                <w:rFonts w:ascii="Arial" w:cs="Arial" w:eastAsia="Arial" w:hAnsi="Arial"/>
                <w:sz w:val="18"/>
                <w:szCs w:val="18"/>
                <w:b w:val="1"/>
                <w:bCs w:val="1"/>
                <w:color w:val="auto"/>
              </w:rPr>
              <w:t>5,060</w:t>
            </w:r>
          </w:p>
        </w:tc>
        <w:tc>
          <w:tcPr>
            <w:tcW w:w="4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before income taxes</w:t>
            </w:r>
          </w:p>
        </w:tc>
        <w:tc>
          <w:tcPr>
            <w:tcW w:w="560" w:type="dxa"/>
            <w:vAlign w:val="bottom"/>
            <w:shd w:val="clear" w:color="auto" w:fill="CCEEFF"/>
          </w:tcPr>
          <w:p>
            <w:pPr>
              <w:spacing w:after="0"/>
              <w:rPr>
                <w:sz w:val="18"/>
                <w:szCs w:val="18"/>
                <w:color w:val="auto"/>
              </w:rPr>
            </w:pPr>
          </w:p>
        </w:tc>
        <w:tc>
          <w:tcPr>
            <w:tcW w:w="1580" w:type="dxa"/>
            <w:vAlign w:val="bottom"/>
            <w:vMerge w:val="continue"/>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2,056</w:t>
            </w:r>
          </w:p>
        </w:tc>
        <w:tc>
          <w:tcPr>
            <w:tcW w:w="460" w:type="dxa"/>
            <w:vAlign w:val="bottom"/>
            <w:shd w:val="clear" w:color="auto" w:fill="CCEEFF"/>
          </w:tcPr>
          <w:p>
            <w:pPr>
              <w:spacing w:after="0"/>
              <w:rPr>
                <w:sz w:val="18"/>
                <w:szCs w:val="18"/>
                <w:color w:val="auto"/>
              </w:rPr>
            </w:pPr>
          </w:p>
        </w:tc>
        <w:tc>
          <w:tcPr>
            <w:tcW w:w="1580" w:type="dxa"/>
            <w:vAlign w:val="bottom"/>
            <w:vMerge w:val="continue"/>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6,048</w:t>
            </w:r>
          </w:p>
        </w:tc>
        <w:tc>
          <w:tcPr>
            <w:tcW w:w="0" w:type="dxa"/>
            <w:vAlign w:val="bottom"/>
          </w:tcPr>
          <w:p>
            <w:pPr>
              <w:spacing w:after="0"/>
              <w:rPr>
                <w:sz w:val="1"/>
                <w:szCs w:val="1"/>
                <w:color w:val="auto"/>
              </w:rPr>
            </w:pPr>
          </w:p>
        </w:tc>
      </w:tr>
      <w:tr>
        <w:trPr>
          <w:trHeight w:val="229"/>
        </w:trPr>
        <w:tc>
          <w:tcPr>
            <w:tcW w:w="324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Income tax expense</w:t>
            </w:r>
          </w:p>
        </w:tc>
        <w:tc>
          <w:tcPr>
            <w:tcW w:w="5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(65)</w:t>
            </w:r>
          </w:p>
        </w:tc>
        <w:tc>
          <w:tcPr>
            <w:tcW w:w="4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(303)</w:t>
            </w:r>
          </w:p>
        </w:tc>
        <w:tc>
          <w:tcPr>
            <w:tcW w:w="4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(794)</w:t>
            </w:r>
          </w:p>
        </w:tc>
        <w:tc>
          <w:tcPr>
            <w:tcW w:w="4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182"/>
        </w:trPr>
        <w:tc>
          <w:tcPr>
            <w:tcW w:w="3240" w:type="dxa"/>
            <w:vAlign w:val="bottom"/>
            <w:shd w:val="clear" w:color="auto" w:fill="CCEEFF"/>
          </w:tcPr>
          <w:p>
            <w:pPr>
              <w:ind w:left="480"/>
              <w:spacing w:after="0" w:line="182" w:lineRule="exact"/>
              <w:rPr>
                <w:sz w:val="20"/>
                <w:szCs w:val="20"/>
                <w:color w:val="auto"/>
              </w:rPr>
            </w:pPr>
            <w:r>
              <w:rPr>
                <w:rFonts w:ascii="Arial" w:cs="Arial" w:eastAsia="Arial" w:hAnsi="Arial"/>
                <w:sz w:val="18"/>
                <w:szCs w:val="18"/>
                <w:color w:val="auto"/>
              </w:rPr>
              <w:t>Net earnings from continuing</w:t>
            </w:r>
          </w:p>
        </w:tc>
        <w:tc>
          <w:tcPr>
            <w:tcW w:w="560" w:type="dxa"/>
            <w:vAlign w:val="bottom"/>
            <w:shd w:val="clear" w:color="auto" w:fill="CCEEFF"/>
          </w:tcPr>
          <w:p>
            <w:pPr>
              <w:spacing w:after="0"/>
              <w:rPr>
                <w:sz w:val="15"/>
                <w:szCs w:val="15"/>
                <w:color w:val="auto"/>
              </w:rPr>
            </w:pPr>
          </w:p>
        </w:tc>
        <w:tc>
          <w:tcPr>
            <w:tcW w:w="1580" w:type="dxa"/>
            <w:vAlign w:val="bottom"/>
            <w:vMerge w:val="restart"/>
            <w:shd w:val="clear" w:color="auto" w:fill="CCEEFF"/>
          </w:tcPr>
          <w:p>
            <w:pPr>
              <w:jc w:val="right"/>
              <w:ind w:right="490"/>
              <w:spacing w:after="0"/>
              <w:rPr>
                <w:sz w:val="20"/>
                <w:szCs w:val="20"/>
                <w:color w:val="auto"/>
              </w:rPr>
            </w:pPr>
            <w:r>
              <w:rPr>
                <w:rFonts w:ascii="Arial" w:cs="Arial" w:eastAsia="Arial" w:hAnsi="Arial"/>
                <w:sz w:val="18"/>
                <w:szCs w:val="18"/>
                <w:b w:val="1"/>
                <w:bCs w:val="1"/>
                <w:color w:val="auto"/>
              </w:rPr>
              <w:t>614</w:t>
            </w:r>
          </w:p>
        </w:tc>
        <w:tc>
          <w:tcPr>
            <w:tcW w:w="44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580" w:type="dxa"/>
            <w:vAlign w:val="bottom"/>
            <w:vMerge w:val="restart"/>
            <w:shd w:val="clear" w:color="auto" w:fill="CCEEFF"/>
          </w:tcPr>
          <w:p>
            <w:pPr>
              <w:jc w:val="right"/>
              <w:ind w:right="490"/>
              <w:spacing w:after="0"/>
              <w:rPr>
                <w:sz w:val="20"/>
                <w:szCs w:val="20"/>
                <w:color w:val="auto"/>
              </w:rPr>
            </w:pPr>
            <w:r>
              <w:rPr>
                <w:rFonts w:ascii="Arial" w:cs="Arial" w:eastAsia="Arial" w:hAnsi="Arial"/>
                <w:sz w:val="18"/>
                <w:szCs w:val="18"/>
                <w:b w:val="1"/>
                <w:bCs w:val="1"/>
                <w:color w:val="auto"/>
              </w:rPr>
              <w:t>4,266</w:t>
            </w:r>
          </w:p>
        </w:tc>
        <w:tc>
          <w:tcPr>
            <w:tcW w:w="4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operations</w:t>
            </w:r>
          </w:p>
        </w:tc>
        <w:tc>
          <w:tcPr>
            <w:tcW w:w="560" w:type="dxa"/>
            <w:vAlign w:val="bottom"/>
            <w:shd w:val="clear" w:color="auto" w:fill="CCEEFF"/>
          </w:tcPr>
          <w:p>
            <w:pPr>
              <w:spacing w:after="0"/>
              <w:rPr>
                <w:sz w:val="18"/>
                <w:szCs w:val="18"/>
                <w:color w:val="auto"/>
              </w:rPr>
            </w:pPr>
          </w:p>
        </w:tc>
        <w:tc>
          <w:tcPr>
            <w:tcW w:w="1580" w:type="dxa"/>
            <w:vAlign w:val="bottom"/>
            <w:vMerge w:val="continue"/>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1,753</w:t>
            </w:r>
          </w:p>
        </w:tc>
        <w:tc>
          <w:tcPr>
            <w:tcW w:w="460" w:type="dxa"/>
            <w:vAlign w:val="bottom"/>
            <w:shd w:val="clear" w:color="auto" w:fill="CCEEFF"/>
          </w:tcPr>
          <w:p>
            <w:pPr>
              <w:spacing w:after="0"/>
              <w:rPr>
                <w:sz w:val="18"/>
                <w:szCs w:val="18"/>
                <w:color w:val="auto"/>
              </w:rPr>
            </w:pPr>
          </w:p>
        </w:tc>
        <w:tc>
          <w:tcPr>
            <w:tcW w:w="1580" w:type="dxa"/>
            <w:vAlign w:val="bottom"/>
            <w:vMerge w:val="continue"/>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5,096</w:t>
            </w:r>
          </w:p>
        </w:tc>
        <w:tc>
          <w:tcPr>
            <w:tcW w:w="0" w:type="dxa"/>
            <w:vAlign w:val="bottom"/>
          </w:tcPr>
          <w:p>
            <w:pPr>
              <w:spacing w:after="0"/>
              <w:rPr>
                <w:sz w:val="1"/>
                <w:szCs w:val="1"/>
                <w:color w:val="auto"/>
              </w:rPr>
            </w:pPr>
          </w:p>
        </w:tc>
      </w:tr>
      <w:tr>
        <w:trPr>
          <w:trHeight w:val="188"/>
        </w:trPr>
        <w:tc>
          <w:tcPr>
            <w:tcW w:w="3240" w:type="dxa"/>
            <w:vAlign w:val="bottom"/>
          </w:tcPr>
          <w:p>
            <w:pPr>
              <w:ind w:left="480"/>
              <w:spacing w:after="0" w:line="189" w:lineRule="exact"/>
              <w:rPr>
                <w:sz w:val="20"/>
                <w:szCs w:val="20"/>
                <w:color w:val="auto"/>
              </w:rPr>
            </w:pPr>
            <w:r>
              <w:rPr>
                <w:rFonts w:ascii="Arial" w:cs="Arial" w:eastAsia="Arial" w:hAnsi="Arial"/>
                <w:sz w:val="18"/>
                <w:szCs w:val="18"/>
                <w:color w:val="auto"/>
              </w:rPr>
              <w:t>Net loss from discontinued</w:t>
            </w:r>
          </w:p>
        </w:tc>
        <w:tc>
          <w:tcPr>
            <w:tcW w:w="560" w:type="dxa"/>
            <w:vAlign w:val="bottom"/>
          </w:tcPr>
          <w:p>
            <w:pPr>
              <w:spacing w:after="0"/>
              <w:rPr>
                <w:sz w:val="16"/>
                <w:szCs w:val="16"/>
                <w:color w:val="auto"/>
              </w:rPr>
            </w:pPr>
          </w:p>
        </w:tc>
        <w:tc>
          <w:tcPr>
            <w:tcW w:w="158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8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operations</w:t>
            </w:r>
          </w:p>
        </w:tc>
        <w:tc>
          <w:tcPr>
            <w:tcW w:w="5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vMerge w:val="continue"/>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(55)</w:t>
            </w:r>
          </w:p>
        </w:tc>
        <w:tc>
          <w:tcPr>
            <w:tcW w:w="4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vMerge w:val="continue"/>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3"/>
        </w:trPr>
        <w:tc>
          <w:tcPr>
            <w:tcW w:w="32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Net earnings</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58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b w:val="1"/>
                <w:bCs w:val="1"/>
                <w:color w:val="auto"/>
              </w:rPr>
              <w:t>614</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1,698</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58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b w:val="1"/>
                <w:bCs w:val="1"/>
                <w:color w:val="auto"/>
              </w:rPr>
              <w:t>4,266</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5,041</w:t>
            </w:r>
          </w:p>
        </w:tc>
        <w:tc>
          <w:tcPr>
            <w:tcW w:w="0" w:type="dxa"/>
            <w:vAlign w:val="bottom"/>
          </w:tcPr>
          <w:p>
            <w:pPr>
              <w:spacing w:after="0"/>
              <w:rPr>
                <w:sz w:val="1"/>
                <w:szCs w:val="1"/>
                <w:color w:val="auto"/>
              </w:rPr>
            </w:pPr>
          </w:p>
        </w:tc>
      </w:tr>
      <w:tr>
        <w:trPr>
          <w:trHeight w:val="182"/>
        </w:trPr>
        <w:tc>
          <w:tcPr>
            <w:tcW w:w="3240" w:type="dxa"/>
            <w:vAlign w:val="bottom"/>
          </w:tcPr>
          <w:p>
            <w:pPr>
              <w:ind w:left="480"/>
              <w:spacing w:after="0" w:line="182" w:lineRule="exact"/>
              <w:rPr>
                <w:sz w:val="20"/>
                <w:szCs w:val="20"/>
                <w:color w:val="auto"/>
              </w:rPr>
            </w:pPr>
            <w:r>
              <w:rPr>
                <w:rFonts w:ascii="Arial" w:cs="Arial" w:eastAsia="Arial" w:hAnsi="Arial"/>
                <w:sz w:val="18"/>
                <w:szCs w:val="18"/>
                <w:color w:val="auto"/>
              </w:rPr>
              <w:t>Diluted earnings per common</w:t>
            </w:r>
          </w:p>
        </w:tc>
        <w:tc>
          <w:tcPr>
            <w:tcW w:w="5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share</w:t>
            </w:r>
          </w:p>
        </w:tc>
        <w:tc>
          <w:tcPr>
            <w:tcW w:w="5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Continuing operations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580" w:type="dxa"/>
            <w:vAlign w:val="bottom"/>
            <w:shd w:val="clear" w:color="auto" w:fill="CCEEFF"/>
          </w:tcPr>
          <w:p>
            <w:pPr>
              <w:jc w:val="right"/>
              <w:ind w:right="490"/>
              <w:spacing w:after="0"/>
              <w:rPr>
                <w:sz w:val="20"/>
                <w:szCs w:val="20"/>
                <w:color w:val="auto"/>
              </w:rPr>
            </w:pPr>
            <w:r>
              <w:rPr>
                <w:rFonts w:ascii="Arial" w:cs="Arial" w:eastAsia="Arial" w:hAnsi="Arial"/>
                <w:sz w:val="18"/>
                <w:szCs w:val="18"/>
                <w:b w:val="1"/>
                <w:bCs w:val="1"/>
                <w:color w:val="auto"/>
              </w:rPr>
              <w:t>2.21</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6.25</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580" w:type="dxa"/>
            <w:vAlign w:val="bottom"/>
            <w:shd w:val="clear" w:color="auto" w:fill="CCEEFF"/>
          </w:tcPr>
          <w:p>
            <w:pPr>
              <w:jc w:val="right"/>
              <w:ind w:right="490"/>
              <w:spacing w:after="0"/>
              <w:rPr>
                <w:sz w:val="20"/>
                <w:szCs w:val="20"/>
                <w:color w:val="auto"/>
              </w:rPr>
            </w:pPr>
            <w:r>
              <w:rPr>
                <w:rFonts w:ascii="Arial" w:cs="Arial" w:eastAsia="Arial" w:hAnsi="Arial"/>
                <w:sz w:val="18"/>
                <w:szCs w:val="18"/>
                <w:b w:val="1"/>
                <w:bCs w:val="1"/>
                <w:color w:val="auto"/>
              </w:rPr>
              <w:t>15.32</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18.12</w:t>
            </w:r>
          </w:p>
        </w:tc>
        <w:tc>
          <w:tcPr>
            <w:tcW w:w="0" w:type="dxa"/>
            <w:vAlign w:val="bottom"/>
          </w:tcPr>
          <w:p>
            <w:pPr>
              <w:spacing w:after="0"/>
              <w:rPr>
                <w:sz w:val="1"/>
                <w:szCs w:val="1"/>
                <w:color w:val="auto"/>
              </w:rPr>
            </w:pPr>
          </w:p>
        </w:tc>
      </w:tr>
      <w:tr>
        <w:trPr>
          <w:trHeight w:val="230"/>
        </w:trPr>
        <w:tc>
          <w:tcPr>
            <w:tcW w:w="324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Discontinued operations</w:t>
            </w:r>
          </w:p>
        </w:tc>
        <w:tc>
          <w:tcPr>
            <w:tcW w:w="5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(0.20)</w:t>
            </w:r>
          </w:p>
        </w:tc>
        <w:tc>
          <w:tcPr>
            <w:tcW w:w="4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182"/>
        </w:trPr>
        <w:tc>
          <w:tcPr>
            <w:tcW w:w="3240" w:type="dxa"/>
            <w:vAlign w:val="bottom"/>
            <w:shd w:val="clear" w:color="auto" w:fill="CCEEFF"/>
          </w:tcPr>
          <w:p>
            <w:pPr>
              <w:ind w:left="480"/>
              <w:spacing w:after="0" w:line="182" w:lineRule="exact"/>
              <w:rPr>
                <w:sz w:val="20"/>
                <w:szCs w:val="20"/>
                <w:color w:val="auto"/>
              </w:rPr>
            </w:pPr>
            <w:r>
              <w:rPr>
                <w:rFonts w:ascii="Arial" w:cs="Arial" w:eastAsia="Arial" w:hAnsi="Arial"/>
                <w:sz w:val="18"/>
                <w:szCs w:val="18"/>
                <w:color w:val="auto"/>
              </w:rPr>
              <w:t>Total diluted earnings per</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580" w:type="dxa"/>
            <w:vAlign w:val="bottom"/>
            <w:vMerge w:val="restart"/>
            <w:shd w:val="clear" w:color="auto" w:fill="CCEEFF"/>
          </w:tcPr>
          <w:p>
            <w:pPr>
              <w:jc w:val="right"/>
              <w:ind w:right="490"/>
              <w:spacing w:after="0"/>
              <w:rPr>
                <w:sz w:val="20"/>
                <w:szCs w:val="20"/>
                <w:color w:val="auto"/>
              </w:rPr>
            </w:pPr>
            <w:r>
              <w:rPr>
                <w:rFonts w:ascii="Arial" w:cs="Arial" w:eastAsia="Arial" w:hAnsi="Arial"/>
                <w:sz w:val="18"/>
                <w:szCs w:val="18"/>
                <w:b w:val="1"/>
                <w:bCs w:val="1"/>
                <w:color w:val="auto"/>
              </w:rPr>
              <w:t>2.21</w:t>
            </w:r>
          </w:p>
        </w:tc>
        <w:tc>
          <w:tcPr>
            <w:tcW w:w="44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580" w:type="dxa"/>
            <w:vAlign w:val="bottom"/>
            <w:vMerge w:val="restart"/>
            <w:shd w:val="clear" w:color="auto" w:fill="CCEEFF"/>
          </w:tcPr>
          <w:p>
            <w:pPr>
              <w:jc w:val="right"/>
              <w:ind w:right="490"/>
              <w:spacing w:after="0"/>
              <w:rPr>
                <w:sz w:val="20"/>
                <w:szCs w:val="20"/>
                <w:color w:val="auto"/>
              </w:rPr>
            </w:pPr>
            <w:r>
              <w:rPr>
                <w:rFonts w:ascii="Arial" w:cs="Arial" w:eastAsia="Arial" w:hAnsi="Arial"/>
                <w:sz w:val="18"/>
                <w:szCs w:val="18"/>
                <w:b w:val="1"/>
                <w:bCs w:val="1"/>
                <w:color w:val="auto"/>
              </w:rPr>
              <w:t>15.32</w:t>
            </w:r>
          </w:p>
        </w:tc>
        <w:tc>
          <w:tcPr>
            <w:tcW w:w="4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common share</w:t>
            </w:r>
          </w:p>
        </w:tc>
        <w:tc>
          <w:tcPr>
            <w:tcW w:w="560" w:type="dxa"/>
            <w:vAlign w:val="bottom"/>
            <w:tcBorders>
              <w:bottom w:val="single" w:sz="8" w:color="auto"/>
            </w:tcBorders>
            <w:vMerge w:val="continue"/>
            <w:shd w:val="clear" w:color="auto" w:fill="CCEEFF"/>
          </w:tcPr>
          <w:p>
            <w:pPr>
              <w:spacing w:after="0"/>
              <w:rPr>
                <w:sz w:val="19"/>
                <w:szCs w:val="19"/>
                <w:color w:val="auto"/>
              </w:rPr>
            </w:pPr>
          </w:p>
        </w:tc>
        <w:tc>
          <w:tcPr>
            <w:tcW w:w="1580" w:type="dxa"/>
            <w:vAlign w:val="bottom"/>
            <w:tcBorders>
              <w:bottom w:val="single" w:sz="8" w:color="auto"/>
            </w:tcBorders>
            <w:vMerge w:val="continue"/>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6.05</w:t>
            </w:r>
          </w:p>
        </w:tc>
        <w:tc>
          <w:tcPr>
            <w:tcW w:w="460" w:type="dxa"/>
            <w:vAlign w:val="bottom"/>
            <w:tcBorders>
              <w:bottom w:val="single" w:sz="8" w:color="auto"/>
            </w:tcBorders>
            <w:vMerge w:val="continue"/>
            <w:shd w:val="clear" w:color="auto" w:fill="CCEEFF"/>
          </w:tcPr>
          <w:p>
            <w:pPr>
              <w:spacing w:after="0"/>
              <w:rPr>
                <w:sz w:val="19"/>
                <w:szCs w:val="19"/>
                <w:color w:val="auto"/>
              </w:rPr>
            </w:pPr>
          </w:p>
        </w:tc>
        <w:tc>
          <w:tcPr>
            <w:tcW w:w="1580" w:type="dxa"/>
            <w:vAlign w:val="bottom"/>
            <w:tcBorders>
              <w:bottom w:val="single" w:sz="8" w:color="auto"/>
            </w:tcBorders>
            <w:vMerge w:val="continue"/>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17.92</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80" w:firstLine="445"/>
        <w:spacing w:after="0" w:line="256" w:lineRule="auto"/>
        <w:rPr>
          <w:sz w:val="20"/>
          <w:szCs w:val="20"/>
          <w:color w:val="auto"/>
        </w:rPr>
      </w:pPr>
      <w:r>
        <w:rPr>
          <w:rFonts w:ascii="Arial" w:cs="Arial" w:eastAsia="Arial" w:hAnsi="Arial"/>
          <w:sz w:val="18"/>
          <w:szCs w:val="18"/>
          <w:color w:val="auto"/>
        </w:rPr>
        <w:t>Certain amounts reported in other (expense) income, net, including our share of earnings or losses from equity method investees, are included in the operating profit of our business segments. Accordingly, such amounts are included in the discussion of our business segment results of operations.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207" w:lineRule="exact"/>
        <w:rPr>
          <w:sz w:val="20"/>
          <w:szCs w:val="20"/>
          <w:color w:val="auto"/>
        </w:rPr>
      </w:pPr>
    </w:p>
    <w:p>
      <w:pPr>
        <w:ind w:right="1000" w:firstLine="445"/>
        <w:spacing w:after="0" w:line="261" w:lineRule="auto"/>
        <w:rPr>
          <w:sz w:val="20"/>
          <w:szCs w:val="20"/>
          <w:color w:val="auto"/>
        </w:rPr>
      </w:pPr>
      <w:r>
        <w:rPr>
          <w:rFonts w:ascii="Arial" w:cs="Arial" w:eastAsia="Arial" w:hAnsi="Arial"/>
          <w:sz w:val="18"/>
          <w:szCs w:val="18"/>
          <w:color w:val="auto"/>
        </w:rPr>
        <w:t>We generate sales from the delivery of products and services to our customers. Our consolidated net sales were as follows (in millions):</w:t>
      </w:r>
    </w:p>
    <w:tbl>
      <w:tblPr>
        <w:tblLayout w:type="fixed"/>
        <w:tblInd w:w="0" w:type="dxa"/>
        <w:tblCellMar>
          <w:top w:w="0" w:type="dxa"/>
          <w:left w:w="0" w:type="dxa"/>
          <w:bottom w:w="0" w:type="dxa"/>
          <w:right w:w="0" w:type="dxa"/>
        </w:tblCellMar>
      </w:tblPr>
      <w:tr>
        <w:trPr>
          <w:trHeight w:val="239"/>
        </w:trPr>
        <w:tc>
          <w:tcPr>
            <w:tcW w:w="172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3"/>
          </w:tcPr>
          <w:p>
            <w:pPr>
              <w:jc w:val="right"/>
              <w:ind w:right="1110"/>
              <w:spacing w:after="0"/>
              <w:rPr>
                <w:sz w:val="20"/>
                <w:szCs w:val="20"/>
                <w:color w:val="auto"/>
              </w:rPr>
            </w:pPr>
            <w:r>
              <w:rPr>
                <w:rFonts w:ascii="Arial" w:cs="Arial" w:eastAsia="Arial" w:hAnsi="Arial"/>
                <w:sz w:val="18"/>
                <w:szCs w:val="18"/>
                <w:b w:val="1"/>
                <w:bCs w:val="1"/>
                <w:color w:val="auto"/>
              </w:rPr>
              <w:t>Quarters Ended</w:t>
            </w:r>
          </w:p>
        </w:tc>
        <w:tc>
          <w:tcPr>
            <w:tcW w:w="5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3"/>
          </w:tcPr>
          <w:p>
            <w:pPr>
              <w:jc w:val="right"/>
              <w:ind w:right="950"/>
              <w:spacing w:after="0"/>
              <w:rPr>
                <w:sz w:val="20"/>
                <w:szCs w:val="20"/>
                <w:color w:val="auto"/>
              </w:rPr>
            </w:pPr>
            <w:r>
              <w:rPr>
                <w:rFonts w:ascii="Arial" w:cs="Arial" w:eastAsia="Arial" w:hAnsi="Arial"/>
                <w:sz w:val="18"/>
                <w:szCs w:val="18"/>
                <w:b w:val="1"/>
                <w:bCs w:val="1"/>
                <w:color w:val="auto"/>
              </w:rPr>
              <w:t>Nine Months Ended</w:t>
            </w:r>
          </w:p>
        </w:tc>
        <w:tc>
          <w:tcPr>
            <w:tcW w:w="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920" w:type="dxa"/>
            <w:vAlign w:val="bottom"/>
            <w:gridSpan w:val="2"/>
          </w:tcPr>
          <w:p>
            <w:pPr>
              <w:jc w:val="right"/>
              <w:ind w:right="490"/>
              <w:spacing w:after="0" w:line="169" w:lineRule="exact"/>
              <w:rPr>
                <w:sz w:val="20"/>
                <w:szCs w:val="20"/>
                <w:color w:val="auto"/>
              </w:rPr>
            </w:pPr>
            <w:r>
              <w:rPr>
                <w:rFonts w:ascii="Arial" w:cs="Arial" w:eastAsia="Arial" w:hAnsi="Arial"/>
                <w:sz w:val="18"/>
                <w:szCs w:val="18"/>
                <w:b w:val="1"/>
                <w:bCs w:val="1"/>
                <w:color w:val="auto"/>
              </w:rPr>
              <w:t>September 26,</w:t>
            </w:r>
          </w:p>
        </w:tc>
        <w:tc>
          <w:tcPr>
            <w:tcW w:w="480" w:type="dxa"/>
            <w:vAlign w:val="bottom"/>
          </w:tcPr>
          <w:p>
            <w:pPr>
              <w:spacing w:after="0"/>
              <w:rPr>
                <w:sz w:val="14"/>
                <w:szCs w:val="14"/>
                <w:color w:val="auto"/>
              </w:rPr>
            </w:pPr>
          </w:p>
        </w:tc>
        <w:tc>
          <w:tcPr>
            <w:tcW w:w="1400" w:type="dxa"/>
            <w:vAlign w:val="bottom"/>
          </w:tcPr>
          <w:p>
            <w:pPr>
              <w:jc w:val="right"/>
              <w:spacing w:after="0" w:line="169" w:lineRule="exact"/>
              <w:rPr>
                <w:sz w:val="20"/>
                <w:szCs w:val="20"/>
                <w:color w:val="auto"/>
              </w:rPr>
            </w:pPr>
            <w:r>
              <w:rPr>
                <w:rFonts w:ascii="Arial" w:cs="Arial" w:eastAsia="Arial" w:hAnsi="Arial"/>
                <w:sz w:val="18"/>
                <w:szCs w:val="18"/>
                <w:b w:val="1"/>
                <w:bCs w:val="1"/>
                <w:color w:val="auto"/>
              </w:rPr>
              <w:t>September 27,</w:t>
            </w: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900" w:type="dxa"/>
            <w:vAlign w:val="bottom"/>
            <w:gridSpan w:val="2"/>
          </w:tcPr>
          <w:p>
            <w:pPr>
              <w:jc w:val="right"/>
              <w:ind w:right="490"/>
              <w:spacing w:after="0" w:line="169" w:lineRule="exact"/>
              <w:rPr>
                <w:sz w:val="20"/>
                <w:szCs w:val="20"/>
                <w:color w:val="auto"/>
              </w:rPr>
            </w:pPr>
            <w:r>
              <w:rPr>
                <w:rFonts w:ascii="Arial" w:cs="Arial" w:eastAsia="Arial" w:hAnsi="Arial"/>
                <w:sz w:val="18"/>
                <w:szCs w:val="18"/>
                <w:b w:val="1"/>
                <w:bCs w:val="1"/>
                <w:color w:val="auto"/>
              </w:rPr>
              <w:t>September 26,</w:t>
            </w:r>
          </w:p>
        </w:tc>
        <w:tc>
          <w:tcPr>
            <w:tcW w:w="500" w:type="dxa"/>
            <w:vAlign w:val="bottom"/>
          </w:tcPr>
          <w:p>
            <w:pPr>
              <w:spacing w:after="0"/>
              <w:rPr>
                <w:sz w:val="14"/>
                <w:szCs w:val="14"/>
                <w:color w:val="auto"/>
              </w:rPr>
            </w:pPr>
          </w:p>
        </w:tc>
        <w:tc>
          <w:tcPr>
            <w:tcW w:w="1380" w:type="dxa"/>
            <w:vAlign w:val="bottom"/>
          </w:tcPr>
          <w:p>
            <w:pPr>
              <w:jc w:val="right"/>
              <w:spacing w:after="0" w:line="169" w:lineRule="exact"/>
              <w:rPr>
                <w:sz w:val="20"/>
                <w:szCs w:val="20"/>
                <w:color w:val="auto"/>
              </w:rPr>
            </w:pPr>
            <w:r>
              <w:rPr>
                <w:rFonts w:ascii="Arial" w:cs="Arial" w:eastAsia="Arial" w:hAnsi="Arial"/>
                <w:sz w:val="18"/>
                <w:szCs w:val="18"/>
                <w:b w:val="1"/>
                <w:bCs w:val="1"/>
                <w:color w:val="auto"/>
              </w:rPr>
              <w:t>September 27,</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7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8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2020</w:t>
            </w:r>
          </w:p>
        </w:tc>
        <w:tc>
          <w:tcPr>
            <w:tcW w:w="5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Products</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13,475</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13,869</w:t>
            </w:r>
          </w:p>
        </w:tc>
        <w:tc>
          <w:tcPr>
            <w:tcW w:w="5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41,486</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40,607</w:t>
            </w:r>
          </w:p>
        </w:tc>
        <w:tc>
          <w:tcPr>
            <w:tcW w:w="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1720" w:type="dxa"/>
            <w:vAlign w:val="bottom"/>
          </w:tcPr>
          <w:p>
            <w:pPr>
              <w:ind w:left="680"/>
              <w:spacing w:after="0" w:line="189" w:lineRule="exact"/>
              <w:rPr>
                <w:sz w:val="20"/>
                <w:szCs w:val="20"/>
                <w:color w:val="auto"/>
              </w:rPr>
            </w:pPr>
            <w:r>
              <w:rPr>
                <w:rFonts w:ascii="Arial" w:cs="Arial" w:eastAsia="Arial" w:hAnsi="Arial"/>
                <w:sz w:val="18"/>
                <w:szCs w:val="18"/>
                <w:color w:val="auto"/>
              </w:rPr>
              <w:t>% of total</w:t>
            </w:r>
          </w:p>
        </w:tc>
        <w:tc>
          <w:tcPr>
            <w:tcW w:w="660" w:type="dxa"/>
            <w:vAlign w:val="bottom"/>
          </w:tcPr>
          <w:p>
            <w:pPr>
              <w:spacing w:after="0"/>
              <w:rPr>
                <w:sz w:val="16"/>
                <w:szCs w:val="16"/>
                <w:color w:val="auto"/>
              </w:rPr>
            </w:pPr>
          </w:p>
        </w:tc>
        <w:tc>
          <w:tcPr>
            <w:tcW w:w="110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84.1</w:t>
            </w:r>
          </w:p>
        </w:tc>
        <w:tc>
          <w:tcPr>
            <w:tcW w:w="82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84.1</w:t>
            </w:r>
          </w:p>
        </w:tc>
        <w:tc>
          <w:tcPr>
            <w:tcW w:w="88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720" w:type="dxa"/>
            <w:vAlign w:val="bottom"/>
          </w:tcPr>
          <w:p>
            <w:pPr>
              <w:ind w:left="220"/>
              <w:spacing w:after="0"/>
              <w:rPr>
                <w:sz w:val="20"/>
                <w:szCs w:val="20"/>
                <w:color w:val="auto"/>
              </w:rPr>
            </w:pPr>
            <w:r>
              <w:rPr>
                <w:rFonts w:ascii="Arial" w:cs="Arial" w:eastAsia="Arial" w:hAnsi="Arial"/>
                <w:sz w:val="18"/>
                <w:szCs w:val="18"/>
                <w:color w:val="auto"/>
              </w:rPr>
              <w:t>net sales</w:t>
            </w:r>
          </w:p>
        </w:tc>
        <w:tc>
          <w:tcPr>
            <w:tcW w:w="66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480" w:type="dxa"/>
            <w:vAlign w:val="bottom"/>
          </w:tcPr>
          <w:p>
            <w:pPr>
              <w:spacing w:after="0"/>
              <w:rPr>
                <w:sz w:val="18"/>
                <w:szCs w:val="18"/>
                <w:color w:val="auto"/>
              </w:rPr>
            </w:pPr>
          </w:p>
        </w:tc>
        <w:tc>
          <w:tcPr>
            <w:tcW w:w="1400" w:type="dxa"/>
            <w:vAlign w:val="bottom"/>
          </w:tcPr>
          <w:p>
            <w:pPr>
              <w:jc w:val="right"/>
              <w:ind w:right="350"/>
              <w:spacing w:after="0"/>
              <w:rPr>
                <w:sz w:val="20"/>
                <w:szCs w:val="20"/>
                <w:color w:val="auto"/>
              </w:rPr>
            </w:pPr>
            <w:r>
              <w:rPr>
                <w:rFonts w:ascii="Arial" w:cs="Arial" w:eastAsia="Arial" w:hAnsi="Arial"/>
                <w:sz w:val="18"/>
                <w:szCs w:val="18"/>
                <w:color w:val="auto"/>
              </w:rPr>
              <w:t>84.1</w:t>
            </w:r>
          </w:p>
        </w:tc>
        <w:tc>
          <w:tcPr>
            <w:tcW w:w="5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1380" w:type="dxa"/>
            <w:vAlign w:val="bottom"/>
          </w:tcPr>
          <w:p>
            <w:pPr>
              <w:jc w:val="right"/>
              <w:ind w:right="330"/>
              <w:spacing w:after="0"/>
              <w:rPr>
                <w:sz w:val="20"/>
                <w:szCs w:val="20"/>
                <w:color w:val="auto"/>
              </w:rPr>
            </w:pPr>
            <w:r>
              <w:rPr>
                <w:rFonts w:ascii="Arial" w:cs="Arial" w:eastAsia="Arial" w:hAnsi="Arial"/>
                <w:sz w:val="18"/>
                <w:szCs w:val="18"/>
                <w:color w:val="auto"/>
              </w:rPr>
              <w:t>84.0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7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Services</w:t>
            </w:r>
          </w:p>
        </w:tc>
        <w:tc>
          <w:tcPr>
            <w:tcW w:w="6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2,553</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2,626</w:t>
            </w:r>
          </w:p>
        </w:tc>
        <w:tc>
          <w:tcPr>
            <w:tcW w:w="5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7,829</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7,759</w:t>
            </w:r>
          </w:p>
        </w:tc>
        <w:tc>
          <w:tcPr>
            <w:tcW w:w="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1720" w:type="dxa"/>
            <w:vAlign w:val="bottom"/>
          </w:tcPr>
          <w:p>
            <w:pPr>
              <w:ind w:left="680"/>
              <w:spacing w:after="0" w:line="189" w:lineRule="exact"/>
              <w:rPr>
                <w:sz w:val="20"/>
                <w:szCs w:val="20"/>
                <w:color w:val="auto"/>
              </w:rPr>
            </w:pPr>
            <w:r>
              <w:rPr>
                <w:rFonts w:ascii="Arial" w:cs="Arial" w:eastAsia="Arial" w:hAnsi="Arial"/>
                <w:sz w:val="18"/>
                <w:szCs w:val="18"/>
                <w:color w:val="auto"/>
              </w:rPr>
              <w:t>% of total</w:t>
            </w:r>
          </w:p>
        </w:tc>
        <w:tc>
          <w:tcPr>
            <w:tcW w:w="660" w:type="dxa"/>
            <w:vAlign w:val="bottom"/>
          </w:tcPr>
          <w:p>
            <w:pPr>
              <w:spacing w:after="0"/>
              <w:rPr>
                <w:sz w:val="16"/>
                <w:szCs w:val="16"/>
                <w:color w:val="auto"/>
              </w:rPr>
            </w:pPr>
          </w:p>
        </w:tc>
        <w:tc>
          <w:tcPr>
            <w:tcW w:w="110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15.9</w:t>
            </w:r>
          </w:p>
        </w:tc>
        <w:tc>
          <w:tcPr>
            <w:tcW w:w="82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15.9</w:t>
            </w:r>
          </w:p>
        </w:tc>
        <w:tc>
          <w:tcPr>
            <w:tcW w:w="88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7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net sales</w:t>
            </w:r>
          </w:p>
        </w:tc>
        <w:tc>
          <w:tcPr>
            <w:tcW w:w="6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15.9</w:t>
            </w:r>
          </w:p>
        </w:tc>
        <w:tc>
          <w:tcPr>
            <w:tcW w:w="5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16.0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1720" w:type="dxa"/>
            <w:vAlign w:val="bottom"/>
            <w:shd w:val="clear" w:color="auto" w:fill="CCEEFF"/>
          </w:tcPr>
          <w:p>
            <w:pPr>
              <w:ind w:left="680"/>
              <w:spacing w:after="0" w:line="182" w:lineRule="exact"/>
              <w:rPr>
                <w:sz w:val="20"/>
                <w:szCs w:val="20"/>
                <w:color w:val="auto"/>
              </w:rPr>
            </w:pPr>
            <w:r>
              <w:rPr>
                <w:rFonts w:ascii="Arial" w:cs="Arial" w:eastAsia="Arial" w:hAnsi="Arial"/>
                <w:sz w:val="18"/>
                <w:szCs w:val="18"/>
                <w:color w:val="auto"/>
              </w:rPr>
              <w:t>Total net</w:t>
            </w:r>
          </w:p>
        </w:tc>
        <w:tc>
          <w:tcPr>
            <w:tcW w:w="6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10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16,028</w:t>
            </w:r>
          </w:p>
        </w:tc>
        <w:tc>
          <w:tcPr>
            <w:tcW w:w="8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49,315</w:t>
            </w:r>
          </w:p>
        </w:tc>
        <w:tc>
          <w:tcPr>
            <w:tcW w:w="8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7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sales</w:t>
            </w:r>
          </w:p>
        </w:tc>
        <w:tc>
          <w:tcPr>
            <w:tcW w:w="66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16,495</w:t>
            </w:r>
          </w:p>
        </w:tc>
        <w:tc>
          <w:tcPr>
            <w:tcW w:w="5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vMerge w:val="continue"/>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48,366</w:t>
            </w:r>
          </w:p>
        </w:tc>
        <w:tc>
          <w:tcPr>
            <w:tcW w:w="2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Substantially all of our contracts are accounted for using the percentage-of-completion cost-to-cost method. Under the percentage-of-completion cost-to-cost method, we record net sales on contracts over time based upon our progress towards completion on a particular contract, as well as our estimate of the profit to be earned at completion. The following discussion of material changes in our consolidated net sales should be read in tandem with the subsequent discussion of</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changes in our consolidated cost of sales and our business segment results of operations because changes in our sales are typically accompanied by a corresponding change in our cost of sales due to the nature of the percentage-of-completion cost-to-cost method. Overall, our sales were negatively affected in the third quarter of 2021 because of supply chain impacts at Aeronautics, MFC and Space.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Sales</w:t>
      </w:r>
    </w:p>
    <w:p>
      <w:pPr>
        <w:spacing w:after="0" w:line="203" w:lineRule="exact"/>
        <w:rPr>
          <w:sz w:val="20"/>
          <w:szCs w:val="20"/>
          <w:color w:val="auto"/>
        </w:rPr>
      </w:pPr>
    </w:p>
    <w:p>
      <w:pPr>
        <w:ind w:right="100" w:firstLine="445"/>
        <w:spacing w:after="0" w:line="252" w:lineRule="auto"/>
        <w:rPr>
          <w:sz w:val="20"/>
          <w:szCs w:val="20"/>
          <w:color w:val="auto"/>
        </w:rPr>
      </w:pPr>
      <w:r>
        <w:rPr>
          <w:rFonts w:ascii="Arial" w:cs="Arial" w:eastAsia="Arial" w:hAnsi="Arial"/>
          <w:sz w:val="18"/>
          <w:szCs w:val="18"/>
          <w:color w:val="auto"/>
        </w:rPr>
        <w:t>Product sales decreased $394 million, or 3%, during the quarter ended September 26, 2021 compared to the same period in 2020. The decrease was primarily attributable to lower product sales of approximately $185 million at MFC due to lower volume on tactical and strike missile programs (Guided Multiple Launch Rocket Systems (GMLRS) and Hellfire); $170 million at Aeronautics due to lower volume on F-35 development contracts and lower volume and risk retirements on F-35 production contracts; and $120 million at Space due to the renationalization of AWE program which is no longer included in our financial results beginning in the third quarter of 2021. These decreases were partially offset by higher product sales of approximately $80 million at RMS due to higher production volume and risk retirements on various Sikorsky helicopter programs.</w:t>
      </w:r>
    </w:p>
    <w:p>
      <w:pPr>
        <w:spacing w:after="0" w:line="166" w:lineRule="exact"/>
        <w:rPr>
          <w:sz w:val="20"/>
          <w:szCs w:val="20"/>
          <w:color w:val="auto"/>
        </w:rPr>
      </w:pPr>
    </w:p>
    <w:p>
      <w:pPr>
        <w:ind w:right="100" w:firstLine="445"/>
        <w:spacing w:after="0" w:line="254" w:lineRule="auto"/>
        <w:rPr>
          <w:sz w:val="20"/>
          <w:szCs w:val="20"/>
          <w:color w:val="auto"/>
        </w:rPr>
      </w:pPr>
      <w:r>
        <w:rPr>
          <w:rFonts w:ascii="Arial" w:cs="Arial" w:eastAsia="Arial" w:hAnsi="Arial"/>
          <w:sz w:val="18"/>
          <w:szCs w:val="18"/>
          <w:color w:val="auto"/>
        </w:rPr>
        <w:t>Product sales increased $879 million, or 2%, during the nine months ended September 26, 2021 compared to the same period in 2020. The increase is primarily attributable to higher product sales of approximately $505 million at RMS due to higher production volume and risk retirements on various Sikorsky helicopter programs; and $310 million at Space due to higher volume on Next Generation Overhead Persistent Infrared (Next Gen OPIR) and hypersonic development programs, partially offset by the renationalization of AWE.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 Sales</w:t>
      </w:r>
    </w:p>
    <w:p>
      <w:pPr>
        <w:spacing w:after="0" w:line="203" w:lineRule="exact"/>
        <w:rPr>
          <w:sz w:val="20"/>
          <w:szCs w:val="20"/>
          <w:color w:val="auto"/>
        </w:rPr>
      </w:pPr>
    </w:p>
    <w:p>
      <w:pPr>
        <w:ind w:right="220" w:firstLine="445"/>
        <w:spacing w:after="0" w:line="256" w:lineRule="auto"/>
        <w:rPr>
          <w:sz w:val="20"/>
          <w:szCs w:val="20"/>
          <w:color w:val="auto"/>
        </w:rPr>
      </w:pPr>
      <w:r>
        <w:rPr>
          <w:rFonts w:ascii="Arial" w:cs="Arial" w:eastAsia="Arial" w:hAnsi="Arial"/>
          <w:sz w:val="18"/>
          <w:szCs w:val="18"/>
          <w:color w:val="auto"/>
        </w:rPr>
        <w:t>Service sales decreased $73 million, or 3%, during the quarter ended September 26, 2021 compared to the same period in 2020. The decrease was primarily attributable to lower sales of approximately $100 million at RMS due to lower sustainment volume for various Sikorsky helicopter programs.</w:t>
      </w:r>
    </w:p>
    <w:p>
      <w:pPr>
        <w:spacing w:after="0" w:line="161" w:lineRule="exact"/>
        <w:rPr>
          <w:sz w:val="20"/>
          <w:szCs w:val="20"/>
          <w:color w:val="auto"/>
        </w:rPr>
      </w:pPr>
    </w:p>
    <w:p>
      <w:pPr>
        <w:ind w:right="100" w:firstLine="445"/>
        <w:spacing w:after="0" w:line="256" w:lineRule="auto"/>
        <w:rPr>
          <w:sz w:val="20"/>
          <w:szCs w:val="20"/>
          <w:color w:val="auto"/>
        </w:rPr>
      </w:pPr>
      <w:r>
        <w:rPr>
          <w:rFonts w:ascii="Arial" w:cs="Arial" w:eastAsia="Arial" w:hAnsi="Arial"/>
          <w:sz w:val="18"/>
          <w:szCs w:val="18"/>
          <w:color w:val="auto"/>
        </w:rPr>
        <w:t>Service sales increased $70 million, or 1%, during the nine months ended September 26, 2021 compared to the same period in 2020. The increase was primarily attributable to higher sales of approximately $ 105 million at Aeronautics due to higher sustainment volume for the F-35 and C-130 programs, partially offset by lower sales of $60 million at Space due to various national security space programs.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207" w:lineRule="exact"/>
        <w:rPr>
          <w:sz w:val="20"/>
          <w:szCs w:val="20"/>
          <w:color w:val="auto"/>
        </w:rPr>
      </w:pPr>
    </w:p>
    <w:p>
      <w:pPr>
        <w:ind w:right="360" w:firstLine="445"/>
        <w:spacing w:after="0" w:line="253" w:lineRule="auto"/>
        <w:rPr>
          <w:sz w:val="20"/>
          <w:szCs w:val="20"/>
          <w:color w:val="auto"/>
        </w:rPr>
      </w:pPr>
      <w:r>
        <w:rPr>
          <w:rFonts w:ascii="Arial" w:cs="Arial" w:eastAsia="Arial" w:hAnsi="Arial"/>
          <w:sz w:val="18"/>
          <w:szCs w:val="18"/>
          <w:color w:val="auto"/>
        </w:rPr>
        <w:t>Cost of sales, for both products and services, consist of materials, labor, subcontracting costs and an allocation of indirect costs (overhead and general and administrative), as well as the costs to fulfill our industrial cooperation agreements, sometimes referred to as offset agreements, required under certain contracts with international customers. For each of our contracts, we monitor the nature and amount of costs at the contract level, which form the basis for estimating our total costs to complete the contract. Our consolidated cost of sales were as follows (in millions):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46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3"/>
          </w:tcPr>
          <w:p>
            <w:pPr>
              <w:jc w:val="right"/>
              <w:ind w:right="1130"/>
              <w:spacing w:after="0"/>
              <w:rPr>
                <w:sz w:val="20"/>
                <w:szCs w:val="20"/>
                <w:color w:val="auto"/>
              </w:rPr>
            </w:pPr>
            <w:r>
              <w:rPr>
                <w:rFonts w:ascii="Arial" w:cs="Arial" w:eastAsia="Arial" w:hAnsi="Arial"/>
                <w:sz w:val="18"/>
                <w:szCs w:val="18"/>
                <w:b w:val="1"/>
                <w:bCs w:val="1"/>
                <w:color w:val="auto"/>
              </w:rPr>
              <w:t>Quarters Ended</w:t>
            </w:r>
          </w:p>
        </w:tc>
        <w:tc>
          <w:tcPr>
            <w:tcW w:w="5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3"/>
          </w:tcPr>
          <w:p>
            <w:pPr>
              <w:jc w:val="right"/>
              <w:ind w:right="990"/>
              <w:spacing w:after="0"/>
              <w:rPr>
                <w:sz w:val="20"/>
                <w:szCs w:val="20"/>
                <w:color w:val="auto"/>
              </w:rPr>
            </w:pPr>
            <w:r>
              <w:rPr>
                <w:rFonts w:ascii="Arial" w:cs="Arial" w:eastAsia="Arial" w:hAnsi="Arial"/>
                <w:sz w:val="18"/>
                <w:szCs w:val="18"/>
                <w:b w:val="1"/>
                <w:bCs w:val="1"/>
                <w:color w:val="auto"/>
              </w:rPr>
              <w:t>Nine Months Ended</w:t>
            </w:r>
          </w:p>
        </w:tc>
        <w:tc>
          <w:tcPr>
            <w:tcW w:w="3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940" w:type="dxa"/>
            <w:vAlign w:val="bottom"/>
            <w:gridSpan w:val="2"/>
          </w:tcPr>
          <w:p>
            <w:pPr>
              <w:jc w:val="right"/>
              <w:ind w:right="490"/>
              <w:spacing w:after="0" w:line="169" w:lineRule="exact"/>
              <w:rPr>
                <w:sz w:val="20"/>
                <w:szCs w:val="20"/>
                <w:color w:val="auto"/>
              </w:rPr>
            </w:pPr>
            <w:r>
              <w:rPr>
                <w:rFonts w:ascii="Arial" w:cs="Arial" w:eastAsia="Arial" w:hAnsi="Arial"/>
                <w:sz w:val="18"/>
                <w:szCs w:val="18"/>
                <w:b w:val="1"/>
                <w:bCs w:val="1"/>
                <w:color w:val="auto"/>
              </w:rPr>
              <w:t>September 26,</w:t>
            </w:r>
          </w:p>
        </w:tc>
        <w:tc>
          <w:tcPr>
            <w:tcW w:w="540" w:type="dxa"/>
            <w:vAlign w:val="bottom"/>
          </w:tcPr>
          <w:p>
            <w:pPr>
              <w:spacing w:after="0"/>
              <w:rPr>
                <w:sz w:val="14"/>
                <w:szCs w:val="14"/>
                <w:color w:val="auto"/>
              </w:rPr>
            </w:pPr>
          </w:p>
        </w:tc>
        <w:tc>
          <w:tcPr>
            <w:tcW w:w="1400" w:type="dxa"/>
            <w:vAlign w:val="bottom"/>
          </w:tcPr>
          <w:p>
            <w:pPr>
              <w:jc w:val="right"/>
              <w:spacing w:after="0" w:line="169" w:lineRule="exact"/>
              <w:rPr>
                <w:sz w:val="20"/>
                <w:szCs w:val="20"/>
                <w:color w:val="auto"/>
              </w:rPr>
            </w:pPr>
            <w:r>
              <w:rPr>
                <w:rFonts w:ascii="Arial" w:cs="Arial" w:eastAsia="Arial" w:hAnsi="Arial"/>
                <w:sz w:val="18"/>
                <w:szCs w:val="18"/>
                <w:b w:val="1"/>
                <w:bCs w:val="1"/>
                <w:color w:val="auto"/>
              </w:rPr>
              <w:t>September 27,</w:t>
            </w: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40" w:type="dxa"/>
            <w:vAlign w:val="bottom"/>
            <w:gridSpan w:val="2"/>
          </w:tcPr>
          <w:p>
            <w:pPr>
              <w:jc w:val="right"/>
              <w:ind w:right="490"/>
              <w:spacing w:after="0" w:line="169" w:lineRule="exact"/>
              <w:rPr>
                <w:sz w:val="20"/>
                <w:szCs w:val="20"/>
                <w:color w:val="auto"/>
              </w:rPr>
            </w:pPr>
            <w:r>
              <w:rPr>
                <w:rFonts w:ascii="Arial" w:cs="Arial" w:eastAsia="Arial" w:hAnsi="Arial"/>
                <w:sz w:val="18"/>
                <w:szCs w:val="18"/>
                <w:b w:val="1"/>
                <w:bCs w:val="1"/>
                <w:color w:val="auto"/>
              </w:rPr>
              <w:t>September 26,</w:t>
            </w:r>
          </w:p>
        </w:tc>
        <w:tc>
          <w:tcPr>
            <w:tcW w:w="560" w:type="dxa"/>
            <w:vAlign w:val="bottom"/>
          </w:tcPr>
          <w:p>
            <w:pPr>
              <w:spacing w:after="0"/>
              <w:rPr>
                <w:sz w:val="14"/>
                <w:szCs w:val="14"/>
                <w:color w:val="auto"/>
              </w:rPr>
            </w:pPr>
          </w:p>
        </w:tc>
        <w:tc>
          <w:tcPr>
            <w:tcW w:w="1400" w:type="dxa"/>
            <w:vAlign w:val="bottom"/>
          </w:tcPr>
          <w:p>
            <w:pPr>
              <w:jc w:val="right"/>
              <w:spacing w:after="0" w:line="169" w:lineRule="exact"/>
              <w:rPr>
                <w:sz w:val="20"/>
                <w:szCs w:val="20"/>
                <w:color w:val="auto"/>
              </w:rPr>
            </w:pPr>
            <w:r>
              <w:rPr>
                <w:rFonts w:ascii="Arial" w:cs="Arial" w:eastAsia="Arial" w:hAnsi="Arial"/>
                <w:sz w:val="18"/>
                <w:szCs w:val="18"/>
                <w:b w:val="1"/>
                <w:bCs w:val="1"/>
                <w:color w:val="auto"/>
              </w:rPr>
              <w:t>September 27,</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4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7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5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2020</w:t>
            </w:r>
          </w:p>
        </w:tc>
        <w:tc>
          <w:tcPr>
            <w:tcW w:w="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1460" w:type="dxa"/>
            <w:vAlign w:val="bottom"/>
            <w:shd w:val="clear" w:color="auto" w:fill="CCEEFF"/>
          </w:tcPr>
          <w:p>
            <w:pPr>
              <w:ind w:left="480"/>
              <w:spacing w:after="0" w:line="182" w:lineRule="exact"/>
              <w:rPr>
                <w:sz w:val="20"/>
                <w:szCs w:val="20"/>
                <w:color w:val="auto"/>
              </w:rPr>
            </w:pPr>
            <w:r>
              <w:rPr>
                <w:rFonts w:ascii="Arial" w:cs="Arial" w:eastAsia="Arial" w:hAnsi="Arial"/>
                <w:sz w:val="18"/>
                <w:szCs w:val="18"/>
                <w:color w:val="auto"/>
              </w:rPr>
              <w:t>Cost of</w:t>
            </w:r>
          </w:p>
        </w:tc>
        <w:tc>
          <w:tcPr>
            <w:tcW w:w="6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1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(11,838)</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(36,985)</w:t>
            </w:r>
          </w:p>
        </w:tc>
        <w:tc>
          <w:tcPr>
            <w:tcW w:w="8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 products</w:t>
            </w:r>
          </w:p>
        </w:tc>
        <w:tc>
          <w:tcPr>
            <w:tcW w:w="680" w:type="dxa"/>
            <w:vAlign w:val="bottom"/>
            <w:vMerge w:val="continue"/>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(12,370)</w:t>
            </w:r>
          </w:p>
        </w:tc>
        <w:tc>
          <w:tcPr>
            <w:tcW w:w="540" w:type="dxa"/>
            <w:vAlign w:val="bottom"/>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(36,204)</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460" w:type="dxa"/>
            <w:vAlign w:val="bottom"/>
          </w:tcPr>
          <w:p>
            <w:pPr>
              <w:ind w:left="800"/>
              <w:spacing w:after="0" w:line="189" w:lineRule="exact"/>
              <w:rPr>
                <w:sz w:val="20"/>
                <w:szCs w:val="20"/>
                <w:color w:val="auto"/>
              </w:rPr>
            </w:pPr>
            <w:r>
              <w:rPr>
                <w:rFonts w:ascii="Arial" w:cs="Arial" w:eastAsia="Arial" w:hAnsi="Arial"/>
                <w:sz w:val="18"/>
                <w:szCs w:val="18"/>
                <w:color w:val="auto"/>
              </w:rPr>
              <w:t>% of</w:t>
            </w:r>
          </w:p>
        </w:tc>
        <w:tc>
          <w:tcPr>
            <w:tcW w:w="6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460" w:type="dxa"/>
            <w:vAlign w:val="bottom"/>
          </w:tcPr>
          <w:p>
            <w:pPr>
              <w:ind w:left="360"/>
              <w:spacing w:after="0" w:line="176" w:lineRule="exact"/>
              <w:rPr>
                <w:sz w:val="20"/>
                <w:szCs w:val="20"/>
                <w:color w:val="auto"/>
              </w:rPr>
            </w:pPr>
            <w:r>
              <w:rPr>
                <w:rFonts w:ascii="Arial" w:cs="Arial" w:eastAsia="Arial" w:hAnsi="Arial"/>
                <w:sz w:val="18"/>
                <w:szCs w:val="18"/>
                <w:color w:val="auto"/>
              </w:rPr>
              <w:t>product</w:t>
            </w:r>
          </w:p>
        </w:tc>
        <w:tc>
          <w:tcPr>
            <w:tcW w:w="680" w:type="dxa"/>
            <w:vAlign w:val="bottom"/>
          </w:tcPr>
          <w:p>
            <w:pPr>
              <w:spacing w:after="0"/>
              <w:rPr>
                <w:sz w:val="15"/>
                <w:szCs w:val="15"/>
                <w:color w:val="auto"/>
              </w:rPr>
            </w:pPr>
          </w:p>
        </w:tc>
        <w:tc>
          <w:tcPr>
            <w:tcW w:w="116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87.9</w:t>
            </w:r>
          </w:p>
        </w:tc>
        <w:tc>
          <w:tcPr>
            <w:tcW w:w="78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8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89.2</w:t>
            </w:r>
          </w:p>
        </w:tc>
        <w:tc>
          <w:tcPr>
            <w:tcW w:w="86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460" w:type="dxa"/>
            <w:vAlign w:val="bottom"/>
          </w:tcPr>
          <w:p>
            <w:pPr>
              <w:ind w:left="360"/>
              <w:spacing w:after="0"/>
              <w:rPr>
                <w:sz w:val="20"/>
                <w:szCs w:val="20"/>
                <w:color w:val="auto"/>
              </w:rPr>
            </w:pPr>
            <w:r>
              <w:rPr>
                <w:rFonts w:ascii="Arial" w:cs="Arial" w:eastAsia="Arial" w:hAnsi="Arial"/>
                <w:sz w:val="18"/>
                <w:szCs w:val="18"/>
                <w:color w:val="auto"/>
              </w:rPr>
              <w:t>sales</w:t>
            </w:r>
          </w:p>
        </w:tc>
        <w:tc>
          <w:tcPr>
            <w:tcW w:w="68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1400" w:type="dxa"/>
            <w:vAlign w:val="bottom"/>
          </w:tcPr>
          <w:p>
            <w:pPr>
              <w:jc w:val="right"/>
              <w:ind w:right="350"/>
              <w:spacing w:after="0"/>
              <w:rPr>
                <w:sz w:val="20"/>
                <w:szCs w:val="20"/>
                <w:color w:val="auto"/>
              </w:rPr>
            </w:pPr>
            <w:r>
              <w:rPr>
                <w:rFonts w:ascii="Arial" w:cs="Arial" w:eastAsia="Arial" w:hAnsi="Arial"/>
                <w:sz w:val="18"/>
                <w:szCs w:val="18"/>
                <w:color w:val="auto"/>
              </w:rPr>
              <w:t>89.2</w:t>
            </w:r>
          </w:p>
        </w:tc>
        <w:tc>
          <w:tcPr>
            <w:tcW w:w="5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560" w:type="dxa"/>
            <w:vAlign w:val="bottom"/>
          </w:tcPr>
          <w:p>
            <w:pPr>
              <w:spacing w:after="0"/>
              <w:rPr>
                <w:sz w:val="18"/>
                <w:szCs w:val="18"/>
                <w:color w:val="auto"/>
              </w:rPr>
            </w:pPr>
          </w:p>
        </w:tc>
        <w:tc>
          <w:tcPr>
            <w:tcW w:w="1400" w:type="dxa"/>
            <w:vAlign w:val="bottom"/>
          </w:tcPr>
          <w:p>
            <w:pPr>
              <w:jc w:val="right"/>
              <w:ind w:right="370"/>
              <w:spacing w:after="0"/>
              <w:rPr>
                <w:sz w:val="20"/>
                <w:szCs w:val="20"/>
                <w:color w:val="auto"/>
              </w:rPr>
            </w:pPr>
            <w:r>
              <w:rPr>
                <w:rFonts w:ascii="Arial" w:cs="Arial" w:eastAsia="Arial" w:hAnsi="Arial"/>
                <w:sz w:val="18"/>
                <w:szCs w:val="18"/>
                <w:color w:val="auto"/>
              </w:rPr>
              <w:t>89.2</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1460" w:type="dxa"/>
            <w:vAlign w:val="bottom"/>
            <w:shd w:val="clear" w:color="auto" w:fill="CCEEFF"/>
          </w:tcPr>
          <w:p>
            <w:pPr>
              <w:ind w:left="480"/>
              <w:spacing w:after="0" w:line="189" w:lineRule="exact"/>
              <w:rPr>
                <w:sz w:val="20"/>
                <w:szCs w:val="20"/>
                <w:color w:val="auto"/>
              </w:rPr>
            </w:pPr>
            <w:r>
              <w:rPr>
                <w:rFonts w:ascii="Arial" w:cs="Arial" w:eastAsia="Arial" w:hAnsi="Arial"/>
                <w:sz w:val="18"/>
                <w:szCs w:val="18"/>
                <w:color w:val="auto"/>
              </w:rPr>
              <w:t>Cost of</w:t>
            </w:r>
          </w:p>
        </w:tc>
        <w:tc>
          <w:tcPr>
            <w:tcW w:w="680" w:type="dxa"/>
            <w:vAlign w:val="bottom"/>
            <w:shd w:val="clear" w:color="auto" w:fill="CCEEFF"/>
          </w:tcPr>
          <w:p>
            <w:pPr>
              <w:spacing w:after="0"/>
              <w:rPr>
                <w:sz w:val="16"/>
                <w:szCs w:val="16"/>
                <w:color w:val="auto"/>
              </w:rPr>
            </w:pPr>
          </w:p>
        </w:tc>
        <w:tc>
          <w:tcPr>
            <w:tcW w:w="11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(2,332)</w:t>
            </w:r>
          </w:p>
        </w:tc>
        <w:tc>
          <w:tcPr>
            <w:tcW w:w="7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(7,000)</w:t>
            </w:r>
          </w:p>
        </w:tc>
        <w:tc>
          <w:tcPr>
            <w:tcW w:w="8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 services</w:t>
            </w:r>
          </w:p>
        </w:tc>
        <w:tc>
          <w:tcPr>
            <w:tcW w:w="68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(2,363)</w:t>
            </w: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(6,915)</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460" w:type="dxa"/>
            <w:vAlign w:val="bottom"/>
          </w:tcPr>
          <w:p>
            <w:pPr>
              <w:ind w:left="800"/>
              <w:spacing w:after="0" w:line="189" w:lineRule="exact"/>
              <w:rPr>
                <w:sz w:val="20"/>
                <w:szCs w:val="20"/>
                <w:color w:val="auto"/>
              </w:rPr>
            </w:pPr>
            <w:r>
              <w:rPr>
                <w:rFonts w:ascii="Arial" w:cs="Arial" w:eastAsia="Arial" w:hAnsi="Arial"/>
                <w:sz w:val="18"/>
                <w:szCs w:val="18"/>
                <w:color w:val="auto"/>
              </w:rPr>
              <w:t>% of</w:t>
            </w:r>
          </w:p>
        </w:tc>
        <w:tc>
          <w:tcPr>
            <w:tcW w:w="6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460" w:type="dxa"/>
            <w:vAlign w:val="bottom"/>
          </w:tcPr>
          <w:p>
            <w:pPr>
              <w:ind w:left="360"/>
              <w:spacing w:after="0" w:line="176" w:lineRule="exact"/>
              <w:rPr>
                <w:sz w:val="20"/>
                <w:szCs w:val="20"/>
                <w:color w:val="auto"/>
              </w:rPr>
            </w:pPr>
            <w:r>
              <w:rPr>
                <w:rFonts w:ascii="Arial" w:cs="Arial" w:eastAsia="Arial" w:hAnsi="Arial"/>
                <w:sz w:val="18"/>
                <w:szCs w:val="18"/>
                <w:color w:val="auto"/>
              </w:rPr>
              <w:t>service</w:t>
            </w:r>
          </w:p>
        </w:tc>
        <w:tc>
          <w:tcPr>
            <w:tcW w:w="680" w:type="dxa"/>
            <w:vAlign w:val="bottom"/>
          </w:tcPr>
          <w:p>
            <w:pPr>
              <w:spacing w:after="0"/>
              <w:rPr>
                <w:sz w:val="15"/>
                <w:szCs w:val="15"/>
                <w:color w:val="auto"/>
              </w:rPr>
            </w:pPr>
          </w:p>
        </w:tc>
        <w:tc>
          <w:tcPr>
            <w:tcW w:w="116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91.3</w:t>
            </w:r>
          </w:p>
        </w:tc>
        <w:tc>
          <w:tcPr>
            <w:tcW w:w="78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8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89.4</w:t>
            </w:r>
          </w:p>
        </w:tc>
        <w:tc>
          <w:tcPr>
            <w:tcW w:w="86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460" w:type="dxa"/>
            <w:vAlign w:val="bottom"/>
          </w:tcPr>
          <w:p>
            <w:pPr>
              <w:ind w:left="360"/>
              <w:spacing w:after="0"/>
              <w:rPr>
                <w:sz w:val="20"/>
                <w:szCs w:val="20"/>
                <w:color w:val="auto"/>
              </w:rPr>
            </w:pPr>
            <w:r>
              <w:rPr>
                <w:rFonts w:ascii="Arial" w:cs="Arial" w:eastAsia="Arial" w:hAnsi="Arial"/>
                <w:sz w:val="18"/>
                <w:szCs w:val="18"/>
                <w:color w:val="auto"/>
              </w:rPr>
              <w:t>sales</w:t>
            </w:r>
          </w:p>
        </w:tc>
        <w:tc>
          <w:tcPr>
            <w:tcW w:w="68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1400" w:type="dxa"/>
            <w:vAlign w:val="bottom"/>
          </w:tcPr>
          <w:p>
            <w:pPr>
              <w:jc w:val="right"/>
              <w:ind w:right="350"/>
              <w:spacing w:after="0"/>
              <w:rPr>
                <w:sz w:val="20"/>
                <w:szCs w:val="20"/>
                <w:color w:val="auto"/>
              </w:rPr>
            </w:pPr>
            <w:r>
              <w:rPr>
                <w:rFonts w:ascii="Arial" w:cs="Arial" w:eastAsia="Arial" w:hAnsi="Arial"/>
                <w:sz w:val="18"/>
                <w:szCs w:val="18"/>
                <w:color w:val="auto"/>
              </w:rPr>
              <w:t>90.0</w:t>
            </w:r>
          </w:p>
        </w:tc>
        <w:tc>
          <w:tcPr>
            <w:tcW w:w="5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560" w:type="dxa"/>
            <w:vAlign w:val="bottom"/>
          </w:tcPr>
          <w:p>
            <w:pPr>
              <w:spacing w:after="0"/>
              <w:rPr>
                <w:sz w:val="18"/>
                <w:szCs w:val="18"/>
                <w:color w:val="auto"/>
              </w:rPr>
            </w:pPr>
          </w:p>
        </w:tc>
        <w:tc>
          <w:tcPr>
            <w:tcW w:w="1400" w:type="dxa"/>
            <w:vAlign w:val="bottom"/>
          </w:tcPr>
          <w:p>
            <w:pPr>
              <w:jc w:val="right"/>
              <w:ind w:right="370"/>
              <w:spacing w:after="0"/>
              <w:rPr>
                <w:sz w:val="20"/>
                <w:szCs w:val="20"/>
                <w:color w:val="auto"/>
              </w:rPr>
            </w:pPr>
            <w:r>
              <w:rPr>
                <w:rFonts w:ascii="Arial" w:cs="Arial" w:eastAsia="Arial" w:hAnsi="Arial"/>
                <w:sz w:val="18"/>
                <w:szCs w:val="18"/>
                <w:color w:val="auto"/>
              </w:rPr>
              <w:t>89.1</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1460" w:type="dxa"/>
            <w:vAlign w:val="bottom"/>
            <w:shd w:val="clear" w:color="auto" w:fill="CCEEFF"/>
          </w:tcPr>
          <w:p>
            <w:pPr>
              <w:ind w:left="480"/>
              <w:spacing w:after="0" w:line="189" w:lineRule="exact"/>
              <w:rPr>
                <w:sz w:val="20"/>
                <w:szCs w:val="20"/>
                <w:color w:val="auto"/>
              </w:rPr>
            </w:pPr>
            <w:r>
              <w:rPr>
                <w:rFonts w:ascii="Arial" w:cs="Arial" w:eastAsia="Arial" w:hAnsi="Arial"/>
                <w:sz w:val="18"/>
                <w:szCs w:val="18"/>
                <w:color w:val="auto"/>
              </w:rPr>
              <w:t>Severance</w:t>
            </w:r>
          </w:p>
        </w:tc>
        <w:tc>
          <w:tcPr>
            <w:tcW w:w="6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4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and</w:t>
            </w:r>
          </w:p>
        </w:tc>
        <w:tc>
          <w:tcPr>
            <w:tcW w:w="6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4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restructuring</w:t>
            </w:r>
          </w:p>
        </w:tc>
        <w:tc>
          <w:tcPr>
            <w:tcW w:w="6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c>
          <w:tcPr>
            <w:tcW w:w="8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charges</w:t>
            </w:r>
          </w:p>
        </w:tc>
        <w:tc>
          <w:tcPr>
            <w:tcW w:w="6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460" w:type="dxa"/>
            <w:vAlign w:val="bottom"/>
          </w:tcPr>
          <w:p>
            <w:pPr>
              <w:ind w:left="480"/>
              <w:spacing w:after="0" w:line="189" w:lineRule="exact"/>
              <w:rPr>
                <w:sz w:val="20"/>
                <w:szCs w:val="20"/>
                <w:color w:val="auto"/>
              </w:rPr>
            </w:pPr>
            <w:r>
              <w:rPr>
                <w:rFonts w:ascii="Arial" w:cs="Arial" w:eastAsia="Arial" w:hAnsi="Arial"/>
                <w:sz w:val="18"/>
                <w:szCs w:val="18"/>
                <w:color w:val="auto"/>
              </w:rPr>
              <w:t>Other</w:t>
            </w:r>
          </w:p>
        </w:tc>
        <w:tc>
          <w:tcPr>
            <w:tcW w:w="680" w:type="dxa"/>
            <w:vAlign w:val="bottom"/>
          </w:tcPr>
          <w:p>
            <w:pPr>
              <w:spacing w:after="0"/>
              <w:rPr>
                <w:sz w:val="16"/>
                <w:szCs w:val="16"/>
                <w:color w:val="auto"/>
              </w:rPr>
            </w:pPr>
          </w:p>
        </w:tc>
        <w:tc>
          <w:tcPr>
            <w:tcW w:w="116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444</w:t>
            </w:r>
          </w:p>
        </w:tc>
        <w:tc>
          <w:tcPr>
            <w:tcW w:w="7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8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1,345</w:t>
            </w:r>
          </w:p>
        </w:tc>
        <w:tc>
          <w:tcPr>
            <w:tcW w:w="8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unallocated, net</w:t>
            </w:r>
          </w:p>
        </w:tc>
        <w:tc>
          <w:tcPr>
            <w:tcW w:w="6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374</w:t>
            </w:r>
          </w:p>
        </w:tc>
        <w:tc>
          <w:tcPr>
            <w:tcW w:w="5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1,193</w:t>
            </w:r>
          </w:p>
        </w:tc>
        <w:tc>
          <w:tcPr>
            <w:tcW w:w="3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1460" w:type="dxa"/>
            <w:vAlign w:val="bottom"/>
            <w:shd w:val="clear" w:color="auto" w:fill="CCEEFF"/>
          </w:tcPr>
          <w:p>
            <w:pPr>
              <w:ind w:left="800"/>
              <w:spacing w:after="0" w:line="182" w:lineRule="exact"/>
              <w:rPr>
                <w:sz w:val="20"/>
                <w:szCs w:val="20"/>
                <w:color w:val="auto"/>
              </w:rPr>
            </w:pPr>
            <w:r>
              <w:rPr>
                <w:rFonts w:ascii="Arial" w:cs="Arial" w:eastAsia="Arial" w:hAnsi="Arial"/>
                <w:sz w:val="18"/>
                <w:szCs w:val="18"/>
                <w:color w:val="auto"/>
              </w:rPr>
              <w:t>Total</w:t>
            </w:r>
          </w:p>
        </w:tc>
        <w:tc>
          <w:tcPr>
            <w:tcW w:w="6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1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(13,726)</w:t>
            </w: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(42,676)</w:t>
            </w:r>
          </w:p>
        </w:tc>
        <w:tc>
          <w:tcPr>
            <w:tcW w:w="8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4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cost of sales</w:t>
            </w:r>
          </w:p>
        </w:tc>
        <w:tc>
          <w:tcPr>
            <w:tcW w:w="680" w:type="dxa"/>
            <w:vAlign w:val="bottom"/>
            <w:tcBorders>
              <w:bottom w:val="single" w:sz="8" w:color="auto"/>
            </w:tcBorders>
            <w:vMerge w:val="continue"/>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(14,359)</w:t>
            </w:r>
          </w:p>
        </w:tc>
        <w:tc>
          <w:tcPr>
            <w:tcW w:w="5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vMerge w:val="continue"/>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(41,926)</w:t>
            </w:r>
          </w:p>
        </w:tc>
        <w:tc>
          <w:tcPr>
            <w:tcW w:w="3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ind w:right="140" w:firstLine="445"/>
        <w:spacing w:after="0" w:line="254" w:lineRule="auto"/>
        <w:rPr>
          <w:sz w:val="20"/>
          <w:szCs w:val="20"/>
          <w:color w:val="auto"/>
        </w:rPr>
      </w:pPr>
      <w:r>
        <w:rPr>
          <w:rFonts w:ascii="Arial" w:cs="Arial" w:eastAsia="Arial" w:hAnsi="Arial"/>
          <w:sz w:val="18"/>
          <w:szCs w:val="18"/>
          <w:color w:val="auto"/>
        </w:rPr>
        <w:t>The following discussion of material changes in our consolidated cost of sales for products and services should be read in tandem with the preceding discussion of changes in our consolidated net sales and our business segment results of operations. Overall, our cost of sales in the third quarter of 2021 were reduced by the supply chain impacts discussed above that negatively affected sales. Except for potential impacts to our programs resulting from COVID-19, we have not</w:t>
      </w:r>
    </w:p>
    <w:p>
      <w:pPr>
        <w:sectPr>
          <w:pgSz w:w="11900" w:h="16838" w:orient="portrait"/>
          <w:cols w:equalWidth="0" w:num="1">
            <w:col w:w="11300"/>
          </w:cols>
          <w:pgMar w:left="320" w:top="140" w:right="279" w:bottom="114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40" w:right="279" w:bottom="1143" w:gutter="0" w:footer="0" w:header="0"/>
          <w:type w:val="continuous"/>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740"/>
        <w:spacing w:after="0" w:line="261" w:lineRule="auto"/>
        <w:rPr>
          <w:sz w:val="20"/>
          <w:szCs w:val="20"/>
          <w:color w:val="auto"/>
        </w:rPr>
      </w:pPr>
      <w:r>
        <w:rPr>
          <w:rFonts w:ascii="Arial" w:cs="Arial" w:eastAsia="Arial" w:hAnsi="Arial"/>
          <w:sz w:val="18"/>
          <w:szCs w:val="18"/>
          <w:color w:val="auto"/>
        </w:rPr>
        <w:t>identified any additional developing trends in cost of sales for products and services that would have a material impact on our future operations.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Costs</w:t>
      </w:r>
    </w:p>
    <w:p>
      <w:pPr>
        <w:spacing w:after="0" w:line="203"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Product costs decreased $532 million, or 4%, during the quarter ended September 26, 2021 compared to the same period in 2020. The decrease was primarily attributable to lower product costs of approximately $205 million at MFC due to lower volume on tactical and strike missile programs (GMLRS and Hellfire); approximately $185 million at Space due to the renationalization of AWE program; and approximately $170 million at Aeronautics due to lower volume on F-35 development and production contracts.</w:t>
      </w:r>
    </w:p>
    <w:p>
      <w:pPr>
        <w:spacing w:after="0" w:line="163"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Product costs increased $781 million, or 2%, during the nine months ended September 26, 2021 compared to the same period in 2020. The decrease was primarily attributable to higher product costs of approximately $360 million at RMS due to higher production volume for various Sikorsky helicopter programs and higher net sales for training and logistics solutions programs; about $220 million at Space due to higher volume for hypersonic development and Next Gen OPIR programs, partially offset by a lower product costs due to the renationalization of the AWE program; and approximately $165 million at Aeronautics due to higher volume on classified contracts, higher production volume on the F-16, partially offset by lower development volume on the F-35 program.</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 Costs</w:t>
      </w:r>
    </w:p>
    <w:p>
      <w:pPr>
        <w:spacing w:after="0" w:line="203" w:lineRule="exact"/>
        <w:rPr>
          <w:sz w:val="20"/>
          <w:szCs w:val="20"/>
          <w:color w:val="auto"/>
        </w:rPr>
      </w:pPr>
    </w:p>
    <w:p>
      <w:pPr>
        <w:ind w:right="120" w:firstLine="445"/>
        <w:spacing w:after="0" w:line="261" w:lineRule="auto"/>
        <w:rPr>
          <w:sz w:val="20"/>
          <w:szCs w:val="20"/>
          <w:color w:val="auto"/>
        </w:rPr>
      </w:pPr>
      <w:r>
        <w:rPr>
          <w:rFonts w:ascii="Arial" w:cs="Arial" w:eastAsia="Arial" w:hAnsi="Arial"/>
          <w:sz w:val="18"/>
          <w:szCs w:val="18"/>
          <w:color w:val="auto"/>
        </w:rPr>
        <w:t>Service costs decreased $31 million, or 1%, during the quarter ended September 26, 2021 compared to the same period in 2020. The decrease was primarily attributable to lower sustainment volume for Sikorsky helicopter programs at RMS.</w:t>
      </w:r>
    </w:p>
    <w:p>
      <w:pPr>
        <w:spacing w:after="0" w:line="157" w:lineRule="exact"/>
        <w:rPr>
          <w:sz w:val="20"/>
          <w:szCs w:val="20"/>
          <w:color w:val="auto"/>
        </w:rPr>
      </w:pPr>
    </w:p>
    <w:p>
      <w:pPr>
        <w:ind w:right="20" w:firstLine="445"/>
        <w:spacing w:after="0" w:line="254" w:lineRule="auto"/>
        <w:rPr>
          <w:sz w:val="20"/>
          <w:szCs w:val="20"/>
          <w:color w:val="auto"/>
        </w:rPr>
      </w:pPr>
      <w:r>
        <w:rPr>
          <w:rFonts w:ascii="Arial" w:cs="Arial" w:eastAsia="Arial" w:hAnsi="Arial"/>
          <w:sz w:val="18"/>
          <w:szCs w:val="18"/>
          <w:color w:val="auto"/>
        </w:rPr>
        <w:t>Service costs increased $85 million, or 1%, during the nine months ended September 26, 2021 compared to the same period in 2020. The increase was primarily attributable to higher service costs of approximately $60 million at RMS due to higher volume for various integrated warfare systems and sensors (IWSS) programs; and about $45 million at Aeronautics due to higher sustainment volume for the F-35 and C-130 programs.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Severance and Restructuring Charges</w:t>
      </w:r>
    </w:p>
    <w:p>
      <w:pPr>
        <w:spacing w:after="0" w:line="203" w:lineRule="exact"/>
        <w:rPr>
          <w:sz w:val="20"/>
          <w:szCs w:val="20"/>
          <w:color w:val="auto"/>
        </w:rPr>
      </w:pPr>
    </w:p>
    <w:p>
      <w:pPr>
        <w:jc w:val="both"/>
        <w:ind w:right="20" w:firstLine="405"/>
        <w:spacing w:after="0" w:line="256" w:lineRule="auto"/>
        <w:rPr>
          <w:sz w:val="20"/>
          <w:szCs w:val="20"/>
          <w:color w:val="auto"/>
        </w:rPr>
      </w:pPr>
      <w:r>
        <w:rPr>
          <w:rFonts w:ascii="Arial" w:cs="Arial" w:eastAsia="Arial" w:hAnsi="Arial"/>
          <w:sz w:val="18"/>
          <w:szCs w:val="18"/>
          <w:color w:val="auto"/>
        </w:rPr>
        <w:t>During the first quarter of 2021, we recorded severance and restructuring charges of $36 million ($28 million, or $0.10 per share, after-tax) associated with plans to close and consolidate certain facilities and reduce total workforce within our RMS business segment. See “Note 11 - Other” included in our Notes to Consolidated Financial Statements for additional information.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Unallocated, Net</w:t>
      </w:r>
    </w:p>
    <w:p>
      <w:pPr>
        <w:spacing w:after="0" w:line="216" w:lineRule="exact"/>
        <w:rPr>
          <w:sz w:val="20"/>
          <w:szCs w:val="20"/>
          <w:color w:val="auto"/>
        </w:rPr>
      </w:pPr>
    </w:p>
    <w:p>
      <w:pPr>
        <w:ind w:right="160" w:firstLine="405"/>
        <w:spacing w:after="0" w:line="252" w:lineRule="auto"/>
        <w:rPr>
          <w:sz w:val="20"/>
          <w:szCs w:val="20"/>
          <w:color w:val="auto"/>
        </w:rPr>
      </w:pPr>
      <w:r>
        <w:rPr>
          <w:rFonts w:ascii="Arial" w:cs="Arial" w:eastAsia="Arial" w:hAnsi="Arial"/>
          <w:sz w:val="18"/>
          <w:szCs w:val="18"/>
          <w:color w:val="auto"/>
        </w:rPr>
        <w:t>Other unallocated, net primarily includes the FAS/CAS operating adjustment (which represents the difference between CAS pension cost recorded in our business segment’s results of operations and the service cost component of FAS pension (expense) income, stock-based compensation expense and other corporate costs. These items are not allocated to the business segments and, therefore, are not allocated to cost of sales for products or services. Other unallocated, net reduced cost of sales by $444 million and $1.3 billion during the quarter and nine months ended September 26, 2021, compared to $374 million and $1.2 billion during the quarter and nine months ended September 27, 2020. Other unallocated, net during the quarter and nine months ended September 26, 2021 was higher primarily due to an increase in our FAS/CAS operating adjustment and fluctuations in costs associated with various corporate items, none of which were individually significant.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Income, Net</w:t>
      </w:r>
    </w:p>
    <w:p>
      <w:pPr>
        <w:spacing w:after="0" w:line="207"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auto"/>
        </w:rPr>
        <w:t>Other (expense) income, net generally includes earnings generated by equity method investees. Other expense, net was $8 million during the quarter ended September 26, 2021, compared to other income, net of $11 million during the quarter ended September 27, 2020. Other income, net was $29 million during the nine months ended September 26, 2021, compared to other expense, net of $85 million during the nine months ended September 27, 2020. Other (expense) income, net during the quarter and nine months ended September 26, 2021 included lower earnings generated by equity method investments. Additionally, other expense, net during the nine months ended September 27, 2020 included a noncash impairment charge of $128 million ($96 million, or $0.34 per share, after-tax) related to our previous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in AMMROC, which was sold in 2020. See “Note 11 - Other” included in our Notes to Consolidated Financial Statements for additional information.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Non-Service FAS Pension (Expense) Income</w:t>
      </w:r>
    </w:p>
    <w:p>
      <w:pPr>
        <w:spacing w:after="0" w:line="207" w:lineRule="exact"/>
        <w:rPr>
          <w:sz w:val="20"/>
          <w:szCs w:val="20"/>
          <w:color w:val="auto"/>
        </w:rPr>
      </w:pPr>
    </w:p>
    <w:p>
      <w:pPr>
        <w:ind w:right="180" w:firstLine="405"/>
        <w:spacing w:after="0" w:line="254" w:lineRule="auto"/>
        <w:rPr>
          <w:sz w:val="20"/>
          <w:szCs w:val="20"/>
          <w:color w:val="auto"/>
        </w:rPr>
      </w:pPr>
      <w:r>
        <w:rPr>
          <w:rFonts w:ascii="Arial" w:cs="Arial" w:eastAsia="Arial" w:hAnsi="Arial"/>
          <w:sz w:val="18"/>
          <w:szCs w:val="18"/>
          <w:color w:val="auto"/>
        </w:rPr>
        <w:t>Non-service FAS pension (expense) income for the quarter and nine months ended September 26, 2021 includes a noncash pension settlement charge of $1.7 billion ($1.3 billion, or $ 4.72 per share, after-tax), related to the transfer of $4.9 billion of our gross defined benefit pension obligations and related plan assets to an insurance company. See “Note 7 -Postretirement Benefit Plans” included in our Notes to Consolidated Financial Statements for additional information.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Non-operating Income (Expense), Net</w:t>
      </w:r>
    </w:p>
    <w:p>
      <w:pPr>
        <w:spacing w:after="0" w:line="274" w:lineRule="exact"/>
        <w:rPr>
          <w:sz w:val="20"/>
          <w:szCs w:val="20"/>
          <w:color w:val="auto"/>
        </w:rPr>
      </w:pPr>
    </w:p>
    <w:p>
      <w:pPr>
        <w:ind w:right="340" w:firstLine="405"/>
        <w:spacing w:after="0" w:line="252" w:lineRule="auto"/>
        <w:rPr>
          <w:sz w:val="20"/>
          <w:szCs w:val="20"/>
          <w:color w:val="auto"/>
        </w:rPr>
      </w:pPr>
      <w:r>
        <w:rPr>
          <w:rFonts w:ascii="Arial" w:cs="Arial" w:eastAsia="Arial" w:hAnsi="Arial"/>
          <w:sz w:val="18"/>
          <w:szCs w:val="18"/>
          <w:color w:val="auto"/>
        </w:rPr>
        <w:t>Other non-operating income (expense), net primarily includes gains or losses related to changes in the fair value of strategic investments in early stage companies made by our Lockheed Martin Ventures Fund. See “Note 11 - Other” included in our Notes to Consolidated Financial Statements for additional information. During the quarter and nine months ended September 26, 2021, other non-operating income, net was $98 million and $200 million. Other non-operating expense was not significant during the quarter ended September 27, 2020 and $29 million during nine months ended September 27, 2020. The increase during the quarter and nine months ended September 26, 2021 was primarily due to increases in the fair value of investments held in our Lockheed Martin Ventures Fund.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207" w:lineRule="exact"/>
        <w:rPr>
          <w:sz w:val="20"/>
          <w:szCs w:val="20"/>
          <w:color w:val="auto"/>
        </w:rPr>
      </w:pPr>
    </w:p>
    <w:p>
      <w:pPr>
        <w:ind w:right="120" w:firstLine="405"/>
        <w:spacing w:after="0" w:line="253" w:lineRule="auto"/>
        <w:rPr>
          <w:sz w:val="20"/>
          <w:szCs w:val="20"/>
          <w:color w:val="auto"/>
        </w:rPr>
      </w:pPr>
      <w:r>
        <w:rPr>
          <w:rFonts w:ascii="Arial" w:cs="Arial" w:eastAsia="Arial" w:hAnsi="Arial"/>
          <w:sz w:val="18"/>
          <w:szCs w:val="18"/>
          <w:color w:val="auto"/>
        </w:rPr>
        <w:t>Our effective income tax rate was 9.6% and 15.7% for the quarter and nine months ended September 26, 2021 and 14.7% and 15.7% for the quarter and nine months ended September 27, 2020. The rate for the third quarter of 2021 is lower than the third quarter of 2020 primarily due to lower pretax earnings resulting from a noncash pension settlement charge of $1.7 billion, which reduced the tax expense by approximately $355 million. The rates for both periods benefited from tax deductions for foreign derived intangible income, the research and development tax credit, and dividends paid to the corporation's defined contribution plans with an employee stock ownership plan feature.</w:t>
      </w:r>
    </w:p>
    <w:p>
      <w:pPr>
        <w:spacing w:after="0" w:line="165" w:lineRule="exact"/>
        <w:rPr>
          <w:sz w:val="20"/>
          <w:szCs w:val="20"/>
          <w:color w:val="auto"/>
        </w:rPr>
      </w:pPr>
    </w:p>
    <w:p>
      <w:pPr>
        <w:ind w:right="140" w:firstLine="405"/>
        <w:spacing w:after="0" w:line="251" w:lineRule="auto"/>
        <w:rPr>
          <w:sz w:val="20"/>
          <w:szCs w:val="20"/>
          <w:color w:val="auto"/>
        </w:rPr>
      </w:pPr>
      <w:r>
        <w:rPr>
          <w:rFonts w:ascii="Arial" w:cs="Arial" w:eastAsia="Arial" w:hAnsi="Arial"/>
          <w:sz w:val="18"/>
          <w:szCs w:val="18"/>
          <w:color w:val="auto"/>
        </w:rPr>
        <w:t>Changes in U.S. (federal or state) or foreign tax laws and regulations, or their interpretation and application, including those with retroactive effect, including the amortization for research or experimental expenditures, could significantly impact our provision for income taxes, the amount of taxes payable, our deferred tax asset and liability balances, and stockholders’ equity. Recent proposals to increase the U.S. corporate income tax rate would require us to increase our net deferred tax assets upon enactment of new tax legislation, with a corresponding material, one-time, noncash decrease in income tax expense, but our income tax expense and payments would likely be materially increased in subsequent years. Our net deferred tax assets were $2.7 billion and $3.5 billion at September 26, 2021 and December 31, 2020, based on a 21% federal statutory income tax rate, and primarily relate to our postretirement benefit plans. If legislation increasing the federal statutory income tax rate to 26.5% or 28% had been enacted at September 26, 2021, our net deferred tax assets would have been increased by approximately $ 700 million or $ 900 million and we would have recorded a corresponding one-time, noncash increase in income tax benefit of approximately $700 million or $900 million. In addition to future changes in tax laws, the amount of net deferred tax assets will change periodically based on several factors, including the measurement of our postretirement benefit plan obligations and actual cash contributions to our postretirement benefit plans.</w:t>
      </w:r>
    </w:p>
    <w:p>
      <w:pPr>
        <w:spacing w:after="0" w:line="183"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auto"/>
        </w:rPr>
        <w:t>Beginning in 2022, the Tax Cuts and Jobs Act of 2017 eliminates the option to deduct research and development expenditures immediately in the year incurred and requires taxpayers to amortize such expenditures over five years. While it is possible that Congress may modify or repeal this provision before it takes effect and we continue to have ongoing discussions with members of Congress, both on our own and with other industries through coalitions, we have no assurance that these provisions will be modified or repealed. Furthermore, we are continuing to work with our advisors to refine our legal interpretation of this provision prior to implementation in 2022. If these provisions are not repealed, they would materially decrease our expected cash from operations in 2022 by up to $2.0 billion and increase our net deferred tax assets by a similar amount. The largest impact would be to 2022 cash from operations, which would depend on the amount of research and development expenses paid or incurred in 2022 among other factors. The impact, however, would continue over the five year amortization period but would decrease over the period and be immaterial in year six.</w:t>
      </w:r>
    </w:p>
    <w:p>
      <w:pPr>
        <w:spacing w:after="0" w:line="171" w:lineRule="exact"/>
        <w:rPr>
          <w:sz w:val="20"/>
          <w:szCs w:val="20"/>
          <w:color w:val="auto"/>
        </w:rPr>
      </w:pPr>
    </w:p>
    <w:p>
      <w:pPr>
        <w:jc w:val="both"/>
        <w:ind w:right="140" w:firstLine="405"/>
        <w:spacing w:after="0" w:line="256" w:lineRule="auto"/>
        <w:rPr>
          <w:sz w:val="20"/>
          <w:szCs w:val="20"/>
          <w:color w:val="auto"/>
        </w:rPr>
      </w:pPr>
      <w:r>
        <w:rPr>
          <w:rFonts w:ascii="Arial" w:cs="Arial" w:eastAsia="Arial" w:hAnsi="Arial"/>
          <w:sz w:val="18"/>
          <w:szCs w:val="18"/>
          <w:color w:val="auto"/>
        </w:rPr>
        <w:t>We are regularly under audit or examination by tax authorities, including foreign tax authorities (including in, amongst others, Australia, Canada, India, Italy, Japan, Poland, and the United Kingdom). The final determination of tax audits and any related litigation could similarly result in unanticipated increases in our tax expense and affect profitability and cash flows.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Earnings from Continuing Operations</w:t>
      </w:r>
    </w:p>
    <w:p>
      <w:pPr>
        <w:spacing w:after="0" w:line="220" w:lineRule="exact"/>
        <w:rPr>
          <w:sz w:val="20"/>
          <w:szCs w:val="20"/>
          <w:color w:val="auto"/>
        </w:rPr>
      </w:pPr>
    </w:p>
    <w:p>
      <w:pPr>
        <w:ind w:firstLine="445"/>
        <w:spacing w:after="0" w:line="250" w:lineRule="auto"/>
        <w:rPr>
          <w:sz w:val="20"/>
          <w:szCs w:val="20"/>
          <w:color w:val="auto"/>
        </w:rPr>
      </w:pPr>
      <w:r>
        <w:rPr>
          <w:rFonts w:ascii="Arial" w:cs="Arial" w:eastAsia="Arial" w:hAnsi="Arial"/>
          <w:sz w:val="18"/>
          <w:szCs w:val="18"/>
          <w:color w:val="auto"/>
        </w:rPr>
        <w:t>We reported net earnings from continuing operations of $614 million ($2.21 per share) and $4.3 billion ($15.32 per share) during the quarter and nine months ended September 26, 2021, compared to $1.8 billion ($6.25 per share) and $ 5.1 billion ($18.12 per share) during the quarter and nine months ended September 27, 2020. Net earnings from continuing operations and earnings per share for both quarter and nine months ended September 26, 2021 were affected by factors mentioned above, including the noncash pension settlement charge of $1.7 billion ($1.3 billion, or $4.72 per share, after-tax) related to the transfer of $4.9 billion of gross defined benefit pension obligations and related plan assets to an insurance company. Additionally, both net earnings and earnings per share for the nine months ended September 26, 2021 were affected by the $225 million ($169 million, or $0.61 per share, after-tax) loss for performance issues experienced on a classified program at our Aeronautics business segment. Earnings per share also benefited from a net decrease of approximately</w:t>
      </w:r>
    </w:p>
    <w:p>
      <w:pPr>
        <w:spacing w:after="0" w:line="3"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3.3 million and 2.8 million weighted average common shares outstanding during the quarter and nine months ended September 26, 2021, compared to the same periods in 2020. Weighted average common shares include share repurchases, partially offset by share issuance under our stock-based awards and certain defined contribution plans.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on Discontinued Operations</w:t>
      </w:r>
    </w:p>
    <w:p>
      <w:pPr>
        <w:spacing w:after="0" w:line="207" w:lineRule="exact"/>
        <w:rPr>
          <w:sz w:val="20"/>
          <w:szCs w:val="20"/>
          <w:color w:val="auto"/>
        </w:rPr>
      </w:pPr>
    </w:p>
    <w:p>
      <w:pPr>
        <w:ind w:firstLine="445"/>
        <w:spacing w:after="0" w:line="261" w:lineRule="auto"/>
        <w:rPr>
          <w:sz w:val="20"/>
          <w:szCs w:val="20"/>
          <w:color w:val="auto"/>
        </w:rPr>
      </w:pPr>
      <w:r>
        <w:rPr>
          <w:rFonts w:ascii="Arial" w:cs="Arial" w:eastAsia="Arial" w:hAnsi="Arial"/>
          <w:sz w:val="18"/>
          <w:szCs w:val="18"/>
          <w:color w:val="auto"/>
        </w:rPr>
        <w:t>During the third quarter of 2020, we recognized a $55 million ($0.20 per share) non-cash charge resulting from the resolution of certain tax matters related to the former IS&amp;GS business divested in 2016.</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0" w:right="41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 RESULTS OF OPERATIONS</w:t>
      </w:r>
    </w:p>
    <w:p>
      <w:pPr>
        <w:spacing w:after="0" w:line="220" w:lineRule="exact"/>
        <w:rPr>
          <w:sz w:val="20"/>
          <w:szCs w:val="20"/>
          <w:color w:val="auto"/>
        </w:rPr>
      </w:pPr>
    </w:p>
    <w:p>
      <w:pPr>
        <w:ind w:right="120" w:firstLine="445"/>
        <w:spacing w:after="0" w:line="261" w:lineRule="auto"/>
        <w:rPr>
          <w:sz w:val="20"/>
          <w:szCs w:val="20"/>
          <w:color w:val="auto"/>
        </w:rPr>
      </w:pPr>
      <w:r>
        <w:rPr>
          <w:rFonts w:ascii="Arial" w:cs="Arial" w:eastAsia="Arial" w:hAnsi="Arial"/>
          <w:sz w:val="18"/>
          <w:szCs w:val="18"/>
          <w:color w:val="auto"/>
        </w:rPr>
        <w:t>We operate in four business segments: Aeronautics, MFC, RMS and Space. We organize our business segments based on the nature of products and services offered.</w:t>
      </w:r>
    </w:p>
    <w:p>
      <w:pPr>
        <w:spacing w:after="0" w:line="157" w:lineRule="exact"/>
        <w:rPr>
          <w:sz w:val="20"/>
          <w:szCs w:val="20"/>
          <w:color w:val="auto"/>
        </w:rPr>
      </w:pPr>
    </w:p>
    <w:p>
      <w:pPr>
        <w:ind w:right="140" w:firstLine="445"/>
        <w:spacing w:after="0" w:line="256" w:lineRule="auto"/>
        <w:rPr>
          <w:sz w:val="20"/>
          <w:szCs w:val="20"/>
          <w:color w:val="auto"/>
        </w:rPr>
      </w:pPr>
      <w:r>
        <w:rPr>
          <w:rFonts w:ascii="Arial" w:cs="Arial" w:eastAsia="Arial" w:hAnsi="Arial"/>
          <w:sz w:val="18"/>
          <w:szCs w:val="18"/>
          <w:color w:val="auto"/>
        </w:rPr>
        <w:t>Net sales and operating profit of our business segments exclude intersegment sales, cost of sales, and profit as these activities are eliminated in consolidation. Business segment operating profit includes our share of earnings or losses from equity method investees as the operating activities of the equity method investees are closely aligned with the operations of our business segments.</w:t>
      </w:r>
    </w:p>
    <w:p>
      <w:pPr>
        <w:spacing w:after="0" w:line="161" w:lineRule="exact"/>
        <w:rPr>
          <w:sz w:val="20"/>
          <w:szCs w:val="20"/>
          <w:color w:val="auto"/>
        </w:rPr>
      </w:pPr>
    </w:p>
    <w:p>
      <w:pPr>
        <w:ind w:right="220" w:firstLine="405"/>
        <w:spacing w:after="0" w:line="252" w:lineRule="auto"/>
        <w:rPr>
          <w:sz w:val="20"/>
          <w:szCs w:val="20"/>
          <w:color w:val="auto"/>
        </w:rPr>
      </w:pPr>
      <w:r>
        <w:rPr>
          <w:rFonts w:ascii="Arial" w:cs="Arial" w:eastAsia="Arial" w:hAnsi="Arial"/>
          <w:sz w:val="18"/>
          <w:szCs w:val="18"/>
          <w:color w:val="auto"/>
        </w:rPr>
        <w:t>Business segment operating profit also excludes the FAS/CAS pension operating adjustment, a portion of corporate costs not considered allowable or allocable to contracts with the U.S. Government under the applicable U.S. Government cost accounting standards (CAS) or federal acquisition regulations (FAR), and other items not considered part of management’s evaluation of segment operating performance such as a portion of management and administration costs, legal fees and settlements, environmental costs, stock-based compensation expense, retiree benefits, significant severance actions, significant asset impairments, gains or losses from divestitures, and other miscellaneous corporate activities.</w:t>
      </w:r>
    </w:p>
    <w:p>
      <w:pPr>
        <w:spacing w:after="0" w:line="181" w:lineRule="exact"/>
        <w:rPr>
          <w:sz w:val="20"/>
          <w:szCs w:val="20"/>
          <w:color w:val="auto"/>
        </w:rPr>
      </w:pPr>
    </w:p>
    <w:p>
      <w:pPr>
        <w:ind w:right="240" w:firstLine="405"/>
        <w:spacing w:after="0" w:line="254" w:lineRule="auto"/>
        <w:rPr>
          <w:sz w:val="20"/>
          <w:szCs w:val="20"/>
          <w:color w:val="auto"/>
        </w:rPr>
      </w:pPr>
      <w:r>
        <w:rPr>
          <w:rFonts w:ascii="Arial" w:cs="Arial" w:eastAsia="Arial" w:hAnsi="Arial"/>
          <w:sz w:val="18"/>
          <w:szCs w:val="18"/>
          <w:color w:val="auto"/>
        </w:rPr>
        <w:t>Excluded items are included in the reconciling item “Unallocated items” between operating profit from our business segments and our consolidated operating profit. See “Note 11 - Other” (under the caption “Changes in Estimates”) included in our Notes to Consolidated Financial Statements for a discussion related to certain factors that may impact the comparability of net sales and operating profit of our business segments.</w:t>
      </w:r>
    </w:p>
    <w:p>
      <w:pPr>
        <w:spacing w:after="0" w:line="23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Summary operating results for each of our business segments were as follows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36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gridSpan w:val="3"/>
          </w:tcPr>
          <w:p>
            <w:pPr>
              <w:jc w:val="right"/>
              <w:ind w:right="1170"/>
              <w:spacing w:after="0"/>
              <w:rPr>
                <w:sz w:val="20"/>
                <w:szCs w:val="20"/>
                <w:color w:val="auto"/>
              </w:rPr>
            </w:pPr>
            <w:r>
              <w:rPr>
                <w:rFonts w:ascii="Arial" w:cs="Arial" w:eastAsia="Arial" w:hAnsi="Arial"/>
                <w:sz w:val="18"/>
                <w:szCs w:val="18"/>
                <w:b w:val="1"/>
                <w:bCs w:val="1"/>
                <w:color w:val="auto"/>
              </w:rPr>
              <w:t>Quarters Ended</w:t>
            </w:r>
          </w:p>
        </w:tc>
        <w:tc>
          <w:tcPr>
            <w:tcW w:w="44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3"/>
          </w:tcPr>
          <w:p>
            <w:pPr>
              <w:jc w:val="right"/>
              <w:ind w:right="81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69"/>
        </w:trPr>
        <w:tc>
          <w:tcPr>
            <w:tcW w:w="3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60" w:type="dxa"/>
            <w:vAlign w:val="bottom"/>
          </w:tcPr>
          <w:p>
            <w:pPr>
              <w:jc w:val="right"/>
              <w:ind w:right="250"/>
              <w:spacing w:after="0" w:line="169" w:lineRule="exact"/>
              <w:rPr>
                <w:sz w:val="20"/>
                <w:szCs w:val="20"/>
                <w:color w:val="auto"/>
              </w:rPr>
            </w:pPr>
            <w:r>
              <w:rPr>
                <w:rFonts w:ascii="Arial" w:cs="Arial" w:eastAsia="Arial" w:hAnsi="Arial"/>
                <w:sz w:val="18"/>
                <w:szCs w:val="18"/>
                <w:b w:val="1"/>
                <w:bCs w:val="1"/>
                <w:color w:val="auto"/>
                <w:w w:val="97"/>
              </w:rPr>
              <w:t>September 26,</w:t>
            </w:r>
          </w:p>
        </w:tc>
        <w:tc>
          <w:tcPr>
            <w:tcW w:w="420" w:type="dxa"/>
            <w:vAlign w:val="bottom"/>
          </w:tcPr>
          <w:p>
            <w:pPr>
              <w:spacing w:after="0"/>
              <w:rPr>
                <w:sz w:val="14"/>
                <w:szCs w:val="14"/>
                <w:color w:val="auto"/>
              </w:rPr>
            </w:pPr>
          </w:p>
        </w:tc>
        <w:tc>
          <w:tcPr>
            <w:tcW w:w="1560" w:type="dxa"/>
            <w:vAlign w:val="bottom"/>
          </w:tcPr>
          <w:p>
            <w:pPr>
              <w:jc w:val="right"/>
              <w:ind w:right="230"/>
              <w:spacing w:after="0" w:line="169" w:lineRule="exact"/>
              <w:rPr>
                <w:sz w:val="20"/>
                <w:szCs w:val="20"/>
                <w:color w:val="auto"/>
              </w:rPr>
            </w:pPr>
            <w:r>
              <w:rPr>
                <w:rFonts w:ascii="Arial" w:cs="Arial" w:eastAsia="Arial" w:hAnsi="Arial"/>
                <w:sz w:val="18"/>
                <w:szCs w:val="18"/>
                <w:b w:val="1"/>
                <w:bCs w:val="1"/>
                <w:color w:val="auto"/>
                <w:w w:val="99"/>
              </w:rPr>
              <w:t>September 27,</w:t>
            </w:r>
          </w:p>
        </w:tc>
        <w:tc>
          <w:tcPr>
            <w:tcW w:w="440" w:type="dxa"/>
            <w:vAlign w:val="bottom"/>
          </w:tcPr>
          <w:p>
            <w:pPr>
              <w:spacing w:after="0"/>
              <w:rPr>
                <w:sz w:val="14"/>
                <w:szCs w:val="14"/>
                <w:color w:val="auto"/>
              </w:rPr>
            </w:pPr>
          </w:p>
        </w:tc>
        <w:tc>
          <w:tcPr>
            <w:tcW w:w="1560" w:type="dxa"/>
            <w:vAlign w:val="bottom"/>
          </w:tcPr>
          <w:p>
            <w:pPr>
              <w:jc w:val="right"/>
              <w:ind w:right="230"/>
              <w:spacing w:after="0" w:line="169" w:lineRule="exact"/>
              <w:rPr>
                <w:sz w:val="20"/>
                <w:szCs w:val="20"/>
                <w:color w:val="auto"/>
              </w:rPr>
            </w:pPr>
            <w:r>
              <w:rPr>
                <w:rFonts w:ascii="Arial" w:cs="Arial" w:eastAsia="Arial" w:hAnsi="Arial"/>
                <w:sz w:val="18"/>
                <w:szCs w:val="18"/>
                <w:b w:val="1"/>
                <w:bCs w:val="1"/>
                <w:color w:val="auto"/>
                <w:w w:val="99"/>
              </w:rPr>
              <w:t>September 26,</w:t>
            </w:r>
          </w:p>
        </w:tc>
        <w:tc>
          <w:tcPr>
            <w:tcW w:w="440" w:type="dxa"/>
            <w:vAlign w:val="bottom"/>
          </w:tcPr>
          <w:p>
            <w:pPr>
              <w:spacing w:after="0"/>
              <w:rPr>
                <w:sz w:val="14"/>
                <w:szCs w:val="14"/>
                <w:color w:val="auto"/>
              </w:rPr>
            </w:pPr>
          </w:p>
        </w:tc>
        <w:tc>
          <w:tcPr>
            <w:tcW w:w="1360" w:type="dxa"/>
            <w:vAlign w:val="bottom"/>
          </w:tcPr>
          <w:p>
            <w:pPr>
              <w:jc w:val="right"/>
              <w:ind w:right="30"/>
              <w:spacing w:after="0" w:line="169" w:lineRule="exact"/>
              <w:rPr>
                <w:sz w:val="20"/>
                <w:szCs w:val="20"/>
                <w:color w:val="auto"/>
              </w:rPr>
            </w:pPr>
            <w:r>
              <w:rPr>
                <w:rFonts w:ascii="Arial" w:cs="Arial" w:eastAsia="Arial" w:hAnsi="Arial"/>
                <w:sz w:val="18"/>
                <w:szCs w:val="18"/>
                <w:b w:val="1"/>
                <w:bCs w:val="1"/>
                <w:color w:val="auto"/>
                <w:w w:val="99"/>
              </w:rPr>
              <w:t>September 27,</w:t>
            </w:r>
          </w:p>
        </w:tc>
        <w:tc>
          <w:tcPr>
            <w:tcW w:w="0" w:type="dxa"/>
            <w:vAlign w:val="bottom"/>
          </w:tcPr>
          <w:p>
            <w:pPr>
              <w:spacing w:after="0"/>
              <w:rPr>
                <w:sz w:val="1"/>
                <w:szCs w:val="1"/>
                <w:color w:val="auto"/>
              </w:rPr>
            </w:pPr>
          </w:p>
        </w:tc>
      </w:tr>
      <w:tr>
        <w:trPr>
          <w:trHeight w:val="230"/>
        </w:trPr>
        <w:tc>
          <w:tcPr>
            <w:tcW w:w="33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2020</w:t>
            </w:r>
          </w:p>
        </w:tc>
        <w:tc>
          <w:tcPr>
            <w:tcW w:w="4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2021</w:t>
            </w:r>
          </w:p>
        </w:tc>
        <w:tc>
          <w:tcPr>
            <w:tcW w:w="4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336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Net sales</w:t>
            </w:r>
          </w:p>
        </w:tc>
        <w:tc>
          <w:tcPr>
            <w:tcW w:w="5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tcPr>
          <w:p>
            <w:pPr>
              <w:ind w:left="560"/>
              <w:spacing w:after="0"/>
              <w:rPr>
                <w:sz w:val="20"/>
                <w:szCs w:val="20"/>
                <w:color w:val="auto"/>
              </w:rPr>
            </w:pPr>
            <w:r>
              <w:rPr>
                <w:rFonts w:ascii="Arial" w:cs="Arial" w:eastAsia="Arial" w:hAnsi="Arial"/>
                <w:sz w:val="18"/>
                <w:szCs w:val="18"/>
                <w:color w:val="auto"/>
              </w:rPr>
              <w:t>Aeronautics</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560" w:type="dxa"/>
            <w:vAlign w:val="bottom"/>
          </w:tcPr>
          <w:p>
            <w:pPr>
              <w:jc w:val="right"/>
              <w:ind w:right="510"/>
              <w:spacing w:after="0"/>
              <w:rPr>
                <w:sz w:val="20"/>
                <w:szCs w:val="20"/>
                <w:color w:val="auto"/>
              </w:rPr>
            </w:pPr>
            <w:r>
              <w:rPr>
                <w:rFonts w:ascii="Arial" w:cs="Arial" w:eastAsia="Arial" w:hAnsi="Arial"/>
                <w:sz w:val="18"/>
                <w:szCs w:val="18"/>
                <w:b w:val="1"/>
                <w:bCs w:val="1"/>
                <w:color w:val="auto"/>
              </w:rPr>
              <w:t>6,568</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510"/>
              <w:spacing w:after="0"/>
              <w:rPr>
                <w:sz w:val="20"/>
                <w:szCs w:val="20"/>
                <w:color w:val="auto"/>
              </w:rPr>
            </w:pPr>
            <w:r>
              <w:rPr>
                <w:rFonts w:ascii="Arial" w:cs="Arial" w:eastAsia="Arial" w:hAnsi="Arial"/>
                <w:sz w:val="18"/>
                <w:szCs w:val="18"/>
                <w:color w:val="auto"/>
              </w:rPr>
              <w:t>6,680</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560" w:type="dxa"/>
            <w:vAlign w:val="bottom"/>
          </w:tcPr>
          <w:p>
            <w:pPr>
              <w:jc w:val="right"/>
              <w:ind w:right="510"/>
              <w:spacing w:after="0"/>
              <w:rPr>
                <w:sz w:val="20"/>
                <w:szCs w:val="20"/>
                <w:color w:val="auto"/>
              </w:rPr>
            </w:pPr>
            <w:r>
              <w:rPr>
                <w:rFonts w:ascii="Arial" w:cs="Arial" w:eastAsia="Arial" w:hAnsi="Arial"/>
                <w:sz w:val="18"/>
                <w:szCs w:val="18"/>
                <w:b w:val="1"/>
                <w:bCs w:val="1"/>
                <w:color w:val="auto"/>
              </w:rPr>
              <w:t>19,621</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10"/>
              <w:spacing w:after="0"/>
              <w:rPr>
                <w:sz w:val="20"/>
                <w:szCs w:val="20"/>
                <w:color w:val="auto"/>
              </w:rPr>
            </w:pPr>
            <w:r>
              <w:rPr>
                <w:rFonts w:ascii="Arial" w:cs="Arial" w:eastAsia="Arial" w:hAnsi="Arial"/>
                <w:sz w:val="18"/>
                <w:szCs w:val="18"/>
                <w:color w:val="auto"/>
              </w:rPr>
              <w:t>19,552</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Missiles and Fire Control</w:t>
            </w:r>
          </w:p>
        </w:tc>
        <w:tc>
          <w:tcPr>
            <w:tcW w:w="54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510"/>
              <w:spacing w:after="0"/>
              <w:rPr>
                <w:sz w:val="20"/>
                <w:szCs w:val="20"/>
                <w:color w:val="auto"/>
              </w:rPr>
            </w:pPr>
            <w:r>
              <w:rPr>
                <w:rFonts w:ascii="Arial" w:cs="Arial" w:eastAsia="Arial" w:hAnsi="Arial"/>
                <w:sz w:val="18"/>
                <w:szCs w:val="18"/>
                <w:b w:val="1"/>
                <w:bCs w:val="1"/>
                <w:color w:val="auto"/>
              </w:rPr>
              <w:t>2,781</w:t>
            </w:r>
          </w:p>
        </w:tc>
        <w:tc>
          <w:tcPr>
            <w:tcW w:w="42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2,971</w:t>
            </w:r>
          </w:p>
        </w:tc>
        <w:tc>
          <w:tcPr>
            <w:tcW w:w="44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510"/>
              <w:spacing w:after="0"/>
              <w:rPr>
                <w:sz w:val="20"/>
                <w:szCs w:val="20"/>
                <w:color w:val="auto"/>
              </w:rPr>
            </w:pPr>
            <w:r>
              <w:rPr>
                <w:rFonts w:ascii="Arial" w:cs="Arial" w:eastAsia="Arial" w:hAnsi="Arial"/>
                <w:sz w:val="18"/>
                <w:szCs w:val="18"/>
                <w:b w:val="1"/>
                <w:bCs w:val="1"/>
                <w:color w:val="auto"/>
              </w:rPr>
              <w:t>8,474</w:t>
            </w: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8,391</w:t>
            </w:r>
          </w:p>
        </w:tc>
        <w:tc>
          <w:tcPr>
            <w:tcW w:w="0" w:type="dxa"/>
            <w:vAlign w:val="bottom"/>
          </w:tcPr>
          <w:p>
            <w:pPr>
              <w:spacing w:after="0"/>
              <w:rPr>
                <w:sz w:val="1"/>
                <w:szCs w:val="1"/>
                <w:color w:val="auto"/>
              </w:rPr>
            </w:pPr>
          </w:p>
        </w:tc>
      </w:tr>
      <w:tr>
        <w:trPr>
          <w:trHeight w:val="230"/>
        </w:trPr>
        <w:tc>
          <w:tcPr>
            <w:tcW w:w="3360" w:type="dxa"/>
            <w:vAlign w:val="bottom"/>
          </w:tcPr>
          <w:p>
            <w:pPr>
              <w:ind w:left="560"/>
              <w:spacing w:after="0"/>
              <w:rPr>
                <w:sz w:val="20"/>
                <w:szCs w:val="20"/>
                <w:color w:val="auto"/>
              </w:rPr>
            </w:pPr>
            <w:r>
              <w:rPr>
                <w:rFonts w:ascii="Arial" w:cs="Arial" w:eastAsia="Arial" w:hAnsi="Arial"/>
                <w:sz w:val="18"/>
                <w:szCs w:val="18"/>
                <w:color w:val="auto"/>
              </w:rPr>
              <w:t>Rotary and Mission Systems</w:t>
            </w:r>
          </w:p>
        </w:tc>
        <w:tc>
          <w:tcPr>
            <w:tcW w:w="540" w:type="dxa"/>
            <w:vAlign w:val="bottom"/>
          </w:tcPr>
          <w:p>
            <w:pPr>
              <w:spacing w:after="0"/>
              <w:rPr>
                <w:sz w:val="19"/>
                <w:szCs w:val="19"/>
                <w:color w:val="auto"/>
              </w:rPr>
            </w:pPr>
          </w:p>
        </w:tc>
        <w:tc>
          <w:tcPr>
            <w:tcW w:w="1560" w:type="dxa"/>
            <w:vAlign w:val="bottom"/>
          </w:tcPr>
          <w:p>
            <w:pPr>
              <w:jc w:val="right"/>
              <w:ind w:right="510"/>
              <w:spacing w:after="0"/>
              <w:rPr>
                <w:sz w:val="20"/>
                <w:szCs w:val="20"/>
                <w:color w:val="auto"/>
              </w:rPr>
            </w:pPr>
            <w:r>
              <w:rPr>
                <w:rFonts w:ascii="Arial" w:cs="Arial" w:eastAsia="Arial" w:hAnsi="Arial"/>
                <w:sz w:val="18"/>
                <w:szCs w:val="18"/>
                <w:b w:val="1"/>
                <w:bCs w:val="1"/>
                <w:color w:val="auto"/>
              </w:rPr>
              <w:t>3,980</w:t>
            </w:r>
          </w:p>
        </w:tc>
        <w:tc>
          <w:tcPr>
            <w:tcW w:w="420" w:type="dxa"/>
            <w:vAlign w:val="bottom"/>
          </w:tcPr>
          <w:p>
            <w:pPr>
              <w:spacing w:after="0"/>
              <w:rPr>
                <w:sz w:val="19"/>
                <w:szCs w:val="19"/>
                <w:color w:val="auto"/>
              </w:rPr>
            </w:pPr>
          </w:p>
        </w:tc>
        <w:tc>
          <w:tcPr>
            <w:tcW w:w="1560" w:type="dxa"/>
            <w:vAlign w:val="bottom"/>
          </w:tcPr>
          <w:p>
            <w:pPr>
              <w:jc w:val="right"/>
              <w:ind w:right="510"/>
              <w:spacing w:after="0"/>
              <w:rPr>
                <w:sz w:val="20"/>
                <w:szCs w:val="20"/>
                <w:color w:val="auto"/>
              </w:rPr>
            </w:pPr>
            <w:r>
              <w:rPr>
                <w:rFonts w:ascii="Arial" w:cs="Arial" w:eastAsia="Arial" w:hAnsi="Arial"/>
                <w:sz w:val="18"/>
                <w:szCs w:val="18"/>
                <w:color w:val="auto"/>
              </w:rPr>
              <w:t>3,998</w:t>
            </w:r>
          </w:p>
        </w:tc>
        <w:tc>
          <w:tcPr>
            <w:tcW w:w="440" w:type="dxa"/>
            <w:vAlign w:val="bottom"/>
          </w:tcPr>
          <w:p>
            <w:pPr>
              <w:spacing w:after="0"/>
              <w:rPr>
                <w:sz w:val="19"/>
                <w:szCs w:val="19"/>
                <w:color w:val="auto"/>
              </w:rPr>
            </w:pPr>
          </w:p>
        </w:tc>
        <w:tc>
          <w:tcPr>
            <w:tcW w:w="1560" w:type="dxa"/>
            <w:vAlign w:val="bottom"/>
          </w:tcPr>
          <w:p>
            <w:pPr>
              <w:jc w:val="right"/>
              <w:ind w:right="510"/>
              <w:spacing w:after="0"/>
              <w:rPr>
                <w:sz w:val="20"/>
                <w:szCs w:val="20"/>
                <w:color w:val="auto"/>
              </w:rPr>
            </w:pPr>
            <w:r>
              <w:rPr>
                <w:rFonts w:ascii="Arial" w:cs="Arial" w:eastAsia="Arial" w:hAnsi="Arial"/>
                <w:sz w:val="18"/>
                <w:szCs w:val="18"/>
                <w:b w:val="1"/>
                <w:bCs w:val="1"/>
                <w:color w:val="auto"/>
              </w:rPr>
              <w:t>12,329</w:t>
            </w:r>
          </w:p>
        </w:tc>
        <w:tc>
          <w:tcPr>
            <w:tcW w:w="440" w:type="dxa"/>
            <w:vAlign w:val="bottom"/>
          </w:tcPr>
          <w:p>
            <w:pPr>
              <w:spacing w:after="0"/>
              <w:rPr>
                <w:sz w:val="19"/>
                <w:szCs w:val="19"/>
                <w:color w:val="auto"/>
              </w:rPr>
            </w:pPr>
          </w:p>
        </w:tc>
        <w:tc>
          <w:tcPr>
            <w:tcW w:w="1360" w:type="dxa"/>
            <w:vAlign w:val="bottom"/>
          </w:tcPr>
          <w:p>
            <w:pPr>
              <w:jc w:val="right"/>
              <w:ind w:right="310"/>
              <w:spacing w:after="0"/>
              <w:rPr>
                <w:sz w:val="20"/>
                <w:szCs w:val="20"/>
                <w:color w:val="auto"/>
              </w:rPr>
            </w:pPr>
            <w:r>
              <w:rPr>
                <w:rFonts w:ascii="Arial" w:cs="Arial" w:eastAsia="Arial" w:hAnsi="Arial"/>
                <w:sz w:val="18"/>
                <w:szCs w:val="18"/>
                <w:color w:val="auto"/>
              </w:rPr>
              <w:t>11,783</w:t>
            </w:r>
          </w:p>
        </w:tc>
        <w:tc>
          <w:tcPr>
            <w:tcW w:w="0" w:type="dxa"/>
            <w:vAlign w:val="bottom"/>
          </w:tcPr>
          <w:p>
            <w:pPr>
              <w:spacing w:after="0"/>
              <w:rPr>
                <w:sz w:val="1"/>
                <w:szCs w:val="1"/>
                <w:color w:val="auto"/>
              </w:rPr>
            </w:pPr>
          </w:p>
        </w:tc>
      </w:tr>
      <w:tr>
        <w:trPr>
          <w:trHeight w:val="230"/>
        </w:trPr>
        <w:tc>
          <w:tcPr>
            <w:tcW w:w="336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Space</w:t>
            </w:r>
          </w:p>
        </w:tc>
        <w:tc>
          <w:tcPr>
            <w:tcW w:w="5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b w:val="1"/>
                <w:bCs w:val="1"/>
                <w:color w:val="auto"/>
              </w:rPr>
              <w:t>2,699</w:t>
            </w:r>
          </w:p>
        </w:tc>
        <w:tc>
          <w:tcPr>
            <w:tcW w:w="4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2,846</w:t>
            </w:r>
          </w:p>
        </w:tc>
        <w:tc>
          <w:tcPr>
            <w:tcW w:w="4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b w:val="1"/>
                <w:bCs w:val="1"/>
                <w:color w:val="auto"/>
              </w:rPr>
              <w:t>8,891</w:t>
            </w:r>
          </w:p>
        </w:tc>
        <w:tc>
          <w:tcPr>
            <w:tcW w:w="4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8,640</w:t>
            </w:r>
          </w:p>
        </w:tc>
        <w:tc>
          <w:tcPr>
            <w:tcW w:w="0" w:type="dxa"/>
            <w:vAlign w:val="bottom"/>
          </w:tcPr>
          <w:p>
            <w:pPr>
              <w:spacing w:after="0"/>
              <w:rPr>
                <w:sz w:val="1"/>
                <w:szCs w:val="1"/>
                <w:color w:val="auto"/>
              </w:rPr>
            </w:pPr>
          </w:p>
        </w:tc>
      </w:tr>
      <w:tr>
        <w:trPr>
          <w:trHeight w:val="223"/>
        </w:trPr>
        <w:tc>
          <w:tcPr>
            <w:tcW w:w="336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rPr>
              <w:t>Total net sales</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5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16,028</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16,495</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5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49,315</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48,366</w:t>
            </w:r>
          </w:p>
        </w:tc>
        <w:tc>
          <w:tcPr>
            <w:tcW w:w="0" w:type="dxa"/>
            <w:vAlign w:val="bottom"/>
          </w:tcPr>
          <w:p>
            <w:pPr>
              <w:spacing w:after="0"/>
              <w:rPr>
                <w:sz w:val="1"/>
                <w:szCs w:val="1"/>
                <w:color w:val="auto"/>
              </w:rPr>
            </w:pPr>
          </w:p>
        </w:tc>
      </w:tr>
      <w:tr>
        <w:trPr>
          <w:trHeight w:val="223"/>
        </w:trPr>
        <w:tc>
          <w:tcPr>
            <w:tcW w:w="336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Operating profit</w:t>
            </w:r>
          </w:p>
        </w:tc>
        <w:tc>
          <w:tcPr>
            <w:tcW w:w="5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560"/>
              <w:spacing w:after="0"/>
              <w:rPr>
                <w:sz w:val="20"/>
                <w:szCs w:val="20"/>
                <w:color w:val="auto"/>
              </w:rPr>
            </w:pPr>
            <w:r>
              <w:rPr>
                <w:rFonts w:ascii="Arial" w:cs="Arial" w:eastAsia="Arial" w:hAnsi="Arial"/>
                <w:sz w:val="18"/>
                <w:szCs w:val="18"/>
                <w:color w:val="auto"/>
              </w:rPr>
              <w:t>Aeronautics</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560" w:type="dxa"/>
            <w:vAlign w:val="bottom"/>
          </w:tcPr>
          <w:p>
            <w:pPr>
              <w:jc w:val="right"/>
              <w:ind w:right="510"/>
              <w:spacing w:after="0"/>
              <w:rPr>
                <w:sz w:val="20"/>
                <w:szCs w:val="20"/>
                <w:color w:val="auto"/>
              </w:rPr>
            </w:pPr>
            <w:r>
              <w:rPr>
                <w:rFonts w:ascii="Arial" w:cs="Arial" w:eastAsia="Arial" w:hAnsi="Arial"/>
                <w:sz w:val="18"/>
                <w:szCs w:val="18"/>
                <w:b w:val="1"/>
                <w:bCs w:val="1"/>
                <w:color w:val="auto"/>
              </w:rPr>
              <w:t>714</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510"/>
              <w:spacing w:after="0"/>
              <w:rPr>
                <w:sz w:val="20"/>
                <w:szCs w:val="20"/>
                <w:color w:val="auto"/>
              </w:rPr>
            </w:pPr>
            <w:r>
              <w:rPr>
                <w:rFonts w:ascii="Arial" w:cs="Arial" w:eastAsia="Arial" w:hAnsi="Arial"/>
                <w:sz w:val="18"/>
                <w:szCs w:val="18"/>
                <w:color w:val="auto"/>
              </w:rPr>
              <w:t>705</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560" w:type="dxa"/>
            <w:vAlign w:val="bottom"/>
          </w:tcPr>
          <w:p>
            <w:pPr>
              <w:jc w:val="right"/>
              <w:ind w:right="510"/>
              <w:spacing w:after="0"/>
              <w:rPr>
                <w:sz w:val="20"/>
                <w:szCs w:val="20"/>
                <w:color w:val="auto"/>
              </w:rPr>
            </w:pPr>
            <w:r>
              <w:rPr>
                <w:rFonts w:ascii="Arial" w:cs="Arial" w:eastAsia="Arial" w:hAnsi="Arial"/>
                <w:sz w:val="18"/>
                <w:szCs w:val="18"/>
                <w:b w:val="1"/>
                <w:bCs w:val="1"/>
                <w:color w:val="auto"/>
              </w:rPr>
              <w:t>1,979</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10"/>
              <w:spacing w:after="0"/>
              <w:rPr>
                <w:sz w:val="20"/>
                <w:szCs w:val="20"/>
                <w:color w:val="auto"/>
              </w:rPr>
            </w:pPr>
            <w:r>
              <w:rPr>
                <w:rFonts w:ascii="Arial" w:cs="Arial" w:eastAsia="Arial" w:hAnsi="Arial"/>
                <w:sz w:val="18"/>
                <w:szCs w:val="18"/>
                <w:color w:val="auto"/>
              </w:rPr>
              <w:t>2,116</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Missiles and Fire Control</w:t>
            </w:r>
          </w:p>
        </w:tc>
        <w:tc>
          <w:tcPr>
            <w:tcW w:w="54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510"/>
              <w:spacing w:after="0"/>
              <w:rPr>
                <w:sz w:val="20"/>
                <w:szCs w:val="20"/>
                <w:color w:val="auto"/>
              </w:rPr>
            </w:pPr>
            <w:r>
              <w:rPr>
                <w:rFonts w:ascii="Arial" w:cs="Arial" w:eastAsia="Arial" w:hAnsi="Arial"/>
                <w:sz w:val="18"/>
                <w:szCs w:val="18"/>
                <w:b w:val="1"/>
                <w:bCs w:val="1"/>
                <w:color w:val="auto"/>
              </w:rPr>
              <w:t>413</w:t>
            </w:r>
          </w:p>
        </w:tc>
        <w:tc>
          <w:tcPr>
            <w:tcW w:w="42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405</w:t>
            </w:r>
          </w:p>
        </w:tc>
        <w:tc>
          <w:tcPr>
            <w:tcW w:w="44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510"/>
              <w:spacing w:after="0"/>
              <w:rPr>
                <w:sz w:val="20"/>
                <w:szCs w:val="20"/>
                <w:color w:val="auto"/>
              </w:rPr>
            </w:pPr>
            <w:r>
              <w:rPr>
                <w:rFonts w:ascii="Arial" w:cs="Arial" w:eastAsia="Arial" w:hAnsi="Arial"/>
                <w:sz w:val="18"/>
                <w:szCs w:val="18"/>
                <w:b w:val="1"/>
                <w:bCs w:val="1"/>
                <w:color w:val="auto"/>
              </w:rPr>
              <w:t>1,210</w:t>
            </w: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1,171</w:t>
            </w:r>
          </w:p>
        </w:tc>
        <w:tc>
          <w:tcPr>
            <w:tcW w:w="0" w:type="dxa"/>
            <w:vAlign w:val="bottom"/>
          </w:tcPr>
          <w:p>
            <w:pPr>
              <w:spacing w:after="0"/>
              <w:rPr>
                <w:sz w:val="1"/>
                <w:szCs w:val="1"/>
                <w:color w:val="auto"/>
              </w:rPr>
            </w:pPr>
          </w:p>
        </w:tc>
      </w:tr>
      <w:tr>
        <w:trPr>
          <w:trHeight w:val="229"/>
        </w:trPr>
        <w:tc>
          <w:tcPr>
            <w:tcW w:w="3360" w:type="dxa"/>
            <w:vAlign w:val="bottom"/>
          </w:tcPr>
          <w:p>
            <w:pPr>
              <w:ind w:left="560"/>
              <w:spacing w:after="0"/>
              <w:rPr>
                <w:sz w:val="20"/>
                <w:szCs w:val="20"/>
                <w:color w:val="auto"/>
              </w:rPr>
            </w:pPr>
            <w:r>
              <w:rPr>
                <w:rFonts w:ascii="Arial" w:cs="Arial" w:eastAsia="Arial" w:hAnsi="Arial"/>
                <w:sz w:val="18"/>
                <w:szCs w:val="18"/>
                <w:color w:val="auto"/>
              </w:rPr>
              <w:t>Rotary and Mission Systems</w:t>
            </w:r>
          </w:p>
        </w:tc>
        <w:tc>
          <w:tcPr>
            <w:tcW w:w="540" w:type="dxa"/>
            <w:vAlign w:val="bottom"/>
          </w:tcPr>
          <w:p>
            <w:pPr>
              <w:spacing w:after="0"/>
              <w:rPr>
                <w:sz w:val="19"/>
                <w:szCs w:val="19"/>
                <w:color w:val="auto"/>
              </w:rPr>
            </w:pPr>
          </w:p>
        </w:tc>
        <w:tc>
          <w:tcPr>
            <w:tcW w:w="1560" w:type="dxa"/>
            <w:vAlign w:val="bottom"/>
          </w:tcPr>
          <w:p>
            <w:pPr>
              <w:jc w:val="right"/>
              <w:ind w:right="510"/>
              <w:spacing w:after="0"/>
              <w:rPr>
                <w:sz w:val="20"/>
                <w:szCs w:val="20"/>
                <w:color w:val="auto"/>
              </w:rPr>
            </w:pPr>
            <w:r>
              <w:rPr>
                <w:rFonts w:ascii="Arial" w:cs="Arial" w:eastAsia="Arial" w:hAnsi="Arial"/>
                <w:sz w:val="18"/>
                <w:szCs w:val="18"/>
                <w:b w:val="1"/>
                <w:bCs w:val="1"/>
                <w:color w:val="auto"/>
              </w:rPr>
              <w:t>459</w:t>
            </w:r>
          </w:p>
        </w:tc>
        <w:tc>
          <w:tcPr>
            <w:tcW w:w="420" w:type="dxa"/>
            <w:vAlign w:val="bottom"/>
          </w:tcPr>
          <w:p>
            <w:pPr>
              <w:spacing w:after="0"/>
              <w:rPr>
                <w:sz w:val="19"/>
                <w:szCs w:val="19"/>
                <w:color w:val="auto"/>
              </w:rPr>
            </w:pPr>
          </w:p>
        </w:tc>
        <w:tc>
          <w:tcPr>
            <w:tcW w:w="1560" w:type="dxa"/>
            <w:vAlign w:val="bottom"/>
          </w:tcPr>
          <w:p>
            <w:pPr>
              <w:jc w:val="right"/>
              <w:ind w:right="510"/>
              <w:spacing w:after="0"/>
              <w:rPr>
                <w:sz w:val="20"/>
                <w:szCs w:val="20"/>
                <w:color w:val="auto"/>
              </w:rPr>
            </w:pPr>
            <w:r>
              <w:rPr>
                <w:rFonts w:ascii="Arial" w:cs="Arial" w:eastAsia="Arial" w:hAnsi="Arial"/>
                <w:sz w:val="18"/>
                <w:szCs w:val="18"/>
                <w:color w:val="auto"/>
              </w:rPr>
              <w:t>404</w:t>
            </w:r>
          </w:p>
        </w:tc>
        <w:tc>
          <w:tcPr>
            <w:tcW w:w="440" w:type="dxa"/>
            <w:vAlign w:val="bottom"/>
          </w:tcPr>
          <w:p>
            <w:pPr>
              <w:spacing w:after="0"/>
              <w:rPr>
                <w:sz w:val="19"/>
                <w:szCs w:val="19"/>
                <w:color w:val="auto"/>
              </w:rPr>
            </w:pPr>
          </w:p>
        </w:tc>
        <w:tc>
          <w:tcPr>
            <w:tcW w:w="1560" w:type="dxa"/>
            <w:vAlign w:val="bottom"/>
          </w:tcPr>
          <w:p>
            <w:pPr>
              <w:jc w:val="right"/>
              <w:ind w:right="510"/>
              <w:spacing w:after="0"/>
              <w:rPr>
                <w:sz w:val="20"/>
                <w:szCs w:val="20"/>
                <w:color w:val="auto"/>
              </w:rPr>
            </w:pPr>
            <w:r>
              <w:rPr>
                <w:rFonts w:ascii="Arial" w:cs="Arial" w:eastAsia="Arial" w:hAnsi="Arial"/>
                <w:sz w:val="18"/>
                <w:szCs w:val="18"/>
                <w:b w:val="1"/>
                <w:bCs w:val="1"/>
                <w:color w:val="auto"/>
              </w:rPr>
              <w:t>1,350</w:t>
            </w:r>
          </w:p>
        </w:tc>
        <w:tc>
          <w:tcPr>
            <w:tcW w:w="440" w:type="dxa"/>
            <w:vAlign w:val="bottom"/>
          </w:tcPr>
          <w:p>
            <w:pPr>
              <w:spacing w:after="0"/>
              <w:rPr>
                <w:sz w:val="19"/>
                <w:szCs w:val="19"/>
                <w:color w:val="auto"/>
              </w:rPr>
            </w:pPr>
          </w:p>
        </w:tc>
        <w:tc>
          <w:tcPr>
            <w:tcW w:w="1360" w:type="dxa"/>
            <w:vAlign w:val="bottom"/>
          </w:tcPr>
          <w:p>
            <w:pPr>
              <w:jc w:val="right"/>
              <w:ind w:right="310"/>
              <w:spacing w:after="0"/>
              <w:rPr>
                <w:sz w:val="20"/>
                <w:szCs w:val="20"/>
                <w:color w:val="auto"/>
              </w:rPr>
            </w:pPr>
            <w:r>
              <w:rPr>
                <w:rFonts w:ascii="Arial" w:cs="Arial" w:eastAsia="Arial" w:hAnsi="Arial"/>
                <w:sz w:val="18"/>
                <w:szCs w:val="18"/>
                <w:color w:val="auto"/>
              </w:rPr>
              <w:t>1,209</w:t>
            </w:r>
          </w:p>
        </w:tc>
        <w:tc>
          <w:tcPr>
            <w:tcW w:w="0" w:type="dxa"/>
            <w:vAlign w:val="bottom"/>
          </w:tcPr>
          <w:p>
            <w:pPr>
              <w:spacing w:after="0"/>
              <w:rPr>
                <w:sz w:val="1"/>
                <w:szCs w:val="1"/>
                <w:color w:val="auto"/>
              </w:rPr>
            </w:pPr>
          </w:p>
        </w:tc>
      </w:tr>
      <w:tr>
        <w:trPr>
          <w:trHeight w:val="230"/>
        </w:trPr>
        <w:tc>
          <w:tcPr>
            <w:tcW w:w="336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Space</w:t>
            </w:r>
          </w:p>
        </w:tc>
        <w:tc>
          <w:tcPr>
            <w:tcW w:w="5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b w:val="1"/>
                <w:bCs w:val="1"/>
                <w:color w:val="auto"/>
              </w:rPr>
              <w:t>264</w:t>
            </w:r>
          </w:p>
        </w:tc>
        <w:tc>
          <w:tcPr>
            <w:tcW w:w="4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248</w:t>
            </w:r>
          </w:p>
        </w:tc>
        <w:tc>
          <w:tcPr>
            <w:tcW w:w="4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b w:val="1"/>
                <w:bCs w:val="1"/>
                <w:color w:val="auto"/>
              </w:rPr>
              <w:t>826</w:t>
            </w:r>
          </w:p>
        </w:tc>
        <w:tc>
          <w:tcPr>
            <w:tcW w:w="4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182"/>
        </w:trPr>
        <w:tc>
          <w:tcPr>
            <w:tcW w:w="3360" w:type="dxa"/>
            <w:vAlign w:val="bottom"/>
          </w:tcPr>
          <w:p>
            <w:pPr>
              <w:ind w:left="760"/>
              <w:spacing w:after="0" w:line="182" w:lineRule="exact"/>
              <w:rPr>
                <w:sz w:val="20"/>
                <w:szCs w:val="20"/>
                <w:color w:val="auto"/>
              </w:rPr>
            </w:pPr>
            <w:r>
              <w:rPr>
                <w:rFonts w:ascii="Arial" w:cs="Arial" w:eastAsia="Arial" w:hAnsi="Arial"/>
                <w:sz w:val="18"/>
                <w:szCs w:val="18"/>
                <w:color w:val="auto"/>
              </w:rPr>
              <w:t>Total business segment</w:t>
            </w:r>
          </w:p>
        </w:tc>
        <w:tc>
          <w:tcPr>
            <w:tcW w:w="540" w:type="dxa"/>
            <w:vAlign w:val="bottom"/>
          </w:tcPr>
          <w:p>
            <w:pPr>
              <w:spacing w:after="0"/>
              <w:rPr>
                <w:sz w:val="15"/>
                <w:szCs w:val="15"/>
                <w:color w:val="auto"/>
              </w:rPr>
            </w:pPr>
          </w:p>
        </w:tc>
        <w:tc>
          <w:tcPr>
            <w:tcW w:w="1560" w:type="dxa"/>
            <w:vAlign w:val="bottom"/>
            <w:vMerge w:val="restart"/>
          </w:tcPr>
          <w:p>
            <w:pPr>
              <w:jc w:val="right"/>
              <w:ind w:right="510"/>
              <w:spacing w:after="0"/>
              <w:rPr>
                <w:sz w:val="20"/>
                <w:szCs w:val="20"/>
                <w:color w:val="auto"/>
              </w:rPr>
            </w:pPr>
            <w:r>
              <w:rPr>
                <w:rFonts w:ascii="Arial" w:cs="Arial" w:eastAsia="Arial" w:hAnsi="Arial"/>
                <w:sz w:val="18"/>
                <w:szCs w:val="18"/>
                <w:b w:val="1"/>
                <w:bCs w:val="1"/>
                <w:color w:val="auto"/>
              </w:rPr>
              <w:t>1,850</w:t>
            </w:r>
          </w:p>
        </w:tc>
        <w:tc>
          <w:tcPr>
            <w:tcW w:w="4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560" w:type="dxa"/>
            <w:vAlign w:val="bottom"/>
            <w:vMerge w:val="restart"/>
          </w:tcPr>
          <w:p>
            <w:pPr>
              <w:jc w:val="right"/>
              <w:ind w:right="510"/>
              <w:spacing w:after="0"/>
              <w:rPr>
                <w:sz w:val="20"/>
                <w:szCs w:val="20"/>
                <w:color w:val="auto"/>
              </w:rPr>
            </w:pPr>
            <w:r>
              <w:rPr>
                <w:rFonts w:ascii="Arial" w:cs="Arial" w:eastAsia="Arial" w:hAnsi="Arial"/>
                <w:sz w:val="18"/>
                <w:szCs w:val="18"/>
                <w:b w:val="1"/>
                <w:bCs w:val="1"/>
                <w:color w:val="auto"/>
              </w:rPr>
              <w:t>5,365</w:t>
            </w:r>
          </w:p>
        </w:tc>
        <w:tc>
          <w:tcPr>
            <w:tcW w:w="4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3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operating profit</w:t>
            </w:r>
          </w:p>
        </w:tc>
        <w:tc>
          <w:tcPr>
            <w:tcW w:w="5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vMerge w:val="continue"/>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1,762</w:t>
            </w:r>
          </w:p>
        </w:tc>
        <w:tc>
          <w:tcPr>
            <w:tcW w:w="4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vMerge w:val="continue"/>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5,277</w:t>
            </w:r>
          </w:p>
        </w:tc>
        <w:tc>
          <w:tcPr>
            <w:tcW w:w="0" w:type="dxa"/>
            <w:vAlign w:val="bottom"/>
          </w:tcPr>
          <w:p>
            <w:pPr>
              <w:spacing w:after="0"/>
              <w:rPr>
                <w:sz w:val="1"/>
                <w:szCs w:val="1"/>
                <w:color w:val="auto"/>
              </w:rPr>
            </w:pPr>
          </w:p>
        </w:tc>
      </w:tr>
      <w:tr>
        <w:trPr>
          <w:trHeight w:val="223"/>
        </w:trPr>
        <w:tc>
          <w:tcPr>
            <w:tcW w:w="33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Unallocated items</w:t>
            </w:r>
          </w:p>
        </w:tc>
        <w:tc>
          <w:tcPr>
            <w:tcW w:w="5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3360" w:type="dxa"/>
            <w:vAlign w:val="bottom"/>
          </w:tcPr>
          <w:p>
            <w:pPr>
              <w:ind w:left="760"/>
              <w:spacing w:after="0" w:line="189" w:lineRule="exact"/>
              <w:rPr>
                <w:sz w:val="20"/>
                <w:szCs w:val="20"/>
                <w:color w:val="auto"/>
              </w:rPr>
            </w:pPr>
            <w:r>
              <w:rPr>
                <w:rFonts w:ascii="Arial" w:cs="Arial" w:eastAsia="Arial" w:hAnsi="Arial"/>
                <w:sz w:val="18"/>
                <w:szCs w:val="18"/>
                <w:color w:val="auto"/>
              </w:rPr>
              <w:t>FAS/CAS operating</w:t>
            </w:r>
          </w:p>
        </w:tc>
        <w:tc>
          <w:tcPr>
            <w:tcW w:w="540" w:type="dxa"/>
            <w:vAlign w:val="bottom"/>
          </w:tcPr>
          <w:p>
            <w:pPr>
              <w:spacing w:after="0"/>
              <w:rPr>
                <w:sz w:val="16"/>
                <w:szCs w:val="16"/>
                <w:color w:val="auto"/>
              </w:rPr>
            </w:pPr>
          </w:p>
        </w:tc>
        <w:tc>
          <w:tcPr>
            <w:tcW w:w="1560" w:type="dxa"/>
            <w:vAlign w:val="bottom"/>
            <w:vMerge w:val="restart"/>
          </w:tcPr>
          <w:p>
            <w:pPr>
              <w:jc w:val="right"/>
              <w:ind w:right="510"/>
              <w:spacing w:after="0"/>
              <w:rPr>
                <w:sz w:val="20"/>
                <w:szCs w:val="20"/>
                <w:color w:val="auto"/>
              </w:rPr>
            </w:pPr>
            <w:r>
              <w:rPr>
                <w:rFonts w:ascii="Arial" w:cs="Arial" w:eastAsia="Arial" w:hAnsi="Arial"/>
                <w:sz w:val="18"/>
                <w:szCs w:val="18"/>
                <w:b w:val="1"/>
                <w:bCs w:val="1"/>
                <w:color w:val="auto"/>
              </w:rPr>
              <w:t>491</w:t>
            </w:r>
          </w:p>
        </w:tc>
        <w:tc>
          <w:tcPr>
            <w:tcW w:w="4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60" w:type="dxa"/>
            <w:vAlign w:val="bottom"/>
            <w:vMerge w:val="restart"/>
          </w:tcPr>
          <w:p>
            <w:pPr>
              <w:jc w:val="right"/>
              <w:ind w:right="510"/>
              <w:spacing w:after="0"/>
              <w:rPr>
                <w:sz w:val="20"/>
                <w:szCs w:val="20"/>
                <w:color w:val="auto"/>
              </w:rPr>
            </w:pPr>
            <w:r>
              <w:rPr>
                <w:rFonts w:ascii="Arial" w:cs="Arial" w:eastAsia="Arial" w:hAnsi="Arial"/>
                <w:sz w:val="18"/>
                <w:szCs w:val="18"/>
                <w:b w:val="1"/>
                <w:bCs w:val="1"/>
                <w:color w:val="auto"/>
              </w:rPr>
              <w:t>1,469</w:t>
            </w:r>
          </w:p>
        </w:tc>
        <w:tc>
          <w:tcPr>
            <w:tcW w:w="4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360" w:type="dxa"/>
            <w:vAlign w:val="bottom"/>
          </w:tcPr>
          <w:p>
            <w:pPr>
              <w:ind w:left="360"/>
              <w:spacing w:after="0"/>
              <w:rPr>
                <w:sz w:val="20"/>
                <w:szCs w:val="20"/>
                <w:color w:val="auto"/>
              </w:rPr>
            </w:pPr>
            <w:r>
              <w:rPr>
                <w:rFonts w:ascii="Arial" w:cs="Arial" w:eastAsia="Arial" w:hAnsi="Arial"/>
                <w:sz w:val="18"/>
                <w:szCs w:val="18"/>
                <w:color w:val="auto"/>
              </w:rPr>
              <w:t>adjustment</w:t>
            </w:r>
          </w:p>
        </w:tc>
        <w:tc>
          <w:tcPr>
            <w:tcW w:w="540" w:type="dxa"/>
            <w:vAlign w:val="bottom"/>
          </w:tcPr>
          <w:p>
            <w:pPr>
              <w:spacing w:after="0"/>
              <w:rPr>
                <w:sz w:val="18"/>
                <w:szCs w:val="18"/>
                <w:color w:val="auto"/>
              </w:rPr>
            </w:pPr>
          </w:p>
        </w:tc>
        <w:tc>
          <w:tcPr>
            <w:tcW w:w="156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1560" w:type="dxa"/>
            <w:vAlign w:val="bottom"/>
          </w:tcPr>
          <w:p>
            <w:pPr>
              <w:jc w:val="right"/>
              <w:ind w:right="510"/>
              <w:spacing w:after="0"/>
              <w:rPr>
                <w:sz w:val="20"/>
                <w:szCs w:val="20"/>
                <w:color w:val="auto"/>
              </w:rPr>
            </w:pPr>
            <w:r>
              <w:rPr>
                <w:rFonts w:ascii="Arial" w:cs="Arial" w:eastAsia="Arial" w:hAnsi="Arial"/>
                <w:sz w:val="18"/>
                <w:szCs w:val="18"/>
                <w:color w:val="auto"/>
              </w:rPr>
              <w:t>469</w:t>
            </w:r>
          </w:p>
        </w:tc>
        <w:tc>
          <w:tcPr>
            <w:tcW w:w="440" w:type="dxa"/>
            <w:vAlign w:val="bottom"/>
          </w:tcPr>
          <w:p>
            <w:pPr>
              <w:spacing w:after="0"/>
              <w:rPr>
                <w:sz w:val="18"/>
                <w:szCs w:val="18"/>
                <w:color w:val="auto"/>
              </w:rPr>
            </w:pPr>
          </w:p>
        </w:tc>
        <w:tc>
          <w:tcPr>
            <w:tcW w:w="156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jc w:val="right"/>
              <w:ind w:right="310"/>
              <w:spacing w:after="0"/>
              <w:rPr>
                <w:sz w:val="20"/>
                <w:szCs w:val="20"/>
                <w:color w:val="auto"/>
              </w:rPr>
            </w:pPr>
            <w:r>
              <w:rPr>
                <w:rFonts w:ascii="Arial" w:cs="Arial" w:eastAsia="Arial" w:hAnsi="Arial"/>
                <w:sz w:val="18"/>
                <w:szCs w:val="18"/>
                <w:color w:val="auto"/>
              </w:rPr>
              <w:t>1,407</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760"/>
              <w:spacing w:after="0"/>
              <w:rPr>
                <w:sz w:val="20"/>
                <w:szCs w:val="20"/>
                <w:color w:val="auto"/>
              </w:rPr>
            </w:pPr>
            <w:r>
              <w:rPr>
                <w:rFonts w:ascii="Arial" w:cs="Arial" w:eastAsia="Arial" w:hAnsi="Arial"/>
                <w:sz w:val="18"/>
                <w:szCs w:val="18"/>
                <w:color w:val="auto"/>
              </w:rPr>
              <w:t>Stock-based compensation</w:t>
            </w:r>
          </w:p>
        </w:tc>
        <w:tc>
          <w:tcPr>
            <w:tcW w:w="54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(62)</w:t>
            </w:r>
          </w:p>
        </w:tc>
        <w:tc>
          <w:tcPr>
            <w:tcW w:w="42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(67)</w:t>
            </w:r>
          </w:p>
        </w:tc>
        <w:tc>
          <w:tcPr>
            <w:tcW w:w="44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450"/>
              <w:spacing w:after="0"/>
              <w:rPr>
                <w:sz w:val="20"/>
                <w:szCs w:val="20"/>
                <w:color w:val="auto"/>
              </w:rPr>
            </w:pPr>
            <w:r>
              <w:rPr>
                <w:rFonts w:ascii="Arial" w:cs="Arial" w:eastAsia="Arial" w:hAnsi="Arial"/>
                <w:sz w:val="18"/>
                <w:szCs w:val="18"/>
                <w:b w:val="1"/>
                <w:bCs w:val="1"/>
                <w:color w:val="auto"/>
              </w:rPr>
              <w:t>(189)</w:t>
            </w: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188"/>
        </w:trPr>
        <w:tc>
          <w:tcPr>
            <w:tcW w:w="3360" w:type="dxa"/>
            <w:vAlign w:val="bottom"/>
          </w:tcPr>
          <w:p>
            <w:pPr>
              <w:ind w:left="760"/>
              <w:spacing w:after="0" w:line="189" w:lineRule="exact"/>
              <w:rPr>
                <w:sz w:val="20"/>
                <w:szCs w:val="20"/>
                <w:color w:val="auto"/>
              </w:rPr>
            </w:pPr>
            <w:r>
              <w:rPr>
                <w:rFonts w:ascii="Arial" w:cs="Arial" w:eastAsia="Arial" w:hAnsi="Arial"/>
                <w:sz w:val="18"/>
                <w:szCs w:val="18"/>
                <w:color w:val="auto"/>
              </w:rPr>
              <w:t>Severance and restructuring</w:t>
            </w:r>
          </w:p>
        </w:tc>
        <w:tc>
          <w:tcPr>
            <w:tcW w:w="540" w:type="dxa"/>
            <w:vAlign w:val="bottom"/>
          </w:tcPr>
          <w:p>
            <w:pPr>
              <w:spacing w:after="0"/>
              <w:rPr>
                <w:sz w:val="16"/>
                <w:szCs w:val="16"/>
                <w:color w:val="auto"/>
              </w:rPr>
            </w:pPr>
          </w:p>
        </w:tc>
        <w:tc>
          <w:tcPr>
            <w:tcW w:w="1560" w:type="dxa"/>
            <w:vAlign w:val="bottom"/>
            <w:vMerge w:val="restart"/>
          </w:tcPr>
          <w:p>
            <w:pPr>
              <w:jc w:val="right"/>
              <w:ind w:right="51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60" w:type="dxa"/>
            <w:vAlign w:val="bottom"/>
            <w:vMerge w:val="restart"/>
          </w:tcPr>
          <w:p>
            <w:pPr>
              <w:jc w:val="right"/>
              <w:ind w:right="450"/>
              <w:spacing w:after="0"/>
              <w:rPr>
                <w:sz w:val="20"/>
                <w:szCs w:val="20"/>
                <w:color w:val="auto"/>
              </w:rPr>
            </w:pPr>
            <w:r>
              <w:rPr>
                <w:rFonts w:ascii="Arial" w:cs="Arial" w:eastAsia="Arial" w:hAnsi="Arial"/>
                <w:sz w:val="18"/>
                <w:szCs w:val="18"/>
                <w:b w:val="1"/>
                <w:bCs w:val="1"/>
                <w:color w:val="auto"/>
              </w:rPr>
              <w:t>(36)</w:t>
            </w:r>
          </w:p>
        </w:tc>
        <w:tc>
          <w:tcPr>
            <w:tcW w:w="4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360" w:type="dxa"/>
            <w:vAlign w:val="bottom"/>
          </w:tcPr>
          <w:p>
            <w:pPr>
              <w:ind w:left="360"/>
              <w:spacing w:after="0"/>
              <w:rPr>
                <w:sz w:val="20"/>
                <w:szCs w:val="20"/>
                <w:color w:val="auto"/>
              </w:rPr>
            </w:pPr>
            <w:r>
              <w:rPr>
                <w:rFonts w:ascii="Arial" w:cs="Arial" w:eastAsia="Arial" w:hAnsi="Arial"/>
                <w:sz w:val="18"/>
                <w:szCs w:val="18"/>
                <w:color w:val="auto"/>
              </w:rPr>
              <w:t>charges</w:t>
            </w:r>
          </w:p>
        </w:tc>
        <w:tc>
          <w:tcPr>
            <w:tcW w:w="540" w:type="dxa"/>
            <w:vAlign w:val="bottom"/>
          </w:tcPr>
          <w:p>
            <w:pPr>
              <w:spacing w:after="0"/>
              <w:rPr>
                <w:sz w:val="18"/>
                <w:szCs w:val="18"/>
                <w:color w:val="auto"/>
              </w:rPr>
            </w:pPr>
          </w:p>
        </w:tc>
        <w:tc>
          <w:tcPr>
            <w:tcW w:w="156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156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56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36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Other, net</w:t>
            </w:r>
          </w:p>
        </w:tc>
        <w:tc>
          <w:tcPr>
            <w:tcW w:w="5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b w:val="1"/>
                <w:bCs w:val="1"/>
                <w:color w:val="auto"/>
              </w:rPr>
              <w:t>15</w:t>
            </w:r>
          </w:p>
        </w:tc>
        <w:tc>
          <w:tcPr>
            <w:tcW w:w="4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(17)</w:t>
            </w:r>
          </w:p>
        </w:tc>
        <w:tc>
          <w:tcPr>
            <w:tcW w:w="4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b w:val="1"/>
                <w:bCs w:val="1"/>
                <w:color w:val="auto"/>
              </w:rPr>
              <w:t>59</w:t>
            </w:r>
          </w:p>
        </w:tc>
        <w:tc>
          <w:tcPr>
            <w:tcW w:w="4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23"/>
        </w:trPr>
        <w:tc>
          <w:tcPr>
            <w:tcW w:w="336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rPr>
              <w:t>Total unallocated items</w:t>
            </w:r>
          </w:p>
        </w:tc>
        <w:tc>
          <w:tcPr>
            <w:tcW w:w="5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444</w:t>
            </w:r>
          </w:p>
        </w:tc>
        <w:tc>
          <w:tcPr>
            <w:tcW w:w="4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385</w:t>
            </w:r>
          </w:p>
        </w:tc>
        <w:tc>
          <w:tcPr>
            <w:tcW w:w="4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1,303</w:t>
            </w:r>
          </w:p>
        </w:tc>
        <w:tc>
          <w:tcPr>
            <w:tcW w:w="4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1,078</w:t>
            </w:r>
          </w:p>
        </w:tc>
        <w:tc>
          <w:tcPr>
            <w:tcW w:w="0" w:type="dxa"/>
            <w:vAlign w:val="bottom"/>
          </w:tcPr>
          <w:p>
            <w:pPr>
              <w:spacing w:after="0"/>
              <w:rPr>
                <w:sz w:val="1"/>
                <w:szCs w:val="1"/>
                <w:color w:val="auto"/>
              </w:rPr>
            </w:pPr>
          </w:p>
        </w:tc>
      </w:tr>
      <w:tr>
        <w:trPr>
          <w:trHeight w:val="182"/>
        </w:trPr>
        <w:tc>
          <w:tcPr>
            <w:tcW w:w="3360" w:type="dxa"/>
            <w:vAlign w:val="bottom"/>
            <w:shd w:val="clear" w:color="auto" w:fill="CCEEFF"/>
          </w:tcPr>
          <w:p>
            <w:pPr>
              <w:ind w:left="760"/>
              <w:spacing w:after="0" w:line="182" w:lineRule="exact"/>
              <w:rPr>
                <w:sz w:val="20"/>
                <w:szCs w:val="20"/>
                <w:color w:val="auto"/>
              </w:rPr>
            </w:pPr>
            <w:r>
              <w:rPr>
                <w:rFonts w:ascii="Arial" w:cs="Arial" w:eastAsia="Arial" w:hAnsi="Arial"/>
                <w:sz w:val="18"/>
                <w:szCs w:val="18"/>
                <w:color w:val="auto"/>
              </w:rPr>
              <w:t>Total consolidated operating</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560" w:type="dxa"/>
            <w:vAlign w:val="bottom"/>
            <w:vMerge w:val="restart"/>
            <w:shd w:val="clear" w:color="auto" w:fill="CCEEFF"/>
          </w:tcPr>
          <w:p>
            <w:pPr>
              <w:jc w:val="right"/>
              <w:ind w:right="510"/>
              <w:spacing w:after="0"/>
              <w:rPr>
                <w:sz w:val="20"/>
                <w:szCs w:val="20"/>
                <w:color w:val="auto"/>
              </w:rPr>
            </w:pPr>
            <w:r>
              <w:rPr>
                <w:rFonts w:ascii="Arial" w:cs="Arial" w:eastAsia="Arial" w:hAnsi="Arial"/>
                <w:sz w:val="18"/>
                <w:szCs w:val="18"/>
                <w:b w:val="1"/>
                <w:bCs w:val="1"/>
                <w:color w:val="auto"/>
              </w:rPr>
              <w:t>2,294</w:t>
            </w:r>
          </w:p>
        </w:tc>
        <w:tc>
          <w:tcPr>
            <w:tcW w:w="42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560" w:type="dxa"/>
            <w:vAlign w:val="bottom"/>
            <w:vMerge w:val="restart"/>
            <w:shd w:val="clear" w:color="auto" w:fill="CCEEFF"/>
          </w:tcPr>
          <w:p>
            <w:pPr>
              <w:jc w:val="right"/>
              <w:ind w:right="510"/>
              <w:spacing w:after="0"/>
              <w:rPr>
                <w:sz w:val="20"/>
                <w:szCs w:val="20"/>
                <w:color w:val="auto"/>
              </w:rPr>
            </w:pPr>
            <w:r>
              <w:rPr>
                <w:rFonts w:ascii="Arial" w:cs="Arial" w:eastAsia="Arial" w:hAnsi="Arial"/>
                <w:sz w:val="18"/>
                <w:szCs w:val="18"/>
                <w:b w:val="1"/>
                <w:bCs w:val="1"/>
                <w:color w:val="auto"/>
              </w:rPr>
              <w:t>6,668</w:t>
            </w:r>
          </w:p>
        </w:tc>
        <w:tc>
          <w:tcPr>
            <w:tcW w:w="4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3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profit</w:t>
            </w:r>
          </w:p>
        </w:tc>
        <w:tc>
          <w:tcPr>
            <w:tcW w:w="540" w:type="dxa"/>
            <w:vAlign w:val="bottom"/>
            <w:tcBorders>
              <w:bottom w:val="single" w:sz="8" w:color="auto"/>
            </w:tcBorders>
            <w:vMerge w:val="continue"/>
            <w:shd w:val="clear" w:color="auto" w:fill="CCEEFF"/>
          </w:tcPr>
          <w:p>
            <w:pPr>
              <w:spacing w:after="0"/>
              <w:rPr>
                <w:sz w:val="19"/>
                <w:szCs w:val="19"/>
                <w:color w:val="auto"/>
              </w:rPr>
            </w:pPr>
          </w:p>
        </w:tc>
        <w:tc>
          <w:tcPr>
            <w:tcW w:w="1560" w:type="dxa"/>
            <w:vAlign w:val="bottom"/>
            <w:tcBorders>
              <w:bottom w:val="single" w:sz="8" w:color="auto"/>
            </w:tcBorders>
            <w:vMerge w:val="continue"/>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2,147</w:t>
            </w:r>
          </w:p>
        </w:tc>
        <w:tc>
          <w:tcPr>
            <w:tcW w:w="440" w:type="dxa"/>
            <w:vAlign w:val="bottom"/>
            <w:tcBorders>
              <w:bottom w:val="single" w:sz="8" w:color="auto"/>
            </w:tcBorders>
            <w:vMerge w:val="continue"/>
            <w:shd w:val="clear" w:color="auto" w:fill="CCEEFF"/>
          </w:tcPr>
          <w:p>
            <w:pPr>
              <w:spacing w:after="0"/>
              <w:rPr>
                <w:sz w:val="19"/>
                <w:szCs w:val="19"/>
                <w:color w:val="auto"/>
              </w:rPr>
            </w:pPr>
          </w:p>
        </w:tc>
        <w:tc>
          <w:tcPr>
            <w:tcW w:w="1560" w:type="dxa"/>
            <w:vAlign w:val="bottom"/>
            <w:tcBorders>
              <w:bottom w:val="single" w:sz="8" w:color="auto"/>
            </w:tcBorders>
            <w:vMerge w:val="continue"/>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6,355</w:t>
            </w:r>
          </w:p>
        </w:tc>
        <w:tc>
          <w:tcPr>
            <w:tcW w:w="0" w:type="dxa"/>
            <w:vAlign w:val="bottom"/>
          </w:tcPr>
          <w:p>
            <w:pPr>
              <w:spacing w:after="0"/>
              <w:rPr>
                <w:sz w:val="1"/>
                <w:szCs w:val="1"/>
                <w:color w:val="auto"/>
              </w:rPr>
            </w:pPr>
          </w:p>
        </w:tc>
      </w:tr>
    </w:tbl>
    <w:p>
      <w:pPr>
        <w:spacing w:after="0" w:line="269"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We recover CAS pension and other postretirement benefit plan cost through the pricing of our products and services on U.S. Government contracts and, therefore, recognize CAS pension cost in each of our business segment’s net sales and cost of sales. Our consolidated financial statements must present FAS pension and other postretirement benefit plan income calculated in accordance with FAS requirements under U.S. GAAP. The operating portion of the net FAS/CAS pension adjustment represents the difference between the service cost component of FAS pension (expense) income and total CAS pension cost. The non-service FAS pension (expense) income components are included in non-</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service FAS pension (expense) income in our consolidated statements of earnings. As a result, to the extent that CAS pension cost exceeds the service cost component of FAS pension (expense) income, we have a favorable FAS/CAS operating adjustment.</w:t>
      </w:r>
    </w:p>
    <w:p>
      <w:pPr>
        <w:spacing w:after="0" w:line="171" w:lineRule="exact"/>
        <w:rPr>
          <w:sz w:val="20"/>
          <w:szCs w:val="20"/>
          <w:color w:val="auto"/>
        </w:rPr>
      </w:pPr>
    </w:p>
    <w:p>
      <w:pPr>
        <w:jc w:val="both"/>
        <w:ind w:right="380" w:firstLine="405"/>
        <w:spacing w:after="0" w:line="256" w:lineRule="auto"/>
        <w:rPr>
          <w:sz w:val="20"/>
          <w:szCs w:val="20"/>
          <w:color w:val="auto"/>
        </w:rPr>
      </w:pPr>
      <w:r>
        <w:rPr>
          <w:rFonts w:ascii="Arial" w:cs="Arial" w:eastAsia="Arial" w:hAnsi="Arial"/>
          <w:sz w:val="18"/>
          <w:szCs w:val="18"/>
          <w:color w:val="auto"/>
        </w:rPr>
        <w:t>Our total net FAS/CAS pension adjustment for the quarters and nine months ended September 26, 2021 and September 27, 2020, including the service and non-service cost components of FAS pension (expense) income for our qualified defined benefit pension plans, were as follows (in millions):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56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gridSpan w:val="3"/>
          </w:tcPr>
          <w:p>
            <w:pPr>
              <w:jc w:val="right"/>
              <w:ind w:right="1130"/>
              <w:spacing w:after="0"/>
              <w:rPr>
                <w:sz w:val="20"/>
                <w:szCs w:val="20"/>
                <w:color w:val="auto"/>
              </w:rPr>
            </w:pPr>
            <w:r>
              <w:rPr>
                <w:rFonts w:ascii="Arial" w:cs="Arial" w:eastAsia="Arial" w:hAnsi="Arial"/>
                <w:sz w:val="18"/>
                <w:szCs w:val="18"/>
                <w:b w:val="1"/>
                <w:bCs w:val="1"/>
                <w:color w:val="auto"/>
              </w:rPr>
              <w:t>Quarters Ended</w:t>
            </w:r>
          </w:p>
        </w:tc>
        <w:tc>
          <w:tcPr>
            <w:tcW w:w="40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gridSpan w:val="3"/>
          </w:tcPr>
          <w:p>
            <w:pPr>
              <w:jc w:val="right"/>
              <w:ind w:right="77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69"/>
        </w:trPr>
        <w:tc>
          <w:tcPr>
            <w:tcW w:w="3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60" w:type="dxa"/>
            <w:vAlign w:val="bottom"/>
          </w:tcPr>
          <w:p>
            <w:pPr>
              <w:jc w:val="right"/>
              <w:ind w:right="230"/>
              <w:spacing w:after="0" w:line="169" w:lineRule="exact"/>
              <w:rPr>
                <w:sz w:val="20"/>
                <w:szCs w:val="20"/>
                <w:color w:val="auto"/>
              </w:rPr>
            </w:pPr>
            <w:r>
              <w:rPr>
                <w:rFonts w:ascii="Arial" w:cs="Arial" w:eastAsia="Arial" w:hAnsi="Arial"/>
                <w:sz w:val="18"/>
                <w:szCs w:val="18"/>
                <w:b w:val="1"/>
                <w:bCs w:val="1"/>
                <w:color w:val="auto"/>
                <w:w w:val="99"/>
              </w:rPr>
              <w:t>September 26,</w:t>
            </w:r>
          </w:p>
        </w:tc>
        <w:tc>
          <w:tcPr>
            <w:tcW w:w="1900" w:type="dxa"/>
            <w:vAlign w:val="bottom"/>
            <w:gridSpan w:val="2"/>
          </w:tcPr>
          <w:p>
            <w:pPr>
              <w:jc w:val="right"/>
              <w:ind w:right="210"/>
              <w:spacing w:after="0" w:line="169" w:lineRule="exact"/>
              <w:rPr>
                <w:sz w:val="20"/>
                <w:szCs w:val="20"/>
                <w:color w:val="auto"/>
              </w:rPr>
            </w:pPr>
            <w:r>
              <w:rPr>
                <w:rFonts w:ascii="Arial" w:cs="Arial" w:eastAsia="Arial" w:hAnsi="Arial"/>
                <w:sz w:val="18"/>
                <w:szCs w:val="18"/>
                <w:b w:val="1"/>
                <w:bCs w:val="1"/>
                <w:color w:val="auto"/>
              </w:rPr>
              <w:t>September 27,</w:t>
            </w:r>
          </w:p>
        </w:tc>
        <w:tc>
          <w:tcPr>
            <w:tcW w:w="400" w:type="dxa"/>
            <w:vAlign w:val="bottom"/>
          </w:tcPr>
          <w:p>
            <w:pPr>
              <w:spacing w:after="0"/>
              <w:rPr>
                <w:sz w:val="14"/>
                <w:szCs w:val="14"/>
                <w:color w:val="auto"/>
              </w:rPr>
            </w:pPr>
          </w:p>
        </w:tc>
        <w:tc>
          <w:tcPr>
            <w:tcW w:w="1560" w:type="dxa"/>
            <w:vAlign w:val="bottom"/>
          </w:tcPr>
          <w:p>
            <w:pPr>
              <w:jc w:val="right"/>
              <w:ind w:right="230"/>
              <w:spacing w:after="0" w:line="169" w:lineRule="exact"/>
              <w:rPr>
                <w:sz w:val="20"/>
                <w:szCs w:val="20"/>
                <w:color w:val="auto"/>
              </w:rPr>
            </w:pPr>
            <w:r>
              <w:rPr>
                <w:rFonts w:ascii="Arial" w:cs="Arial" w:eastAsia="Arial" w:hAnsi="Arial"/>
                <w:sz w:val="18"/>
                <w:szCs w:val="18"/>
                <w:b w:val="1"/>
                <w:bCs w:val="1"/>
                <w:color w:val="auto"/>
                <w:w w:val="99"/>
              </w:rPr>
              <w:t>September 26,</w:t>
            </w:r>
          </w:p>
        </w:tc>
        <w:tc>
          <w:tcPr>
            <w:tcW w:w="1740" w:type="dxa"/>
            <w:vAlign w:val="bottom"/>
            <w:gridSpan w:val="2"/>
          </w:tcPr>
          <w:p>
            <w:pPr>
              <w:jc w:val="right"/>
              <w:ind w:right="10"/>
              <w:spacing w:after="0" w:line="169" w:lineRule="exact"/>
              <w:rPr>
                <w:sz w:val="20"/>
                <w:szCs w:val="20"/>
                <w:color w:val="auto"/>
              </w:rPr>
            </w:pPr>
            <w:r>
              <w:rPr>
                <w:rFonts w:ascii="Arial" w:cs="Arial" w:eastAsia="Arial" w:hAnsi="Arial"/>
                <w:sz w:val="18"/>
                <w:szCs w:val="18"/>
                <w:b w:val="1"/>
                <w:bCs w:val="1"/>
                <w:color w:val="auto"/>
              </w:rPr>
              <w:t>September 27,</w:t>
            </w:r>
          </w:p>
        </w:tc>
        <w:tc>
          <w:tcPr>
            <w:tcW w:w="0" w:type="dxa"/>
            <w:vAlign w:val="bottom"/>
          </w:tcPr>
          <w:p>
            <w:pPr>
              <w:spacing w:after="0"/>
              <w:rPr>
                <w:sz w:val="1"/>
                <w:szCs w:val="1"/>
                <w:color w:val="auto"/>
              </w:rPr>
            </w:pPr>
          </w:p>
        </w:tc>
      </w:tr>
      <w:tr>
        <w:trPr>
          <w:trHeight w:val="229"/>
        </w:trPr>
        <w:tc>
          <w:tcPr>
            <w:tcW w:w="35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2021</w:t>
            </w:r>
          </w:p>
        </w:tc>
        <w:tc>
          <w:tcPr>
            <w:tcW w:w="5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2020</w:t>
            </w:r>
          </w:p>
        </w:tc>
        <w:tc>
          <w:tcPr>
            <w:tcW w:w="4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156"/>
        </w:trPr>
        <w:tc>
          <w:tcPr>
            <w:tcW w:w="3560" w:type="dxa"/>
            <w:vAlign w:val="bottom"/>
            <w:shd w:val="clear" w:color="auto" w:fill="CCEEFF"/>
          </w:tcPr>
          <w:p>
            <w:pPr>
              <w:ind w:left="440"/>
              <w:spacing w:after="0" w:line="155" w:lineRule="exact"/>
              <w:rPr>
                <w:sz w:val="20"/>
                <w:szCs w:val="20"/>
                <w:color w:val="auto"/>
              </w:rPr>
            </w:pPr>
            <w:r>
              <w:rPr>
                <w:rFonts w:ascii="Arial" w:cs="Arial" w:eastAsia="Arial" w:hAnsi="Arial"/>
                <w:sz w:val="17"/>
                <w:szCs w:val="17"/>
                <w:b w:val="1"/>
                <w:bCs w:val="1"/>
                <w:color w:val="auto"/>
              </w:rPr>
              <w:t>Total FAS (expense) income and</w:t>
            </w:r>
          </w:p>
        </w:tc>
        <w:tc>
          <w:tcPr>
            <w:tcW w:w="52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CAS costs</w:t>
            </w:r>
          </w:p>
        </w:tc>
        <w:tc>
          <w:tcPr>
            <w:tcW w:w="5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560" w:type="dxa"/>
            <w:vAlign w:val="bottom"/>
          </w:tcPr>
          <w:p>
            <w:pPr>
              <w:ind w:left="640"/>
              <w:spacing w:after="0"/>
              <w:rPr>
                <w:sz w:val="20"/>
                <w:szCs w:val="20"/>
                <w:color w:val="auto"/>
              </w:rPr>
            </w:pPr>
            <w:r>
              <w:rPr>
                <w:rFonts w:ascii="Arial" w:cs="Arial" w:eastAsia="Arial" w:hAnsi="Arial"/>
                <w:sz w:val="17"/>
                <w:szCs w:val="17"/>
                <w:color w:val="auto"/>
              </w:rPr>
              <w:t>FAS pension (expense) income</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560" w:type="dxa"/>
            <w:vAlign w:val="bottom"/>
          </w:tcPr>
          <w:p>
            <w:pPr>
              <w:jc w:val="right"/>
              <w:ind w:right="470"/>
              <w:spacing w:after="0"/>
              <w:rPr>
                <w:sz w:val="20"/>
                <w:szCs w:val="20"/>
                <w:color w:val="auto"/>
              </w:rPr>
            </w:pPr>
            <w:r>
              <w:rPr>
                <w:rFonts w:ascii="Arial" w:cs="Arial" w:eastAsia="Arial" w:hAnsi="Arial"/>
                <w:sz w:val="18"/>
                <w:szCs w:val="18"/>
                <w:b w:val="1"/>
                <w:bCs w:val="1"/>
                <w:color w:val="auto"/>
              </w:rPr>
              <w:t>(1,598)</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550"/>
              <w:spacing w:after="0"/>
              <w:rPr>
                <w:sz w:val="20"/>
                <w:szCs w:val="20"/>
                <w:color w:val="auto"/>
              </w:rPr>
            </w:pPr>
            <w:r>
              <w:rPr>
                <w:rFonts w:ascii="Arial" w:cs="Arial" w:eastAsia="Arial" w:hAnsi="Arial"/>
                <w:sz w:val="18"/>
                <w:szCs w:val="18"/>
                <w:color w:val="auto"/>
              </w:rPr>
              <w:t>29</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560" w:type="dxa"/>
            <w:vAlign w:val="bottom"/>
          </w:tcPr>
          <w:p>
            <w:pPr>
              <w:jc w:val="right"/>
              <w:ind w:right="470"/>
              <w:spacing w:after="0"/>
              <w:rPr>
                <w:sz w:val="20"/>
                <w:szCs w:val="20"/>
                <w:color w:val="auto"/>
              </w:rPr>
            </w:pPr>
            <w:r>
              <w:rPr>
                <w:rFonts w:ascii="Arial" w:cs="Arial" w:eastAsia="Arial" w:hAnsi="Arial"/>
                <w:sz w:val="18"/>
                <w:szCs w:val="18"/>
                <w:b w:val="1"/>
                <w:bCs w:val="1"/>
                <w:color w:val="auto"/>
              </w:rPr>
              <w:t>(1,465)</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30"/>
        </w:trPr>
        <w:tc>
          <w:tcPr>
            <w:tcW w:w="356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7"/>
                <w:szCs w:val="17"/>
                <w:color w:val="auto"/>
              </w:rPr>
              <w:t>Less: CAS pension cost</w:t>
            </w:r>
          </w:p>
        </w:tc>
        <w:tc>
          <w:tcPr>
            <w:tcW w:w="5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517</w:t>
            </w:r>
          </w:p>
        </w:tc>
        <w:tc>
          <w:tcPr>
            <w:tcW w:w="5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rPr>
              <w:t>494</w:t>
            </w:r>
          </w:p>
        </w:tc>
        <w:tc>
          <w:tcPr>
            <w:tcW w:w="4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1,549</w:t>
            </w:r>
          </w:p>
        </w:tc>
        <w:tc>
          <w:tcPr>
            <w:tcW w:w="5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1,483</w:t>
            </w:r>
          </w:p>
        </w:tc>
        <w:tc>
          <w:tcPr>
            <w:tcW w:w="0" w:type="dxa"/>
            <w:vAlign w:val="bottom"/>
          </w:tcPr>
          <w:p>
            <w:pPr>
              <w:spacing w:after="0"/>
              <w:rPr>
                <w:sz w:val="1"/>
                <w:szCs w:val="1"/>
                <w:color w:val="auto"/>
              </w:rPr>
            </w:pPr>
          </w:p>
        </w:tc>
      </w:tr>
      <w:tr>
        <w:trPr>
          <w:trHeight w:val="163"/>
        </w:trPr>
        <w:tc>
          <w:tcPr>
            <w:tcW w:w="3560" w:type="dxa"/>
            <w:vAlign w:val="bottom"/>
          </w:tcPr>
          <w:p>
            <w:pPr>
              <w:ind w:left="880"/>
              <w:spacing w:after="0" w:line="163" w:lineRule="exact"/>
              <w:rPr>
                <w:sz w:val="20"/>
                <w:szCs w:val="20"/>
                <w:color w:val="auto"/>
              </w:rPr>
            </w:pPr>
            <w:r>
              <w:rPr>
                <w:rFonts w:ascii="Arial" w:cs="Arial" w:eastAsia="Arial" w:hAnsi="Arial"/>
                <w:sz w:val="17"/>
                <w:szCs w:val="17"/>
                <w:color w:val="auto"/>
              </w:rPr>
              <w:t>Net FAS/CAS pension</w:t>
            </w:r>
          </w:p>
        </w:tc>
        <w:tc>
          <w:tcPr>
            <w:tcW w:w="5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560" w:type="dxa"/>
            <w:vAlign w:val="bottom"/>
            <w:vMerge w:val="restart"/>
          </w:tcPr>
          <w:p>
            <w:pPr>
              <w:jc w:val="right"/>
              <w:ind w:right="470"/>
              <w:spacing w:after="0"/>
              <w:rPr>
                <w:sz w:val="20"/>
                <w:szCs w:val="20"/>
                <w:color w:val="auto"/>
              </w:rPr>
            </w:pPr>
            <w:r>
              <w:rPr>
                <w:rFonts w:ascii="Arial" w:cs="Arial" w:eastAsia="Arial" w:hAnsi="Arial"/>
                <w:sz w:val="18"/>
                <w:szCs w:val="18"/>
                <w:b w:val="1"/>
                <w:bCs w:val="1"/>
                <w:color w:val="auto"/>
              </w:rPr>
              <w:t>(1,081)</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0" w:type="dxa"/>
            <w:vAlign w:val="bottom"/>
            <w:vMerge w:val="restart"/>
          </w:tcPr>
          <w:p>
            <w:pPr>
              <w:jc w:val="right"/>
              <w:ind w:right="550"/>
              <w:spacing w:after="0"/>
              <w:rPr>
                <w:sz w:val="20"/>
                <w:szCs w:val="20"/>
                <w:color w:val="auto"/>
              </w:rPr>
            </w:pPr>
            <w:r>
              <w:rPr>
                <w:rFonts w:ascii="Arial" w:cs="Arial" w:eastAsia="Arial" w:hAnsi="Arial"/>
                <w:sz w:val="18"/>
                <w:szCs w:val="18"/>
                <w:color w:val="auto"/>
              </w:rPr>
              <w:t>523</w:t>
            </w:r>
          </w:p>
        </w:tc>
        <w:tc>
          <w:tcPr>
            <w:tcW w:w="4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560" w:type="dxa"/>
            <w:vAlign w:val="bottom"/>
            <w:vMerge w:val="restart"/>
          </w:tcPr>
          <w:p>
            <w:pPr>
              <w:jc w:val="right"/>
              <w:ind w:right="530"/>
              <w:spacing w:after="0"/>
              <w:rPr>
                <w:sz w:val="20"/>
                <w:szCs w:val="20"/>
                <w:color w:val="auto"/>
              </w:rPr>
            </w:pPr>
            <w:r>
              <w:rPr>
                <w:rFonts w:ascii="Arial" w:cs="Arial" w:eastAsia="Arial" w:hAnsi="Arial"/>
                <w:sz w:val="18"/>
                <w:szCs w:val="18"/>
                <w:b w:val="1"/>
                <w:bCs w:val="1"/>
                <w:color w:val="auto"/>
              </w:rPr>
              <w:t>84</w:t>
            </w:r>
          </w:p>
        </w:tc>
        <w:tc>
          <w:tcPr>
            <w:tcW w:w="52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1,571</w:t>
            </w:r>
          </w:p>
        </w:tc>
        <w:tc>
          <w:tcPr>
            <w:tcW w:w="0" w:type="dxa"/>
            <w:vAlign w:val="bottom"/>
          </w:tcPr>
          <w:p>
            <w:pPr>
              <w:spacing w:after="0"/>
              <w:rPr>
                <w:sz w:val="1"/>
                <w:szCs w:val="1"/>
                <w:color w:val="auto"/>
              </w:rPr>
            </w:pPr>
          </w:p>
        </w:tc>
      </w:tr>
      <w:tr>
        <w:trPr>
          <w:trHeight w:val="209"/>
        </w:trPr>
        <w:tc>
          <w:tcPr>
            <w:tcW w:w="3560" w:type="dxa"/>
            <w:vAlign w:val="bottom"/>
            <w:tcBorders>
              <w:bottom w:val="single" w:sz="8" w:color="auto"/>
            </w:tcBorders>
          </w:tcPr>
          <w:p>
            <w:pPr>
              <w:ind w:left="480"/>
              <w:spacing w:after="0"/>
              <w:rPr>
                <w:sz w:val="20"/>
                <w:szCs w:val="20"/>
                <w:color w:val="auto"/>
              </w:rPr>
            </w:pPr>
            <w:r>
              <w:rPr>
                <w:rFonts w:ascii="Arial" w:cs="Arial" w:eastAsia="Arial" w:hAnsi="Arial"/>
                <w:sz w:val="17"/>
                <w:szCs w:val="17"/>
                <w:color w:val="auto"/>
              </w:rPr>
              <w:t>adjustment</w:t>
            </w:r>
          </w:p>
        </w:tc>
        <w:tc>
          <w:tcPr>
            <w:tcW w:w="520" w:type="dxa"/>
            <w:vAlign w:val="bottom"/>
            <w:tcBorders>
              <w:bottom w:val="single" w:sz="8" w:color="auto"/>
            </w:tcBorders>
            <w:vMerge w:val="continue"/>
          </w:tcPr>
          <w:p>
            <w:pPr>
              <w:spacing w:after="0"/>
              <w:rPr>
                <w:sz w:val="18"/>
                <w:szCs w:val="18"/>
                <w:color w:val="auto"/>
              </w:rPr>
            </w:pPr>
          </w:p>
        </w:tc>
        <w:tc>
          <w:tcPr>
            <w:tcW w:w="1560" w:type="dxa"/>
            <w:vAlign w:val="bottom"/>
            <w:tcBorders>
              <w:bottom w:val="single" w:sz="8" w:color="auto"/>
            </w:tcBorders>
            <w:vMerge w:val="continue"/>
          </w:tcPr>
          <w:p>
            <w:pPr>
              <w:spacing w:after="0"/>
              <w:rPr>
                <w:sz w:val="18"/>
                <w:szCs w:val="18"/>
                <w:color w:val="auto"/>
              </w:rPr>
            </w:pPr>
          </w:p>
        </w:tc>
        <w:tc>
          <w:tcPr>
            <w:tcW w:w="500" w:type="dxa"/>
            <w:vAlign w:val="bottom"/>
            <w:tcBorders>
              <w:bottom w:val="single" w:sz="8" w:color="auto"/>
            </w:tcBorders>
            <w:vMerge w:val="continue"/>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400" w:type="dxa"/>
            <w:vAlign w:val="bottom"/>
            <w:tcBorders>
              <w:bottom w:val="single" w:sz="8" w:color="auto"/>
            </w:tcBorders>
            <w:vMerge w:val="continue"/>
          </w:tcPr>
          <w:p>
            <w:pPr>
              <w:spacing w:after="0"/>
              <w:rPr>
                <w:sz w:val="18"/>
                <w:szCs w:val="18"/>
                <w:color w:val="auto"/>
              </w:rPr>
            </w:pPr>
          </w:p>
        </w:tc>
        <w:tc>
          <w:tcPr>
            <w:tcW w:w="1560" w:type="dxa"/>
            <w:vAlign w:val="bottom"/>
            <w:tcBorders>
              <w:bottom w:val="single" w:sz="8" w:color="auto"/>
            </w:tcBorders>
            <w:vMerge w:val="continue"/>
          </w:tcPr>
          <w:p>
            <w:pPr>
              <w:spacing w:after="0"/>
              <w:rPr>
                <w:sz w:val="18"/>
                <w:szCs w:val="18"/>
                <w:color w:val="auto"/>
              </w:rPr>
            </w:pPr>
          </w:p>
        </w:tc>
        <w:tc>
          <w:tcPr>
            <w:tcW w:w="520" w:type="dxa"/>
            <w:vAlign w:val="bottom"/>
            <w:tcBorders>
              <w:bottom w:val="single" w:sz="8" w:color="auto"/>
            </w:tcBorders>
            <w:vMerge w:val="continue"/>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5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3560" w:type="dxa"/>
            <w:vAlign w:val="bottom"/>
          </w:tcPr>
          <w:p>
            <w:pPr>
              <w:ind w:left="440"/>
              <w:spacing w:after="0" w:line="162" w:lineRule="exact"/>
              <w:rPr>
                <w:sz w:val="20"/>
                <w:szCs w:val="20"/>
                <w:color w:val="auto"/>
              </w:rPr>
            </w:pPr>
            <w:r>
              <w:rPr>
                <w:rFonts w:ascii="Arial" w:cs="Arial" w:eastAsia="Arial" w:hAnsi="Arial"/>
                <w:sz w:val="17"/>
                <w:szCs w:val="17"/>
                <w:b w:val="1"/>
                <w:bCs w:val="1"/>
                <w:color w:val="auto"/>
              </w:rPr>
              <w:t>Service and non-service cost</w:t>
            </w:r>
          </w:p>
        </w:tc>
        <w:tc>
          <w:tcPr>
            <w:tcW w:w="5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560" w:type="dxa"/>
            <w:vAlign w:val="bottom"/>
          </w:tcPr>
          <w:p>
            <w:pPr>
              <w:ind w:left="20"/>
              <w:spacing w:after="0"/>
              <w:rPr>
                <w:sz w:val="20"/>
                <w:szCs w:val="20"/>
                <w:color w:val="auto"/>
              </w:rPr>
            </w:pPr>
            <w:r>
              <w:rPr>
                <w:rFonts w:ascii="Arial" w:cs="Arial" w:eastAsia="Arial" w:hAnsi="Arial"/>
                <w:sz w:val="17"/>
                <w:szCs w:val="17"/>
                <w:b w:val="1"/>
                <w:bCs w:val="1"/>
                <w:color w:val="auto"/>
              </w:rPr>
              <w:t>reconciliation</w:t>
            </w:r>
          </w:p>
        </w:tc>
        <w:tc>
          <w:tcPr>
            <w:tcW w:w="5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560" w:type="dxa"/>
            <w:vAlign w:val="bottom"/>
            <w:shd w:val="clear" w:color="auto" w:fill="CCEEFF"/>
          </w:tcPr>
          <w:p>
            <w:pPr>
              <w:ind w:left="640"/>
              <w:spacing w:after="0"/>
              <w:rPr>
                <w:sz w:val="20"/>
                <w:szCs w:val="20"/>
                <w:color w:val="auto"/>
              </w:rPr>
            </w:pPr>
            <w:r>
              <w:rPr>
                <w:rFonts w:ascii="Arial" w:cs="Arial" w:eastAsia="Arial" w:hAnsi="Arial"/>
                <w:sz w:val="17"/>
                <w:szCs w:val="17"/>
                <w:color w:val="auto"/>
              </w:rPr>
              <w:t>FAS pension service cost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560" w:type="dxa"/>
            <w:vAlign w:val="bottom"/>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(26)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(25)</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560" w:type="dxa"/>
            <w:vAlign w:val="bottom"/>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(80)</w:t>
            </w: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9"/>
        </w:trPr>
        <w:tc>
          <w:tcPr>
            <w:tcW w:w="356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Less: CAS pension cost</w:t>
            </w:r>
          </w:p>
        </w:tc>
        <w:tc>
          <w:tcPr>
            <w:tcW w:w="5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517</w:t>
            </w:r>
          </w:p>
        </w:tc>
        <w:tc>
          <w:tcPr>
            <w:tcW w:w="5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494</w:t>
            </w:r>
          </w:p>
        </w:tc>
        <w:tc>
          <w:tcPr>
            <w:tcW w:w="4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1,549</w:t>
            </w:r>
          </w:p>
        </w:tc>
        <w:tc>
          <w:tcPr>
            <w:tcW w:w="5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1,483</w:t>
            </w:r>
          </w:p>
        </w:tc>
        <w:tc>
          <w:tcPr>
            <w:tcW w:w="0" w:type="dxa"/>
            <w:vAlign w:val="bottom"/>
          </w:tcPr>
          <w:p>
            <w:pPr>
              <w:spacing w:after="0"/>
              <w:rPr>
                <w:sz w:val="1"/>
                <w:szCs w:val="1"/>
                <w:color w:val="auto"/>
              </w:rPr>
            </w:pPr>
          </w:p>
        </w:tc>
      </w:tr>
      <w:tr>
        <w:trPr>
          <w:trHeight w:val="223"/>
        </w:trPr>
        <w:tc>
          <w:tcPr>
            <w:tcW w:w="3560" w:type="dxa"/>
            <w:vAlign w:val="bottom"/>
            <w:shd w:val="clear" w:color="auto" w:fill="CCEEFF"/>
          </w:tcPr>
          <w:p>
            <w:pPr>
              <w:ind w:left="880"/>
              <w:spacing w:after="0"/>
              <w:rPr>
                <w:sz w:val="20"/>
                <w:szCs w:val="20"/>
                <w:color w:val="auto"/>
              </w:rPr>
            </w:pPr>
            <w:r>
              <w:rPr>
                <w:rFonts w:ascii="Arial" w:cs="Arial" w:eastAsia="Arial" w:hAnsi="Arial"/>
                <w:sz w:val="17"/>
                <w:szCs w:val="17"/>
                <w:color w:val="auto"/>
              </w:rPr>
              <w:t>FAS/CAS operating adjustment</w:t>
            </w:r>
          </w:p>
        </w:tc>
        <w:tc>
          <w:tcPr>
            <w:tcW w:w="52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491</w:t>
            </w:r>
          </w:p>
        </w:tc>
        <w:tc>
          <w:tcPr>
            <w:tcW w:w="5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469</w:t>
            </w:r>
          </w:p>
        </w:tc>
        <w:tc>
          <w:tcPr>
            <w:tcW w:w="4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1,469</w:t>
            </w:r>
          </w:p>
        </w:tc>
        <w:tc>
          <w:tcPr>
            <w:tcW w:w="5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1,407</w:t>
            </w:r>
          </w:p>
        </w:tc>
        <w:tc>
          <w:tcPr>
            <w:tcW w:w="0" w:type="dxa"/>
            <w:vAlign w:val="bottom"/>
          </w:tcPr>
          <w:p>
            <w:pPr>
              <w:spacing w:after="0"/>
              <w:rPr>
                <w:sz w:val="1"/>
                <w:szCs w:val="1"/>
                <w:color w:val="auto"/>
              </w:rPr>
            </w:pPr>
          </w:p>
        </w:tc>
      </w:tr>
      <w:tr>
        <w:trPr>
          <w:trHeight w:val="169"/>
        </w:trPr>
        <w:tc>
          <w:tcPr>
            <w:tcW w:w="3560" w:type="dxa"/>
            <w:vAlign w:val="bottom"/>
          </w:tcPr>
          <w:p>
            <w:pPr>
              <w:ind w:left="640"/>
              <w:spacing w:after="0" w:line="169" w:lineRule="exact"/>
              <w:rPr>
                <w:sz w:val="20"/>
                <w:szCs w:val="20"/>
                <w:color w:val="auto"/>
              </w:rPr>
            </w:pPr>
            <w:r>
              <w:rPr>
                <w:rFonts w:ascii="Arial" w:cs="Arial" w:eastAsia="Arial" w:hAnsi="Arial"/>
                <w:sz w:val="17"/>
                <w:szCs w:val="17"/>
                <w:color w:val="auto"/>
              </w:rPr>
              <w:t>Non-service FAS pension (expense)</w:t>
            </w:r>
          </w:p>
        </w:tc>
        <w:tc>
          <w:tcPr>
            <w:tcW w:w="520" w:type="dxa"/>
            <w:vAlign w:val="bottom"/>
          </w:tcPr>
          <w:p>
            <w:pPr>
              <w:spacing w:after="0"/>
              <w:rPr>
                <w:sz w:val="14"/>
                <w:szCs w:val="14"/>
                <w:color w:val="auto"/>
              </w:rPr>
            </w:pPr>
          </w:p>
        </w:tc>
        <w:tc>
          <w:tcPr>
            <w:tcW w:w="1560" w:type="dxa"/>
            <w:vAlign w:val="bottom"/>
            <w:vMerge w:val="restart"/>
          </w:tcPr>
          <w:p>
            <w:pPr>
              <w:jc w:val="right"/>
              <w:ind w:right="470"/>
              <w:spacing w:after="0"/>
              <w:rPr>
                <w:sz w:val="20"/>
                <w:szCs w:val="20"/>
                <w:color w:val="auto"/>
              </w:rPr>
            </w:pPr>
            <w:r>
              <w:rPr>
                <w:rFonts w:ascii="Arial" w:cs="Arial" w:eastAsia="Arial" w:hAnsi="Arial"/>
                <w:sz w:val="18"/>
                <w:szCs w:val="18"/>
                <w:b w:val="1"/>
                <w:bCs w:val="1"/>
                <w:color w:val="auto"/>
              </w:rPr>
              <w:t>(1,572)</w:t>
            </w:r>
          </w:p>
        </w:tc>
        <w:tc>
          <w:tcPr>
            <w:tcW w:w="500" w:type="dxa"/>
            <w:vAlign w:val="bottom"/>
          </w:tcPr>
          <w:p>
            <w:pPr>
              <w:spacing w:after="0"/>
              <w:rPr>
                <w:sz w:val="14"/>
                <w:szCs w:val="14"/>
                <w:color w:val="auto"/>
              </w:rPr>
            </w:pPr>
          </w:p>
        </w:tc>
        <w:tc>
          <w:tcPr>
            <w:tcW w:w="1400" w:type="dxa"/>
            <w:vAlign w:val="bottom"/>
            <w:vMerge w:val="restart"/>
          </w:tcPr>
          <w:p>
            <w:pPr>
              <w:jc w:val="right"/>
              <w:ind w:right="550"/>
              <w:spacing w:after="0"/>
              <w:rPr>
                <w:sz w:val="20"/>
                <w:szCs w:val="20"/>
                <w:color w:val="auto"/>
              </w:rPr>
            </w:pPr>
            <w:r>
              <w:rPr>
                <w:rFonts w:ascii="Arial" w:cs="Arial" w:eastAsia="Arial" w:hAnsi="Arial"/>
                <w:sz w:val="18"/>
                <w:szCs w:val="18"/>
                <w:color w:val="auto"/>
              </w:rPr>
              <w:t>54</w:t>
            </w:r>
          </w:p>
        </w:tc>
        <w:tc>
          <w:tcPr>
            <w:tcW w:w="400" w:type="dxa"/>
            <w:vAlign w:val="bottom"/>
          </w:tcPr>
          <w:p>
            <w:pPr>
              <w:spacing w:after="0"/>
              <w:rPr>
                <w:sz w:val="14"/>
                <w:szCs w:val="14"/>
                <w:color w:val="auto"/>
              </w:rPr>
            </w:pPr>
          </w:p>
        </w:tc>
        <w:tc>
          <w:tcPr>
            <w:tcW w:w="1560" w:type="dxa"/>
            <w:vAlign w:val="bottom"/>
            <w:vMerge w:val="restart"/>
          </w:tcPr>
          <w:p>
            <w:pPr>
              <w:jc w:val="right"/>
              <w:ind w:right="470"/>
              <w:spacing w:after="0"/>
              <w:rPr>
                <w:sz w:val="20"/>
                <w:szCs w:val="20"/>
                <w:color w:val="auto"/>
              </w:rPr>
            </w:pPr>
            <w:r>
              <w:rPr>
                <w:rFonts w:ascii="Arial" w:cs="Arial" w:eastAsia="Arial" w:hAnsi="Arial"/>
                <w:sz w:val="18"/>
                <w:szCs w:val="18"/>
                <w:b w:val="1"/>
                <w:bCs w:val="1"/>
                <w:color w:val="auto"/>
              </w:rPr>
              <w:t>(1,385)</w:t>
            </w:r>
          </w:p>
        </w:tc>
        <w:tc>
          <w:tcPr>
            <w:tcW w:w="520" w:type="dxa"/>
            <w:vAlign w:val="bottom"/>
          </w:tcPr>
          <w:p>
            <w:pPr>
              <w:spacing w:after="0"/>
              <w:rPr>
                <w:sz w:val="14"/>
                <w:szCs w:val="14"/>
                <w:color w:val="auto"/>
              </w:rPr>
            </w:pPr>
          </w:p>
        </w:tc>
        <w:tc>
          <w:tcPr>
            <w:tcW w:w="1220" w:type="dxa"/>
            <w:vAlign w:val="bottom"/>
            <w:vMerge w:val="restart"/>
          </w:tcPr>
          <w:p>
            <w:pPr>
              <w:jc w:val="right"/>
              <w:ind w:right="33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09"/>
        </w:trPr>
        <w:tc>
          <w:tcPr>
            <w:tcW w:w="356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income</w:t>
            </w:r>
          </w:p>
        </w:tc>
        <w:tc>
          <w:tcPr>
            <w:tcW w:w="5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vMerge w:val="continue"/>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vMerge w:val="continue"/>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3560" w:type="dxa"/>
            <w:vAlign w:val="bottom"/>
            <w:shd w:val="clear" w:color="auto" w:fill="CCEEFF"/>
          </w:tcPr>
          <w:p>
            <w:pPr>
              <w:ind w:left="880"/>
              <w:spacing w:after="0" w:line="182" w:lineRule="exact"/>
              <w:rPr>
                <w:sz w:val="20"/>
                <w:szCs w:val="20"/>
                <w:color w:val="auto"/>
              </w:rPr>
            </w:pPr>
            <w:r>
              <w:rPr>
                <w:rFonts w:ascii="Arial" w:cs="Arial" w:eastAsia="Arial" w:hAnsi="Arial"/>
                <w:sz w:val="18"/>
                <w:szCs w:val="18"/>
                <w:color w:val="auto"/>
              </w:rPr>
              <w:t>Net FAS/CAS pension</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560" w:type="dxa"/>
            <w:vAlign w:val="bottom"/>
            <w:vMerge w:val="restart"/>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(1,081)</w:t>
            </w:r>
          </w:p>
        </w:tc>
        <w:tc>
          <w:tcPr>
            <w:tcW w:w="5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560" w:type="dxa"/>
            <w:vAlign w:val="bottom"/>
            <w:vMerge w:val="restart"/>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84</w:t>
            </w:r>
          </w:p>
        </w:tc>
        <w:tc>
          <w:tcPr>
            <w:tcW w:w="5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56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adjustment</w:t>
            </w:r>
          </w:p>
        </w:tc>
        <w:tc>
          <w:tcPr>
            <w:tcW w:w="520" w:type="dxa"/>
            <w:vAlign w:val="bottom"/>
            <w:tcBorders>
              <w:bottom w:val="single" w:sz="8" w:color="auto"/>
            </w:tcBorders>
            <w:vMerge w:val="continue"/>
            <w:shd w:val="clear" w:color="auto" w:fill="CCEEFF"/>
          </w:tcPr>
          <w:p>
            <w:pPr>
              <w:spacing w:after="0"/>
              <w:rPr>
                <w:sz w:val="19"/>
                <w:szCs w:val="19"/>
                <w:color w:val="auto"/>
              </w:rPr>
            </w:pPr>
          </w:p>
        </w:tc>
        <w:tc>
          <w:tcPr>
            <w:tcW w:w="1560" w:type="dxa"/>
            <w:vAlign w:val="bottom"/>
            <w:tcBorders>
              <w:bottom w:val="single" w:sz="8" w:color="auto"/>
            </w:tcBorders>
            <w:vMerge w:val="continue"/>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rPr>
              <w:t>523</w:t>
            </w:r>
          </w:p>
        </w:tc>
        <w:tc>
          <w:tcPr>
            <w:tcW w:w="400" w:type="dxa"/>
            <w:vAlign w:val="bottom"/>
            <w:tcBorders>
              <w:bottom w:val="single" w:sz="8" w:color="auto"/>
            </w:tcBorders>
            <w:vMerge w:val="continue"/>
            <w:shd w:val="clear" w:color="auto" w:fill="CCEEFF"/>
          </w:tcPr>
          <w:p>
            <w:pPr>
              <w:spacing w:after="0"/>
              <w:rPr>
                <w:sz w:val="19"/>
                <w:szCs w:val="19"/>
                <w:color w:val="auto"/>
              </w:rPr>
            </w:pPr>
          </w:p>
        </w:tc>
        <w:tc>
          <w:tcPr>
            <w:tcW w:w="1560" w:type="dxa"/>
            <w:vAlign w:val="bottom"/>
            <w:tcBorders>
              <w:bottom w:val="single" w:sz="8" w:color="auto"/>
            </w:tcBorders>
            <w:vMerge w:val="continue"/>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1,571</w:t>
            </w:r>
          </w:p>
        </w:tc>
        <w:tc>
          <w:tcPr>
            <w:tcW w:w="0" w:type="dxa"/>
            <w:vAlign w:val="bottom"/>
          </w:tcPr>
          <w:p>
            <w:pPr>
              <w:spacing w:after="0"/>
              <w:rPr>
                <w:sz w:val="1"/>
                <w:szCs w:val="1"/>
                <w:color w:val="auto"/>
              </w:rPr>
            </w:pPr>
          </w:p>
        </w:tc>
      </w:tr>
    </w:tbl>
    <w:p>
      <w:pPr>
        <w:spacing w:after="0" w:line="269" w:lineRule="exact"/>
        <w:rPr>
          <w:sz w:val="20"/>
          <w:szCs w:val="20"/>
          <w:color w:val="auto"/>
        </w:rPr>
      </w:pPr>
    </w:p>
    <w:p>
      <w:pPr>
        <w:ind w:right="160" w:firstLine="405"/>
        <w:spacing w:after="0" w:line="254" w:lineRule="auto"/>
        <w:rPr>
          <w:sz w:val="20"/>
          <w:szCs w:val="20"/>
          <w:color w:val="auto"/>
        </w:rPr>
      </w:pPr>
      <w:r>
        <w:rPr>
          <w:rFonts w:ascii="Arial" w:cs="Arial" w:eastAsia="Arial" w:hAnsi="Arial"/>
          <w:sz w:val="18"/>
          <w:szCs w:val="18"/>
          <w:color w:val="auto"/>
        </w:rPr>
        <w:t>The decrease in the net FAS/CAS pension adjustment during the quarter and nine months ended September 26, 2021, was principally driven by a noncash, non-operating pension settlement charge of $1.7 billion ($1.3 billion, or $4.72 per share, after-tax) in connection with the transfer of $4.9 billion of our gross defined benefit pension obligations and related plan assets to an insurance company on August 3, 2021. See “Note 7 - Postretirement Benefit Plans” included in our Notes to Consolidated Financial Statements.</w:t>
      </w:r>
    </w:p>
    <w:p>
      <w:pPr>
        <w:spacing w:after="0" w:line="163" w:lineRule="exact"/>
        <w:rPr>
          <w:sz w:val="20"/>
          <w:szCs w:val="20"/>
          <w:color w:val="auto"/>
        </w:rPr>
      </w:pPr>
    </w:p>
    <w:p>
      <w:pPr>
        <w:ind w:right="240" w:firstLine="405"/>
        <w:spacing w:after="0" w:line="253" w:lineRule="auto"/>
        <w:rPr>
          <w:sz w:val="20"/>
          <w:szCs w:val="20"/>
          <w:color w:val="auto"/>
        </w:rPr>
      </w:pPr>
      <w:r>
        <w:rPr>
          <w:rFonts w:ascii="Arial" w:cs="Arial" w:eastAsia="Arial" w:hAnsi="Arial"/>
          <w:sz w:val="18"/>
          <w:szCs w:val="18"/>
          <w:color w:val="auto"/>
        </w:rPr>
        <w:t>Management evaluates performance on our contracts by focusing on net sales and operating profit and not by type or amount of operating expense. Consequently, our discussion of business segment performance focuses on net sales and operating profit, consistent with our approach for managing the business. This approach is consistent throughout the life cycle of our contracts, as management assesses the bidding of each contract by focusing on net sales and operating profit and monitors performance on our contracts in a similar manner through their completion.</w:t>
      </w:r>
    </w:p>
    <w:p>
      <w:pPr>
        <w:spacing w:after="0" w:line="165"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auto"/>
        </w:rPr>
        <w:t>We regularly provide customers with reports of our costs as the contract progresses. The cost information in the reports is accumulated in a manner specified by the requirements of each contract. For example, cost data provided to a customer for a product would typically align to the subcomponents of that product (such as a wing-box on an aircraft) and for services would align to the type of work being performed (such as aircraft sustainment). Our contracts generally allow for the recovery of costs in the pricing of our products and services. Most of our contracts are bid and negotiated with our customers under circumstances in which we are required to disclose our estimated total costs to provide the product or service. This approach for negotiating contracts with our U.S. Government customers generally allows for recovery of our actual costs plus a reasonable profit margin. We also may enter into long -term supply contracts for certain materials or components to coincide with the production schedule of certain products and to ensure their availability at known unit prices.</w:t>
      </w:r>
    </w:p>
    <w:p>
      <w:pPr>
        <w:spacing w:after="0" w:line="178" w:lineRule="exact"/>
        <w:rPr>
          <w:sz w:val="20"/>
          <w:szCs w:val="20"/>
          <w:color w:val="auto"/>
        </w:rPr>
      </w:pPr>
    </w:p>
    <w:p>
      <w:pPr>
        <w:ind w:right="20" w:firstLine="405"/>
        <w:spacing w:after="0" w:line="251" w:lineRule="auto"/>
        <w:rPr>
          <w:sz w:val="20"/>
          <w:szCs w:val="20"/>
          <w:color w:val="auto"/>
        </w:rPr>
      </w:pPr>
      <w:r>
        <w:rPr>
          <w:rFonts w:ascii="Arial" w:cs="Arial" w:eastAsia="Arial" w:hAnsi="Arial"/>
          <w:sz w:val="18"/>
          <w:szCs w:val="18"/>
          <w:color w:val="auto"/>
        </w:rPr>
        <w:t>Many of our contracts span several years and include highly complex technical requirements. At the outset of a contract, we identify and monitor risks to the achievement of the technical, schedule and cost aspects of the contract and assess the effects of those risks on our estimates of total costs to complete the contract. The estimates consider the technical requirements (e.g., a newly-developed product versus a mature product), the schedule and associated tasks (e.g., the number and type of milestone events) and costs (e.g., material, labor, subcontractor, overhead and the estimated costs to fulfill our industrial cooperation agreements, sometimes referred to as offset agreements, required under certain contracts with international customers). The initial profit booking rate of each contract considers risks surrounding the ability to achieve the technical requirements, schedule and costs in the initial estimated total costs to complete the contract. Profit booking rates may increase during the performance of the contract if we successfully retire risks related to the technical, schedule and cost aspects of the contract, which decreases the estimated total costs to</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complete the contract. Conversely, our profit booking rates may decrease if the estimated total costs to complete the contract increase. All of the estimates are subject to change during the performance of the contract and may affect the profit booking rate.</w:t>
      </w:r>
    </w:p>
    <w:p>
      <w:pPr>
        <w:spacing w:after="0" w:line="171" w:lineRule="exact"/>
        <w:rPr>
          <w:sz w:val="20"/>
          <w:szCs w:val="20"/>
          <w:color w:val="auto"/>
        </w:rPr>
      </w:pPr>
    </w:p>
    <w:p>
      <w:pPr>
        <w:jc w:val="both"/>
        <w:ind w:right="120" w:firstLine="405"/>
        <w:spacing w:after="0" w:line="256" w:lineRule="auto"/>
        <w:rPr>
          <w:sz w:val="20"/>
          <w:szCs w:val="20"/>
          <w:color w:val="auto"/>
        </w:rPr>
      </w:pPr>
      <w:r>
        <w:rPr>
          <w:rFonts w:ascii="Arial" w:cs="Arial" w:eastAsia="Arial" w:hAnsi="Arial"/>
          <w:sz w:val="18"/>
          <w:szCs w:val="18"/>
          <w:color w:val="auto"/>
        </w:rPr>
        <w:t>We have a number of programs that are designated as classified by the U.S. Government which cannot be specifically described. The operating results of these classified programs are included in our consolidated and business segment results and are subjected to the same oversight and internal controls as our other programs.</w:t>
      </w:r>
    </w:p>
    <w:p>
      <w:pPr>
        <w:spacing w:after="0" w:line="161"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Our net sales are primarily derived from long-term contracts for products and services provided to the U.S. Government as well as FMS contracted through the U.S. Government. We recognize revenue as performance obligations are satisfied and the customer obtains control of the products and services. For performance obligations to deliver products with continuous transfer of control to the customer, revenue is recognized based on the extent of progress towards completion of the performance obligation, generally using the percentage-of-completion cost-to-cost measure of progress for our contracts because it best depicts the transfer of control to the customer as we incur costs on our contracts. For performance obligations in which control does not continuously transfer to the customer, we recognize revenue at the point in time in which each performance obligation is fully satisfied. In the third quarter of 2021, lower supply chain activity negatively affected our net sales for the period.</w:t>
      </w:r>
    </w:p>
    <w:p>
      <w:pPr>
        <w:spacing w:after="0" w:line="165" w:lineRule="exact"/>
        <w:rPr>
          <w:sz w:val="20"/>
          <w:szCs w:val="20"/>
          <w:color w:val="auto"/>
        </w:rPr>
      </w:pPr>
    </w:p>
    <w:p>
      <w:pPr>
        <w:ind w:right="760" w:firstLine="405"/>
        <w:spacing w:after="0" w:line="278" w:lineRule="auto"/>
        <w:rPr>
          <w:sz w:val="20"/>
          <w:szCs w:val="20"/>
          <w:color w:val="auto"/>
        </w:rPr>
      </w:pPr>
      <w:r>
        <w:rPr>
          <w:rFonts w:ascii="Arial" w:cs="Arial" w:eastAsia="Arial" w:hAnsi="Arial"/>
          <w:sz w:val="17"/>
          <w:szCs w:val="17"/>
          <w:color w:val="auto"/>
        </w:rPr>
        <w:t>Changes in net sales and operating profit generally are expressed in terms of volume. Changes in volume refer to increases or decreases in sales or operating profit resulting from varying production activity levels, deliveries or service levels on individual contracts. Volume changes in segment operating profit are typically based on the current profit booking rate for a particular contract.</w:t>
      </w:r>
    </w:p>
    <w:p>
      <w:pPr>
        <w:spacing w:after="0" w:line="158"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auto"/>
        </w:rPr>
        <w:t>In addition, comparability of our segment sales, operating profit and operating margin may be impacted favorably or unfavorably by changes in profit booking rates on our contracts for which we recognize revenue over time using the percentage-of-completion cost-to-cost method to measure progress towards completion. Increases in profit booking rates, typically referred to as risk retirements, usually relate to revisions in the estimated total costs to fulfill the performance obligations that reflect improved conditions on a particular contract. Conversely, conditions on a particular contract may deteriorate, resulting in an increase in the estimated total costs to fulfill the performance obligations and a reduction in the profit booking rate. Increases or decreases in profit booking rates are recognized in the current period and reflect the inception-to-date effect of such changes. Segment operating profit and margin may also be impacted favorably or unfavorably by other items, which may or may not impact sales. Favorable items may include the positive resolution of contractual matters, cost recoveries on severance and restructuring charges, insurance recoveries and gains on sales of assets. Unfavorable items may include the adverse resolution of contractual matters; restructuring charges, except for significant severance actions, which are excluded from segment operating results; reserves for disputes; certain asset impairments; and losses on sales of certain assets.</w:t>
      </w:r>
    </w:p>
    <w:p>
      <w:pPr>
        <w:spacing w:after="0" w:line="170" w:lineRule="exact"/>
        <w:rPr>
          <w:sz w:val="20"/>
          <w:szCs w:val="20"/>
          <w:color w:val="auto"/>
        </w:rPr>
      </w:pPr>
    </w:p>
    <w:p>
      <w:pPr>
        <w:ind w:right="80" w:firstLine="405"/>
        <w:spacing w:after="0" w:line="256" w:lineRule="auto"/>
        <w:rPr>
          <w:sz w:val="20"/>
          <w:szCs w:val="20"/>
          <w:color w:val="auto"/>
        </w:rPr>
      </w:pPr>
      <w:r>
        <w:rPr>
          <w:rFonts w:ascii="Arial" w:cs="Arial" w:eastAsia="Arial" w:hAnsi="Arial"/>
          <w:sz w:val="18"/>
          <w:szCs w:val="18"/>
          <w:color w:val="auto"/>
        </w:rPr>
        <w:t>Our consolidated net adjustments not related to volume, including net profit booking rate adjustments and other matters, increased segment operating profit by approximately $580 million and $1.5 billion during the quarters and nine months ended September 26, 2021 and $415 million and $1.4 billion during the quarters and nine months ended September 27, 2020.</w:t>
      </w:r>
    </w:p>
    <w:p>
      <w:pPr>
        <w:spacing w:after="0" w:line="161" w:lineRule="exact"/>
        <w:rPr>
          <w:sz w:val="20"/>
          <w:szCs w:val="20"/>
          <w:color w:val="auto"/>
        </w:rPr>
      </w:pPr>
    </w:p>
    <w:p>
      <w:pPr>
        <w:ind w:right="540" w:firstLine="405"/>
        <w:spacing w:after="0" w:line="261" w:lineRule="auto"/>
        <w:rPr>
          <w:sz w:val="20"/>
          <w:szCs w:val="20"/>
          <w:color w:val="auto"/>
        </w:rPr>
      </w:pPr>
      <w:r>
        <w:rPr>
          <w:rFonts w:ascii="Arial" w:cs="Arial" w:eastAsia="Arial" w:hAnsi="Arial"/>
          <w:sz w:val="18"/>
          <w:szCs w:val="18"/>
          <w:color w:val="auto"/>
        </w:rPr>
        <w:t>We periodically experience performance issues and record losses for certain programs. For further discussion on the programs at Aeronautics, RMS and MFC, see “Note 11 - Other” included in our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840" w:type="dxa"/>
            <w:vAlign w:val="bottom"/>
          </w:tcPr>
          <w:p>
            <w:pPr>
              <w:spacing w:after="0"/>
              <w:rPr>
                <w:sz w:val="20"/>
                <w:szCs w:val="20"/>
                <w:color w:val="auto"/>
              </w:rPr>
            </w:pPr>
            <w:r>
              <w:rPr>
                <w:rFonts w:ascii="Arial" w:cs="Arial" w:eastAsia="Arial" w:hAnsi="Arial"/>
                <w:sz w:val="18"/>
                <w:szCs w:val="18"/>
                <w:b w:val="1"/>
                <w:bCs w:val="1"/>
                <w:color w:val="auto"/>
              </w:rPr>
              <w:t>Aeronautics</w:t>
            </w:r>
          </w:p>
        </w:tc>
        <w:tc>
          <w:tcPr>
            <w:tcW w:w="6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8120" w:type="dxa"/>
            <w:vAlign w:val="bottom"/>
            <w:gridSpan w:val="9"/>
          </w:tcPr>
          <w:p>
            <w:pPr>
              <w:ind w:left="420"/>
              <w:spacing w:after="0"/>
              <w:rPr>
                <w:sz w:val="20"/>
                <w:szCs w:val="20"/>
                <w:color w:val="auto"/>
              </w:rPr>
            </w:pPr>
            <w:r>
              <w:rPr>
                <w:rFonts w:ascii="Arial" w:cs="Arial" w:eastAsia="Arial" w:hAnsi="Arial"/>
                <w:sz w:val="18"/>
                <w:szCs w:val="18"/>
                <w:color w:val="auto"/>
              </w:rPr>
              <w:t>Summary operating results for our Aeronautics business segment were as follows (in millions):</w:t>
            </w: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84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3"/>
          </w:tcPr>
          <w:p>
            <w:pPr>
              <w:jc w:val="right"/>
              <w:ind w:right="730"/>
              <w:spacing w:after="0"/>
              <w:rPr>
                <w:sz w:val="20"/>
                <w:szCs w:val="20"/>
                <w:color w:val="auto"/>
              </w:rPr>
            </w:pPr>
            <w:r>
              <w:rPr>
                <w:rFonts w:ascii="Arial" w:cs="Arial" w:eastAsia="Arial" w:hAnsi="Arial"/>
                <w:sz w:val="18"/>
                <w:szCs w:val="18"/>
                <w:b w:val="1"/>
                <w:bCs w:val="1"/>
                <w:color w:val="auto"/>
              </w:rPr>
              <w:t>Quarters Ended</w:t>
            </w:r>
          </w:p>
        </w:tc>
        <w:tc>
          <w:tcPr>
            <w:tcW w:w="7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3"/>
          </w:tcPr>
          <w:p>
            <w:pPr>
              <w:jc w:val="right"/>
              <w:ind w:right="650"/>
              <w:spacing w:after="0"/>
              <w:rPr>
                <w:sz w:val="20"/>
                <w:szCs w:val="20"/>
                <w:color w:val="auto"/>
              </w:rPr>
            </w:pPr>
            <w:r>
              <w:rPr>
                <w:rFonts w:ascii="Arial" w:cs="Arial" w:eastAsia="Arial" w:hAnsi="Arial"/>
                <w:sz w:val="18"/>
                <w:szCs w:val="18"/>
                <w:b w:val="1"/>
                <w:bCs w:val="1"/>
                <w:color w:val="auto"/>
              </w:rPr>
              <w:t>Nine Months Ended</w:t>
            </w:r>
          </w:p>
        </w:tc>
        <w:tc>
          <w:tcPr>
            <w:tcW w:w="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780" w:type="dxa"/>
            <w:vAlign w:val="bottom"/>
            <w:gridSpan w:val="2"/>
          </w:tcPr>
          <w:p>
            <w:pPr>
              <w:jc w:val="right"/>
              <w:ind w:right="370"/>
              <w:spacing w:after="0" w:line="169" w:lineRule="exact"/>
              <w:rPr>
                <w:sz w:val="20"/>
                <w:szCs w:val="20"/>
                <w:color w:val="auto"/>
              </w:rPr>
            </w:pPr>
            <w:r>
              <w:rPr>
                <w:rFonts w:ascii="Arial" w:cs="Arial" w:eastAsia="Arial" w:hAnsi="Arial"/>
                <w:sz w:val="18"/>
                <w:szCs w:val="18"/>
                <w:b w:val="1"/>
                <w:bCs w:val="1"/>
                <w:color w:val="auto"/>
              </w:rPr>
              <w:t>September 26,</w:t>
            </w:r>
          </w:p>
        </w:tc>
        <w:tc>
          <w:tcPr>
            <w:tcW w:w="540" w:type="dxa"/>
            <w:vAlign w:val="bottom"/>
          </w:tcPr>
          <w:p>
            <w:pPr>
              <w:spacing w:after="0"/>
              <w:rPr>
                <w:sz w:val="14"/>
                <w:szCs w:val="14"/>
                <w:color w:val="auto"/>
              </w:rPr>
            </w:pPr>
          </w:p>
        </w:tc>
        <w:tc>
          <w:tcPr>
            <w:tcW w:w="1800" w:type="dxa"/>
            <w:vAlign w:val="bottom"/>
            <w:gridSpan w:val="2"/>
          </w:tcPr>
          <w:p>
            <w:pPr>
              <w:jc w:val="right"/>
              <w:ind w:right="390"/>
              <w:spacing w:after="0" w:line="169" w:lineRule="exact"/>
              <w:rPr>
                <w:sz w:val="20"/>
                <w:szCs w:val="20"/>
                <w:color w:val="auto"/>
              </w:rPr>
            </w:pPr>
            <w:r>
              <w:rPr>
                <w:rFonts w:ascii="Arial" w:cs="Arial" w:eastAsia="Arial" w:hAnsi="Arial"/>
                <w:sz w:val="18"/>
                <w:szCs w:val="18"/>
                <w:b w:val="1"/>
                <w:bCs w:val="1"/>
                <w:color w:val="auto"/>
              </w:rPr>
              <w:t>September 27,</w:t>
            </w:r>
          </w:p>
        </w:tc>
        <w:tc>
          <w:tcPr>
            <w:tcW w:w="560" w:type="dxa"/>
            <w:vAlign w:val="bottom"/>
          </w:tcPr>
          <w:p>
            <w:pPr>
              <w:spacing w:after="0"/>
              <w:rPr>
                <w:sz w:val="14"/>
                <w:szCs w:val="14"/>
                <w:color w:val="auto"/>
              </w:rPr>
            </w:pPr>
          </w:p>
        </w:tc>
        <w:tc>
          <w:tcPr>
            <w:tcW w:w="1840" w:type="dxa"/>
            <w:vAlign w:val="bottom"/>
            <w:gridSpan w:val="2"/>
          </w:tcPr>
          <w:p>
            <w:pPr>
              <w:jc w:val="right"/>
              <w:ind w:right="410"/>
              <w:spacing w:after="0" w:line="169" w:lineRule="exact"/>
              <w:rPr>
                <w:sz w:val="20"/>
                <w:szCs w:val="20"/>
                <w:color w:val="auto"/>
              </w:rPr>
            </w:pPr>
            <w:r>
              <w:rPr>
                <w:rFonts w:ascii="Arial" w:cs="Arial" w:eastAsia="Arial" w:hAnsi="Arial"/>
                <w:sz w:val="18"/>
                <w:szCs w:val="18"/>
                <w:b w:val="1"/>
                <w:bCs w:val="1"/>
                <w:color w:val="auto"/>
              </w:rPr>
              <w:t>September 26,</w:t>
            </w:r>
          </w:p>
        </w:tc>
        <w:tc>
          <w:tcPr>
            <w:tcW w:w="580" w:type="dxa"/>
            <w:vAlign w:val="bottom"/>
          </w:tcPr>
          <w:p>
            <w:pPr>
              <w:spacing w:after="0"/>
              <w:rPr>
                <w:sz w:val="14"/>
                <w:szCs w:val="14"/>
                <w:color w:val="auto"/>
              </w:rPr>
            </w:pPr>
          </w:p>
        </w:tc>
        <w:tc>
          <w:tcPr>
            <w:tcW w:w="1680" w:type="dxa"/>
            <w:vAlign w:val="bottom"/>
            <w:gridSpan w:val="2"/>
          </w:tcPr>
          <w:p>
            <w:pPr>
              <w:jc w:val="right"/>
              <w:ind w:right="250"/>
              <w:spacing w:after="0" w:line="169" w:lineRule="exact"/>
              <w:rPr>
                <w:sz w:val="20"/>
                <w:szCs w:val="20"/>
                <w:color w:val="auto"/>
              </w:rPr>
            </w:pPr>
            <w:r>
              <w:rPr>
                <w:rFonts w:ascii="Arial" w:cs="Arial" w:eastAsia="Arial" w:hAnsi="Arial"/>
                <w:sz w:val="18"/>
                <w:szCs w:val="18"/>
                <w:b w:val="1"/>
                <w:bCs w:val="1"/>
                <w:color w:val="auto"/>
              </w:rPr>
              <w:t>September 27,</w:t>
            </w:r>
          </w:p>
        </w:tc>
        <w:tc>
          <w:tcPr>
            <w:tcW w:w="0" w:type="dxa"/>
            <w:vAlign w:val="bottom"/>
          </w:tcPr>
          <w:p>
            <w:pPr>
              <w:spacing w:after="0"/>
              <w:rPr>
                <w:sz w:val="1"/>
                <w:szCs w:val="1"/>
                <w:color w:val="auto"/>
              </w:rPr>
            </w:pPr>
          </w:p>
        </w:tc>
      </w:tr>
      <w:tr>
        <w:trPr>
          <w:trHeight w:val="230"/>
        </w:trPr>
        <w:tc>
          <w:tcPr>
            <w:tcW w:w="18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7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7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8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5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sales</w:t>
            </w: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6,568</w:t>
            </w:r>
          </w:p>
        </w:tc>
        <w:tc>
          <w:tcPr>
            <w:tcW w:w="7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6,680</w:t>
            </w:r>
          </w:p>
        </w:tc>
        <w:tc>
          <w:tcPr>
            <w:tcW w:w="76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19,621</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19,552</w:t>
            </w: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40" w:type="dxa"/>
            <w:vAlign w:val="bottom"/>
          </w:tcPr>
          <w:p>
            <w:pPr>
              <w:ind w:left="440"/>
              <w:spacing w:after="0"/>
              <w:rPr>
                <w:sz w:val="20"/>
                <w:szCs w:val="20"/>
                <w:color w:val="auto"/>
              </w:rPr>
            </w:pPr>
            <w:r>
              <w:rPr>
                <w:rFonts w:ascii="Arial" w:cs="Arial" w:eastAsia="Arial" w:hAnsi="Arial"/>
                <w:sz w:val="18"/>
                <w:szCs w:val="18"/>
                <w:color w:val="auto"/>
              </w:rPr>
              <w:t>Operating profit</w:t>
            </w:r>
          </w:p>
        </w:tc>
        <w:tc>
          <w:tcPr>
            <w:tcW w:w="620" w:type="dxa"/>
            <w:vAlign w:val="bottom"/>
          </w:tcPr>
          <w:p>
            <w:pPr>
              <w:spacing w:after="0"/>
              <w:rPr>
                <w:sz w:val="19"/>
                <w:szCs w:val="19"/>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b w:val="1"/>
                <w:bCs w:val="1"/>
                <w:color w:val="auto"/>
              </w:rPr>
              <w:t>714</w:t>
            </w: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705</w:t>
            </w: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1,979</w:t>
            </w:r>
          </w:p>
        </w:tc>
        <w:tc>
          <w:tcPr>
            <w:tcW w:w="8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2,116</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1840" w:type="dxa"/>
            <w:vAlign w:val="bottom"/>
            <w:shd w:val="clear" w:color="auto" w:fill="CCEEFF"/>
          </w:tcPr>
          <w:p>
            <w:pPr>
              <w:ind w:left="440"/>
              <w:spacing w:after="0" w:line="189" w:lineRule="exact"/>
              <w:rPr>
                <w:sz w:val="20"/>
                <w:szCs w:val="20"/>
                <w:color w:val="auto"/>
              </w:rPr>
            </w:pPr>
            <w:r>
              <w:rPr>
                <w:rFonts w:ascii="Arial" w:cs="Arial" w:eastAsia="Arial" w:hAnsi="Arial"/>
                <w:sz w:val="18"/>
                <w:szCs w:val="18"/>
                <w:color w:val="auto"/>
              </w:rPr>
              <w:t>Operating</w:t>
            </w:r>
          </w:p>
        </w:tc>
        <w:tc>
          <w:tcPr>
            <w:tcW w:w="62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10.9</w:t>
            </w:r>
          </w:p>
        </w:tc>
        <w:tc>
          <w:tcPr>
            <w:tcW w:w="780" w:type="dxa"/>
            <w:vAlign w:val="bottom"/>
            <w:vMerge w:val="restart"/>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10.1</w:t>
            </w:r>
          </w:p>
        </w:tc>
        <w:tc>
          <w:tcPr>
            <w:tcW w:w="860" w:type="dxa"/>
            <w:vAlign w:val="bottom"/>
            <w:vMerge w:val="restart"/>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margin</w:t>
            </w:r>
          </w:p>
        </w:tc>
        <w:tc>
          <w:tcPr>
            <w:tcW w:w="6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10.6</w:t>
            </w:r>
          </w:p>
        </w:tc>
        <w:tc>
          <w:tcPr>
            <w:tcW w:w="7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10.8</w:t>
            </w:r>
          </w:p>
        </w:tc>
        <w:tc>
          <w:tcPr>
            <w:tcW w:w="5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69" w:lineRule="exact"/>
        <w:rPr>
          <w:sz w:val="20"/>
          <w:szCs w:val="20"/>
          <w:color w:val="auto"/>
        </w:rPr>
      </w:pPr>
    </w:p>
    <w:p>
      <w:pPr>
        <w:jc w:val="both"/>
        <w:ind w:right="160" w:firstLine="445"/>
        <w:spacing w:after="0" w:line="253" w:lineRule="auto"/>
        <w:rPr>
          <w:sz w:val="20"/>
          <w:szCs w:val="20"/>
          <w:color w:val="auto"/>
        </w:rPr>
      </w:pPr>
      <w:r>
        <w:rPr>
          <w:rFonts w:ascii="Arial" w:cs="Arial" w:eastAsia="Arial" w:hAnsi="Arial"/>
          <w:sz w:val="18"/>
          <w:szCs w:val="18"/>
          <w:color w:val="auto"/>
        </w:rPr>
        <w:t>Aeronautics’ net sales during the quarter ended September 26, 2021 decreased $ 112 million, or 2%, compared to the same period in 2020. The decrease was primarily attributable to lower net sales of approximately $220 million for the F-35 program due to lower volume on development contracts and lower volume and risk retirements on production contracts. This decrease was partially offset by an increase in sales of about $35 million for the F-16 program due to higher production volume that was partially offset by lower sustainment volume; and approximately $30 million for classified development contracts due to higher risk retirements.</w:t>
      </w:r>
    </w:p>
    <w:p>
      <w:pPr>
        <w:spacing w:after="0" w:line="165"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Aeronautics’ operating profit during the quarter ended September 26, 2021 increased $9 million, or 1%, compared to the same period in 2020. The increase was primarily attributable to higher operating profit of approximately $ 45 million for classified development contracts due to higher risk retirements; about $25 million for the C -130 program primarily due to higher risk retirements on sustainment activities; and about $15 million for the F-16 program due to higher risk retirements on sustainment contracts and higher production volume. These increases were partially offset by lower operating profit of approximately $75 million for the F-35 program due to lower risk retirements and volume on production and development contracts that were partially offset by higher risk retirements on sustainment contracts. Adjustments not related to volume, including net profit booking rate adjustments, were $15 million higher in the third quarter of 2021 compared to the same period in 2020.</w:t>
      </w:r>
    </w:p>
    <w:p>
      <w:pPr>
        <w:spacing w:after="0" w:line="165" w:lineRule="exact"/>
        <w:rPr>
          <w:sz w:val="20"/>
          <w:szCs w:val="20"/>
          <w:color w:val="auto"/>
        </w:rPr>
      </w:pPr>
    </w:p>
    <w:p>
      <w:pPr>
        <w:ind w:right="40" w:firstLine="445"/>
        <w:spacing w:after="0" w:line="252" w:lineRule="auto"/>
        <w:rPr>
          <w:sz w:val="20"/>
          <w:szCs w:val="20"/>
          <w:color w:val="auto"/>
        </w:rPr>
      </w:pPr>
      <w:r>
        <w:rPr>
          <w:rFonts w:ascii="Arial" w:cs="Arial" w:eastAsia="Arial" w:hAnsi="Arial"/>
          <w:sz w:val="18"/>
          <w:szCs w:val="18"/>
          <w:color w:val="auto"/>
        </w:rPr>
        <w:t>Aeronautics’ net sales during the nine months ended September 26, 2021 were comparable to the same period in 2020. Net sales increased approximately $180 million on classified development contracts due to higher volume; and about $155 million for the F-16 program due to higher volume and risk retirements on production contracts that was partially offset by lower sustainment volume. These increases were offset by a decrease of approximately $195 million for the F-35 program primarily due to lower volume and risk retirements on development contracts that was partially offset by higher risk retirements and volume on sustainment contracts and higher volume on production contracts; and about $135 million for lower sustainment volume for the F-22 program.</w:t>
      </w:r>
    </w:p>
    <w:p>
      <w:pPr>
        <w:spacing w:after="0" w:line="181" w:lineRule="exact"/>
        <w:rPr>
          <w:sz w:val="20"/>
          <w:szCs w:val="20"/>
          <w:color w:val="auto"/>
        </w:rPr>
      </w:pPr>
    </w:p>
    <w:p>
      <w:pPr>
        <w:ind w:right="60" w:firstLine="445"/>
        <w:spacing w:after="0" w:line="251" w:lineRule="auto"/>
        <w:rPr>
          <w:sz w:val="20"/>
          <w:szCs w:val="20"/>
          <w:color w:val="auto"/>
        </w:rPr>
      </w:pPr>
      <w:r>
        <w:rPr>
          <w:rFonts w:ascii="Arial" w:cs="Arial" w:eastAsia="Arial" w:hAnsi="Arial"/>
          <w:sz w:val="18"/>
          <w:szCs w:val="18"/>
          <w:color w:val="auto"/>
        </w:rPr>
        <w:t>Aeronautics’ operating profit during the nine months ended September 26, 2021 decreased $137 million, or 6%, compared with the same period in 2020. Operating profit decreased approximately $ 175 million for classified contracts primarily due to a $225 million loss in the second quarter of 2021 for performance issues experienced on a classified program partially offset by higher risk retirements in the third quarter of 2021; and about $75 million for the F-35 program due to lower risk retirements and volume on development and production contracts that was offset by higher risk retirements and volume on sustainment contracts. These decreases were partially offset by an increase of approximately $55 million for the C-130 program due to higher risk retirements on sustainment contracts; and about $50 million for the F-16 program due to higher risk retirements on sustainment contracts and higher production volume. Adjustments not related to volume, including net profit booking rate adjustments, were $140 million lower during the nine months ended September 26, 2021 compared to the same period in 2020.</w:t>
      </w:r>
    </w:p>
    <w:p>
      <w:pPr>
        <w:spacing w:after="0" w:line="171" w:lineRule="exact"/>
        <w:rPr>
          <w:sz w:val="20"/>
          <w:szCs w:val="20"/>
          <w:color w:val="auto"/>
        </w:rPr>
      </w:pPr>
    </w:p>
    <w:p>
      <w:pPr>
        <w:ind w:right="80" w:firstLine="445"/>
        <w:spacing w:after="0" w:line="256" w:lineRule="auto"/>
        <w:rPr>
          <w:sz w:val="20"/>
          <w:szCs w:val="20"/>
          <w:color w:val="auto"/>
        </w:rPr>
      </w:pPr>
      <w:r>
        <w:rPr>
          <w:rFonts w:ascii="Arial" w:cs="Arial" w:eastAsia="Arial" w:hAnsi="Arial"/>
          <w:sz w:val="18"/>
          <w:szCs w:val="18"/>
          <w:color w:val="auto"/>
        </w:rPr>
        <w:t>We currently expect Aeronautics’ 2021 net sales to increase in the low-single digit percentage range from 2020 levels driven by increased volume on F-16 and classified programs. Operating profit is expected to be slightly lower than 2020 levels. Operating profit margin for 2021 is expected to be lower than 2020 levels.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340" w:type="dxa"/>
            <w:vAlign w:val="bottom"/>
            <w:gridSpan w:val="2"/>
          </w:tcPr>
          <w:p>
            <w:pPr>
              <w:spacing w:after="0"/>
              <w:rPr>
                <w:sz w:val="20"/>
                <w:szCs w:val="20"/>
                <w:color w:val="auto"/>
              </w:rPr>
            </w:pPr>
            <w:r>
              <w:rPr>
                <w:rFonts w:ascii="Arial" w:cs="Arial" w:eastAsia="Arial" w:hAnsi="Arial"/>
                <w:sz w:val="18"/>
                <w:szCs w:val="18"/>
                <w:b w:val="1"/>
                <w:bCs w:val="1"/>
                <w:color w:val="auto"/>
              </w:rPr>
              <w:t>Missiles and Fire Control</w:t>
            </w:r>
          </w:p>
        </w:tc>
        <w:tc>
          <w:tcPr>
            <w:tcW w:w="10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8120" w:type="dxa"/>
            <w:vAlign w:val="bottom"/>
            <w:gridSpan w:val="9"/>
          </w:tcPr>
          <w:p>
            <w:pPr>
              <w:ind w:left="460"/>
              <w:spacing w:after="0"/>
              <w:rPr>
                <w:sz w:val="20"/>
                <w:szCs w:val="20"/>
                <w:color w:val="auto"/>
              </w:rPr>
            </w:pPr>
            <w:r>
              <w:rPr>
                <w:rFonts w:ascii="Arial" w:cs="Arial" w:eastAsia="Arial" w:hAnsi="Arial"/>
                <w:sz w:val="18"/>
                <w:szCs w:val="18"/>
                <w:color w:val="auto"/>
              </w:rPr>
              <w:t>Summary operating results for our MFC business segment were as follows (in millions):</w:t>
            </w: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660" w:type="dxa"/>
            <w:vAlign w:val="bottom"/>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2700" w:type="dxa"/>
            <w:vAlign w:val="bottom"/>
            <w:tcBorders>
              <w:bottom w:val="single" w:sz="8" w:color="auto"/>
            </w:tcBorders>
            <w:gridSpan w:val="3"/>
          </w:tcPr>
          <w:p>
            <w:pPr>
              <w:jc w:val="right"/>
              <w:ind w:right="1050"/>
              <w:spacing w:after="0"/>
              <w:rPr>
                <w:sz w:val="20"/>
                <w:szCs w:val="20"/>
                <w:color w:val="auto"/>
              </w:rPr>
            </w:pPr>
            <w:r>
              <w:rPr>
                <w:rFonts w:ascii="Arial" w:cs="Arial" w:eastAsia="Arial" w:hAnsi="Arial"/>
                <w:sz w:val="18"/>
                <w:szCs w:val="18"/>
                <w:b w:val="1"/>
                <w:bCs w:val="1"/>
                <w:color w:val="auto"/>
              </w:rPr>
              <w:t>Quarters Ended</w:t>
            </w:r>
          </w:p>
        </w:tc>
        <w:tc>
          <w:tcPr>
            <w:tcW w:w="5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2800" w:type="dxa"/>
            <w:vAlign w:val="bottom"/>
            <w:tcBorders>
              <w:bottom w:val="single" w:sz="8" w:color="auto"/>
            </w:tcBorders>
            <w:gridSpan w:val="3"/>
          </w:tcPr>
          <w:p>
            <w:pPr>
              <w:jc w:val="right"/>
              <w:ind w:right="890"/>
              <w:spacing w:after="0"/>
              <w:rPr>
                <w:sz w:val="20"/>
                <w:szCs w:val="20"/>
                <w:color w:val="auto"/>
              </w:rPr>
            </w:pPr>
            <w:r>
              <w:rPr>
                <w:rFonts w:ascii="Arial" w:cs="Arial" w:eastAsia="Arial" w:hAnsi="Arial"/>
                <w:sz w:val="18"/>
                <w:szCs w:val="18"/>
                <w:b w:val="1"/>
                <w:bCs w:val="1"/>
                <w:color w:val="auto"/>
              </w:rPr>
              <w:t>Nine Months Ended</w:t>
            </w:r>
          </w:p>
        </w:tc>
        <w:tc>
          <w:tcPr>
            <w:tcW w:w="3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1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40" w:type="dxa"/>
            <w:vAlign w:val="bottom"/>
            <w:gridSpan w:val="2"/>
          </w:tcPr>
          <w:p>
            <w:pPr>
              <w:jc w:val="right"/>
              <w:ind w:right="430"/>
              <w:spacing w:after="0" w:line="169" w:lineRule="exact"/>
              <w:rPr>
                <w:sz w:val="20"/>
                <w:szCs w:val="20"/>
                <w:color w:val="auto"/>
              </w:rPr>
            </w:pPr>
            <w:r>
              <w:rPr>
                <w:rFonts w:ascii="Arial" w:cs="Arial" w:eastAsia="Arial" w:hAnsi="Arial"/>
                <w:sz w:val="18"/>
                <w:szCs w:val="18"/>
                <w:b w:val="1"/>
                <w:bCs w:val="1"/>
                <w:color w:val="auto"/>
              </w:rPr>
              <w:t>September 26,</w:t>
            </w:r>
          </w:p>
        </w:tc>
        <w:tc>
          <w:tcPr>
            <w:tcW w:w="580" w:type="dxa"/>
            <w:vAlign w:val="bottom"/>
          </w:tcPr>
          <w:p>
            <w:pPr>
              <w:spacing w:after="0"/>
              <w:rPr>
                <w:sz w:val="14"/>
                <w:szCs w:val="14"/>
                <w:color w:val="auto"/>
              </w:rPr>
            </w:pPr>
          </w:p>
        </w:tc>
        <w:tc>
          <w:tcPr>
            <w:tcW w:w="1320" w:type="dxa"/>
            <w:vAlign w:val="bottom"/>
          </w:tcPr>
          <w:p>
            <w:pPr>
              <w:jc w:val="right"/>
              <w:spacing w:after="0" w:line="169" w:lineRule="exact"/>
              <w:rPr>
                <w:sz w:val="20"/>
                <w:szCs w:val="20"/>
                <w:color w:val="auto"/>
              </w:rPr>
            </w:pPr>
            <w:r>
              <w:rPr>
                <w:rFonts w:ascii="Arial" w:cs="Arial" w:eastAsia="Arial" w:hAnsi="Arial"/>
                <w:sz w:val="18"/>
                <w:szCs w:val="18"/>
                <w:b w:val="1"/>
                <w:bCs w:val="1"/>
                <w:color w:val="auto"/>
              </w:rPr>
              <w:t>September 27,</w:t>
            </w: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60" w:type="dxa"/>
            <w:vAlign w:val="bottom"/>
            <w:gridSpan w:val="2"/>
          </w:tcPr>
          <w:p>
            <w:pPr>
              <w:jc w:val="right"/>
              <w:ind w:right="430"/>
              <w:spacing w:after="0" w:line="169" w:lineRule="exact"/>
              <w:rPr>
                <w:sz w:val="20"/>
                <w:szCs w:val="20"/>
                <w:color w:val="auto"/>
              </w:rPr>
            </w:pPr>
            <w:r>
              <w:rPr>
                <w:rFonts w:ascii="Arial" w:cs="Arial" w:eastAsia="Arial" w:hAnsi="Arial"/>
                <w:sz w:val="18"/>
                <w:szCs w:val="18"/>
                <w:b w:val="1"/>
                <w:bCs w:val="1"/>
                <w:color w:val="auto"/>
              </w:rPr>
              <w:t>September 26,</w:t>
            </w:r>
          </w:p>
        </w:tc>
        <w:tc>
          <w:tcPr>
            <w:tcW w:w="560" w:type="dxa"/>
            <w:vAlign w:val="bottom"/>
          </w:tcPr>
          <w:p>
            <w:pPr>
              <w:spacing w:after="0"/>
              <w:rPr>
                <w:sz w:val="14"/>
                <w:szCs w:val="14"/>
                <w:color w:val="auto"/>
              </w:rPr>
            </w:pPr>
          </w:p>
        </w:tc>
        <w:tc>
          <w:tcPr>
            <w:tcW w:w="1340" w:type="dxa"/>
            <w:vAlign w:val="bottom"/>
          </w:tcPr>
          <w:p>
            <w:pPr>
              <w:jc w:val="right"/>
              <w:spacing w:after="0" w:line="169" w:lineRule="exact"/>
              <w:rPr>
                <w:sz w:val="20"/>
                <w:szCs w:val="20"/>
                <w:color w:val="auto"/>
              </w:rPr>
            </w:pPr>
            <w:r>
              <w:rPr>
                <w:rFonts w:ascii="Arial" w:cs="Arial" w:eastAsia="Arial" w:hAnsi="Arial"/>
                <w:sz w:val="18"/>
                <w:szCs w:val="18"/>
                <w:b w:val="1"/>
                <w:bCs w:val="1"/>
                <w:color w:val="auto"/>
              </w:rPr>
              <w:t>September 27,</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16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8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5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9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6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sales</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2,781</w:t>
            </w:r>
          </w:p>
        </w:tc>
        <w:tc>
          <w:tcPr>
            <w:tcW w:w="8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2,971</w:t>
            </w:r>
          </w:p>
        </w:tc>
        <w:tc>
          <w:tcPr>
            <w:tcW w:w="5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8,474</w:t>
            </w:r>
          </w:p>
        </w:tc>
        <w:tc>
          <w:tcPr>
            <w:tcW w:w="9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8,391</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1660" w:type="dxa"/>
            <w:vAlign w:val="bottom"/>
          </w:tcPr>
          <w:p>
            <w:pPr>
              <w:ind w:left="480"/>
              <w:spacing w:after="0" w:line="189" w:lineRule="exact"/>
              <w:rPr>
                <w:sz w:val="20"/>
                <w:szCs w:val="20"/>
                <w:color w:val="auto"/>
              </w:rPr>
            </w:pPr>
            <w:r>
              <w:rPr>
                <w:rFonts w:ascii="Arial" w:cs="Arial" w:eastAsia="Arial" w:hAnsi="Arial"/>
                <w:sz w:val="18"/>
                <w:szCs w:val="18"/>
                <w:color w:val="auto"/>
              </w:rPr>
              <w:t>Operating</w:t>
            </w:r>
          </w:p>
        </w:tc>
        <w:tc>
          <w:tcPr>
            <w:tcW w:w="680" w:type="dxa"/>
            <w:vAlign w:val="bottom"/>
          </w:tcPr>
          <w:p>
            <w:pPr>
              <w:spacing w:after="0"/>
              <w:rPr>
                <w:sz w:val="16"/>
                <w:szCs w:val="16"/>
                <w:color w:val="auto"/>
              </w:rPr>
            </w:pPr>
          </w:p>
        </w:tc>
        <w:tc>
          <w:tcPr>
            <w:tcW w:w="104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413</w:t>
            </w:r>
          </w:p>
        </w:tc>
        <w:tc>
          <w:tcPr>
            <w:tcW w:w="8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6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1,210</w:t>
            </w:r>
          </w:p>
        </w:tc>
        <w:tc>
          <w:tcPr>
            <w:tcW w:w="9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660" w:type="dxa"/>
            <w:vAlign w:val="bottom"/>
          </w:tcPr>
          <w:p>
            <w:pPr>
              <w:ind w:left="20"/>
              <w:spacing w:after="0"/>
              <w:rPr>
                <w:sz w:val="20"/>
                <w:szCs w:val="20"/>
                <w:color w:val="auto"/>
              </w:rPr>
            </w:pPr>
            <w:r>
              <w:rPr>
                <w:rFonts w:ascii="Arial" w:cs="Arial" w:eastAsia="Arial" w:hAnsi="Arial"/>
                <w:sz w:val="18"/>
                <w:szCs w:val="18"/>
                <w:color w:val="auto"/>
              </w:rPr>
              <w:t>profit</w:t>
            </w:r>
          </w:p>
        </w:tc>
        <w:tc>
          <w:tcPr>
            <w:tcW w:w="68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20" w:type="dxa"/>
            <w:vAlign w:val="bottom"/>
          </w:tcPr>
          <w:p>
            <w:pPr>
              <w:jc w:val="right"/>
              <w:ind w:right="410"/>
              <w:spacing w:after="0"/>
              <w:rPr>
                <w:sz w:val="20"/>
                <w:szCs w:val="20"/>
                <w:color w:val="auto"/>
              </w:rPr>
            </w:pPr>
            <w:r>
              <w:rPr>
                <w:rFonts w:ascii="Arial" w:cs="Arial" w:eastAsia="Arial" w:hAnsi="Arial"/>
                <w:sz w:val="18"/>
                <w:szCs w:val="18"/>
                <w:color w:val="auto"/>
              </w:rPr>
              <w:t>405</w:t>
            </w: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jc w:val="right"/>
              <w:ind w:right="410"/>
              <w:spacing w:after="0"/>
              <w:rPr>
                <w:sz w:val="20"/>
                <w:szCs w:val="20"/>
                <w:color w:val="auto"/>
              </w:rPr>
            </w:pPr>
            <w:r>
              <w:rPr>
                <w:rFonts w:ascii="Arial" w:cs="Arial" w:eastAsia="Arial" w:hAnsi="Arial"/>
                <w:sz w:val="18"/>
                <w:szCs w:val="18"/>
                <w:color w:val="auto"/>
              </w:rPr>
              <w:t>1,171</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660" w:type="dxa"/>
            <w:vAlign w:val="bottom"/>
            <w:shd w:val="clear" w:color="auto" w:fill="CCEEFF"/>
          </w:tcPr>
          <w:p>
            <w:pPr>
              <w:ind w:left="480"/>
              <w:spacing w:after="0" w:line="189" w:lineRule="exact"/>
              <w:rPr>
                <w:sz w:val="20"/>
                <w:szCs w:val="20"/>
                <w:color w:val="auto"/>
              </w:rPr>
            </w:pPr>
            <w:r>
              <w:rPr>
                <w:rFonts w:ascii="Arial" w:cs="Arial" w:eastAsia="Arial" w:hAnsi="Arial"/>
                <w:sz w:val="18"/>
                <w:szCs w:val="18"/>
                <w:color w:val="auto"/>
              </w:rPr>
              <w:t>Operating</w:t>
            </w:r>
          </w:p>
        </w:tc>
        <w:tc>
          <w:tcPr>
            <w:tcW w:w="68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14.9</w:t>
            </w:r>
          </w:p>
        </w:tc>
        <w:tc>
          <w:tcPr>
            <w:tcW w:w="80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14.3</w:t>
            </w:r>
          </w:p>
        </w:tc>
        <w:tc>
          <w:tcPr>
            <w:tcW w:w="90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margin</w:t>
            </w:r>
          </w:p>
        </w:tc>
        <w:tc>
          <w:tcPr>
            <w:tcW w:w="6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13.6</w:t>
            </w:r>
          </w:p>
        </w:tc>
        <w:tc>
          <w:tcPr>
            <w:tcW w:w="5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87"/>
              </w:rPr>
              <w:t>%</w:t>
            </w:r>
          </w:p>
        </w:tc>
        <w:tc>
          <w:tcPr>
            <w:tcW w:w="5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14.0</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bl>
    <w:p>
      <w:pPr>
        <w:spacing w:after="0" w:line="269"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MFC’s net sales during the quarter ended September 26, 2021 decreased $190 million, or 6%, compared to the same period in 2020. The decrease was primarily attributable to lower net sales of approximately $130 million for tactical and strike missile programs due to lower volume (GMLRS and Hellfire); and a net decrease of about $50 million for sensors and global sustainment programs due to lower volume (primarily Sniper Advanced Targeting Pod (SNIPER®) and Infrared Search and Track (IRST)) that was partially offset by higher risk retirements due to close out activities related to the Warrior Capability Sustainment Program (Warrior) that was terminated by the customer in March 2021.</w:t>
      </w:r>
    </w:p>
    <w:p>
      <w:pPr>
        <w:spacing w:after="0" w:line="168"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MFC’s operating profit during the quarter ended September 26, 2021 increased $8 million, or 2% compared to the same period in 2020. Operating profit increased approximately $20 million on integrated air and missile defense programs due to higher risk retirements (primarily PAC-3), and about $15 million for sensors and global sustainment programs primarily due to the reversal of a portion of previously recorded losses on the Warrior program in the third quarter of 2021 that are no longer expected to be incurred as a result of the program being terminated that was partially offset by lower volume (primarily IRST and SNIPER). These increases were offset by charges of approximately $25 million for performance issues on an energy program. Operating profit for tactical and strike missile programs was comparable as lower volume (primarily GMLRS and Hellfire) was offset by higher risk retirements (primarily Hellfire). Adjustments not related to volume, including net profit booking rate adjustments, were approximately $70 million higher in the third quarter of 2021 compared to the same period in 2020.</w:t>
      </w:r>
    </w:p>
    <w:p>
      <w:pPr>
        <w:spacing w:after="0" w:line="165"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MFC’s net sales during the nine months ended September 26, 2021 increased $83 million, or 1%, compared to the same period in 2020. The increase was primarily attributable to higher net sales of approximately $140 million for integrated air and missile defense programs due to higher volume and risk retirements (primarily PAC-3). This increase in net sales was partially offset by approximately $50 million for sensors and global sustainment programs due to lower volume (primarily SNIPER, IRST and Apache) that was partially offset by higher risk retirements due to close out activities related to Warrior and higher volume (primarily SOF GLSS).</w:t>
      </w:r>
    </w:p>
    <w:p>
      <w:pPr>
        <w:spacing w:after="0" w:line="178"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MFC’s operating profit during the nine months ended September 26, 2021 increased $39 million, or 3%, compared to the same period in 2020. Operating profit increased approximately $40 million for integrated air and missile defense programs due to higher risk retirements and volume (primarily PAC-3) that was offset by lower risk retirements (primarily THAAD); and about $20 million for sensors and global sustainment programs due to the reversal of a portion of previously recorded losses on the Warrior program in the second and third quarters of 2021 that are no longer expected to be incurred as a result of the program being terminated that was partially offset by lower volume and risk retirements (SNIPER and Apache). These increases were partially offset by approximately $25 million of charges due to performance issues on an energy program. Adjustments not related to volume, including net profit booking rate adjustments, were approximately $80 million higher during the nine months ended September 26, 2021 compared to the same period in 2020.</w:t>
      </w:r>
    </w:p>
    <w:p>
      <w:pPr>
        <w:spacing w:after="0" w:line="165" w:lineRule="exact"/>
        <w:rPr>
          <w:sz w:val="20"/>
          <w:szCs w:val="20"/>
          <w:color w:val="auto"/>
        </w:rPr>
      </w:pPr>
    </w:p>
    <w:p>
      <w:pPr>
        <w:ind w:right="340" w:firstLine="324"/>
        <w:spacing w:after="0" w:line="256" w:lineRule="auto"/>
        <w:rPr>
          <w:sz w:val="20"/>
          <w:szCs w:val="20"/>
          <w:color w:val="auto"/>
        </w:rPr>
      </w:pPr>
      <w:r>
        <w:rPr>
          <w:rFonts w:ascii="Arial" w:cs="Arial" w:eastAsia="Arial" w:hAnsi="Arial"/>
          <w:sz w:val="18"/>
          <w:szCs w:val="18"/>
          <w:color w:val="auto"/>
        </w:rPr>
        <w:t>We expect MFC’s 2021 net sales to increase in the low-single digit percentage range from 2020 levels driven by higher volume in the integrated air and missile defense business, primarily PAC-3. Operating profit is expected to increase in the low-to-mid-single digit percentage range above 2020 levels. Operating profit margin for 2021 is expected to be higher than 2020 levels.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280" w:type="dxa"/>
            <w:vAlign w:val="bottom"/>
            <w:gridSpan w:val="3"/>
          </w:tcPr>
          <w:p>
            <w:pPr>
              <w:spacing w:after="0"/>
              <w:rPr>
                <w:sz w:val="20"/>
                <w:szCs w:val="20"/>
                <w:color w:val="auto"/>
              </w:rPr>
            </w:pPr>
            <w:r>
              <w:rPr>
                <w:rFonts w:ascii="Arial" w:cs="Arial" w:eastAsia="Arial" w:hAnsi="Arial"/>
                <w:sz w:val="18"/>
                <w:szCs w:val="18"/>
                <w:b w:val="1"/>
                <w:bCs w:val="1"/>
                <w:color w:val="auto"/>
              </w:rPr>
              <w:t>Rotary and Mission Systems</w:t>
            </w:r>
          </w:p>
        </w:tc>
        <w:tc>
          <w:tcPr>
            <w:tcW w:w="8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8060" w:type="dxa"/>
            <w:vAlign w:val="bottom"/>
            <w:gridSpan w:val="9"/>
          </w:tcPr>
          <w:p>
            <w:pPr>
              <w:ind w:left="460"/>
              <w:spacing w:after="0"/>
              <w:rPr>
                <w:sz w:val="20"/>
                <w:szCs w:val="20"/>
                <w:color w:val="auto"/>
              </w:rPr>
            </w:pPr>
            <w:r>
              <w:rPr>
                <w:rFonts w:ascii="Arial" w:cs="Arial" w:eastAsia="Arial" w:hAnsi="Arial"/>
                <w:sz w:val="18"/>
                <w:szCs w:val="18"/>
                <w:color w:val="auto"/>
              </w:rPr>
              <w:t>Summary operating results for our RMS business segment were as follows (in millions):</w:t>
            </w: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580" w:type="dxa"/>
            <w:vAlign w:val="bottom"/>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2680" w:type="dxa"/>
            <w:vAlign w:val="bottom"/>
            <w:tcBorders>
              <w:bottom w:val="single" w:sz="8" w:color="auto"/>
            </w:tcBorders>
            <w:gridSpan w:val="3"/>
          </w:tcPr>
          <w:p>
            <w:pPr>
              <w:jc w:val="right"/>
              <w:ind w:right="1050"/>
              <w:spacing w:after="0"/>
              <w:rPr>
                <w:sz w:val="20"/>
                <w:szCs w:val="20"/>
                <w:color w:val="auto"/>
              </w:rPr>
            </w:pPr>
            <w:r>
              <w:rPr>
                <w:rFonts w:ascii="Arial" w:cs="Arial" w:eastAsia="Arial" w:hAnsi="Arial"/>
                <w:sz w:val="18"/>
                <w:szCs w:val="18"/>
                <w:b w:val="1"/>
                <w:bCs w:val="1"/>
                <w:color w:val="auto"/>
              </w:rPr>
              <w:t>Quarters Ended</w:t>
            </w:r>
          </w:p>
        </w:tc>
        <w:tc>
          <w:tcPr>
            <w:tcW w:w="5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2840" w:type="dxa"/>
            <w:vAlign w:val="bottom"/>
            <w:tcBorders>
              <w:bottom w:val="single" w:sz="8" w:color="auto"/>
            </w:tcBorders>
            <w:gridSpan w:val="3"/>
          </w:tcPr>
          <w:p>
            <w:pPr>
              <w:jc w:val="right"/>
              <w:ind w:right="950"/>
              <w:spacing w:after="0"/>
              <w:rPr>
                <w:sz w:val="20"/>
                <w:szCs w:val="20"/>
                <w:color w:val="auto"/>
              </w:rPr>
            </w:pPr>
            <w:r>
              <w:rPr>
                <w:rFonts w:ascii="Arial" w:cs="Arial" w:eastAsia="Arial" w:hAnsi="Arial"/>
                <w:sz w:val="18"/>
                <w:szCs w:val="18"/>
                <w:b w:val="1"/>
                <w:bCs w:val="1"/>
                <w:color w:val="auto"/>
              </w:rPr>
              <w:t>Nine Months Ended</w:t>
            </w:r>
          </w:p>
        </w:tc>
        <w:tc>
          <w:tcPr>
            <w:tcW w:w="3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1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60" w:type="dxa"/>
            <w:vAlign w:val="bottom"/>
            <w:gridSpan w:val="2"/>
          </w:tcPr>
          <w:p>
            <w:pPr>
              <w:jc w:val="right"/>
              <w:ind w:right="430"/>
              <w:spacing w:after="0" w:line="169" w:lineRule="exact"/>
              <w:rPr>
                <w:sz w:val="20"/>
                <w:szCs w:val="20"/>
                <w:color w:val="auto"/>
              </w:rPr>
            </w:pPr>
            <w:r>
              <w:rPr>
                <w:rFonts w:ascii="Arial" w:cs="Arial" w:eastAsia="Arial" w:hAnsi="Arial"/>
                <w:sz w:val="18"/>
                <w:szCs w:val="18"/>
                <w:b w:val="1"/>
                <w:bCs w:val="1"/>
                <w:color w:val="auto"/>
              </w:rPr>
              <w:t>September 26,</w:t>
            </w:r>
          </w:p>
        </w:tc>
        <w:tc>
          <w:tcPr>
            <w:tcW w:w="540" w:type="dxa"/>
            <w:vAlign w:val="bottom"/>
          </w:tcPr>
          <w:p>
            <w:pPr>
              <w:spacing w:after="0"/>
              <w:rPr>
                <w:sz w:val="14"/>
                <w:szCs w:val="14"/>
                <w:color w:val="auto"/>
              </w:rPr>
            </w:pPr>
          </w:p>
        </w:tc>
        <w:tc>
          <w:tcPr>
            <w:tcW w:w="1320" w:type="dxa"/>
            <w:vAlign w:val="bottom"/>
          </w:tcPr>
          <w:p>
            <w:pPr>
              <w:jc w:val="right"/>
              <w:spacing w:after="0" w:line="169" w:lineRule="exact"/>
              <w:rPr>
                <w:sz w:val="20"/>
                <w:szCs w:val="20"/>
                <w:color w:val="auto"/>
              </w:rPr>
            </w:pPr>
            <w:r>
              <w:rPr>
                <w:rFonts w:ascii="Arial" w:cs="Arial" w:eastAsia="Arial" w:hAnsi="Arial"/>
                <w:sz w:val="18"/>
                <w:szCs w:val="18"/>
                <w:b w:val="1"/>
                <w:bCs w:val="1"/>
                <w:color w:val="auto"/>
              </w:rPr>
              <w:t>September 27,</w:t>
            </w: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920" w:type="dxa"/>
            <w:vAlign w:val="bottom"/>
            <w:gridSpan w:val="2"/>
          </w:tcPr>
          <w:p>
            <w:pPr>
              <w:jc w:val="right"/>
              <w:ind w:right="470"/>
              <w:spacing w:after="0" w:line="169" w:lineRule="exact"/>
              <w:rPr>
                <w:sz w:val="20"/>
                <w:szCs w:val="20"/>
                <w:color w:val="auto"/>
              </w:rPr>
            </w:pPr>
            <w:r>
              <w:rPr>
                <w:rFonts w:ascii="Arial" w:cs="Arial" w:eastAsia="Arial" w:hAnsi="Arial"/>
                <w:sz w:val="18"/>
                <w:szCs w:val="18"/>
                <w:b w:val="1"/>
                <w:bCs w:val="1"/>
                <w:color w:val="auto"/>
              </w:rPr>
              <w:t>September 26,</w:t>
            </w:r>
          </w:p>
        </w:tc>
        <w:tc>
          <w:tcPr>
            <w:tcW w:w="580" w:type="dxa"/>
            <w:vAlign w:val="bottom"/>
          </w:tcPr>
          <w:p>
            <w:pPr>
              <w:spacing w:after="0"/>
              <w:rPr>
                <w:sz w:val="14"/>
                <w:szCs w:val="14"/>
                <w:color w:val="auto"/>
              </w:rPr>
            </w:pPr>
          </w:p>
        </w:tc>
        <w:tc>
          <w:tcPr>
            <w:tcW w:w="1360" w:type="dxa"/>
            <w:vAlign w:val="bottom"/>
          </w:tcPr>
          <w:p>
            <w:pPr>
              <w:jc w:val="right"/>
              <w:spacing w:after="0" w:line="169" w:lineRule="exact"/>
              <w:rPr>
                <w:sz w:val="20"/>
                <w:szCs w:val="20"/>
                <w:color w:val="auto"/>
              </w:rPr>
            </w:pPr>
            <w:r>
              <w:rPr>
                <w:rFonts w:ascii="Arial" w:cs="Arial" w:eastAsia="Arial" w:hAnsi="Arial"/>
                <w:sz w:val="18"/>
                <w:szCs w:val="18"/>
                <w:b w:val="1"/>
                <w:bCs w:val="1"/>
                <w:color w:val="auto"/>
              </w:rPr>
              <w:t>September 27,</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15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8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5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5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sales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3,980</w:t>
            </w:r>
          </w:p>
        </w:tc>
        <w:tc>
          <w:tcPr>
            <w:tcW w:w="8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3,998</w:t>
            </w:r>
          </w:p>
        </w:tc>
        <w:tc>
          <w:tcPr>
            <w:tcW w:w="5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12,329</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11,783</w:t>
            </w: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1580" w:type="dxa"/>
            <w:vAlign w:val="bottom"/>
          </w:tcPr>
          <w:p>
            <w:pPr>
              <w:ind w:left="480"/>
              <w:spacing w:after="0" w:line="189" w:lineRule="exact"/>
              <w:rPr>
                <w:sz w:val="20"/>
                <w:szCs w:val="20"/>
                <w:color w:val="auto"/>
              </w:rPr>
            </w:pPr>
            <w:r>
              <w:rPr>
                <w:rFonts w:ascii="Arial" w:cs="Arial" w:eastAsia="Arial" w:hAnsi="Arial"/>
                <w:sz w:val="18"/>
                <w:szCs w:val="18"/>
                <w:color w:val="auto"/>
              </w:rPr>
              <w:t>Operating</w:t>
            </w:r>
          </w:p>
        </w:tc>
        <w:tc>
          <w:tcPr>
            <w:tcW w:w="660" w:type="dxa"/>
            <w:vAlign w:val="bottom"/>
          </w:tcPr>
          <w:p>
            <w:pPr>
              <w:spacing w:after="0"/>
              <w:rPr>
                <w:sz w:val="16"/>
                <w:szCs w:val="16"/>
                <w:color w:val="auto"/>
              </w:rPr>
            </w:pPr>
          </w:p>
        </w:tc>
        <w:tc>
          <w:tcPr>
            <w:tcW w:w="104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459</w:t>
            </w:r>
          </w:p>
        </w:tc>
        <w:tc>
          <w:tcPr>
            <w:tcW w:w="8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2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1,350</w:t>
            </w: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580" w:type="dxa"/>
            <w:vAlign w:val="bottom"/>
          </w:tcPr>
          <w:p>
            <w:pPr>
              <w:ind w:left="20"/>
              <w:spacing w:after="0"/>
              <w:rPr>
                <w:sz w:val="20"/>
                <w:szCs w:val="20"/>
                <w:color w:val="auto"/>
              </w:rPr>
            </w:pPr>
            <w:r>
              <w:rPr>
                <w:rFonts w:ascii="Arial" w:cs="Arial" w:eastAsia="Arial" w:hAnsi="Arial"/>
                <w:sz w:val="18"/>
                <w:szCs w:val="18"/>
                <w:color w:val="auto"/>
              </w:rPr>
              <w:t>profit</w:t>
            </w:r>
          </w:p>
        </w:tc>
        <w:tc>
          <w:tcPr>
            <w:tcW w:w="66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20" w:type="dxa"/>
            <w:vAlign w:val="bottom"/>
          </w:tcPr>
          <w:p>
            <w:pPr>
              <w:jc w:val="right"/>
              <w:ind w:right="410"/>
              <w:spacing w:after="0"/>
              <w:rPr>
                <w:sz w:val="20"/>
                <w:szCs w:val="20"/>
                <w:color w:val="auto"/>
              </w:rPr>
            </w:pPr>
            <w:r>
              <w:rPr>
                <w:rFonts w:ascii="Arial" w:cs="Arial" w:eastAsia="Arial" w:hAnsi="Arial"/>
                <w:sz w:val="18"/>
                <w:szCs w:val="18"/>
                <w:color w:val="auto"/>
              </w:rPr>
              <w:t>404</w:t>
            </w: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60" w:type="dxa"/>
            <w:vAlign w:val="bottom"/>
          </w:tcPr>
          <w:p>
            <w:pPr>
              <w:jc w:val="right"/>
              <w:ind w:right="370"/>
              <w:spacing w:after="0"/>
              <w:rPr>
                <w:sz w:val="20"/>
                <w:szCs w:val="20"/>
                <w:color w:val="auto"/>
              </w:rPr>
            </w:pPr>
            <w:r>
              <w:rPr>
                <w:rFonts w:ascii="Arial" w:cs="Arial" w:eastAsia="Arial" w:hAnsi="Arial"/>
                <w:sz w:val="18"/>
                <w:szCs w:val="18"/>
                <w:color w:val="auto"/>
              </w:rPr>
              <w:t>1,209</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580" w:type="dxa"/>
            <w:vAlign w:val="bottom"/>
            <w:shd w:val="clear" w:color="auto" w:fill="CCEEFF"/>
          </w:tcPr>
          <w:p>
            <w:pPr>
              <w:ind w:left="480"/>
              <w:spacing w:after="0" w:line="189" w:lineRule="exact"/>
              <w:rPr>
                <w:sz w:val="20"/>
                <w:szCs w:val="20"/>
                <w:color w:val="auto"/>
              </w:rPr>
            </w:pPr>
            <w:r>
              <w:rPr>
                <w:rFonts w:ascii="Arial" w:cs="Arial" w:eastAsia="Arial" w:hAnsi="Arial"/>
                <w:sz w:val="18"/>
                <w:szCs w:val="18"/>
                <w:color w:val="auto"/>
              </w:rPr>
              <w:t>Operating</w:t>
            </w:r>
          </w:p>
        </w:tc>
        <w:tc>
          <w:tcPr>
            <w:tcW w:w="66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11.5</w:t>
            </w:r>
          </w:p>
        </w:tc>
        <w:tc>
          <w:tcPr>
            <w:tcW w:w="82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10.9</w:t>
            </w:r>
          </w:p>
        </w:tc>
        <w:tc>
          <w:tcPr>
            <w:tcW w:w="900" w:type="dxa"/>
            <w:vAlign w:val="bottom"/>
            <w:vMerge w:val="restart"/>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margin</w:t>
            </w:r>
          </w:p>
        </w:tc>
        <w:tc>
          <w:tcPr>
            <w:tcW w:w="6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10.1</w:t>
            </w:r>
          </w:p>
        </w:tc>
        <w:tc>
          <w:tcPr>
            <w:tcW w:w="5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87"/>
              </w:rPr>
              <w:t>%</w:t>
            </w:r>
          </w:p>
        </w:tc>
        <w:tc>
          <w:tcPr>
            <w:tcW w:w="5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10.3</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69"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RMS’ net sales during the quarter ended September 26, 2021 were comparable with the same period in 2020. Net sales decreased by approximately $50 million for IWSS programs due to lower volume on radar surveillance systems (primarily TPQ-53) and the Littoral Combat Ship (LCS) program; about $45 million for various C6ISR (command, control, communications, computers, cyber, combat systems, intelligence, surveillance, and reconnaissance) programs due to lower volume; and about $30 million for various training and logistics solutions programs primarily due to lower risk retirements and volume. These decreases were offset by higher net sales of approximately $120 million for Sikorsky helicopter programs due to higher risk retirements (Black Hawk, Seahawk and CH-53-K) and higher production volume (Combat Rescue Helicopter (CRH) and Seahawk).</w:t>
      </w:r>
    </w:p>
    <w:p>
      <w:pPr>
        <w:spacing w:after="0" w:line="166"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RMS’ operating profit during the quarter ended September 26, 2021 increased $55 million, or 14%, compared to the same period in 2020. The increase was primarily attributable to higher operating profit of approximately $75 million for Sikorsky helicopter programs due to higher risk retirements (Black Hawk, Seahawk and CH-53K) and higher production volume (CRH). This increase was partially offset by a decrease of approximately $20 million for training and logistics solutions programs primarily due to lower risk retirements and volume; and about $15 million for IWSS programs due to charges that were $30 million higher on a ground-based radar program partially offset by higher risk retirements on Vertical Launching System (VLS) programs. Operating profit for C6ISR programs was comparable as lower volume was offset by lower charges on certain programs (primarily undersea combat systems programs). Adjustments not related to volume, including net profit booking rate adjustments, were $50 million higher in the third quarter of 2021 compared to the same period in 2020.</w:t>
      </w:r>
    </w:p>
    <w:p>
      <w:pPr>
        <w:spacing w:after="0" w:line="165"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RMS’ net sales during the nine months ended September 26, 2021 increased $546 million, or 5%, compared to the same period in 2020. The increase was attributable to higher net sales of $520 million for Sikorsky helicopter programs due to higher production volume (CH-53K, Black Hawk, CRH, and VH-92A) and higher risk retirements (Black Hawk and CRH); and about $270 million for training and logistics solutions programs primarily due to the delivery of an international pilot training system in the first quarter of 2021. These increases were partially offset by lower net sales of about $135 million for various C6ISR programs due to lower volume; and about $110 million for IWSS programs due to lower volume on the LCS and TPQ-53 programs that were partially offset by higher volume on the Canadian Surface Combatant (CSC) and Aegis programs.</w:t>
      </w:r>
    </w:p>
    <w:p>
      <w:pPr>
        <w:spacing w:after="0" w:line="180"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RMS’ operating profit during the nine months ended September 26, 2021 increased $141 million, or 12%, compared to the same period in 2020. Operating profit increased approximately $110 million for Sikorsky helicopter programs due to higher production volume and risk retirements (Black Hawk), and higher production volume (CH-53K and CRH); and about $10 million for IWSS programs due to charges that were lower on a ground-based radar program and higher volume on the CSC program, partially offset by lower volume and risk retirements on the LCS program. Operating profit for C6ISR programs was comparable due to lower volume was offset by lower charges on certain programs (primarily undersea combat systems programs). Operating profit for training and logistics solutions programs was comparable due to higher volume being offset by lower risk retirements. Adjustments not related to volume, including net profit booking rate adjustments, were $70 million higher during the nine months ended September 26, 2021 compared to the same period in 2020.</w:t>
      </w:r>
    </w:p>
    <w:p>
      <w:pPr>
        <w:spacing w:after="0" w:line="165" w:lineRule="exact"/>
        <w:rPr>
          <w:sz w:val="20"/>
          <w:szCs w:val="20"/>
          <w:color w:val="auto"/>
        </w:rPr>
      </w:pPr>
    </w:p>
    <w:p>
      <w:pPr>
        <w:jc w:val="both"/>
        <w:ind w:right="100" w:firstLine="324"/>
        <w:spacing w:after="0" w:line="256" w:lineRule="auto"/>
        <w:rPr>
          <w:sz w:val="20"/>
          <w:szCs w:val="20"/>
          <w:color w:val="auto"/>
        </w:rPr>
      </w:pPr>
      <w:r>
        <w:rPr>
          <w:rFonts w:ascii="Arial" w:cs="Arial" w:eastAsia="Arial" w:hAnsi="Arial"/>
          <w:sz w:val="18"/>
          <w:szCs w:val="18"/>
          <w:color w:val="auto"/>
        </w:rPr>
        <w:t>We currently expect RMS’ 2021 net sales to increase in the mid-single digit percentage range from 2020 levels driven by higher volume on Sikorsky helicopter programs and TLS programs. Operating profit is expected to increase in the low-double digit percentage range above 2020 levels. Operating profit margin for 2021 is expected to be higher than 2020 levels.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660" w:type="dxa"/>
            <w:vAlign w:val="bottom"/>
          </w:tcPr>
          <w:p>
            <w:pPr>
              <w:spacing w:after="0"/>
              <w:rPr>
                <w:sz w:val="20"/>
                <w:szCs w:val="20"/>
                <w:color w:val="auto"/>
              </w:rPr>
            </w:pPr>
            <w:r>
              <w:rPr>
                <w:rFonts w:ascii="Arial" w:cs="Arial" w:eastAsia="Arial" w:hAnsi="Arial"/>
                <w:sz w:val="18"/>
                <w:szCs w:val="18"/>
                <w:b w:val="1"/>
                <w:bCs w:val="1"/>
                <w:color w:val="auto"/>
              </w:rPr>
              <w:t>Space</w:t>
            </w:r>
          </w:p>
        </w:tc>
        <w:tc>
          <w:tcPr>
            <w:tcW w:w="6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8120" w:type="dxa"/>
            <w:vAlign w:val="bottom"/>
            <w:gridSpan w:val="9"/>
          </w:tcPr>
          <w:p>
            <w:pPr>
              <w:ind w:left="460"/>
              <w:spacing w:after="0"/>
              <w:rPr>
                <w:sz w:val="20"/>
                <w:szCs w:val="20"/>
                <w:color w:val="auto"/>
              </w:rPr>
            </w:pPr>
            <w:r>
              <w:rPr>
                <w:rFonts w:ascii="Arial" w:cs="Arial" w:eastAsia="Arial" w:hAnsi="Arial"/>
                <w:sz w:val="18"/>
                <w:szCs w:val="18"/>
                <w:color w:val="auto"/>
              </w:rPr>
              <w:t>Summary operating results for our Space business segment were as follows (in millions):</w:t>
            </w: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660" w:type="dxa"/>
            <w:vAlign w:val="bottom"/>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2700" w:type="dxa"/>
            <w:vAlign w:val="bottom"/>
            <w:tcBorders>
              <w:bottom w:val="single" w:sz="8" w:color="auto"/>
            </w:tcBorders>
            <w:gridSpan w:val="3"/>
          </w:tcPr>
          <w:p>
            <w:pPr>
              <w:jc w:val="right"/>
              <w:ind w:right="1050"/>
              <w:spacing w:after="0"/>
              <w:rPr>
                <w:sz w:val="20"/>
                <w:szCs w:val="20"/>
                <w:color w:val="auto"/>
              </w:rPr>
            </w:pPr>
            <w:r>
              <w:rPr>
                <w:rFonts w:ascii="Arial" w:cs="Arial" w:eastAsia="Arial" w:hAnsi="Arial"/>
                <w:sz w:val="18"/>
                <w:szCs w:val="18"/>
                <w:b w:val="1"/>
                <w:bCs w:val="1"/>
                <w:color w:val="auto"/>
              </w:rPr>
              <w:t>Quarters Ended</w:t>
            </w:r>
          </w:p>
        </w:tc>
        <w:tc>
          <w:tcPr>
            <w:tcW w:w="5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2800" w:type="dxa"/>
            <w:vAlign w:val="bottom"/>
            <w:tcBorders>
              <w:bottom w:val="single" w:sz="8" w:color="auto"/>
            </w:tcBorders>
            <w:gridSpan w:val="3"/>
          </w:tcPr>
          <w:p>
            <w:pPr>
              <w:jc w:val="right"/>
              <w:ind w:right="890"/>
              <w:spacing w:after="0"/>
              <w:rPr>
                <w:sz w:val="20"/>
                <w:szCs w:val="20"/>
                <w:color w:val="auto"/>
              </w:rPr>
            </w:pPr>
            <w:r>
              <w:rPr>
                <w:rFonts w:ascii="Arial" w:cs="Arial" w:eastAsia="Arial" w:hAnsi="Arial"/>
                <w:sz w:val="18"/>
                <w:szCs w:val="18"/>
                <w:b w:val="1"/>
                <w:bCs w:val="1"/>
                <w:color w:val="auto"/>
              </w:rPr>
              <w:t>Nine Months Ended</w:t>
            </w:r>
          </w:p>
        </w:tc>
        <w:tc>
          <w:tcPr>
            <w:tcW w:w="3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1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40" w:type="dxa"/>
            <w:vAlign w:val="bottom"/>
            <w:gridSpan w:val="2"/>
          </w:tcPr>
          <w:p>
            <w:pPr>
              <w:jc w:val="right"/>
              <w:ind w:right="430"/>
              <w:spacing w:after="0" w:line="169" w:lineRule="exact"/>
              <w:rPr>
                <w:sz w:val="20"/>
                <w:szCs w:val="20"/>
                <w:color w:val="auto"/>
              </w:rPr>
            </w:pPr>
            <w:r>
              <w:rPr>
                <w:rFonts w:ascii="Arial" w:cs="Arial" w:eastAsia="Arial" w:hAnsi="Arial"/>
                <w:sz w:val="18"/>
                <w:szCs w:val="18"/>
                <w:b w:val="1"/>
                <w:bCs w:val="1"/>
                <w:color w:val="auto"/>
              </w:rPr>
              <w:t>September 26,</w:t>
            </w:r>
          </w:p>
        </w:tc>
        <w:tc>
          <w:tcPr>
            <w:tcW w:w="580" w:type="dxa"/>
            <w:vAlign w:val="bottom"/>
          </w:tcPr>
          <w:p>
            <w:pPr>
              <w:spacing w:after="0"/>
              <w:rPr>
                <w:sz w:val="14"/>
                <w:szCs w:val="14"/>
                <w:color w:val="auto"/>
              </w:rPr>
            </w:pPr>
          </w:p>
        </w:tc>
        <w:tc>
          <w:tcPr>
            <w:tcW w:w="1320" w:type="dxa"/>
            <w:vAlign w:val="bottom"/>
          </w:tcPr>
          <w:p>
            <w:pPr>
              <w:jc w:val="right"/>
              <w:spacing w:after="0" w:line="169" w:lineRule="exact"/>
              <w:rPr>
                <w:sz w:val="20"/>
                <w:szCs w:val="20"/>
                <w:color w:val="auto"/>
              </w:rPr>
            </w:pPr>
            <w:r>
              <w:rPr>
                <w:rFonts w:ascii="Arial" w:cs="Arial" w:eastAsia="Arial" w:hAnsi="Arial"/>
                <w:sz w:val="18"/>
                <w:szCs w:val="18"/>
                <w:b w:val="1"/>
                <w:bCs w:val="1"/>
                <w:color w:val="auto"/>
              </w:rPr>
              <w:t>September 27,</w:t>
            </w: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60" w:type="dxa"/>
            <w:vAlign w:val="bottom"/>
            <w:gridSpan w:val="2"/>
          </w:tcPr>
          <w:p>
            <w:pPr>
              <w:jc w:val="right"/>
              <w:ind w:right="430"/>
              <w:spacing w:after="0" w:line="169" w:lineRule="exact"/>
              <w:rPr>
                <w:sz w:val="20"/>
                <w:szCs w:val="20"/>
                <w:color w:val="auto"/>
              </w:rPr>
            </w:pPr>
            <w:r>
              <w:rPr>
                <w:rFonts w:ascii="Arial" w:cs="Arial" w:eastAsia="Arial" w:hAnsi="Arial"/>
                <w:sz w:val="18"/>
                <w:szCs w:val="18"/>
                <w:b w:val="1"/>
                <w:bCs w:val="1"/>
                <w:color w:val="auto"/>
              </w:rPr>
              <w:t>September 26,</w:t>
            </w:r>
          </w:p>
        </w:tc>
        <w:tc>
          <w:tcPr>
            <w:tcW w:w="560" w:type="dxa"/>
            <w:vAlign w:val="bottom"/>
          </w:tcPr>
          <w:p>
            <w:pPr>
              <w:spacing w:after="0"/>
              <w:rPr>
                <w:sz w:val="14"/>
                <w:szCs w:val="14"/>
                <w:color w:val="auto"/>
              </w:rPr>
            </w:pPr>
          </w:p>
        </w:tc>
        <w:tc>
          <w:tcPr>
            <w:tcW w:w="1340" w:type="dxa"/>
            <w:vAlign w:val="bottom"/>
          </w:tcPr>
          <w:p>
            <w:pPr>
              <w:jc w:val="right"/>
              <w:spacing w:after="0" w:line="169" w:lineRule="exact"/>
              <w:rPr>
                <w:sz w:val="20"/>
                <w:szCs w:val="20"/>
                <w:color w:val="auto"/>
              </w:rPr>
            </w:pPr>
            <w:r>
              <w:rPr>
                <w:rFonts w:ascii="Arial" w:cs="Arial" w:eastAsia="Arial" w:hAnsi="Arial"/>
                <w:sz w:val="18"/>
                <w:szCs w:val="18"/>
                <w:b w:val="1"/>
                <w:bCs w:val="1"/>
                <w:color w:val="auto"/>
              </w:rPr>
              <w:t>September 27,</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16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8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5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9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6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sales</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2,699</w:t>
            </w:r>
          </w:p>
        </w:tc>
        <w:tc>
          <w:tcPr>
            <w:tcW w:w="8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2,846</w:t>
            </w:r>
          </w:p>
        </w:tc>
        <w:tc>
          <w:tcPr>
            <w:tcW w:w="5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8,891</w:t>
            </w:r>
          </w:p>
        </w:tc>
        <w:tc>
          <w:tcPr>
            <w:tcW w:w="9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8,640</w:t>
            </w: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1660" w:type="dxa"/>
            <w:vAlign w:val="bottom"/>
          </w:tcPr>
          <w:p>
            <w:pPr>
              <w:ind w:left="480"/>
              <w:spacing w:after="0" w:line="189" w:lineRule="exact"/>
              <w:rPr>
                <w:sz w:val="20"/>
                <w:szCs w:val="20"/>
                <w:color w:val="auto"/>
              </w:rPr>
            </w:pPr>
            <w:r>
              <w:rPr>
                <w:rFonts w:ascii="Arial" w:cs="Arial" w:eastAsia="Arial" w:hAnsi="Arial"/>
                <w:sz w:val="18"/>
                <w:szCs w:val="18"/>
                <w:color w:val="auto"/>
              </w:rPr>
              <w:t>Operating</w:t>
            </w:r>
          </w:p>
        </w:tc>
        <w:tc>
          <w:tcPr>
            <w:tcW w:w="680" w:type="dxa"/>
            <w:vAlign w:val="bottom"/>
          </w:tcPr>
          <w:p>
            <w:pPr>
              <w:spacing w:after="0"/>
              <w:rPr>
                <w:sz w:val="16"/>
                <w:szCs w:val="16"/>
                <w:color w:val="auto"/>
              </w:rPr>
            </w:pPr>
          </w:p>
        </w:tc>
        <w:tc>
          <w:tcPr>
            <w:tcW w:w="104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264</w:t>
            </w:r>
          </w:p>
        </w:tc>
        <w:tc>
          <w:tcPr>
            <w:tcW w:w="8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6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826</w:t>
            </w:r>
          </w:p>
        </w:tc>
        <w:tc>
          <w:tcPr>
            <w:tcW w:w="9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660" w:type="dxa"/>
            <w:vAlign w:val="bottom"/>
          </w:tcPr>
          <w:p>
            <w:pPr>
              <w:ind w:left="20"/>
              <w:spacing w:after="0"/>
              <w:rPr>
                <w:sz w:val="20"/>
                <w:szCs w:val="20"/>
                <w:color w:val="auto"/>
              </w:rPr>
            </w:pPr>
            <w:r>
              <w:rPr>
                <w:rFonts w:ascii="Arial" w:cs="Arial" w:eastAsia="Arial" w:hAnsi="Arial"/>
                <w:sz w:val="18"/>
                <w:szCs w:val="18"/>
                <w:color w:val="auto"/>
              </w:rPr>
              <w:t>profit</w:t>
            </w:r>
          </w:p>
        </w:tc>
        <w:tc>
          <w:tcPr>
            <w:tcW w:w="68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20" w:type="dxa"/>
            <w:vAlign w:val="bottom"/>
          </w:tcPr>
          <w:p>
            <w:pPr>
              <w:jc w:val="right"/>
              <w:ind w:right="410"/>
              <w:spacing w:after="0"/>
              <w:rPr>
                <w:sz w:val="20"/>
                <w:szCs w:val="20"/>
                <w:color w:val="auto"/>
              </w:rPr>
            </w:pPr>
            <w:r>
              <w:rPr>
                <w:rFonts w:ascii="Arial" w:cs="Arial" w:eastAsia="Arial" w:hAnsi="Arial"/>
                <w:sz w:val="18"/>
                <w:szCs w:val="18"/>
                <w:color w:val="auto"/>
              </w:rPr>
              <w:t>248</w:t>
            </w: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jc w:val="right"/>
              <w:ind w:right="410"/>
              <w:spacing w:after="0"/>
              <w:rPr>
                <w:sz w:val="20"/>
                <w:szCs w:val="20"/>
                <w:color w:val="auto"/>
              </w:rPr>
            </w:pPr>
            <w:r>
              <w:rPr>
                <w:rFonts w:ascii="Arial" w:cs="Arial" w:eastAsia="Arial" w:hAnsi="Arial"/>
                <w:sz w:val="18"/>
                <w:szCs w:val="18"/>
                <w:color w:val="auto"/>
              </w:rPr>
              <w:t>781</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660" w:type="dxa"/>
            <w:vAlign w:val="bottom"/>
            <w:shd w:val="clear" w:color="auto" w:fill="CCEEFF"/>
          </w:tcPr>
          <w:p>
            <w:pPr>
              <w:ind w:left="480"/>
              <w:spacing w:after="0" w:line="189" w:lineRule="exact"/>
              <w:rPr>
                <w:sz w:val="20"/>
                <w:szCs w:val="20"/>
                <w:color w:val="auto"/>
              </w:rPr>
            </w:pPr>
            <w:r>
              <w:rPr>
                <w:rFonts w:ascii="Arial" w:cs="Arial" w:eastAsia="Arial" w:hAnsi="Arial"/>
                <w:sz w:val="18"/>
                <w:szCs w:val="18"/>
                <w:color w:val="auto"/>
              </w:rPr>
              <w:t>Operating</w:t>
            </w:r>
          </w:p>
        </w:tc>
        <w:tc>
          <w:tcPr>
            <w:tcW w:w="68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9.8</w:t>
            </w:r>
          </w:p>
        </w:tc>
        <w:tc>
          <w:tcPr>
            <w:tcW w:w="80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9.3</w:t>
            </w:r>
          </w:p>
        </w:tc>
        <w:tc>
          <w:tcPr>
            <w:tcW w:w="90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margin</w:t>
            </w:r>
          </w:p>
        </w:tc>
        <w:tc>
          <w:tcPr>
            <w:tcW w:w="6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8.7</w:t>
            </w:r>
          </w:p>
        </w:tc>
        <w:tc>
          <w:tcPr>
            <w:tcW w:w="5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87"/>
              </w:rPr>
              <w:t>%</w:t>
            </w:r>
          </w:p>
        </w:tc>
        <w:tc>
          <w:tcPr>
            <w:tcW w:w="5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9.0</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bl>
    <w:p>
      <w:pPr>
        <w:spacing w:after="0" w:line="269" w:lineRule="exact"/>
        <w:rPr>
          <w:sz w:val="20"/>
          <w:szCs w:val="20"/>
          <w:color w:val="auto"/>
        </w:rPr>
      </w:pPr>
    </w:p>
    <w:p>
      <w:pPr>
        <w:ind w:right="120" w:firstLine="405"/>
        <w:spacing w:after="0" w:line="252" w:lineRule="auto"/>
        <w:rPr>
          <w:sz w:val="20"/>
          <w:szCs w:val="20"/>
          <w:color w:val="auto"/>
        </w:rPr>
      </w:pPr>
      <w:r>
        <w:rPr>
          <w:rFonts w:ascii="Arial" w:cs="Arial" w:eastAsia="Arial" w:hAnsi="Arial"/>
          <w:sz w:val="18"/>
          <w:szCs w:val="18"/>
          <w:color w:val="auto"/>
        </w:rPr>
        <w:t>Space’s net sales during the quarter ended September 26, 2021 decreased $147 million, or 5%, compared to the same period in 2020. The decrease was primarily attributable to lower net sales of approximately $ 340 million due to the renationalization of the Atomic Weapons Establishment (AWE) program, which is no longer included in the company's financial results beginning in the third quarter of 2021. This decrease was partially offset by higher sales of about $140 million for strategic and missile defense programs due to higher volume (hypersonic development, Fleet Ballistic Missile (FBM) and Next Generation Interceptor (NGI) programs); and about $70 million for national security space programs due to higher risk retirements and volume (primarily Next Gen OPIR).</w:t>
      </w:r>
    </w:p>
    <w:p>
      <w:pPr>
        <w:spacing w:after="0" w:line="168" w:lineRule="exact"/>
        <w:rPr>
          <w:sz w:val="20"/>
          <w:szCs w:val="20"/>
          <w:color w:val="auto"/>
        </w:rPr>
      </w:pPr>
    </w:p>
    <w:p>
      <w:pPr>
        <w:ind w:right="80" w:firstLine="405"/>
        <w:spacing w:after="0" w:line="252" w:lineRule="auto"/>
        <w:rPr>
          <w:sz w:val="20"/>
          <w:szCs w:val="20"/>
          <w:color w:val="auto"/>
        </w:rPr>
      </w:pPr>
      <w:r>
        <w:rPr>
          <w:rFonts w:ascii="Arial" w:cs="Arial" w:eastAsia="Arial" w:hAnsi="Arial"/>
          <w:sz w:val="18"/>
          <w:szCs w:val="18"/>
          <w:color w:val="auto"/>
        </w:rPr>
        <w:t>Space’s operating profit during the quarter ended September 26, 2021 increased $ 16 million, or 6%, compared to the same period in 2020. The increase was primarily attributable to higher operating profit of approximately $30 million for strategic and missile defense programs due to higher risk retirements (primarily FBM programs) and higher volume (primarily hypersonic development). This increase was partially offset by a decrease of approximately $10 million due to the renationalization of the AWE program. Operating profit for national security space programs was comparable as higher volume and risk retirements (primarily Next Gen OPIR) were offset by a charge of $45 million on a commercial ground solutions program. Adjustments not related to volume, including net profit booking rate adjustments, were $30 million higher in the third quarter of 2021 compared to the same period in 2020.</w:t>
      </w:r>
    </w:p>
    <w:p>
      <w:pPr>
        <w:spacing w:after="0" w:line="166" w:lineRule="exact"/>
        <w:rPr>
          <w:sz w:val="20"/>
          <w:szCs w:val="20"/>
          <w:color w:val="auto"/>
        </w:rPr>
      </w:pPr>
    </w:p>
    <w:p>
      <w:pPr>
        <w:ind w:right="200" w:firstLine="405"/>
        <w:spacing w:after="0" w:line="253" w:lineRule="auto"/>
        <w:rPr>
          <w:sz w:val="20"/>
          <w:szCs w:val="20"/>
          <w:color w:val="auto"/>
        </w:rPr>
      </w:pPr>
      <w:r>
        <w:rPr>
          <w:rFonts w:ascii="Arial" w:cs="Arial" w:eastAsia="Arial" w:hAnsi="Arial"/>
          <w:sz w:val="18"/>
          <w:szCs w:val="18"/>
          <w:color w:val="auto"/>
        </w:rPr>
        <w:t>Space’s net sales during the nine months ended September 26, 2021 increased $251 million, or 3%, compared to the same period in 2020. The increase was primarily attributable to higher net sales of approximately $235 million for strategic and missile defense programs due to higher volume (primarily hypersonic development and NGI programs); and about $170 million for national security space programs due to higher volume and risk retirements (primarily Next Gen OPIR). These increases were partially offset by a decrease of approximately $155 million as a result of the renationalization of the AWE program.</w:t>
      </w:r>
    </w:p>
    <w:p>
      <w:pPr>
        <w:spacing w:after="0" w:line="178" w:lineRule="exact"/>
        <w:rPr>
          <w:sz w:val="20"/>
          <w:szCs w:val="20"/>
          <w:color w:val="auto"/>
        </w:rPr>
      </w:pPr>
    </w:p>
    <w:p>
      <w:pPr>
        <w:ind w:right="80" w:firstLine="405"/>
        <w:spacing w:after="0" w:line="252" w:lineRule="auto"/>
        <w:rPr>
          <w:sz w:val="20"/>
          <w:szCs w:val="20"/>
          <w:color w:val="auto"/>
        </w:rPr>
      </w:pPr>
      <w:r>
        <w:rPr>
          <w:rFonts w:ascii="Arial" w:cs="Arial" w:eastAsia="Arial" w:hAnsi="Arial"/>
          <w:sz w:val="18"/>
          <w:szCs w:val="18"/>
          <w:color w:val="auto"/>
        </w:rPr>
        <w:t>Space’s operating profit during the nine months ended September 26, 2021 increased $45 million, or 6%, compared to the same period in 2020. Operating profit increased approximately $25 million for commercial civil space programs due to higher risk retirements (primarily space transportation programs); about $ 25 million for strategic and missile defense programs due to higher volume (primarily hypersonic development programs); and about $15 million for national security space programs to higher risk retirements (primarily SBIRS) and higher volume (primarily Next Gen OPIR), offset by charges of $70 million on a commercial ground solutions program and lower risk retirements (primarily Advanced Extremely High Frequency (AEHF). These increases were partially offset by a decrease of approximately $15 million due to the renationalization of the AWE program. Adjustments not related to volume, including net profit booking rate adjustments, were $90 million higher during the nine months ended September 26, 2021 compared to the same period in 2020.</w:t>
      </w:r>
    </w:p>
    <w:p>
      <w:pPr>
        <w:spacing w:after="0" w:line="165" w:lineRule="exact"/>
        <w:rPr>
          <w:sz w:val="20"/>
          <w:szCs w:val="20"/>
          <w:color w:val="auto"/>
        </w:rPr>
      </w:pPr>
    </w:p>
    <w:p>
      <w:pPr>
        <w:ind w:right="120" w:firstLine="405"/>
        <w:spacing w:after="0" w:line="256" w:lineRule="auto"/>
        <w:rPr>
          <w:sz w:val="20"/>
          <w:szCs w:val="20"/>
          <w:color w:val="auto"/>
        </w:rPr>
      </w:pPr>
      <w:r>
        <w:rPr>
          <w:rFonts w:ascii="Arial" w:cs="Arial" w:eastAsia="Arial" w:hAnsi="Arial"/>
          <w:sz w:val="18"/>
          <w:szCs w:val="18"/>
          <w:color w:val="auto"/>
        </w:rPr>
        <w:t>Total equity earnings (primarily United Launch Alliance (ULA)) recognized in Space's operating profit were not significant during the quarter ended September 26, 2021 and 2020; and represented $35 million, or 4%, of Space’s operating profit during the nine months ended September 26, 2021, compared to approximately $45 million, or 6%, during the nine months ended September 26, 2020.</w:t>
      </w:r>
    </w:p>
    <w:p>
      <w:pPr>
        <w:spacing w:after="0" w:line="161" w:lineRule="exact"/>
        <w:rPr>
          <w:sz w:val="20"/>
          <w:szCs w:val="20"/>
          <w:color w:val="auto"/>
        </w:rPr>
      </w:pPr>
    </w:p>
    <w:p>
      <w:pPr>
        <w:ind w:right="20" w:firstLine="405"/>
        <w:spacing w:after="0" w:line="253" w:lineRule="auto"/>
        <w:rPr>
          <w:sz w:val="20"/>
          <w:szCs w:val="20"/>
          <w:color w:val="auto"/>
        </w:rPr>
      </w:pPr>
      <w:r>
        <w:rPr>
          <w:rFonts w:ascii="Arial" w:cs="Arial" w:eastAsia="Arial" w:hAnsi="Arial"/>
          <w:sz w:val="18"/>
          <w:szCs w:val="18"/>
          <w:color w:val="auto"/>
        </w:rPr>
        <w:t>We currently expect Space’s 2021 net sales to be comparable to 2020 levels driven by higher volume on strategic and missile defense programs (primarily hypersonics development and NGI programs) and on national security space programs (primarily Next Gen OPIR), offset by lower volume at AWE due to the UK Ministry of Defence’s renationalization of the program on June 30, 2021. Operating profit is expected to be slightly lower than 2020 levels driven by lower equity earnings from the company’s investment in ULA. Operating profit margin for 2021 is also expected to be slightly lower than 2020 levels.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Cash Flows</w:t>
      </w:r>
    </w:p>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At September 26, 2021, we had cash and cash equivalents of $2.7 billion. Our principal source of liquidity is our cash from operations.</w:t>
      </w:r>
    </w:p>
    <w:p>
      <w:pPr>
        <w:spacing w:after="0"/>
        <w:rPr>
          <w:sz w:val="20"/>
          <w:szCs w:val="20"/>
          <w:color w:val="auto"/>
        </w:rPr>
      </w:pPr>
      <w:r>
        <w:rPr>
          <w:rFonts w:ascii="Arial" w:cs="Arial" w:eastAsia="Arial" w:hAnsi="Arial"/>
          <w:sz w:val="18"/>
          <w:szCs w:val="18"/>
          <w:color w:val="auto"/>
        </w:rPr>
        <w:t>However, we also have access to additional financial resources as described in the “Capital Resources” section below.</w:t>
      </w:r>
    </w:p>
    <w:p>
      <w:pPr>
        <w:spacing w:after="0" w:line="171"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auto"/>
        </w:rPr>
        <w:t>We have a balanced cash deployment strategy to invest in our business and key technologies to provide our customers with enhanced capabilities, enhance stockholder value, and position ourselves to take advantage of new business opportunities when they arise. Consistent with that strategy, we have continued to invest in our business and technologies through capital expenditures, independent research and development, and selective business acquisitions and investments. We have returned cash to stockholders through dividends and share repurchases. We also continue to actively manage our debt levels, including maturities and interest rates, and our pension obligations. We expect to continue to opportunistically manage our pension liabilities through the purchase of group annuity contracts for portions of our outstanding defined benefit pension obligations using assets from the pension trust.</w:t>
      </w:r>
    </w:p>
    <w:p>
      <w:pPr>
        <w:spacing w:after="0" w:line="180"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auto"/>
        </w:rPr>
        <w:t>On August 3, 2021, we purchased group annuity contracts to transfer $4.9 billion of gross defined benefit pension obligations and related plan assets to an insurance company for approximately 18,000 U.S. retirees and beneficiaries. The group annuity contracts were purchased using assets from Lockheed Martin’s master retirement trust and no additional funding contribution was required by us. See “Note 7 - Postretirement Benefit Plans” included in our Notes to Consolidated Financial Statements. Future pension risk transfer transactions could also be significant and result in us making additional contributions to the pension trust and/or require us to recognize noncash pension settlement charges in earnings in the applicable reporting period.</w:t>
      </w:r>
    </w:p>
    <w:p>
      <w:pPr>
        <w:spacing w:after="0" w:line="167"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auto"/>
        </w:rPr>
        <w:t>To date, the effects of COVID-19 have resulted in some negative impact on our cash flows, partially due to supplier delays. The U.S. Government has taken certain actions and enacted legislation to mitigate the impacts of COVID-19 on public health, the economy, state and local governments, individuals, and businesses. In March 2020, the U.S. Department of Defense (DoD) increased the rate for certain progress payments from 80% to 90% for costs incurred and work performed on relevant contracts. Since the pandemic began, Lockheed Martin has remained committed to flowing down the benefits received from the DoD’s modification of the progress payment rate to our supply chain partners. As of September 26, 2021, we have received approximately $1.5 billion of net accelerated progress payments, the majority of which were in 2020. We continue to use accelerated progress payments and cash on hand to accelerate payments to our suppliers. As of September 26, 2021, we have accelerated $1.5 billion of payments to our suppliers that are due by their terms in future periods. We will continue to monitor risk driven by the pandemic and, based on our current assessment, we will continue to accelerate payments to our suppliers based on risk assessed need through the end of 2022. Consistent to our current acceleration approach, we will prioritize small and COVID-19 impacted businesses.</w:t>
      </w:r>
    </w:p>
    <w:p>
      <w:pPr>
        <w:spacing w:after="0" w:line="170"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auto"/>
        </w:rPr>
        <w:t>On March 27, 2020, the President signed the Coronavirus Aid, Relief, and Economic Security Act (CARES Act) into law. Pursuant to the CARES Act, U.S. companies could defer the employer’s portion of social security taxes between March 27, 2020 and December 31, 2020, which allowed us to defer cash outlays of $ 460 million in 2020, of which approximately half will be paid in the fourth quarter of 2021 and approximately half will be paid in the fourth quarter of 2022. Section 3610 of the CARES Act also authorized the U.S. Government to reimburse qualifying contractors for any paid leave, including sick leave, provided to employees during the pandemic to keep its workforce in a ready state. Section 3610 of the CARES Act expired on September 30, 2021 and has not been extended. While that option is currently unavailable, we continue to monitor other legislation that may reinstate Section 3610 and work with our government customers to seek recovery of COVID-19-related costs through other contract provisions.</w:t>
      </w:r>
    </w:p>
    <w:p>
      <w:pPr>
        <w:spacing w:after="0" w:line="178" w:lineRule="exact"/>
        <w:rPr>
          <w:sz w:val="20"/>
          <w:szCs w:val="20"/>
          <w:color w:val="auto"/>
        </w:rPr>
      </w:pPr>
    </w:p>
    <w:p>
      <w:pPr>
        <w:ind w:right="20" w:firstLine="405"/>
        <w:spacing w:after="0" w:line="253" w:lineRule="auto"/>
        <w:rPr>
          <w:sz w:val="20"/>
          <w:szCs w:val="20"/>
          <w:color w:val="auto"/>
        </w:rPr>
      </w:pPr>
      <w:r>
        <w:rPr>
          <w:rFonts w:ascii="Arial" w:cs="Arial" w:eastAsia="Arial" w:hAnsi="Arial"/>
          <w:sz w:val="18"/>
          <w:szCs w:val="18"/>
          <w:color w:val="auto"/>
        </w:rPr>
        <w:t>On March 11, 2021, the President signed the American Rescue Plan Act of 2021 (ARPA) into law. ARPA eased funding rules for single-employer defined benefit pension plans by extending the amortization of funding shortfalls and enhancing interest rate stabilization, which has the effect of reducing the funding requirements for our single-employer defined benefit pension plans beginning in 2021 and reducing the amount of CAS pension costs allocated to our U.S. Government contracts beginning in 2022. The lower pension contributions will be partially offset by lower tax deductions.</w:t>
      </w:r>
    </w:p>
    <w:p>
      <w:pPr>
        <w:spacing w:after="0" w:line="165" w:lineRule="exact"/>
        <w:rPr>
          <w:sz w:val="20"/>
          <w:szCs w:val="20"/>
          <w:color w:val="auto"/>
        </w:rPr>
      </w:pPr>
    </w:p>
    <w:p>
      <w:pPr>
        <w:ind w:right="460" w:firstLine="405"/>
        <w:spacing w:after="0" w:line="273" w:lineRule="auto"/>
        <w:rPr>
          <w:sz w:val="20"/>
          <w:szCs w:val="20"/>
          <w:color w:val="auto"/>
        </w:rPr>
      </w:pPr>
      <w:r>
        <w:rPr>
          <w:rFonts w:ascii="Arial" w:cs="Arial" w:eastAsia="Arial" w:hAnsi="Arial"/>
          <w:sz w:val="17"/>
          <w:szCs w:val="17"/>
          <w:color w:val="auto"/>
        </w:rPr>
        <w:t>As disclosed in the “Business Overview” section above, on December 20, 2020, we entered into an agreement to acquire Aerojet Rocketdyne for approximately $4.4 billion after the assumption of Aerojet Rocketdyne’s then-projected net cash. Subject to satisfactory completion of the regulatory review process and satisfaction of the other closing conditions specified in the acquisition agreement, we anticipate closing the transaction in the first quarter of 2022. We expect to finance the acquisition primarily through new debt issuances.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220" w:firstLine="405"/>
        <w:spacing w:after="0" w:line="254" w:lineRule="auto"/>
        <w:rPr>
          <w:sz w:val="20"/>
          <w:szCs w:val="20"/>
          <w:color w:val="auto"/>
        </w:rPr>
      </w:pPr>
      <w:r>
        <w:rPr>
          <w:rFonts w:ascii="Arial" w:cs="Arial" w:eastAsia="Arial" w:hAnsi="Arial"/>
          <w:sz w:val="18"/>
          <w:szCs w:val="18"/>
          <w:color w:val="auto"/>
        </w:rPr>
        <w:t>Currently, we expect our cash from operations will continue to be sufficient to support our operations and anticipated capital expenditures and independent research and development for the foreseeable future. We also have access to credit markets, if needed, for liquidity or general corporate purposes, including our revolving credit facility or the ability to issue commercial paper, and letters of credit to support customer advance payments and for other trade finance purposes such as guaranteeing our performance on particular contracts.</w:t>
      </w:r>
    </w:p>
    <w:p>
      <w:pPr>
        <w:spacing w:after="0" w:line="17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provides a summary of our cash flow information followed by a discussion of the key elements (in millions):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22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gridSpan w:val="3"/>
          </w:tcPr>
          <w:p>
            <w:pPr>
              <w:jc w:val="right"/>
              <w:ind w:right="870"/>
              <w:spacing w:after="0"/>
              <w:rPr>
                <w:sz w:val="20"/>
                <w:szCs w:val="20"/>
                <w:color w:val="auto"/>
              </w:rPr>
            </w:pPr>
            <w:r>
              <w:rPr>
                <w:rFonts w:ascii="Arial" w:cs="Arial" w:eastAsia="Arial" w:hAnsi="Arial"/>
                <w:sz w:val="18"/>
                <w:szCs w:val="18"/>
                <w:b w:val="1"/>
                <w:bCs w:val="1"/>
                <w:color w:val="auto"/>
              </w:rPr>
              <w:t>Nine Months Ended</w:t>
            </w:r>
          </w:p>
        </w:tc>
      </w:tr>
      <w:tr>
        <w:trPr>
          <w:trHeight w:val="169"/>
        </w:trPr>
        <w:tc>
          <w:tcPr>
            <w:tcW w:w="7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80" w:type="dxa"/>
            <w:vAlign w:val="bottom"/>
          </w:tcPr>
          <w:p>
            <w:pPr>
              <w:jc w:val="right"/>
              <w:ind w:right="250"/>
              <w:spacing w:after="0" w:line="169" w:lineRule="exact"/>
              <w:rPr>
                <w:sz w:val="20"/>
                <w:szCs w:val="20"/>
                <w:color w:val="auto"/>
              </w:rPr>
            </w:pPr>
            <w:r>
              <w:rPr>
                <w:rFonts w:ascii="Arial" w:cs="Arial" w:eastAsia="Arial" w:hAnsi="Arial"/>
                <w:sz w:val="18"/>
                <w:szCs w:val="18"/>
                <w:b w:val="1"/>
                <w:bCs w:val="1"/>
                <w:color w:val="auto"/>
                <w:w w:val="99"/>
              </w:rPr>
              <w:t>September 26,</w:t>
            </w:r>
          </w:p>
        </w:tc>
        <w:tc>
          <w:tcPr>
            <w:tcW w:w="480" w:type="dxa"/>
            <w:vAlign w:val="bottom"/>
          </w:tcPr>
          <w:p>
            <w:pPr>
              <w:spacing w:after="0"/>
              <w:rPr>
                <w:sz w:val="14"/>
                <w:szCs w:val="14"/>
                <w:color w:val="auto"/>
              </w:rPr>
            </w:pPr>
          </w:p>
        </w:tc>
        <w:tc>
          <w:tcPr>
            <w:tcW w:w="1400" w:type="dxa"/>
            <w:vAlign w:val="bottom"/>
          </w:tcPr>
          <w:p>
            <w:pPr>
              <w:jc w:val="right"/>
              <w:ind w:right="70"/>
              <w:spacing w:after="0" w:line="169" w:lineRule="exact"/>
              <w:rPr>
                <w:sz w:val="20"/>
                <w:szCs w:val="20"/>
                <w:color w:val="auto"/>
              </w:rPr>
            </w:pPr>
            <w:r>
              <w:rPr>
                <w:rFonts w:ascii="Arial" w:cs="Arial" w:eastAsia="Arial" w:hAnsi="Arial"/>
                <w:sz w:val="18"/>
                <w:szCs w:val="18"/>
                <w:b w:val="1"/>
                <w:bCs w:val="1"/>
                <w:color w:val="auto"/>
                <w:w w:val="99"/>
              </w:rPr>
              <w:t>September 27,</w:t>
            </w:r>
          </w:p>
        </w:tc>
      </w:tr>
      <w:tr>
        <w:trPr>
          <w:trHeight w:val="229"/>
        </w:trPr>
        <w:tc>
          <w:tcPr>
            <w:tcW w:w="72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2021</w:t>
            </w:r>
          </w:p>
        </w:tc>
        <w:tc>
          <w:tcPr>
            <w:tcW w:w="4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2020</w:t>
            </w:r>
          </w:p>
        </w:tc>
      </w:tr>
      <w:tr>
        <w:trPr>
          <w:trHeight w:val="223"/>
        </w:trPr>
        <w:tc>
          <w:tcPr>
            <w:tcW w:w="7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and cash equivalents at beginning of year</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580" w:type="dxa"/>
            <w:vAlign w:val="bottom"/>
            <w:shd w:val="clear" w:color="auto" w:fill="CCEEFF"/>
          </w:tcPr>
          <w:p>
            <w:pPr>
              <w:jc w:val="right"/>
              <w:ind w:right="610"/>
              <w:spacing w:after="0"/>
              <w:rPr>
                <w:sz w:val="20"/>
                <w:szCs w:val="20"/>
                <w:color w:val="auto"/>
              </w:rPr>
            </w:pPr>
            <w:r>
              <w:rPr>
                <w:rFonts w:ascii="Arial" w:cs="Arial" w:eastAsia="Arial" w:hAnsi="Arial"/>
                <w:sz w:val="18"/>
                <w:szCs w:val="18"/>
                <w:b w:val="1"/>
                <w:bCs w:val="1"/>
                <w:color w:val="auto"/>
              </w:rPr>
              <w:t>3,160</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1,514</w:t>
            </w:r>
          </w:p>
        </w:tc>
      </w:tr>
      <w:tr>
        <w:trPr>
          <w:trHeight w:val="230"/>
        </w:trPr>
        <w:tc>
          <w:tcPr>
            <w:tcW w:w="7220" w:type="dxa"/>
            <w:vAlign w:val="bottom"/>
          </w:tcPr>
          <w:p>
            <w:pPr>
              <w:ind w:left="440"/>
              <w:spacing w:after="0"/>
              <w:rPr>
                <w:sz w:val="20"/>
                <w:szCs w:val="20"/>
                <w:color w:val="auto"/>
              </w:rPr>
            </w:pPr>
            <w:r>
              <w:rPr>
                <w:rFonts w:ascii="Arial" w:cs="Arial" w:eastAsia="Arial" w:hAnsi="Arial"/>
                <w:sz w:val="18"/>
                <w:szCs w:val="18"/>
                <w:color w:val="auto"/>
              </w:rPr>
              <w:t>Operating activities</w:t>
            </w:r>
          </w:p>
        </w:tc>
        <w:tc>
          <w:tcPr>
            <w:tcW w:w="5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9"/>
        </w:trPr>
        <w:tc>
          <w:tcPr>
            <w:tcW w:w="72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Net earnings</w:t>
            </w:r>
          </w:p>
        </w:tc>
        <w:tc>
          <w:tcPr>
            <w:tcW w:w="54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610"/>
              <w:spacing w:after="0"/>
              <w:rPr>
                <w:sz w:val="20"/>
                <w:szCs w:val="20"/>
                <w:color w:val="auto"/>
              </w:rPr>
            </w:pPr>
            <w:r>
              <w:rPr>
                <w:rFonts w:ascii="Arial" w:cs="Arial" w:eastAsia="Arial" w:hAnsi="Arial"/>
                <w:sz w:val="18"/>
                <w:szCs w:val="18"/>
                <w:b w:val="1"/>
                <w:bCs w:val="1"/>
                <w:color w:val="auto"/>
              </w:rPr>
              <w:t>4,266</w:t>
            </w:r>
          </w:p>
        </w:tc>
        <w:tc>
          <w:tcPr>
            <w:tcW w:w="4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5,041</w:t>
            </w:r>
          </w:p>
        </w:tc>
      </w:tr>
      <w:tr>
        <w:trPr>
          <w:trHeight w:val="230"/>
        </w:trPr>
        <w:tc>
          <w:tcPr>
            <w:tcW w:w="7220" w:type="dxa"/>
            <w:vAlign w:val="bottom"/>
          </w:tcPr>
          <w:p>
            <w:pPr>
              <w:ind w:left="760"/>
              <w:spacing w:after="0"/>
              <w:rPr>
                <w:sz w:val="20"/>
                <w:szCs w:val="20"/>
                <w:color w:val="auto"/>
              </w:rPr>
            </w:pPr>
            <w:r>
              <w:rPr>
                <w:rFonts w:ascii="Arial" w:cs="Arial" w:eastAsia="Arial" w:hAnsi="Arial"/>
                <w:sz w:val="18"/>
                <w:szCs w:val="18"/>
                <w:color w:val="auto"/>
              </w:rPr>
              <w:t>Noncash adjustments</w:t>
            </w:r>
          </w:p>
        </w:tc>
        <w:tc>
          <w:tcPr>
            <w:tcW w:w="540" w:type="dxa"/>
            <w:vAlign w:val="bottom"/>
          </w:tcPr>
          <w:p>
            <w:pPr>
              <w:spacing w:after="0"/>
              <w:rPr>
                <w:sz w:val="19"/>
                <w:szCs w:val="19"/>
                <w:color w:val="auto"/>
              </w:rPr>
            </w:pPr>
          </w:p>
        </w:tc>
        <w:tc>
          <w:tcPr>
            <w:tcW w:w="1580" w:type="dxa"/>
            <w:vAlign w:val="bottom"/>
          </w:tcPr>
          <w:p>
            <w:pPr>
              <w:jc w:val="right"/>
              <w:ind w:right="610"/>
              <w:spacing w:after="0"/>
              <w:rPr>
                <w:sz w:val="20"/>
                <w:szCs w:val="20"/>
                <w:color w:val="auto"/>
              </w:rPr>
            </w:pPr>
            <w:r>
              <w:rPr>
                <w:rFonts w:ascii="Arial" w:cs="Arial" w:eastAsia="Arial" w:hAnsi="Arial"/>
                <w:sz w:val="18"/>
                <w:szCs w:val="18"/>
                <w:b w:val="1"/>
                <w:bCs w:val="1"/>
                <w:color w:val="auto"/>
              </w:rPr>
              <w:t>2,889</w:t>
            </w:r>
          </w:p>
        </w:tc>
        <w:tc>
          <w:tcPr>
            <w:tcW w:w="480" w:type="dxa"/>
            <w:vAlign w:val="bottom"/>
          </w:tcPr>
          <w:p>
            <w:pPr>
              <w:spacing w:after="0"/>
              <w:rPr>
                <w:sz w:val="19"/>
                <w:szCs w:val="19"/>
                <w:color w:val="auto"/>
              </w:rPr>
            </w:pPr>
          </w:p>
        </w:tc>
        <w:tc>
          <w:tcPr>
            <w:tcW w:w="1400" w:type="dxa"/>
            <w:vAlign w:val="bottom"/>
          </w:tcPr>
          <w:p>
            <w:pPr>
              <w:jc w:val="right"/>
              <w:ind w:right="430"/>
              <w:spacing w:after="0"/>
              <w:rPr>
                <w:sz w:val="20"/>
                <w:szCs w:val="20"/>
                <w:color w:val="auto"/>
              </w:rPr>
            </w:pPr>
            <w:r>
              <w:rPr>
                <w:rFonts w:ascii="Arial" w:cs="Arial" w:eastAsia="Arial" w:hAnsi="Arial"/>
                <w:sz w:val="18"/>
                <w:szCs w:val="18"/>
                <w:color w:val="auto"/>
              </w:rPr>
              <w:t>1,292</w:t>
            </w:r>
          </w:p>
        </w:tc>
      </w:tr>
      <w:tr>
        <w:trPr>
          <w:trHeight w:val="229"/>
        </w:trPr>
        <w:tc>
          <w:tcPr>
            <w:tcW w:w="72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Changes in working capital</w:t>
            </w:r>
          </w:p>
        </w:tc>
        <w:tc>
          <w:tcPr>
            <w:tcW w:w="54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570"/>
              <w:spacing w:after="0"/>
              <w:rPr>
                <w:sz w:val="20"/>
                <w:szCs w:val="20"/>
                <w:color w:val="auto"/>
              </w:rPr>
            </w:pPr>
            <w:r>
              <w:rPr>
                <w:rFonts w:ascii="Arial" w:cs="Arial" w:eastAsia="Arial" w:hAnsi="Arial"/>
                <w:sz w:val="18"/>
                <w:szCs w:val="18"/>
                <w:b w:val="1"/>
                <w:bCs w:val="1"/>
                <w:color w:val="auto"/>
              </w:rPr>
              <w:t>(2,176)</w:t>
            </w:r>
          </w:p>
        </w:tc>
        <w:tc>
          <w:tcPr>
            <w:tcW w:w="4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(564)</w:t>
            </w:r>
          </w:p>
        </w:tc>
      </w:tr>
      <w:tr>
        <w:trPr>
          <w:trHeight w:val="229"/>
        </w:trPr>
        <w:tc>
          <w:tcPr>
            <w:tcW w:w="722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rPr>
              <w:t>Other, net</w:t>
            </w:r>
          </w:p>
        </w:tc>
        <w:tc>
          <w:tcPr>
            <w:tcW w:w="5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(26)</w:t>
            </w:r>
          </w:p>
        </w:tc>
        <w:tc>
          <w:tcPr>
            <w:tcW w:w="4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607</w:t>
            </w:r>
          </w:p>
        </w:tc>
      </w:tr>
      <w:tr>
        <w:trPr>
          <w:trHeight w:val="223"/>
        </w:trPr>
        <w:tc>
          <w:tcPr>
            <w:tcW w:w="7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cash provided by operating activities</w:t>
            </w:r>
          </w:p>
        </w:tc>
        <w:tc>
          <w:tcPr>
            <w:tcW w:w="54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610"/>
              <w:spacing w:after="0"/>
              <w:rPr>
                <w:sz w:val="20"/>
                <w:szCs w:val="20"/>
                <w:color w:val="auto"/>
              </w:rPr>
            </w:pPr>
            <w:r>
              <w:rPr>
                <w:rFonts w:ascii="Arial" w:cs="Arial" w:eastAsia="Arial" w:hAnsi="Arial"/>
                <w:sz w:val="18"/>
                <w:szCs w:val="18"/>
                <w:b w:val="1"/>
                <w:bCs w:val="1"/>
                <w:color w:val="auto"/>
              </w:rPr>
              <w:t>4,953</w:t>
            </w:r>
          </w:p>
        </w:tc>
        <w:tc>
          <w:tcPr>
            <w:tcW w:w="4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6,376</w:t>
            </w:r>
          </w:p>
        </w:tc>
      </w:tr>
      <w:tr>
        <w:trPr>
          <w:trHeight w:val="229"/>
        </w:trPr>
        <w:tc>
          <w:tcPr>
            <w:tcW w:w="7220" w:type="dxa"/>
            <w:vAlign w:val="bottom"/>
          </w:tcPr>
          <w:p>
            <w:pPr>
              <w:ind w:left="440"/>
              <w:spacing w:after="0"/>
              <w:rPr>
                <w:sz w:val="20"/>
                <w:szCs w:val="20"/>
                <w:color w:val="auto"/>
              </w:rPr>
            </w:pPr>
            <w:r>
              <w:rPr>
                <w:rFonts w:ascii="Arial" w:cs="Arial" w:eastAsia="Arial" w:hAnsi="Arial"/>
                <w:sz w:val="18"/>
                <w:szCs w:val="18"/>
                <w:color w:val="auto"/>
              </w:rPr>
              <w:t>Net cash used for investing activities</w:t>
            </w:r>
          </w:p>
        </w:tc>
        <w:tc>
          <w:tcPr>
            <w:tcW w:w="540" w:type="dxa"/>
            <w:vAlign w:val="bottom"/>
          </w:tcPr>
          <w:p>
            <w:pPr>
              <w:spacing w:after="0"/>
              <w:rPr>
                <w:sz w:val="19"/>
                <w:szCs w:val="19"/>
                <w:color w:val="auto"/>
              </w:rPr>
            </w:pPr>
          </w:p>
        </w:tc>
        <w:tc>
          <w:tcPr>
            <w:tcW w:w="1580" w:type="dxa"/>
            <w:vAlign w:val="bottom"/>
          </w:tcPr>
          <w:p>
            <w:pPr>
              <w:jc w:val="right"/>
              <w:ind w:right="570"/>
              <w:spacing w:after="0"/>
              <w:rPr>
                <w:sz w:val="20"/>
                <w:szCs w:val="20"/>
                <w:color w:val="auto"/>
              </w:rPr>
            </w:pPr>
            <w:r>
              <w:rPr>
                <w:rFonts w:ascii="Arial" w:cs="Arial" w:eastAsia="Arial" w:hAnsi="Arial"/>
                <w:sz w:val="18"/>
                <w:szCs w:val="18"/>
                <w:b w:val="1"/>
                <w:bCs w:val="1"/>
                <w:color w:val="auto"/>
              </w:rPr>
              <w:t>(619)</w:t>
            </w:r>
          </w:p>
        </w:tc>
        <w:tc>
          <w:tcPr>
            <w:tcW w:w="480" w:type="dxa"/>
            <w:vAlign w:val="bottom"/>
          </w:tcPr>
          <w:p>
            <w:pPr>
              <w:spacing w:after="0"/>
              <w:rPr>
                <w:sz w:val="19"/>
                <w:szCs w:val="19"/>
                <w:color w:val="auto"/>
              </w:rPr>
            </w:pPr>
          </w:p>
        </w:tc>
        <w:tc>
          <w:tcPr>
            <w:tcW w:w="1400" w:type="dxa"/>
            <w:vAlign w:val="bottom"/>
          </w:tcPr>
          <w:p>
            <w:pPr>
              <w:jc w:val="right"/>
              <w:ind w:right="390"/>
              <w:spacing w:after="0"/>
              <w:rPr>
                <w:sz w:val="20"/>
                <w:szCs w:val="20"/>
                <w:color w:val="auto"/>
              </w:rPr>
            </w:pPr>
            <w:r>
              <w:rPr>
                <w:rFonts w:ascii="Arial" w:cs="Arial" w:eastAsia="Arial" w:hAnsi="Arial"/>
                <w:sz w:val="18"/>
                <w:szCs w:val="18"/>
                <w:color w:val="auto"/>
              </w:rPr>
              <w:t>(1,017)</w:t>
            </w:r>
          </w:p>
        </w:tc>
      </w:tr>
      <w:tr>
        <w:trPr>
          <w:trHeight w:val="230"/>
        </w:trPr>
        <w:tc>
          <w:tcPr>
            <w:tcW w:w="722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Net cash used for financing activities</w:t>
            </w:r>
          </w:p>
        </w:tc>
        <w:tc>
          <w:tcPr>
            <w:tcW w:w="5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b w:val="1"/>
                <w:bCs w:val="1"/>
                <w:color w:val="auto"/>
              </w:rPr>
              <w:t>(4,767)</w:t>
            </w:r>
          </w:p>
        </w:tc>
        <w:tc>
          <w:tcPr>
            <w:tcW w:w="4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(3,288)</w:t>
            </w:r>
          </w:p>
        </w:tc>
      </w:tr>
      <w:tr>
        <w:trPr>
          <w:trHeight w:val="223"/>
        </w:trPr>
        <w:tc>
          <w:tcPr>
            <w:tcW w:w="722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Net change in cash and cash equivalents</w:t>
            </w:r>
          </w:p>
        </w:tc>
        <w:tc>
          <w:tcPr>
            <w:tcW w:w="5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(433)</w:t>
            </w:r>
          </w:p>
        </w:tc>
        <w:tc>
          <w:tcPr>
            <w:tcW w:w="4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2,071</w:t>
            </w:r>
          </w:p>
        </w:tc>
      </w:tr>
      <w:tr>
        <w:trPr>
          <w:trHeight w:val="230"/>
        </w:trPr>
        <w:tc>
          <w:tcPr>
            <w:tcW w:w="722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Cash and cash equivalents at end of period</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58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b w:val="1"/>
                <w:bCs w:val="1"/>
                <w:color w:val="auto"/>
              </w:rPr>
              <w:t>2,727</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3,585</w:t>
            </w: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cash provided by operating activities during the nine months ended September 26, 2021 decreased $1.4 billion compared to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same period in 2020. The decrease was primarily due to lower working capital, higher tax payments and a decrease in net earnings.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$1.6 billion decrease in cash flows related to working capital (defined as receivables, contract assets, and inventories less accounts payable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contract liabilities) was primarily attributable to timing of production and billing cycles affecting contract assets and contract liabilities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(primarily the F-35 and F-16 programs in our Aeronautics business segment and Sikorsky helicopter programs in our RMS business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segment), partially offset by timing of cash payments for accounts payable and liquidation of inventories (primarily the delivery of 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international pilot training system in our RMS business segment). During the nine months ended September 26, 2021, we paid federal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foreign income taxes and employer portion of payroll taxes of $974 million and $578 million, compared to $865 million and $236 million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September 27, 2020. The increase in the employer portion of payroll taxes was due to the deferral of $315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million of payments to the fourth quarters of 2021 and 2022 pursuant to the CARES Act during the nine months ended September 27,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addition, we accelerated $1.5 billion of payments to suppliers as of September 26, 2021 that were due in the fourth quarter of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compared to $1.8 billion of payments to suppliers as of September 27, 2020 that were due in the fourth quarter of 2020.</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16"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Net cash used for investing activities during the nine months ended September 26, 2021 decreased $398 million compared to the same period in 2020. The decrease in cash used for investing activities is due to the receipt of the first two installment payments totaling $231 million in the first nine months of 2021 from the sale of our ownership interest in the Advanced Military Maintenance, Repair and Overhaul Center (AMMROC) joint venture. Capital expenditures totaled $915 million and $ 1.0 billion during the nine months ended September 26, 2021 and September 27, 2020. The majority of our capital expenditures were for equipment and facilities infrastructure that generally are incurred to support new and existing programs across all of our business segments. We also incur capital expenditures for information technology to support programs and general enterprise information technology infrastructure, inclusive of costs for the development or purchase of internal-use software.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03" w:lineRule="exact"/>
        <w:rPr>
          <w:sz w:val="20"/>
          <w:szCs w:val="20"/>
          <w:color w:val="auto"/>
        </w:rPr>
      </w:pPr>
    </w:p>
    <w:p>
      <w:pPr>
        <w:ind w:right="440" w:firstLine="445"/>
        <w:spacing w:after="0" w:line="261" w:lineRule="auto"/>
        <w:rPr>
          <w:sz w:val="20"/>
          <w:szCs w:val="20"/>
          <w:color w:val="auto"/>
        </w:rPr>
      </w:pPr>
      <w:r>
        <w:rPr>
          <w:rFonts w:ascii="Arial" w:cs="Arial" w:eastAsia="Arial" w:hAnsi="Arial"/>
          <w:sz w:val="18"/>
          <w:szCs w:val="18"/>
          <w:color w:val="auto"/>
        </w:rPr>
        <w:t>Net cash used for financing activities was $4.8 billion during the nine months ended September 26, 2021, compared to $3.3 billion during the same period in 2020.</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160" w:firstLine="445"/>
        <w:spacing w:after="0" w:line="261" w:lineRule="auto"/>
        <w:rPr>
          <w:sz w:val="20"/>
          <w:szCs w:val="20"/>
          <w:color w:val="auto"/>
        </w:rPr>
      </w:pPr>
      <w:r>
        <w:rPr>
          <w:rFonts w:ascii="Arial" w:cs="Arial" w:eastAsia="Arial" w:hAnsi="Arial"/>
          <w:sz w:val="18"/>
          <w:szCs w:val="18"/>
          <w:color w:val="auto"/>
        </w:rPr>
        <w:t>During the nine months ended September 26, 2021 and September 27, 2020, we paid dividends totaling $2.2 billion ($7.80 per share) and $2.0 billion ($7.20 per share).</w:t>
      </w:r>
    </w:p>
    <w:p>
      <w:pPr>
        <w:spacing w:after="0" w:line="171" w:lineRule="exact"/>
        <w:rPr>
          <w:sz w:val="20"/>
          <w:szCs w:val="20"/>
          <w:color w:val="auto"/>
        </w:rPr>
      </w:pPr>
    </w:p>
    <w:p>
      <w:pPr>
        <w:ind w:right="120" w:firstLine="445"/>
        <w:spacing w:after="0" w:line="261" w:lineRule="auto"/>
        <w:rPr>
          <w:sz w:val="20"/>
          <w:szCs w:val="20"/>
          <w:color w:val="auto"/>
        </w:rPr>
      </w:pPr>
      <w:r>
        <w:rPr>
          <w:rFonts w:ascii="Arial" w:cs="Arial" w:eastAsia="Arial" w:hAnsi="Arial"/>
          <w:sz w:val="18"/>
          <w:szCs w:val="18"/>
          <w:color w:val="auto"/>
        </w:rPr>
        <w:t>We repurchased 5.6 million shares of our common stock for $ 2.0 billion during the nine months ended September 26, 2021, compared to 3.0 million shares of our common stock for $1.1 billion during the nine months ended September 27, 2020.</w:t>
      </w:r>
    </w:p>
    <w:p>
      <w:pPr>
        <w:spacing w:after="0" w:line="157" w:lineRule="exact"/>
        <w:rPr>
          <w:sz w:val="20"/>
          <w:szCs w:val="20"/>
          <w:color w:val="auto"/>
        </w:rPr>
      </w:pPr>
    </w:p>
    <w:p>
      <w:pPr>
        <w:ind w:right="860" w:firstLine="445"/>
        <w:spacing w:after="0" w:line="261" w:lineRule="auto"/>
        <w:rPr>
          <w:sz w:val="20"/>
          <w:szCs w:val="20"/>
          <w:color w:val="auto"/>
        </w:rPr>
      </w:pPr>
      <w:r>
        <w:rPr>
          <w:rFonts w:ascii="Arial" w:cs="Arial" w:eastAsia="Arial" w:hAnsi="Arial"/>
          <w:sz w:val="18"/>
          <w:szCs w:val="18"/>
          <w:color w:val="auto"/>
        </w:rPr>
        <w:t>In September 2021, we repaid $500 million of long-term notes with a fixed interest rate of 3.35% according to their scheduled maturities.</w:t>
      </w:r>
    </w:p>
    <w:p>
      <w:pPr>
        <w:spacing w:after="0" w:line="157" w:lineRule="exact"/>
        <w:rPr>
          <w:sz w:val="20"/>
          <w:szCs w:val="20"/>
          <w:color w:val="auto"/>
        </w:rPr>
      </w:pPr>
    </w:p>
    <w:p>
      <w:pPr>
        <w:jc w:val="both"/>
        <w:ind w:right="300" w:firstLine="445"/>
        <w:spacing w:after="0" w:line="256" w:lineRule="auto"/>
        <w:rPr>
          <w:sz w:val="20"/>
          <w:szCs w:val="20"/>
          <w:color w:val="auto"/>
        </w:rPr>
      </w:pPr>
      <w:r>
        <w:rPr>
          <w:rFonts w:ascii="Arial" w:cs="Arial" w:eastAsia="Arial" w:hAnsi="Arial"/>
          <w:sz w:val="18"/>
          <w:szCs w:val="18"/>
          <w:color w:val="auto"/>
        </w:rPr>
        <w:t>In May 2020, we received net cash proceeds of $1.1 billion from issuance of senior unsecured notes. In June 2020, we used the net proceeds from the offering plus cash on hand to redeem $750 million of notes due in 2020 and $400 million of notes due in 2021, each at their redemption price.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274" w:lineRule="exact"/>
        <w:rPr>
          <w:sz w:val="20"/>
          <w:szCs w:val="20"/>
          <w:color w:val="auto"/>
        </w:rPr>
      </w:pPr>
    </w:p>
    <w:p>
      <w:pPr>
        <w:ind w:right="580" w:firstLine="486"/>
        <w:spacing w:after="0" w:line="261" w:lineRule="auto"/>
        <w:rPr>
          <w:sz w:val="20"/>
          <w:szCs w:val="20"/>
          <w:color w:val="auto"/>
        </w:rPr>
      </w:pPr>
      <w:r>
        <w:rPr>
          <w:rFonts w:ascii="Arial" w:cs="Arial" w:eastAsia="Arial" w:hAnsi="Arial"/>
          <w:sz w:val="18"/>
          <w:szCs w:val="18"/>
          <w:color w:val="auto"/>
        </w:rPr>
        <w:t>At September 26, 2021, we held cash and cash equivalents of $2.7 billion that was generally available to fund ordinary business operations without significant legal, regulatory, or other restrictions.</w:t>
      </w:r>
    </w:p>
    <w:p>
      <w:pPr>
        <w:spacing w:after="0" w:line="225" w:lineRule="exact"/>
        <w:rPr>
          <w:sz w:val="20"/>
          <w:szCs w:val="20"/>
          <w:color w:val="auto"/>
        </w:rPr>
      </w:pPr>
    </w:p>
    <w:p>
      <w:pPr>
        <w:ind w:right="60" w:firstLine="486"/>
        <w:spacing w:after="0" w:line="271" w:lineRule="auto"/>
        <w:rPr>
          <w:sz w:val="20"/>
          <w:szCs w:val="20"/>
          <w:color w:val="auto"/>
        </w:rPr>
      </w:pPr>
      <w:r>
        <w:rPr>
          <w:rFonts w:ascii="Arial" w:cs="Arial" w:eastAsia="Arial" w:hAnsi="Arial"/>
          <w:sz w:val="17"/>
          <w:szCs w:val="17"/>
          <w:color w:val="auto"/>
        </w:rPr>
        <w:t>At September 26, 2021, we had a $ 3.0 billion revolving credit facility (the Revolving Credit Facility) with various banks with an expiration date of August 24, 2026 that is available for general corporate purposes including supporting commercial paper borrowings. We entered into this Revolving Credit Facility effective August 24, 2021 and concurrently terminated our existing $2.5 billion revolving credit facility. We may request and the banks may grant, at their discretion, an increase in the borrowing capacity under the Revolving Credit Facility of up to an additional $500 million. There were no borrowings outstanding under the Revolving Credit Facility at September 26, 2021.</w:t>
      </w:r>
    </w:p>
    <w:p>
      <w:pPr>
        <w:spacing w:after="0" w:line="219"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We have agreements in place with financial institutions to provide for the issuance of commercial paper. The outstanding balance of commercial paper can fluctuate daily and the amount outstanding during the period may be greater than or less than the amount reported at the end of the period. There were no commercial paper borrowings outstanding as of September 26, 2021 and December 31, 2020. We may, as conditions warrant, from time to time issue commercial paper backed by our Revolving Credit Facility to manage the timing of cash flows. However, as described under Item 1A, Risk Factors of our 2020 Form 10-K, depending on market conditions, commercial paper may not be available on favorable terms or at all.</w:t>
      </w:r>
    </w:p>
    <w:p>
      <w:pPr>
        <w:spacing w:after="0" w:line="235"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Our outstanding debt, net of unamortized discounts and issuance costs was $11.7 billion as of September 26, 2021 and is in the form of publicly-issued notes that bear interest at fixed rates. In September 2021, we repaid $500 million of long-term notes with a fixed interest rate of 3.35% according to their scheduled maturities. As of September 26, 2021, we were in compliance with all covenants contained in our debt and credit agreements. Other than the $ 500 million debt redemption in September 2021 and the new Revolving Credit Facility in August 2021, there were no material changes during the quarter or nine months ended September 26, 2021 to our contractual commitments as presented in “Management’s Discussion and Analysis of Financial Condition and Results of Operations” of our 2020 Form 10-K that were outside the ordinary course of our business.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Status of the F-35 Program</w:t>
      </w:r>
    </w:p>
    <w:p>
      <w:pPr>
        <w:spacing w:after="0" w:line="220"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The F-35 program primarily consists of production contracts, sustainment activities, and new development efforts. Production of the aircraft is expected to continue for many years given the U.S. Government’s current inventory objective of 2,456 aircraft for the U.S. Air Force, U.S. Marine Corps, and U.S. Navy; commitments from our seven international partner countries and six international customers; as well as expressions of interest from other countries. During the second quarter of 2021, Switzerland's Federal Council announced its decision to purchase the F-35A Conventional Takeoff and Landing (CTOL) aircraft along with sustainment and training services, as part of their Air 2030 modernization program.</w:t>
      </w:r>
    </w:p>
    <w:p>
      <w:pPr>
        <w:spacing w:after="0" w:line="167" w:lineRule="exact"/>
        <w:rPr>
          <w:sz w:val="20"/>
          <w:szCs w:val="20"/>
          <w:color w:val="auto"/>
        </w:rPr>
      </w:pPr>
    </w:p>
    <w:p>
      <w:pPr>
        <w:jc w:val="both"/>
        <w:ind w:right="200" w:firstLine="405"/>
        <w:spacing w:after="0" w:line="256" w:lineRule="auto"/>
        <w:rPr>
          <w:sz w:val="20"/>
          <w:szCs w:val="20"/>
          <w:color w:val="auto"/>
        </w:rPr>
      </w:pPr>
      <w:r>
        <w:rPr>
          <w:rFonts w:ascii="Arial" w:cs="Arial" w:eastAsia="Arial" w:hAnsi="Arial"/>
          <w:sz w:val="18"/>
          <w:szCs w:val="18"/>
          <w:color w:val="auto"/>
        </w:rPr>
        <w:t>During the quarter ended September 26, 2021, we delivered 36 production aircraft to our U.S. and international partner countries, and international customers, resulting in total deliveries of 701 production aircraft. We have 282 production aircraft in backlog, including orders from our international partner customers and countries.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right="80" w:firstLine="405"/>
        <w:spacing w:after="0" w:line="254" w:lineRule="auto"/>
        <w:rPr>
          <w:sz w:val="20"/>
          <w:szCs w:val="20"/>
          <w:color w:val="auto"/>
        </w:rPr>
      </w:pPr>
      <w:r>
        <w:rPr>
          <w:rFonts w:ascii="Arial" w:cs="Arial" w:eastAsia="Arial" w:hAnsi="Arial"/>
          <w:sz w:val="18"/>
          <w:szCs w:val="18"/>
          <w:color w:val="auto"/>
        </w:rPr>
        <w:t>In response to COVID-19 F-35 supplier delays and in conjunction with the F-35 Joint Program Office, we tapered our production rate in 2020. In 2021, we continue to be impacted by COVID-19 but expect the production rate to improve from its 2020 levels and deliver 133-139 aircraft in 2021. As agreed with the F-35 Joint Program Office in September 2021, we anticipate delivering 151-153 aircraft in 2022 and 156 aircraft in 2023 and stabilizing at that rate for future years of the program. See the discussion in Business Overview - COVID-19.</w:t>
      </w:r>
    </w:p>
    <w:p>
      <w:pPr>
        <w:spacing w:after="0" w:line="177" w:lineRule="exact"/>
        <w:rPr>
          <w:sz w:val="20"/>
          <w:szCs w:val="20"/>
          <w:color w:val="auto"/>
        </w:rPr>
      </w:pPr>
    </w:p>
    <w:p>
      <w:pPr>
        <w:ind w:right="220" w:firstLine="405"/>
        <w:spacing w:after="0" w:line="253" w:lineRule="auto"/>
        <w:rPr>
          <w:sz w:val="20"/>
          <w:szCs w:val="20"/>
          <w:color w:val="auto"/>
        </w:rPr>
      </w:pPr>
      <w:r>
        <w:rPr>
          <w:rFonts w:ascii="Arial" w:cs="Arial" w:eastAsia="Arial" w:hAnsi="Arial"/>
          <w:sz w:val="18"/>
          <w:szCs w:val="18"/>
          <w:color w:val="auto"/>
        </w:rPr>
        <w:t>Given the size and complexity of the F-35 program, we anticipate that there will be continual reviews related to aircraft performance, program schedule, cost, and requirements as part of the DoD, Congressional, and international partner countries’ oversight and budgeting processes. Current program challenges include, but are not limited to supplier and partner performance, software development, receiving funding for contracts on a timely basis, the level of cost associated with life cycle operations, sustainment and warranties, and executing future flight tests and supporting the resulting findings from testing and operating the aircraft.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07" w:lineRule="exact"/>
        <w:rPr>
          <w:sz w:val="20"/>
          <w:szCs w:val="20"/>
          <w:color w:val="auto"/>
        </w:rPr>
      </w:pPr>
    </w:p>
    <w:p>
      <w:pPr>
        <w:ind w:right="560" w:firstLine="445"/>
        <w:spacing w:after="0" w:line="261" w:lineRule="auto"/>
        <w:rPr>
          <w:sz w:val="20"/>
          <w:szCs w:val="20"/>
          <w:color w:val="auto"/>
        </w:rPr>
      </w:pPr>
      <w:r>
        <w:rPr>
          <w:rFonts w:ascii="Arial" w:cs="Arial" w:eastAsia="Arial" w:hAnsi="Arial"/>
          <w:sz w:val="18"/>
          <w:szCs w:val="18"/>
          <w:color w:val="auto"/>
        </w:rPr>
        <w:t>See “Note 8 - Legal Proceedings and Contingencies” included in our Notes to Consolidated Financial Statements for information regarding our contingent obligations, including off-balance sheet arrangements.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07" w:lineRule="exact"/>
        <w:rPr>
          <w:sz w:val="20"/>
          <w:szCs w:val="20"/>
          <w:color w:val="auto"/>
        </w:rPr>
      </w:pPr>
    </w:p>
    <w:p>
      <w:pPr>
        <w:ind w:right="100" w:firstLine="445"/>
        <w:spacing w:after="0" w:line="253" w:lineRule="auto"/>
        <w:rPr>
          <w:sz w:val="20"/>
          <w:szCs w:val="20"/>
          <w:color w:val="auto"/>
        </w:rPr>
      </w:pPr>
      <w:r>
        <w:rPr>
          <w:rFonts w:ascii="Arial" w:cs="Arial" w:eastAsia="Arial" w:hAnsi="Arial"/>
          <w:sz w:val="18"/>
          <w:szCs w:val="18"/>
          <w:color w:val="auto"/>
        </w:rPr>
        <w:t>There have been no significant changes to the critical accounting policies disclosed in “Management’s Discussion and Analysis of Financial Condition and Results of Operations” in our 2020 Form 10-K, except for an update related to our postretirement benefit plans to describe changes to our funding requirements and the amount of pension costs recoverable under contracts with the U.S. Government as a result of the American Rescue Plan Act of 2021 in our Form 10-Q for the quarter ended March 28, 2021. Additionally, as set forth below, we have updated our defined benefit plan disclosures to reflect the impact of the purchase of group annuity contracts on August 3, 2021.</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Postretirement Benefit Plans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03" w:lineRule="exact"/>
        <w:rPr>
          <w:sz w:val="20"/>
          <w:szCs w:val="20"/>
          <w:color w:val="auto"/>
        </w:rPr>
      </w:pPr>
    </w:p>
    <w:p>
      <w:pPr>
        <w:ind w:right="240" w:firstLine="445"/>
        <w:spacing w:after="0" w:line="252" w:lineRule="auto"/>
        <w:rPr>
          <w:sz w:val="20"/>
          <w:szCs w:val="20"/>
          <w:color w:val="auto"/>
        </w:rPr>
      </w:pPr>
      <w:r>
        <w:rPr>
          <w:rFonts w:ascii="Arial" w:cs="Arial" w:eastAsia="Arial" w:hAnsi="Arial"/>
          <w:sz w:val="18"/>
          <w:szCs w:val="18"/>
          <w:color w:val="auto"/>
        </w:rPr>
        <w:t>On August 3, 2021, we purchased group annuity contracts to transfer $4.9 billion of gross defined benefit pension obligations and related plan assets to an insurance company for approximately 18,000 U.S. retirees and beneficiaries. The group annuity contracts were purchased using assets from Lockheed Martin’s master retirement trust and no additional funding contribution was required by us. This transaction has no impact on the amount, timing, or form of the monthly retirement benefit payments to the affected retirees and beneficiaries. In connection with this transaction, we recognized a noncash pension settlement charge of $1.7 billion ($ 1.3 billion, or $4.72 per share, after tax) for the affected defined benefit pension plans (the Affected Plans) in the quarter ended September 26, 2021, which represents the accelerated recognition of actuarial losses that were included in the accumulated other comprehensive loss account within stockholders’ equity.</w:t>
      </w:r>
    </w:p>
    <w:p>
      <w:pPr>
        <w:spacing w:after="0" w:line="178" w:lineRule="exact"/>
        <w:rPr>
          <w:sz w:val="20"/>
          <w:szCs w:val="20"/>
          <w:color w:val="auto"/>
        </w:rPr>
      </w:pPr>
    </w:p>
    <w:p>
      <w:pPr>
        <w:jc w:val="both"/>
        <w:ind w:right="80" w:firstLine="445"/>
        <w:spacing w:after="0" w:line="256" w:lineRule="auto"/>
        <w:rPr>
          <w:sz w:val="20"/>
          <w:szCs w:val="20"/>
          <w:color w:val="auto"/>
        </w:rPr>
      </w:pPr>
      <w:r>
        <w:rPr>
          <w:rFonts w:ascii="Arial" w:cs="Arial" w:eastAsia="Arial" w:hAnsi="Arial"/>
          <w:sz w:val="18"/>
          <w:szCs w:val="18"/>
          <w:color w:val="auto"/>
        </w:rPr>
        <w:t>As a result of this transaction, we were required to remeasure the benefit obligations and assets related to the Affected Plans as of the August 3, 2021 close date (the Remeasurement Date). The remeasurement reflects the use of updated actuarial assumptions, primarily the discount rate, and actual return on plan assets described in further detail below.</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Actuarial Assumptions</w:t>
      </w:r>
    </w:p>
    <w:p>
      <w:pPr>
        <w:spacing w:after="0" w:line="203" w:lineRule="exact"/>
        <w:rPr>
          <w:sz w:val="20"/>
          <w:szCs w:val="20"/>
          <w:color w:val="auto"/>
        </w:rPr>
      </w:pPr>
    </w:p>
    <w:p>
      <w:pPr>
        <w:ind w:firstLine="445"/>
        <w:spacing w:after="0" w:line="253" w:lineRule="auto"/>
        <w:rPr>
          <w:sz w:val="20"/>
          <w:szCs w:val="20"/>
          <w:color w:val="auto"/>
        </w:rPr>
      </w:pPr>
      <w:r>
        <w:rPr>
          <w:rFonts w:ascii="Arial" w:cs="Arial" w:eastAsia="Arial" w:hAnsi="Arial"/>
          <w:sz w:val="18"/>
          <w:szCs w:val="18"/>
          <w:color w:val="auto"/>
        </w:rPr>
        <w:t>The benefit obligations and assets of our postretirement benefit plans are measured at the end of each year, or more frequently, upon the occurrence of certain events such as a significant plan amendment, settlement or curtailment. The amounts we record are measured using actuarial valuations, which are dependent upon key assumptions such as discount rates, the expected long -term rate of return on plan assets, participant longevity, and employee turnover. The assumptions we make affect both the calculation of the benefit obligations as of the measurement date and the calculation of FAS pension expense in subsequent periods.</w:t>
      </w:r>
    </w:p>
    <w:p>
      <w:pPr>
        <w:spacing w:after="0" w:line="165" w:lineRule="exact"/>
        <w:rPr>
          <w:sz w:val="20"/>
          <w:szCs w:val="20"/>
          <w:color w:val="auto"/>
        </w:rPr>
      </w:pPr>
    </w:p>
    <w:p>
      <w:pPr>
        <w:ind w:right="140" w:firstLine="445"/>
        <w:spacing w:after="0" w:line="254" w:lineRule="auto"/>
        <w:rPr>
          <w:sz w:val="20"/>
          <w:szCs w:val="20"/>
          <w:color w:val="auto"/>
        </w:rPr>
      </w:pPr>
      <w:r>
        <w:rPr>
          <w:rFonts w:ascii="Arial" w:cs="Arial" w:eastAsia="Arial" w:hAnsi="Arial"/>
          <w:sz w:val="18"/>
          <w:szCs w:val="18"/>
          <w:color w:val="auto"/>
        </w:rPr>
        <w:t>As described above, we remeasured the benefit obligations and assets related to the Affected Plans as of the August 3, 2021 close date. When calculating the benefit obligations related to the Affected Plans, we utilized a discount rate of 2.75% as of the Remeasurement Date, compared to 2.50% as of December 31, 2020. The increase in the discount resulted in a decrease of approximately $1.3 billion in the projected benefit obligations.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100" w:firstLine="445"/>
        <w:spacing w:after="0" w:line="253" w:lineRule="auto"/>
        <w:rPr>
          <w:sz w:val="20"/>
          <w:szCs w:val="20"/>
          <w:color w:val="auto"/>
        </w:rPr>
      </w:pPr>
      <w:r>
        <w:rPr>
          <w:rFonts w:ascii="Arial" w:cs="Arial" w:eastAsia="Arial" w:hAnsi="Arial"/>
          <w:sz w:val="18"/>
          <w:szCs w:val="18"/>
          <w:color w:val="auto"/>
        </w:rPr>
        <w:t>The actual return on plan assets for the period January 1, 2021 through August 3, 2021 for the Affected Plans was approximately 8.00%, or $3.2 billion, which was approximately $1.6 billion higher (the incremental return) than our expected return on plan assets of approximately 4.00%, or $ 1.6 billion (the proportional effect, or approximately seven twelfths, of our previously expected 7.00% annual long-term rate of return on plan assets assumption), for the period January 1, 2021 through August 3, 2021. The incremental return of $1.6 billion on plan assets was recognized in the remeasurement of the assets related to the Affected Plans.</w:t>
      </w:r>
    </w:p>
    <w:p>
      <w:pPr>
        <w:spacing w:after="0" w:line="178" w:lineRule="exact"/>
        <w:rPr>
          <w:sz w:val="20"/>
          <w:szCs w:val="20"/>
          <w:color w:val="auto"/>
        </w:rPr>
      </w:pPr>
    </w:p>
    <w:p>
      <w:pPr>
        <w:ind w:right="160" w:firstLine="445"/>
        <w:spacing w:after="0" w:line="256" w:lineRule="auto"/>
        <w:rPr>
          <w:sz w:val="20"/>
          <w:szCs w:val="20"/>
          <w:color w:val="auto"/>
        </w:rPr>
      </w:pPr>
      <w:r>
        <w:rPr>
          <w:rFonts w:ascii="Arial" w:cs="Arial" w:eastAsia="Arial" w:hAnsi="Arial"/>
          <w:sz w:val="18"/>
          <w:szCs w:val="18"/>
          <w:color w:val="auto"/>
        </w:rPr>
        <w:t>When calculating FAS pension expense for periods subsequent to the Remeasurement Date, we lowered our expected long-term rate of return on plan assets from 7.00% utilized as of December 31, 2020 to 6.50% as of the Remeasurement Date, which reflects recent changes in our asset allocation targets.</w:t>
      </w:r>
    </w:p>
    <w:p>
      <w:pPr>
        <w:spacing w:after="0" w:line="161" w:lineRule="exact"/>
        <w:rPr>
          <w:sz w:val="20"/>
          <w:szCs w:val="20"/>
          <w:color w:val="auto"/>
        </w:rPr>
      </w:pPr>
    </w:p>
    <w:p>
      <w:pPr>
        <w:ind w:right="220" w:firstLine="445"/>
        <w:spacing w:after="0" w:line="256" w:lineRule="auto"/>
        <w:rPr>
          <w:sz w:val="20"/>
          <w:szCs w:val="20"/>
          <w:color w:val="auto"/>
        </w:rPr>
      </w:pPr>
      <w:r>
        <w:rPr>
          <w:rFonts w:ascii="Arial" w:cs="Arial" w:eastAsia="Arial" w:hAnsi="Arial"/>
          <w:sz w:val="18"/>
          <w:szCs w:val="18"/>
          <w:color w:val="auto"/>
        </w:rPr>
        <w:t>Longevity assumptions are used to estimate the life expectancy of plan participants during which they are expected to receive benefit payments. The longevity assumptions utilized to calculate the benefit obligations at the Remeasurement Date were unchanged from December 31, 2020.</w:t>
      </w:r>
    </w:p>
    <w:p>
      <w:pPr>
        <w:spacing w:after="0" w:line="161" w:lineRule="exact"/>
        <w:rPr>
          <w:sz w:val="20"/>
          <w:szCs w:val="20"/>
          <w:color w:val="auto"/>
        </w:rPr>
      </w:pPr>
    </w:p>
    <w:p>
      <w:pPr>
        <w:ind w:right="40" w:firstLine="445"/>
        <w:spacing w:after="0" w:line="252" w:lineRule="auto"/>
        <w:rPr>
          <w:sz w:val="20"/>
          <w:szCs w:val="20"/>
          <w:color w:val="auto"/>
        </w:rPr>
      </w:pPr>
      <w:r>
        <w:rPr>
          <w:rFonts w:ascii="Arial" w:cs="Arial" w:eastAsia="Arial" w:hAnsi="Arial"/>
          <w:sz w:val="18"/>
          <w:szCs w:val="18"/>
          <w:color w:val="auto"/>
        </w:rPr>
        <w:t>The plan remeasurements resulted in a decrease of $2.9 billion to our net unfunded pension obligations (which includes the change in benefit obligation primarily related to the higher discount rate utilized in the remeasurement of $1.3 billion and the incremental return on plan assets recognized in remeasurement of $1.6 billion) with a corresponding increase of $ 2.3 billion after taxes in stockholders’ equity. The change in stockholders’ equity reflects the decrease in deferred actuarial losses, which will be recognized as an increase in net FAS pension income (or a decrease in net FAS pension expense) over the estimated remaining life expectancy of the covered employees beginning in the third quarter of 2021. However, deferred net actuarial gains or losses in stockholders’ equity are adjusted annually when the funded status of our postretirement benefit plans are measured, which will result in additional changes to our FAS pension income or expense in future periods.</w:t>
      </w:r>
    </w:p>
    <w:p>
      <w:pPr>
        <w:spacing w:after="0" w:line="178" w:lineRule="exact"/>
        <w:rPr>
          <w:sz w:val="20"/>
          <w:szCs w:val="20"/>
          <w:color w:val="auto"/>
        </w:rPr>
      </w:pPr>
    </w:p>
    <w:p>
      <w:pPr>
        <w:ind w:right="240" w:firstLine="445"/>
        <w:spacing w:after="0" w:line="253" w:lineRule="auto"/>
        <w:rPr>
          <w:sz w:val="20"/>
          <w:szCs w:val="20"/>
          <w:color w:val="auto"/>
        </w:rPr>
      </w:pPr>
      <w:r>
        <w:rPr>
          <w:rFonts w:ascii="Arial" w:cs="Arial" w:eastAsia="Arial" w:hAnsi="Arial"/>
          <w:sz w:val="18"/>
          <w:szCs w:val="18"/>
          <w:color w:val="auto"/>
        </w:rPr>
        <w:t>The purchase of the group annuity contracts and the remeasurement did not have an impact on our CAS pension cost and did not significantly impact our total FAS pension expense or net FAS/CAS pension adjustment for the quarter ended September 26, 2021 or expected full year 2021, except for the noncash pension settlement charge. The increase in the discount rate, incremental return on plan assets, and settlement charge reduced FAS pension expense in future periods, which was offset by the impact of the lower expected long-term rate of return on plan assets.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Funding Considerations</w:t>
      </w:r>
    </w:p>
    <w:p>
      <w:pPr>
        <w:spacing w:after="0" w:line="203" w:lineRule="exact"/>
        <w:rPr>
          <w:sz w:val="20"/>
          <w:szCs w:val="20"/>
          <w:color w:val="auto"/>
        </w:rPr>
      </w:pPr>
    </w:p>
    <w:p>
      <w:pPr>
        <w:ind w:right="120" w:firstLine="445"/>
        <w:spacing w:after="0" w:line="261" w:lineRule="auto"/>
        <w:rPr>
          <w:sz w:val="20"/>
          <w:szCs w:val="20"/>
          <w:color w:val="auto"/>
        </w:rPr>
      </w:pPr>
      <w:r>
        <w:rPr>
          <w:rFonts w:ascii="Arial" w:cs="Arial" w:eastAsia="Arial" w:hAnsi="Arial"/>
          <w:sz w:val="18"/>
          <w:szCs w:val="18"/>
          <w:color w:val="auto"/>
        </w:rPr>
        <w:t>The required funding of our qualified defined benefit pension plans is determined in accordance with the Employee Retirement Income Security Act of 1974 (ERISA), as amended, along with consideration of CAS and Internal Revenue Code rules.</w:t>
      </w:r>
    </w:p>
    <w:p>
      <w:pPr>
        <w:spacing w:after="0" w:line="171" w:lineRule="exact"/>
        <w:rPr>
          <w:sz w:val="20"/>
          <w:szCs w:val="20"/>
          <w:color w:val="auto"/>
        </w:rPr>
      </w:pPr>
    </w:p>
    <w:p>
      <w:pPr>
        <w:ind w:right="140" w:firstLine="445"/>
        <w:spacing w:after="0" w:line="254" w:lineRule="auto"/>
        <w:rPr>
          <w:sz w:val="20"/>
          <w:szCs w:val="20"/>
          <w:color w:val="auto"/>
        </w:rPr>
      </w:pPr>
      <w:r>
        <w:rPr>
          <w:rFonts w:ascii="Arial" w:cs="Arial" w:eastAsia="Arial" w:hAnsi="Arial"/>
          <w:sz w:val="18"/>
          <w:szCs w:val="18"/>
          <w:color w:val="auto"/>
        </w:rPr>
        <w:t>Contributions to our defined benefit pension plans are recovered over time through the pricing of our products and services on U.S. Government contracts, including FMS, and are recognized in our cost of sales and net sales. CAS govern the extent to which our pension costs are allocable to and recoverable under contracts with the U.S. Government, including FMS. Pension cost recoveries under CAS occur in different periods from when pension contributions are made under the Pension Protection Act of 2006.</w:t>
      </w:r>
    </w:p>
    <w:p>
      <w:pPr>
        <w:spacing w:after="0" w:line="163"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As previously disclosed, on March 11, 2021, President Biden signed the American Rescue Plan Act of 2021 into law, which eased funding requirements for single-employer defined benefit pension plans under the ERISA, as amended, by restarting and extending the amortization of funding shortfalls and extending and enhancing interest rate stabilization percentages, among many other stimulus measures. These changes have the effect of lowering our minimum funding requirements and CAS pension costs from what they otherwise would have been had the measures not been enacted. As permitted under the law, we will adopt the funding amortization change by 2020 and the interest rate stabilization in 2022.</w:t>
      </w:r>
    </w:p>
    <w:p>
      <w:pPr>
        <w:spacing w:after="0" w:line="168" w:lineRule="exact"/>
        <w:rPr>
          <w:sz w:val="20"/>
          <w:szCs w:val="20"/>
          <w:color w:val="auto"/>
        </w:rPr>
      </w:pPr>
    </w:p>
    <w:p>
      <w:pPr>
        <w:ind w:right="360" w:firstLine="445"/>
        <w:spacing w:after="0" w:line="261" w:lineRule="auto"/>
        <w:rPr>
          <w:sz w:val="20"/>
          <w:szCs w:val="20"/>
          <w:color w:val="auto"/>
        </w:rPr>
      </w:pPr>
      <w:r>
        <w:rPr>
          <w:rFonts w:ascii="Arial" w:cs="Arial" w:eastAsia="Arial" w:hAnsi="Arial"/>
          <w:sz w:val="18"/>
          <w:szCs w:val="18"/>
          <w:color w:val="auto"/>
        </w:rPr>
        <w:t>We made no contributions to our qualified defined benefit pension plans during the quarters and nine months ended September 26, 2021.</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Trends</w:t>
      </w:r>
    </w:p>
    <w:p>
      <w:pPr>
        <w:spacing w:after="0" w:line="203" w:lineRule="exact"/>
        <w:rPr>
          <w:sz w:val="20"/>
          <w:szCs w:val="20"/>
          <w:color w:val="auto"/>
        </w:rPr>
      </w:pPr>
    </w:p>
    <w:p>
      <w:pPr>
        <w:ind w:right="60" w:firstLine="445"/>
        <w:spacing w:after="0" w:line="261" w:lineRule="auto"/>
        <w:rPr>
          <w:sz w:val="20"/>
          <w:szCs w:val="20"/>
          <w:color w:val="auto"/>
        </w:rPr>
      </w:pPr>
      <w:r>
        <w:rPr>
          <w:rFonts w:ascii="Arial" w:cs="Arial" w:eastAsia="Arial" w:hAnsi="Arial"/>
          <w:sz w:val="18"/>
          <w:szCs w:val="18"/>
          <w:color w:val="auto"/>
        </w:rPr>
        <w:t>We now expect FAS pension expense of approximately $1.4 billion in 2021, inclusive of the noncash pension settlement charge of $1.7 billion (pretax) described above, compared to our prior estimate of FAS pension income of $265</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million in 2021. Excluding the noncash pension settlement charge, our adjusted FAS pension income will be approximately $265 million in 2021, which is consistent with our prior 2021 FAS pension income estimate.</w:t>
      </w:r>
    </w:p>
    <w:p>
      <w:pPr>
        <w:spacing w:after="0" w:line="171" w:lineRule="exact"/>
        <w:rPr>
          <w:sz w:val="20"/>
          <w:szCs w:val="20"/>
          <w:color w:val="auto"/>
        </w:rPr>
      </w:pPr>
    </w:p>
    <w:p>
      <w:pPr>
        <w:ind w:right="100" w:firstLine="445"/>
        <w:spacing w:after="0" w:line="256" w:lineRule="auto"/>
        <w:rPr>
          <w:sz w:val="20"/>
          <w:szCs w:val="20"/>
          <w:color w:val="auto"/>
        </w:rPr>
      </w:pPr>
      <w:r>
        <w:rPr>
          <w:rFonts w:ascii="Arial" w:cs="Arial" w:eastAsia="Arial" w:hAnsi="Arial"/>
          <w:sz w:val="18"/>
          <w:szCs w:val="18"/>
          <w:color w:val="auto"/>
        </w:rPr>
        <w:t>Our CAS cost was not impacted by the purchase of the group annuity contracts or the remeasurement of the benefit pension obligations and related assets related to the Affected Plans described above. Therefore, we continue to expect our CAS pension cost will be approximately $2.1 billion in 2021, which is consistent with our prior 2021 CAS pension cost estimate.</w:t>
      </w:r>
    </w:p>
    <w:p>
      <w:pPr>
        <w:spacing w:after="0" w:line="161" w:lineRule="exact"/>
        <w:rPr>
          <w:sz w:val="20"/>
          <w:szCs w:val="20"/>
          <w:color w:val="auto"/>
        </w:rPr>
      </w:pPr>
    </w:p>
    <w:p>
      <w:pPr>
        <w:ind w:right="20" w:firstLine="445"/>
        <w:spacing w:after="0" w:line="254" w:lineRule="auto"/>
        <w:rPr>
          <w:sz w:val="20"/>
          <w:szCs w:val="20"/>
          <w:color w:val="auto"/>
        </w:rPr>
      </w:pPr>
      <w:r>
        <w:rPr>
          <w:rFonts w:ascii="Arial" w:cs="Arial" w:eastAsia="Arial" w:hAnsi="Arial"/>
          <w:sz w:val="18"/>
          <w:szCs w:val="18"/>
          <w:color w:val="auto"/>
        </w:rPr>
        <w:t>We now expect FAS/CAS pension income of approximately $665 million in 2021, inclusive of the noncash pension settlement charge of $1.7 billion (pretax) described above, compared to our prior estimate of FAS/CAS pension income of $2.3 billion in 2021. Excluding the noncash pension settlement charge, our adjusted FAS/CAS pension income will be approximately $2.3 billion in 2021, which is consistent with our prior 2021 FAS/CAS pension income estimate.</w:t>
      </w:r>
    </w:p>
    <w:p>
      <w:pPr>
        <w:spacing w:after="0" w:line="163" w:lineRule="exact"/>
        <w:rPr>
          <w:sz w:val="20"/>
          <w:szCs w:val="20"/>
          <w:color w:val="auto"/>
        </w:rPr>
      </w:pPr>
    </w:p>
    <w:p>
      <w:pPr>
        <w:ind w:right="160" w:firstLine="445"/>
        <w:spacing w:after="0" w:line="261" w:lineRule="auto"/>
        <w:rPr>
          <w:sz w:val="20"/>
          <w:szCs w:val="20"/>
          <w:color w:val="auto"/>
        </w:rPr>
      </w:pPr>
      <w:r>
        <w:rPr>
          <w:rFonts w:ascii="Arial" w:cs="Arial" w:eastAsia="Arial" w:hAnsi="Arial"/>
          <w:sz w:val="18"/>
          <w:szCs w:val="18"/>
          <w:color w:val="auto"/>
        </w:rPr>
        <w:t>We do not plan to make contributions to our qualified defined benefit pension plans in 2021, consistent with our 2021 financial outlook provided in July 2021.</w:t>
      </w:r>
    </w:p>
    <w:p>
      <w:pPr>
        <w:spacing w:after="0" w:line="171" w:lineRule="exact"/>
        <w:rPr>
          <w:sz w:val="20"/>
          <w:szCs w:val="20"/>
          <w:color w:val="auto"/>
        </w:rPr>
      </w:pPr>
    </w:p>
    <w:p>
      <w:pPr>
        <w:ind w:right="960" w:firstLine="445"/>
        <w:spacing w:after="0" w:line="261" w:lineRule="auto"/>
        <w:rPr>
          <w:sz w:val="20"/>
          <w:szCs w:val="20"/>
          <w:color w:val="auto"/>
        </w:rPr>
      </w:pPr>
      <w:r>
        <w:rPr>
          <w:rFonts w:ascii="Arial" w:cs="Arial" w:eastAsia="Arial" w:hAnsi="Arial"/>
          <w:sz w:val="18"/>
          <w:szCs w:val="18"/>
          <w:color w:val="auto"/>
        </w:rPr>
        <w:t>For 2022 financial trending information related to our qualified defined benefit pension plans, see “2022 Financial Trends” in Management’s Discussion and Analysis of Financial Condition and Results of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193" w:lineRule="exact"/>
        <w:rPr>
          <w:sz w:val="20"/>
          <w:szCs w:val="20"/>
          <w:color w:val="auto"/>
        </w:rPr>
      </w:pPr>
    </w:p>
    <w:p>
      <w:pPr>
        <w:ind w:right="140" w:firstLine="445"/>
        <w:spacing w:after="0" w:line="253" w:lineRule="auto"/>
        <w:rPr>
          <w:sz w:val="20"/>
          <w:szCs w:val="20"/>
          <w:color w:val="auto"/>
        </w:rPr>
      </w:pPr>
      <w:r>
        <w:rPr>
          <w:rFonts w:ascii="Arial" w:cs="Arial" w:eastAsia="Arial" w:hAnsi="Arial"/>
          <w:sz w:val="18"/>
          <w:szCs w:val="18"/>
          <w:color w:val="auto"/>
        </w:rPr>
        <w:t>The carrying value of our goodwill balance was $10.8 billion at September 26, 2021, including $2.7 billion of goodwill at our Sikorsky reporting unit. In the fourth quarter of 2020, we performed our annual impairment test for goodwill, and the results of that test indicated no impairment existed. As of the date of our 2020 annual impairment test, we estimated that the fair value of our Sikorsky reporting unit exceeded its carrying value for goodwill by a margin of approximately 30%. We will perform our next annual goodwill impairment test during the fourth quarter of 2021 and will perform a quantitative assessment of the fair value of our Sikorsky reporting unit.</w:t>
      </w:r>
    </w:p>
    <w:p>
      <w:pPr>
        <w:spacing w:after="0" w:line="178" w:lineRule="exact"/>
        <w:rPr>
          <w:sz w:val="20"/>
          <w:szCs w:val="20"/>
          <w:color w:val="auto"/>
        </w:rPr>
      </w:pPr>
    </w:p>
    <w:p>
      <w:pPr>
        <w:ind w:right="60" w:firstLine="445"/>
        <w:spacing w:after="0" w:line="252" w:lineRule="auto"/>
        <w:rPr>
          <w:sz w:val="20"/>
          <w:szCs w:val="20"/>
          <w:color w:val="auto"/>
        </w:rPr>
      </w:pPr>
      <w:r>
        <w:rPr>
          <w:rFonts w:ascii="Arial" w:cs="Arial" w:eastAsia="Arial" w:hAnsi="Arial"/>
          <w:sz w:val="18"/>
          <w:szCs w:val="18"/>
          <w:color w:val="auto"/>
        </w:rPr>
        <w:t>The fair value of our Sikorsky reporting unit can be significantly impacted by its performance, the amount and timing of expected future cash flows, contract terminations, changes in expected future orders, general market pressures, including U.S. Government budgetary constraints, discount rates, long term growth rates, and changes in U.S. (federal or state) or foreign tax laws and regulations, or their interpretation and application, including those with retroactive effect, along with other significant judgments. Based on our assessment of these circumstances, we have determined that goodwill at our Sikorsky reporting unit is at risk for impairment should there be a deterioration of projected cash flows of the reporting unit.</w:t>
      </w:r>
    </w:p>
    <w:p>
      <w:pPr>
        <w:spacing w:after="0" w:line="168" w:lineRule="exact"/>
        <w:rPr>
          <w:sz w:val="20"/>
          <w:szCs w:val="20"/>
          <w:color w:val="auto"/>
        </w:rPr>
      </w:pPr>
    </w:p>
    <w:p>
      <w:pPr>
        <w:ind w:right="80" w:firstLine="445"/>
        <w:spacing w:after="0" w:line="261" w:lineRule="auto"/>
        <w:rPr>
          <w:sz w:val="20"/>
          <w:szCs w:val="20"/>
          <w:color w:val="auto"/>
        </w:rPr>
      </w:pPr>
      <w:r>
        <w:rPr>
          <w:rFonts w:ascii="Arial" w:cs="Arial" w:eastAsia="Arial" w:hAnsi="Arial"/>
          <w:sz w:val="18"/>
          <w:szCs w:val="18"/>
          <w:color w:val="auto"/>
        </w:rPr>
        <w:t>We do not currently anticipate any material impairments on our assets as a result of COVID-19. See Item 1A, Risk Factors of our 2020 Form 10-K for a discussion of the potential impacts of COVID-19 on the fair value of our assets.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0" w:lineRule="exact"/>
        <w:rPr>
          <w:sz w:val="20"/>
          <w:szCs w:val="20"/>
          <w:color w:val="auto"/>
        </w:rPr>
      </w:pPr>
    </w:p>
    <w:p>
      <w:pPr>
        <w:ind w:firstLine="445"/>
        <w:spacing w:after="0" w:line="261" w:lineRule="auto"/>
        <w:rPr>
          <w:sz w:val="20"/>
          <w:szCs w:val="20"/>
          <w:color w:val="auto"/>
        </w:rPr>
      </w:pPr>
      <w:r>
        <w:rPr>
          <w:rFonts w:ascii="Arial" w:cs="Arial" w:eastAsia="Arial" w:hAnsi="Arial"/>
          <w:sz w:val="18"/>
          <w:szCs w:val="18"/>
          <w:color w:val="auto"/>
        </w:rPr>
        <w:t>See “Note 12 - Recent Accounting Pronouncements” included in our Notes to Consolidated Financial Statements for information related to new accounting standards.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07" w:lineRule="exact"/>
        <w:rPr>
          <w:sz w:val="20"/>
          <w:szCs w:val="20"/>
          <w:color w:val="auto"/>
        </w:rPr>
      </w:pPr>
    </w:p>
    <w:p>
      <w:pPr>
        <w:ind w:right="200" w:firstLine="445"/>
        <w:spacing w:after="0" w:line="253" w:lineRule="auto"/>
        <w:rPr>
          <w:sz w:val="20"/>
          <w:szCs w:val="20"/>
          <w:color w:val="auto"/>
        </w:rPr>
      </w:pPr>
      <w:r>
        <w:rPr>
          <w:rFonts w:ascii="Arial" w:cs="Arial" w:eastAsia="Arial" w:hAnsi="Arial"/>
          <w:sz w:val="18"/>
          <w:szCs w:val="18"/>
          <w:color w:val="auto"/>
        </w:rPr>
        <w:t>As disclosed in “Item 7A, Quantitative and Qualitative Disclosures About Market Risk” of our 2020 Form 10-K, we transact business globally and are subject to risks associated with changing foreign currency exchange rates. We enter into foreign currency hedges such as forward and option contracts that change in value as foreign currency exchange rates change. Our exposures to market risk have not changed materially since December 31, 2020. See “Note 9 - Fair Value Measurements” included in our Notes to Consolidated Financial Statements for additional discussion.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07" w:lineRule="exact"/>
        <w:rPr>
          <w:sz w:val="20"/>
          <w:szCs w:val="20"/>
          <w:color w:val="auto"/>
        </w:rPr>
      </w:pPr>
    </w:p>
    <w:p>
      <w:pPr>
        <w:ind w:right="60" w:firstLine="405"/>
        <w:spacing w:after="0" w:line="254" w:lineRule="auto"/>
        <w:rPr>
          <w:sz w:val="20"/>
          <w:szCs w:val="20"/>
          <w:color w:val="auto"/>
        </w:rPr>
      </w:pPr>
      <w:r>
        <w:rPr>
          <w:rFonts w:ascii="Arial" w:cs="Arial" w:eastAsia="Arial" w:hAnsi="Arial"/>
          <w:sz w:val="18"/>
          <w:szCs w:val="18"/>
          <w:color w:val="auto"/>
        </w:rPr>
        <w:t>We performed an evaluation of the effectiveness of our disclosure controls and procedures as of September 26, 2021. The evaluation was performed with the participation of senior management of each business segment and key corporate functions, under the supervision of the Chief Executive Officer (CEO) and Chief Financial Officer (CFO). Based on this evaluation, the CEO and CFO concluded that our disclosure controls and procedures were operating and effective as of September 26, 2021.</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440" w:firstLine="405"/>
        <w:spacing w:after="0" w:line="261" w:lineRule="auto"/>
        <w:rPr>
          <w:sz w:val="20"/>
          <w:szCs w:val="20"/>
          <w:color w:val="auto"/>
        </w:rPr>
      </w:pPr>
      <w:r>
        <w:rPr>
          <w:rFonts w:ascii="Arial" w:cs="Arial" w:eastAsia="Arial" w:hAnsi="Arial"/>
          <w:sz w:val="18"/>
          <w:szCs w:val="18"/>
          <w:color w:val="auto"/>
        </w:rPr>
        <w:t>There were no changes in our internal control over financial reporting during the quarter ended September 26, 2021 that materially affected, or are reasonably likely to materially affect, our internal control over financial reporting.</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07" w:lineRule="exact"/>
        <w:rPr>
          <w:sz w:val="20"/>
          <w:szCs w:val="20"/>
          <w:color w:val="auto"/>
        </w:rPr>
      </w:pPr>
    </w:p>
    <w:p>
      <w:pPr>
        <w:ind w:right="140" w:firstLine="445"/>
        <w:spacing w:after="0" w:line="253" w:lineRule="auto"/>
        <w:rPr>
          <w:sz w:val="20"/>
          <w:szCs w:val="20"/>
          <w:color w:val="auto"/>
        </w:rPr>
      </w:pPr>
      <w:r>
        <w:rPr>
          <w:rFonts w:ascii="Arial" w:cs="Arial" w:eastAsia="Arial" w:hAnsi="Arial"/>
          <w:sz w:val="18"/>
          <w:szCs w:val="18"/>
          <w:color w:val="auto"/>
        </w:rPr>
        <w:t>This Form 10 -Q contains statements that, to the extent they are not recitations of historical fact, constitute forward-looking statements within the meaning of the federal securities laws, and are based on our current expectations and assumptions. The words “believe,” “estimate,” “anticipate,” “project,” “intend,” “expect,” “plan,” “outlook,” “scheduled,” “forecast” and similar expressions are intended to identify forward-looking statements. These statements are not guarantees of future performance and are subject to risks and uncertainties. Actual results may differ materially due to factors such as:</w:t>
      </w:r>
    </w:p>
    <w:p>
      <w:pPr>
        <w:spacing w:after="0" w:line="205" w:lineRule="exact"/>
        <w:rPr>
          <w:sz w:val="20"/>
          <w:szCs w:val="20"/>
          <w:color w:val="auto"/>
        </w:rPr>
      </w:pPr>
    </w:p>
    <w:p>
      <w:pPr>
        <w:ind w:left="460" w:right="560" w:hanging="331"/>
        <w:spacing w:after="0" w:line="250" w:lineRule="auto"/>
        <w:tabs>
          <w:tab w:leader="none" w:pos="4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of COVID-19 or future epidemics on our business, including potential supply chain disruptions, facility closures, work stoppages, program delays, payment policies and regulations, our ability to recover our costs under contracts and the impacts of implementation of vaccine mandates on our workforce and business;</w:t>
      </w:r>
    </w:p>
    <w:p>
      <w:pPr>
        <w:spacing w:after="0" w:line="1" w:lineRule="exact"/>
        <w:rPr>
          <w:rFonts w:ascii="Arial" w:cs="Arial" w:eastAsia="Arial" w:hAnsi="Arial"/>
          <w:sz w:val="18"/>
          <w:szCs w:val="18"/>
          <w:color w:val="auto"/>
        </w:rPr>
      </w:pPr>
    </w:p>
    <w:p>
      <w:pPr>
        <w:ind w:left="460" w:right="300" w:hanging="331"/>
        <w:spacing w:after="0" w:line="250" w:lineRule="auto"/>
        <w:tabs>
          <w:tab w:leader="none" w:pos="455" w:val="left"/>
        </w:tabs>
        <w:numPr>
          <w:ilvl w:val="0"/>
          <w:numId w:val="9"/>
        </w:numPr>
        <w:rPr>
          <w:rFonts w:ascii="Arial" w:cs="Arial" w:eastAsia="Arial" w:hAnsi="Arial"/>
          <w:sz w:val="18"/>
          <w:szCs w:val="18"/>
          <w:color w:val="auto"/>
        </w:rPr>
      </w:pPr>
      <w:r>
        <w:rPr>
          <w:rFonts w:ascii="Arial" w:cs="Arial" w:eastAsia="Arial" w:hAnsi="Arial"/>
          <w:sz w:val="18"/>
          <w:szCs w:val="18"/>
          <w:color w:val="auto"/>
        </w:rPr>
        <w:t>budget uncertainty, the risk of future budget cuts, the debt ceiling and the potential for government shutdowns and changing funding and acquisition priorities;</w:t>
      </w:r>
    </w:p>
    <w:p>
      <w:pPr>
        <w:ind w:left="460" w:right="480" w:hanging="331"/>
        <w:spacing w:after="0" w:line="250" w:lineRule="auto"/>
        <w:tabs>
          <w:tab w:leader="none" w:pos="455"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reliance on contracts with the U.S. Government, which are dependent on U.S. Government funding and can be terminated for convenience, and our ability to negotiate favorable contract terms;</w:t>
      </w:r>
    </w:p>
    <w:p>
      <w:pPr>
        <w:ind w:left="460" w:right="1120" w:hanging="331"/>
        <w:spacing w:after="0" w:line="250" w:lineRule="auto"/>
        <w:tabs>
          <w:tab w:leader="none" w:pos="455"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risks related to the development, production, sustainment, performance, schedule, cost and requirements of complex and technologically advanced programs including our largest, the F-35 program;</w:t>
      </w:r>
    </w:p>
    <w:p>
      <w:pPr>
        <w:ind w:left="460" w:hanging="331"/>
        <w:spacing w:after="0" w:line="250" w:lineRule="auto"/>
        <w:tabs>
          <w:tab w:leader="none" w:pos="455" w:val="left"/>
        </w:tabs>
        <w:numPr>
          <w:ilvl w:val="0"/>
          <w:numId w:val="9"/>
        </w:numPr>
        <w:rPr>
          <w:rFonts w:ascii="Arial" w:cs="Arial" w:eastAsia="Arial" w:hAnsi="Arial"/>
          <w:sz w:val="18"/>
          <w:szCs w:val="18"/>
          <w:color w:val="auto"/>
        </w:rPr>
      </w:pPr>
      <w:r>
        <w:rPr>
          <w:rFonts w:ascii="Arial" w:cs="Arial" w:eastAsia="Arial" w:hAnsi="Arial"/>
          <w:sz w:val="18"/>
          <w:szCs w:val="18"/>
          <w:color w:val="auto"/>
        </w:rPr>
        <w:t>planned production rates and orders for significant programs; compliance with stringent performance and reliability standards; materials availability;</w:t>
      </w:r>
    </w:p>
    <w:p>
      <w:pPr>
        <w:ind w:left="440" w:hanging="311"/>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performance and financial viability of key suppliers, teammates, joint ventures and partners, subcontractors and customers;</w:t>
      </w:r>
    </w:p>
    <w:p>
      <w:pPr>
        <w:spacing w:after="0" w:line="9" w:lineRule="exact"/>
        <w:rPr>
          <w:rFonts w:ascii="Arial" w:cs="Arial" w:eastAsia="Arial" w:hAnsi="Arial"/>
          <w:sz w:val="18"/>
          <w:szCs w:val="18"/>
          <w:color w:val="auto"/>
        </w:rPr>
      </w:pPr>
    </w:p>
    <w:p>
      <w:pPr>
        <w:ind w:left="460" w:right="60" w:hanging="331"/>
        <w:spacing w:after="0" w:line="250" w:lineRule="auto"/>
        <w:tabs>
          <w:tab w:leader="none" w:pos="455" w:val="left"/>
        </w:tabs>
        <w:numPr>
          <w:ilvl w:val="0"/>
          <w:numId w:val="9"/>
        </w:numPr>
        <w:rPr>
          <w:rFonts w:ascii="Arial" w:cs="Arial" w:eastAsia="Arial" w:hAnsi="Arial"/>
          <w:sz w:val="18"/>
          <w:szCs w:val="18"/>
          <w:color w:val="auto"/>
        </w:rPr>
      </w:pPr>
      <w:r>
        <w:rPr>
          <w:rFonts w:ascii="Arial" w:cs="Arial" w:eastAsia="Arial" w:hAnsi="Arial"/>
          <w:sz w:val="18"/>
          <w:szCs w:val="18"/>
          <w:color w:val="auto"/>
        </w:rPr>
        <w:t>economic, industry, business and political conditions including their effects on governmental policy and government actions that disrupt our supply chain or prevent the sale or delivery of our products (such as delays in approvals for exports requiring Congressional notification);</w:t>
      </w:r>
    </w:p>
    <w:p>
      <w:pPr>
        <w:spacing w:after="0" w:line="1" w:lineRule="exact"/>
        <w:rPr>
          <w:rFonts w:ascii="Arial" w:cs="Arial" w:eastAsia="Arial" w:hAnsi="Arial"/>
          <w:sz w:val="18"/>
          <w:szCs w:val="18"/>
          <w:color w:val="auto"/>
        </w:rPr>
      </w:pPr>
    </w:p>
    <w:p>
      <w:pPr>
        <w:ind w:left="460" w:right="180" w:hanging="331"/>
        <w:spacing w:after="0" w:line="250" w:lineRule="auto"/>
        <w:tabs>
          <w:tab w:leader="none" w:pos="4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trade policies or sanctions (including potential Chinese sanctions on us or our suppliers, teammates or partners; U.S. Government sanctions on Turkey and its removal from the F-35 program and potential U.S. Government actions to restrict sales to the Kingdom of Saudi Arabia and the United Arab Emirates);</w:t>
      </w:r>
    </w:p>
    <w:p>
      <w:pPr>
        <w:spacing w:after="0" w:line="1" w:lineRule="exact"/>
        <w:rPr>
          <w:rFonts w:ascii="Arial" w:cs="Arial" w:eastAsia="Arial" w:hAnsi="Arial"/>
          <w:sz w:val="18"/>
          <w:szCs w:val="18"/>
          <w:color w:val="auto"/>
        </w:rPr>
      </w:pPr>
    </w:p>
    <w:p>
      <w:pPr>
        <w:ind w:left="460" w:right="300" w:hanging="331"/>
        <w:spacing w:after="0" w:line="250" w:lineRule="auto"/>
        <w:tabs>
          <w:tab w:leader="none" w:pos="455"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success expanding into and doing business in adjacent markets and internationally and the differing risks posed by international sales;</w:t>
      </w:r>
    </w:p>
    <w:p>
      <w:pPr>
        <w:ind w:left="440" w:hanging="311"/>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foreign national priorities and foreign government budgets and planned orders;</w:t>
      </w:r>
    </w:p>
    <w:p>
      <w:pPr>
        <w:spacing w:after="0" w:line="9" w:lineRule="exact"/>
        <w:rPr>
          <w:rFonts w:ascii="Arial" w:cs="Arial" w:eastAsia="Arial" w:hAnsi="Arial"/>
          <w:sz w:val="18"/>
          <w:szCs w:val="18"/>
          <w:color w:val="auto"/>
        </w:rPr>
      </w:pPr>
    </w:p>
    <w:p>
      <w:pPr>
        <w:jc w:val="both"/>
        <w:ind w:left="460" w:right="120" w:hanging="331"/>
        <w:spacing w:after="0" w:line="250" w:lineRule="auto"/>
        <w:tabs>
          <w:tab w:leader="none" w:pos="4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competitive environment for our products and services, including increased pricing pressures, aggressive pricing in the absence of cost realism evaluation criteria, competition from emerging competitors including startups and non-traditional defense contractors, and bid protests;</w:t>
      </w:r>
    </w:p>
    <w:p>
      <w:pPr>
        <w:spacing w:after="0" w:line="1" w:lineRule="exact"/>
        <w:rPr>
          <w:rFonts w:ascii="Arial" w:cs="Arial" w:eastAsia="Arial" w:hAnsi="Arial"/>
          <w:sz w:val="18"/>
          <w:szCs w:val="18"/>
          <w:color w:val="auto"/>
        </w:rPr>
      </w:pPr>
    </w:p>
    <w:p>
      <w:pPr>
        <w:ind w:left="440" w:hanging="311"/>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and customer acceptance of product deliveries and performance milestones;</w:t>
      </w:r>
    </w:p>
    <w:p>
      <w:pPr>
        <w:spacing w:after="0" w:line="9" w:lineRule="exact"/>
        <w:rPr>
          <w:rFonts w:ascii="Arial" w:cs="Arial" w:eastAsia="Arial" w:hAnsi="Arial"/>
          <w:sz w:val="18"/>
          <w:szCs w:val="18"/>
          <w:color w:val="auto"/>
        </w:rPr>
      </w:pPr>
    </w:p>
    <w:p>
      <w:pPr>
        <w:ind w:left="440" w:hanging="311"/>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develop new technologies and products, including emerging digital and network technologies and capabilities;</w:t>
      </w:r>
    </w:p>
    <w:p>
      <w:pPr>
        <w:spacing w:after="0" w:line="9" w:lineRule="exact"/>
        <w:rPr>
          <w:rFonts w:ascii="Arial" w:cs="Arial" w:eastAsia="Arial" w:hAnsi="Arial"/>
          <w:sz w:val="18"/>
          <w:szCs w:val="18"/>
          <w:color w:val="auto"/>
        </w:rPr>
      </w:pPr>
    </w:p>
    <w:p>
      <w:pPr>
        <w:ind w:left="440" w:hanging="311"/>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attract and retain a highly skilled workforce; the impact of work stoppages or other labor disruptions;</w:t>
      </w:r>
    </w:p>
    <w:p>
      <w:pPr>
        <w:spacing w:after="0" w:line="9" w:lineRule="exact"/>
        <w:rPr>
          <w:rFonts w:ascii="Arial" w:cs="Arial" w:eastAsia="Arial" w:hAnsi="Arial"/>
          <w:sz w:val="18"/>
          <w:szCs w:val="18"/>
          <w:color w:val="auto"/>
        </w:rPr>
      </w:pPr>
    </w:p>
    <w:p>
      <w:pPr>
        <w:ind w:left="440" w:hanging="311"/>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cyber or other security threats or other disruptions faced by us or our suppliers;</w:t>
      </w:r>
    </w:p>
    <w:p>
      <w:pPr>
        <w:spacing w:after="0" w:line="9" w:lineRule="exact"/>
        <w:rPr>
          <w:rFonts w:ascii="Arial" w:cs="Arial" w:eastAsia="Arial" w:hAnsi="Arial"/>
          <w:sz w:val="18"/>
          <w:szCs w:val="18"/>
          <w:color w:val="auto"/>
        </w:rPr>
      </w:pPr>
    </w:p>
    <w:p>
      <w:pPr>
        <w:ind w:left="460" w:right="320" w:hanging="331"/>
        <w:spacing w:after="0" w:line="250" w:lineRule="auto"/>
        <w:tabs>
          <w:tab w:leader="none" w:pos="455"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implement and continue, and the timing and impact of, capitalization changes such as share repurchases and dividend payments;</w:t>
      </w:r>
    </w:p>
    <w:p>
      <w:pPr>
        <w:ind w:left="460" w:right="60" w:hanging="331"/>
        <w:spacing w:after="0" w:line="250" w:lineRule="auto"/>
        <w:tabs>
          <w:tab w:leader="none" w:pos="455"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recover costs under U.S. Government contracts, our mix of fixed-price and cost-reimbursable contracts and the impacts of cost overruns and significant increases in inflation;</w:t>
      </w:r>
    </w:p>
    <w:p>
      <w:pPr>
        <w:ind w:left="440" w:hanging="311"/>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accuracy of our estimates and projections;</w:t>
      </w:r>
    </w:p>
    <w:p>
      <w:pPr>
        <w:spacing w:after="0" w:line="9" w:lineRule="exact"/>
        <w:rPr>
          <w:rFonts w:ascii="Arial" w:cs="Arial" w:eastAsia="Arial" w:hAnsi="Arial"/>
          <w:sz w:val="18"/>
          <w:szCs w:val="18"/>
          <w:color w:val="auto"/>
        </w:rPr>
      </w:pPr>
    </w:p>
    <w:p>
      <w:pPr>
        <w:ind w:left="460" w:right="260" w:hanging="331"/>
        <w:spacing w:after="0" w:line="250" w:lineRule="auto"/>
        <w:tabs>
          <w:tab w:leader="none" w:pos="4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of pension risk transfers, including potential noncash settlement charges; timing and estimates regarding pension funding and movements in interest rates and other changes that may affect pension plan assumptions, stockholders’ equity, the level of the FAS/CAS adjustment; actual returns on pension plan assets and the impact of pension related legislation;</w:t>
      </w:r>
    </w:p>
    <w:p>
      <w:pPr>
        <w:spacing w:after="0" w:line="1" w:lineRule="exact"/>
        <w:rPr>
          <w:rFonts w:ascii="Arial" w:cs="Arial" w:eastAsia="Arial" w:hAnsi="Arial"/>
          <w:sz w:val="18"/>
          <w:szCs w:val="18"/>
          <w:color w:val="auto"/>
        </w:rPr>
      </w:pPr>
    </w:p>
    <w:p>
      <w:pPr>
        <w:ind w:left="440" w:hanging="311"/>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successful operation of joint ventures that we do not control;</w:t>
      </w:r>
    </w:p>
    <w:p>
      <w:pPr>
        <w:spacing w:after="0" w:line="9" w:lineRule="exact"/>
        <w:rPr>
          <w:rFonts w:ascii="Arial" w:cs="Arial" w:eastAsia="Arial" w:hAnsi="Arial"/>
          <w:sz w:val="18"/>
          <w:szCs w:val="18"/>
          <w:color w:val="auto"/>
        </w:rPr>
      </w:pPr>
    </w:p>
    <w:p>
      <w:pPr>
        <w:ind w:left="460" w:right="100" w:hanging="331"/>
        <w:spacing w:after="0" w:line="265" w:lineRule="auto"/>
        <w:tabs>
          <w:tab w:leader="none" w:pos="455" w:val="left"/>
        </w:tabs>
        <w:numPr>
          <w:ilvl w:val="0"/>
          <w:numId w:val="9"/>
        </w:numPr>
        <w:rPr>
          <w:rFonts w:ascii="Arial" w:cs="Arial" w:eastAsia="Arial" w:hAnsi="Arial"/>
          <w:sz w:val="17"/>
          <w:szCs w:val="17"/>
          <w:color w:val="auto"/>
        </w:rPr>
      </w:pPr>
      <w:r>
        <w:rPr>
          <w:rFonts w:ascii="Arial" w:cs="Arial" w:eastAsia="Arial" w:hAnsi="Arial"/>
          <w:sz w:val="17"/>
          <w:szCs w:val="17"/>
          <w:color w:val="auto"/>
        </w:rPr>
        <w:t>realizing the anticipated benefits of acquisitions or divestitures, investments, joint ventures, teaming arrangements or internal reorganizations, and market volatility in the fair value of investments in our Lockheed Martin Ventures Fund that are marked to market;</w:t>
      </w:r>
    </w:p>
    <w:p>
      <w:pPr>
        <w:ind w:left="460" w:right="20" w:hanging="331"/>
        <w:spacing w:after="0" w:line="256" w:lineRule="auto"/>
        <w:tabs>
          <w:tab w:leader="none" w:pos="455"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risks related to our proposed acquisition of Aerojet Rocketdyne, including the failure to obtain, delays in obtaining or adverse conditions contained in any required regulatory approvals and our ability to successfully and timely integrate the business and realize synergies and other expected benefits of the transaction;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40" w:hanging="311"/>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efforts to increase the efficiency of our operations and improve the affordability of our products and services;</w:t>
      </w:r>
    </w:p>
    <w:p>
      <w:pPr>
        <w:spacing w:after="0" w:line="9" w:lineRule="exact"/>
        <w:rPr>
          <w:rFonts w:ascii="Arial" w:cs="Arial" w:eastAsia="Arial" w:hAnsi="Arial"/>
          <w:sz w:val="18"/>
          <w:szCs w:val="18"/>
          <w:color w:val="auto"/>
        </w:rPr>
      </w:pPr>
    </w:p>
    <w:p>
      <w:pPr>
        <w:ind w:left="460" w:right="500" w:hanging="331"/>
        <w:spacing w:after="0" w:line="250" w:lineRule="auto"/>
        <w:tabs>
          <w:tab w:leader="none" w:pos="4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risk of an impairment of our assets, including the potential impairment of goodwill recorded as a result of the acquisition of the Sikorsky business;</w:t>
      </w:r>
    </w:p>
    <w:p>
      <w:pPr>
        <w:ind w:left="440" w:hanging="311"/>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availability and adequacy of our insurance and indemnities;</w:t>
      </w:r>
    </w:p>
    <w:p>
      <w:pPr>
        <w:spacing w:after="0" w:line="9" w:lineRule="exact"/>
        <w:rPr>
          <w:rFonts w:ascii="Arial" w:cs="Arial" w:eastAsia="Arial" w:hAnsi="Arial"/>
          <w:sz w:val="18"/>
          <w:szCs w:val="18"/>
          <w:color w:val="auto"/>
        </w:rPr>
      </w:pPr>
    </w:p>
    <w:p>
      <w:pPr>
        <w:ind w:left="440" w:hanging="311"/>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benefit fully from or adequately protect our intellectual property rights;</w:t>
      </w:r>
    </w:p>
    <w:p>
      <w:pPr>
        <w:spacing w:after="0" w:line="9" w:lineRule="exact"/>
        <w:rPr>
          <w:rFonts w:ascii="Arial" w:cs="Arial" w:eastAsia="Arial" w:hAnsi="Arial"/>
          <w:sz w:val="18"/>
          <w:szCs w:val="18"/>
          <w:color w:val="auto"/>
        </w:rPr>
      </w:pPr>
    </w:p>
    <w:p>
      <w:pPr>
        <w:ind w:left="460" w:right="340" w:hanging="331"/>
        <w:spacing w:after="0" w:line="250" w:lineRule="auto"/>
        <w:tabs>
          <w:tab w:leader="none" w:pos="4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procurement and other regulations and policies affecting our industry, export of our products, cost allowability or recovery, preferred contract type, and performance and progress payments policy, including a reversal or modification to the DoD’s increase to the progress payment rate in response to COVID-19;</w:t>
      </w:r>
    </w:p>
    <w:p>
      <w:pPr>
        <w:spacing w:after="0" w:line="1" w:lineRule="exact"/>
        <w:rPr>
          <w:rFonts w:ascii="Arial" w:cs="Arial" w:eastAsia="Arial" w:hAnsi="Arial"/>
          <w:sz w:val="18"/>
          <w:szCs w:val="18"/>
          <w:color w:val="auto"/>
        </w:rPr>
      </w:pPr>
    </w:p>
    <w:p>
      <w:pPr>
        <w:ind w:left="440" w:hanging="311"/>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accounting, U.S. or foreign tax, export or other laws, regulations, and policies and their interpretation or application; and</w:t>
      </w:r>
    </w:p>
    <w:p>
      <w:pPr>
        <w:spacing w:after="0" w:line="9" w:lineRule="exact"/>
        <w:rPr>
          <w:rFonts w:ascii="Arial" w:cs="Arial" w:eastAsia="Arial" w:hAnsi="Arial"/>
          <w:sz w:val="18"/>
          <w:szCs w:val="18"/>
          <w:color w:val="auto"/>
        </w:rPr>
      </w:pPr>
    </w:p>
    <w:p>
      <w:pPr>
        <w:ind w:left="460" w:right="340" w:hanging="331"/>
        <w:spacing w:after="0" w:line="256" w:lineRule="auto"/>
        <w:tabs>
          <w:tab w:leader="none" w:pos="4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outcome of legal proceedings, bid protests, environmental remediation efforts, audits, government investigations or government allegations that we have failed to comply with law, other contingencies and U.S. Government identification of deficiencies in our business systems.</w:t>
      </w:r>
    </w:p>
    <w:p>
      <w:pPr>
        <w:spacing w:after="0" w:line="161"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 xml:space="preserve">These are only some of the factors that may affect the forward-looking statements contained in this Form 10-Q. For a discussion identifying additional important factors that could cause actual results to differ materially from those anticipated in the forward-looking statements, see our filings with the U.S. Securities and Exchange Commission (SEC) including, but not limited to, “Management’s Discussion and Analysis of Financial Condition and Results of Operations” and “Risk Factors” in our Annual Report on Form 10-K for the year ended December 31, 2020 and subsequent Quarterly Reports on Form 10-Q. Our filings may be accessed through the Investor Relations page of our website, </w:t>
      </w:r>
      <w:r>
        <w:rPr>
          <w:rFonts w:ascii="Arial" w:cs="Arial" w:eastAsia="Arial" w:hAnsi="Arial"/>
          <w:sz w:val="18"/>
          <w:szCs w:val="18"/>
          <w:u w:val="single" w:color="auto"/>
          <w:color w:val="0000FF"/>
        </w:rPr>
        <w:t>www.lockheedmartin.com/investor</w:t>
      </w:r>
      <w:r>
        <w:rPr>
          <w:rFonts w:ascii="Arial" w:cs="Arial" w:eastAsia="Arial" w:hAnsi="Arial"/>
          <w:sz w:val="18"/>
          <w:szCs w:val="18"/>
          <w:color w:val="auto"/>
        </w:rPr>
        <w:t xml:space="preserve">, or through the website maintained by the SEC at </w:t>
      </w:r>
      <w:r>
        <w:rPr>
          <w:rFonts w:ascii="Arial" w:cs="Arial" w:eastAsia="Arial" w:hAnsi="Arial"/>
          <w:sz w:val="18"/>
          <w:szCs w:val="18"/>
          <w:u w:val="single" w:color="auto"/>
          <w:color w:val="0000FF"/>
        </w:rPr>
        <w:t>www.sec.gov</w:t>
      </w:r>
      <w:r>
        <w:rPr>
          <w:rFonts w:ascii="Arial" w:cs="Arial" w:eastAsia="Arial" w:hAnsi="Arial"/>
          <w:sz w:val="18"/>
          <w:szCs w:val="18"/>
          <w:color w:val="auto"/>
        </w:rPr>
        <w:t>.</w:t>
      </w:r>
    </w:p>
    <w:p>
      <w:pPr>
        <w:spacing w:after="0" w:line="181" w:lineRule="exact"/>
        <w:rPr>
          <w:sz w:val="20"/>
          <w:szCs w:val="20"/>
          <w:color w:val="auto"/>
        </w:rPr>
      </w:pPr>
    </w:p>
    <w:p>
      <w:pPr>
        <w:ind w:right="80" w:firstLine="445"/>
        <w:spacing w:after="0" w:line="252" w:lineRule="auto"/>
        <w:rPr>
          <w:sz w:val="20"/>
          <w:szCs w:val="20"/>
          <w:color w:val="auto"/>
        </w:rPr>
      </w:pPr>
      <w:r>
        <w:rPr>
          <w:rFonts w:ascii="Arial" w:cs="Arial" w:eastAsia="Arial" w:hAnsi="Arial"/>
          <w:sz w:val="18"/>
          <w:szCs w:val="18"/>
          <w:color w:val="auto"/>
        </w:rPr>
        <w:t>Our actual financial results likely will be different from those projected due to the inherent nature of projections. Given these uncertainties, forward-looking statements should not be relied on in making investment decisions. The forward -looking statements contained in this Form 10-Q speak only as of the date of its filing. Except where required by applicable law, we expressly disclaim a duty to provide updates to forward-looking statements after the date of this Form 10-Q to reflect subsequent events, changed circumstances, changes in expectations, or the estimates and assumptions associated with them. The forward-looking statements in this Form 10-Q are intended to be subject to the safe harbor protection provided by the federal securities laws.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0" w:lineRule="exact"/>
        <w:rPr>
          <w:sz w:val="20"/>
          <w:szCs w:val="20"/>
          <w:color w:val="auto"/>
        </w:rPr>
      </w:pPr>
    </w:p>
    <w:p>
      <w:pPr>
        <w:ind w:right="40" w:firstLine="445"/>
        <w:spacing w:after="0" w:line="251" w:lineRule="auto"/>
        <w:rPr>
          <w:sz w:val="20"/>
          <w:szCs w:val="20"/>
          <w:color w:val="auto"/>
        </w:rPr>
      </w:pPr>
      <w:r>
        <w:rPr>
          <w:rFonts w:ascii="Arial" w:cs="Arial" w:eastAsia="Arial" w:hAnsi="Arial"/>
          <w:sz w:val="18"/>
          <w:szCs w:val="18"/>
          <w:color w:val="auto"/>
        </w:rPr>
        <w:t>We are a party to litigation and other proceedings that arise in the ordinary course of our business, including matters arising under provisions relating to the protection of the environment, and are subject to contingencies related to certain businesses we previously owned. These types of matters could result in fines, penalties, cost reimbursements or contributions, compensatory or treble damages or non-monetary sanctions or relief. We believe the probability is remote that the outcome of each of these matters will have a material adverse effect on the corporation as a whole, notwithstanding that the unfavorable resolution of any matter may have a material effect on our net earnings in any particular interim reporting period. We cannot predict the outcome of legal or other proceedings with certainty. These matters include the proceedings summarized in “Note 8 - Legal Proceedings and Contingencies” included in our Notes to Consolidated Financial Statements and “Note 15 – Legal Proceedings, Commitments and Contingencies” in our Annual Report on Form 10-K for the year ended December 31, 2020 (2020 Form 10-K) filed with the U.S. Securities and Exchange Commission.</w:t>
      </w:r>
    </w:p>
    <w:p>
      <w:pPr>
        <w:spacing w:after="0" w:line="171"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We are subject to federal, state, local and foreign requirements for the protection of the environment, including those for discharge of hazardous materials and remediation of contaminated sites. Due in part to the complexity and pervasiveness of these requirements, we are a party to or have property subject to various lawsuits, proceedings and remediation obligations. The extent of our financial exposure cannot in all cases be reasonably estimated at this time. For information regarding the matters discussed above, including current estimates of the amounts that we believe are required for remediation or clean-up to the extent estimable, see “Note 8 - Legal Proceedings and Contingencies” included in our Notes to Consolidated Financial Statements. See also “Critical Accounting Policies – Environmental Matters” in “Management’s Discussion and Analysis of Financial Condition and Results of Operations” and “Note 15 – Legal Proceedings, Commitments and Contingencies”, each in our 2020 Form 10-K, for a description of previously reported matters.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As a U.S. Government contractor, we are subject to various audits and investigations by the U.S. Government to determine whether our operations are being conducted in accordance with applicable regulatory requirements. U.S. Government investigations of us, whether relating to government contracts or conducted for other reasons, could result in administrative, civil or criminal liabilities, including repayments, fines or penalties being imposed upon us, suspension, proposed debarment, debarment from eligibility for future U.S. Government contracting or suspension of export privileges. Suspension or debarment could have a material adverse effect on us because of our dependence on contracts with the U.S. Government. U.S. Government investigations often take years to complete and many result in no adverse action against us. We also provide products and services to customers outside of the U.S., which are subject to U.S. and foreign laws and regulations and foreign procurement policies and practices. Our compliance with local regulations or applicable U.S. Government regulations also may be audited or investigated.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07" w:lineRule="exact"/>
        <w:rPr>
          <w:sz w:val="20"/>
          <w:szCs w:val="20"/>
          <w:color w:val="auto"/>
        </w:rPr>
      </w:pPr>
    </w:p>
    <w:p>
      <w:pPr>
        <w:ind w:right="60" w:firstLine="445"/>
        <w:spacing w:after="0" w:line="252" w:lineRule="auto"/>
        <w:rPr>
          <w:sz w:val="20"/>
          <w:szCs w:val="20"/>
          <w:color w:val="auto"/>
        </w:rPr>
      </w:pPr>
      <w:r>
        <w:rPr>
          <w:rFonts w:ascii="Arial" w:cs="Arial" w:eastAsia="Arial" w:hAnsi="Arial"/>
          <w:sz w:val="18"/>
          <w:szCs w:val="18"/>
          <w:color w:val="auto"/>
        </w:rPr>
        <w:t>While we attempt to identify, manage and mitigate risks and uncertainties associated with our business to the extent practical under the circumstances, some level of risk and uncertainty will always be present. “Item 1A. Risk Factors” of our 2020 Form 10-K describes some of the risks and uncertainties associated with our business, including U.S. Government funding, as further described in the “Industry Considerations” section of “Management’s Discussion and Analysis of Financial Condition and Results of Operations” of this Form 10-Q. These risks and uncertainties have the potential to materially affect our business, results of operations, financial condition, cash flows, projected results and future prospects. Except for the risk factors discussed below, we do not believe that there have been any material changes to the risk factors disclosed in our 2020 Form 10-K.</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Government sanctions on Turkey could adversely impact our results of operations and cash flows.</w:t>
      </w:r>
    </w:p>
    <w:p>
      <w:pPr>
        <w:spacing w:after="0" w:line="220" w:lineRule="exact"/>
        <w:rPr>
          <w:sz w:val="20"/>
          <w:szCs w:val="20"/>
          <w:color w:val="auto"/>
        </w:rPr>
      </w:pPr>
    </w:p>
    <w:p>
      <w:pPr>
        <w:ind w:right="60" w:firstLine="445"/>
        <w:spacing w:after="0" w:line="237" w:lineRule="auto"/>
        <w:rPr>
          <w:sz w:val="20"/>
          <w:szCs w:val="20"/>
          <w:color w:val="auto"/>
        </w:rPr>
      </w:pPr>
      <w:r>
        <w:rPr>
          <w:rFonts w:ascii="Arial" w:cs="Arial" w:eastAsia="Arial" w:hAnsi="Arial"/>
          <w:sz w:val="18"/>
          <w:szCs w:val="18"/>
          <w:color w:val="auto"/>
        </w:rPr>
        <w:t>As a result of Turkey accepting delivery of the Russian S-400 air and missile defense system, the U.S. Government removed Turkey from the F-35 program in 2019 and in December 2020 imposed sanctions on Turkey’s defense procurement agency (SSB) and certain of the agency’s officers under the Countering America’s Adversaries Through Sanctions Act (CAATSA). The primary sanction imposed was a restriction on all new U.S. export licenses and authorizations for any goods or technology transferred to the SSB. This sanction does not apply to current, valid export licenses and authorizations, however, it does apply to any modifications or extensions thereof. We expect the U.S. Government to continue to engage Turkey on these issues, but we have no indication that the sanctions will be removed, that additional sanctions will not be imposed or that Turkey will not issue reciprocal sanctions.</w:t>
      </w:r>
    </w:p>
    <w:p>
      <w:pPr>
        <w:spacing w:after="0" w:line="162"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Turkish suppliers continue to produce component parts for the F-35 program, some of which are single-sourced. We have made significant progress transitioning to non-Turkish suppliers, but due to the procedure to qualify new parts and suppliers, this collaborative process between DoD and Lockheed Martin is ongoing. During 2020, the DoD publicly confirmed that Turkish suppliers would be permitted to provide certain components for the F-35 through 2022. Efforts to date to re-establish our replacement capacity have significantly reduced our risk, but final resolution on a limited number of remaining components could affect F-35 deliveries, and any accelerated work stoppage would impact cost. We will continue to follow official U.S. Government guidance as it relates to completed Turkish aircraft and the export and import of component parts from the Turkish supply chain. The effects on the F-35 program of the U.S. Government sanctions on the SSB and Turkey’s removal from the F-35 program do not appear to be significant at this time. However, unforeseen actions could impact the timing of orders, disrupt the production of aircraft, delay delivery of aircraft, disrupt delivery of sustainment components produced in Turkey and impact funding on the F-35 program to include the result of any reprogramming of funds that may be necessary to mitigate the impact of alternate sources for component parts made in Turkey. While, in the case of the F-35 program, we expect that these costs ultimately would be recovered from the U.S. Government, the availability or timing of any recovery could adversely affect our cash flows and results of operations.</w:t>
      </w:r>
    </w:p>
    <w:p>
      <w:pPr>
        <w:spacing w:after="0" w:line="169" w:lineRule="exact"/>
        <w:rPr>
          <w:sz w:val="20"/>
          <w:szCs w:val="20"/>
          <w:color w:val="auto"/>
        </w:rPr>
      </w:pPr>
    </w:p>
    <w:p>
      <w:pPr>
        <w:ind w:right="60" w:firstLine="445"/>
        <w:spacing w:after="0" w:line="251" w:lineRule="auto"/>
        <w:rPr>
          <w:sz w:val="20"/>
          <w:szCs w:val="20"/>
          <w:color w:val="auto"/>
        </w:rPr>
      </w:pPr>
      <w:r>
        <w:rPr>
          <w:rFonts w:ascii="Arial" w:cs="Arial" w:eastAsia="Arial" w:hAnsi="Arial"/>
          <w:sz w:val="18"/>
          <w:szCs w:val="18"/>
          <w:color w:val="auto"/>
        </w:rPr>
        <w:t>We have a number of contracts with Turkish industry for the Turkish Utility Helicopter Program (TUHP), which anticipates the co-production program with Turkish industry for production of T70 helicopters for use in Turkey, as well as the related provision of Turkish goods and services under buy-back or offset obligations, to include the future sales of helicopters built in Turkey for sale globally. Although existing export licenses should not be subject to the current sanctions, we continue to expect pending and future export licensing applications and any required modifications, extensions or changes in scope to the existing licenses, where SSB is a party to the underlying transaction to be denied, adversely affecting our ability to perform the affected contracts. For example, since April 2021, we have received multiple denials from the U.S. Department of State for export, import and manufacturing licenses pertaining to TUHP. These denials prevent us from performing certain significant obligations under contracts for the TUHP, which has and will affect our sales and impact our ability to recover certain costs. As a result of the denials we have provided force majeure notices under the affected contracts and these contracts may be restructured or terminated, which could result in a further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80"/>
        <w:spacing w:after="0" w:line="234" w:lineRule="auto"/>
        <w:rPr>
          <w:sz w:val="20"/>
          <w:szCs w:val="20"/>
          <w:color w:val="auto"/>
        </w:rPr>
      </w:pPr>
      <w:r>
        <w:rPr>
          <w:rFonts w:ascii="Arial" w:cs="Arial" w:eastAsia="Arial" w:hAnsi="Arial"/>
          <w:sz w:val="18"/>
          <w:szCs w:val="18"/>
          <w:color w:val="auto"/>
        </w:rPr>
        <w:t>reduction in sales, the imposition of penalties or assessment of damages, and increased unrecoverable costs. In addition, we have other programs where we work with Turkish industry, including for domestic U.S. Black Hawk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helicopter production, that rely on components from Turkish suppliers. While these commercial relationships are not affected by the current sanctions, they could be adversely affected by the imposition of additional sanctions.</w:t>
      </w:r>
    </w:p>
    <w:p>
      <w:pPr>
        <w:spacing w:after="0" w:line="190"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Although the existing sanctions adversely affect our participation in TUHP as described above, they are not currently expected to have a material effect on our overall business, however, they may result in the loss of future sales opportunities to Turkey, and any future sanctions by the U.S. Government or reciprocal actions by Turkey or Turkish industry could result in further restrictions on exports or imports, reductions in backlog, return of advance payments, costs to develop alternate supply sources, restrictions on payments, force majeure events or contract restructurings or terminations. Such activity also could result in claims from our customers and suppliers, which may include both the amount established in any settlement agreements, the costs of evaluating settlement proposals and the costs of negotiating settlement agreements. These effects could have a material impact on our operating results, financial position and cash flows.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sales of unregistered equity securities during the quarter ended September 26, 2021.</w:t>
      </w:r>
    </w:p>
    <w:p>
      <w:pPr>
        <w:spacing w:after="0" w:line="198" w:lineRule="exact"/>
        <w:rPr>
          <w:sz w:val="20"/>
          <w:szCs w:val="20"/>
          <w:color w:val="auto"/>
        </w:rPr>
      </w:pPr>
    </w:p>
    <w:p>
      <w:pPr>
        <w:ind w:right="320" w:firstLine="445"/>
        <w:spacing w:after="0" w:line="261" w:lineRule="auto"/>
        <w:rPr>
          <w:sz w:val="20"/>
          <w:szCs w:val="20"/>
          <w:color w:val="auto"/>
        </w:rPr>
      </w:pPr>
      <w:r>
        <w:rPr>
          <w:rFonts w:ascii="Arial" w:cs="Arial" w:eastAsia="Arial" w:hAnsi="Arial"/>
          <w:sz w:val="18"/>
          <w:szCs w:val="18"/>
          <w:color w:val="auto"/>
        </w:rPr>
        <w:t>The following table provides information about our repurchases of our common stock that is registered pursuant to Section 12 of the Securities Exchange Act of 1934 during the quarter ended September 26, 2021.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40" w:type="dxa"/>
            <w:vAlign w:val="bottom"/>
            <w:gridSpan w:val="2"/>
          </w:tcPr>
          <w:p>
            <w:pPr>
              <w:jc w:val="center"/>
              <w:ind w:left="330"/>
              <w:spacing w:after="0"/>
              <w:rPr>
                <w:sz w:val="20"/>
                <w:szCs w:val="20"/>
                <w:color w:val="auto"/>
              </w:rPr>
            </w:pPr>
            <w:r>
              <w:rPr>
                <w:rFonts w:ascii="Arial" w:cs="Arial" w:eastAsia="Arial" w:hAnsi="Arial"/>
                <w:sz w:val="18"/>
                <w:szCs w:val="18"/>
                <w:b w:val="1"/>
                <w:bCs w:val="1"/>
                <w:color w:val="auto"/>
                <w:w w:val="99"/>
              </w:rPr>
              <w:t>Total Number of</w:t>
            </w:r>
          </w:p>
        </w:tc>
        <w:tc>
          <w:tcPr>
            <w:tcW w:w="7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3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40" w:type="dxa"/>
            <w:vAlign w:val="bottom"/>
            <w:gridSpan w:val="2"/>
          </w:tcPr>
          <w:p>
            <w:pPr>
              <w:jc w:val="center"/>
              <w:ind w:left="310"/>
              <w:spacing w:after="0" w:line="176" w:lineRule="exact"/>
              <w:rPr>
                <w:sz w:val="20"/>
                <w:szCs w:val="20"/>
                <w:color w:val="auto"/>
              </w:rPr>
            </w:pPr>
            <w:r>
              <w:rPr>
                <w:rFonts w:ascii="Arial" w:cs="Arial" w:eastAsia="Arial" w:hAnsi="Arial"/>
                <w:sz w:val="18"/>
                <w:szCs w:val="18"/>
                <w:b w:val="1"/>
                <w:bCs w:val="1"/>
                <w:color w:val="auto"/>
                <w:w w:val="99"/>
              </w:rPr>
              <w:t>Shares</w:t>
            </w:r>
          </w:p>
        </w:tc>
        <w:tc>
          <w:tcPr>
            <w:tcW w:w="2280" w:type="dxa"/>
            <w:vAlign w:val="bottom"/>
            <w:gridSpan w:val="2"/>
            <w:vMerge w:val="restart"/>
          </w:tcPr>
          <w:p>
            <w:pPr>
              <w:jc w:val="right"/>
              <w:ind w:right="10"/>
              <w:spacing w:after="0"/>
              <w:rPr>
                <w:sz w:val="20"/>
                <w:szCs w:val="20"/>
                <w:color w:val="auto"/>
              </w:rPr>
            </w:pPr>
            <w:r>
              <w:rPr>
                <w:rFonts w:ascii="Arial" w:cs="Arial" w:eastAsia="Arial" w:hAnsi="Arial"/>
                <w:sz w:val="18"/>
                <w:szCs w:val="18"/>
                <w:b w:val="1"/>
                <w:bCs w:val="1"/>
                <w:color w:val="auto"/>
              </w:rPr>
              <w:t>Approximate Dollar</w:t>
            </w:r>
          </w:p>
        </w:tc>
        <w:tc>
          <w:tcPr>
            <w:tcW w:w="0" w:type="dxa"/>
            <w:vAlign w:val="bottom"/>
          </w:tcPr>
          <w:p>
            <w:pPr>
              <w:spacing w:after="0"/>
              <w:rPr>
                <w:sz w:val="1"/>
                <w:szCs w:val="1"/>
                <w:color w:val="auto"/>
              </w:rPr>
            </w:pPr>
          </w:p>
        </w:tc>
      </w:tr>
      <w:tr>
        <w:trPr>
          <w:trHeight w:val="175"/>
        </w:trPr>
        <w:tc>
          <w:tcPr>
            <w:tcW w:w="3340" w:type="dxa"/>
            <w:vAlign w:val="bottom"/>
          </w:tcPr>
          <w:p>
            <w:pPr>
              <w:spacing w:after="0"/>
              <w:rPr>
                <w:sz w:val="15"/>
                <w:szCs w:val="15"/>
                <w:color w:val="auto"/>
              </w:rPr>
            </w:pPr>
          </w:p>
        </w:tc>
        <w:tc>
          <w:tcPr>
            <w:tcW w:w="1880" w:type="dxa"/>
            <w:vAlign w:val="bottom"/>
            <w:gridSpan w:val="2"/>
            <w:vMerge w:val="restart"/>
          </w:tcPr>
          <w:p>
            <w:pPr>
              <w:ind w:left="480"/>
              <w:spacing w:after="0"/>
              <w:rPr>
                <w:sz w:val="20"/>
                <w:szCs w:val="20"/>
                <w:color w:val="auto"/>
              </w:rPr>
            </w:pPr>
            <w:r>
              <w:rPr>
                <w:rFonts w:ascii="Arial" w:cs="Arial" w:eastAsia="Arial" w:hAnsi="Arial"/>
                <w:sz w:val="18"/>
                <w:szCs w:val="18"/>
                <w:b w:val="1"/>
                <w:bCs w:val="1"/>
                <w:color w:val="auto"/>
              </w:rPr>
              <w:t>Total Number</w:t>
            </w:r>
          </w:p>
        </w:tc>
        <w:tc>
          <w:tcPr>
            <w:tcW w:w="480" w:type="dxa"/>
            <w:vAlign w:val="bottom"/>
          </w:tcPr>
          <w:p>
            <w:pPr>
              <w:spacing w:after="0"/>
              <w:rPr>
                <w:sz w:val="15"/>
                <w:szCs w:val="15"/>
                <w:color w:val="auto"/>
              </w:rPr>
            </w:pPr>
          </w:p>
        </w:tc>
        <w:tc>
          <w:tcPr>
            <w:tcW w:w="122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Average</w:t>
            </w:r>
          </w:p>
        </w:tc>
        <w:tc>
          <w:tcPr>
            <w:tcW w:w="2040" w:type="dxa"/>
            <w:vAlign w:val="bottom"/>
            <w:gridSpan w:val="2"/>
          </w:tcPr>
          <w:p>
            <w:pPr>
              <w:jc w:val="center"/>
              <w:ind w:left="330"/>
              <w:spacing w:after="0" w:line="176" w:lineRule="exact"/>
              <w:rPr>
                <w:sz w:val="20"/>
                <w:szCs w:val="20"/>
                <w:color w:val="auto"/>
              </w:rPr>
            </w:pPr>
            <w:r>
              <w:rPr>
                <w:rFonts w:ascii="Arial" w:cs="Arial" w:eastAsia="Arial" w:hAnsi="Arial"/>
                <w:sz w:val="18"/>
                <w:szCs w:val="18"/>
                <w:b w:val="1"/>
                <w:bCs w:val="1"/>
                <w:color w:val="auto"/>
              </w:rPr>
              <w:t>Purchased as</w:t>
            </w:r>
          </w:p>
        </w:tc>
        <w:tc>
          <w:tcPr>
            <w:tcW w:w="22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40" w:type="dxa"/>
            <w:vAlign w:val="bottom"/>
          </w:tcPr>
          <w:p>
            <w:pPr>
              <w:spacing w:after="0"/>
              <w:rPr>
                <w:sz w:val="15"/>
                <w:szCs w:val="15"/>
                <w:color w:val="auto"/>
              </w:rPr>
            </w:pPr>
          </w:p>
        </w:tc>
        <w:tc>
          <w:tcPr>
            <w:tcW w:w="1880" w:type="dxa"/>
            <w:vAlign w:val="bottom"/>
            <w:gridSpan w:val="2"/>
            <w:vMerge w:val="continue"/>
          </w:tcPr>
          <w:p>
            <w:pPr>
              <w:spacing w:after="0"/>
              <w:rPr>
                <w:sz w:val="15"/>
                <w:szCs w:val="15"/>
                <w:color w:val="auto"/>
              </w:rPr>
            </w:pPr>
          </w:p>
        </w:tc>
        <w:tc>
          <w:tcPr>
            <w:tcW w:w="48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2040" w:type="dxa"/>
            <w:vAlign w:val="bottom"/>
            <w:gridSpan w:val="2"/>
          </w:tcPr>
          <w:p>
            <w:pPr>
              <w:jc w:val="center"/>
              <w:ind w:left="330"/>
              <w:spacing w:after="0" w:line="176" w:lineRule="exact"/>
              <w:rPr>
                <w:sz w:val="20"/>
                <w:szCs w:val="20"/>
                <w:color w:val="auto"/>
              </w:rPr>
            </w:pPr>
            <w:r>
              <w:rPr>
                <w:rFonts w:ascii="Arial" w:cs="Arial" w:eastAsia="Arial" w:hAnsi="Arial"/>
                <w:sz w:val="18"/>
                <w:szCs w:val="18"/>
                <w:b w:val="1"/>
                <w:bCs w:val="1"/>
                <w:color w:val="auto"/>
                <w:w w:val="99"/>
              </w:rPr>
              <w:t>Part of Publicly</w:t>
            </w:r>
          </w:p>
        </w:tc>
        <w:tc>
          <w:tcPr>
            <w:tcW w:w="228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99"/>
              </w:rPr>
              <w:t>Value of Shares That May</w:t>
            </w:r>
          </w:p>
        </w:tc>
        <w:tc>
          <w:tcPr>
            <w:tcW w:w="0" w:type="dxa"/>
            <w:vAlign w:val="bottom"/>
          </w:tcPr>
          <w:p>
            <w:pPr>
              <w:spacing w:after="0"/>
              <w:rPr>
                <w:sz w:val="1"/>
                <w:szCs w:val="1"/>
                <w:color w:val="auto"/>
              </w:rPr>
            </w:pPr>
          </w:p>
        </w:tc>
      </w:tr>
      <w:tr>
        <w:trPr>
          <w:trHeight w:val="175"/>
        </w:trPr>
        <w:tc>
          <w:tcPr>
            <w:tcW w:w="3340" w:type="dxa"/>
            <w:vAlign w:val="bottom"/>
            <w:vMerge w:val="restart"/>
          </w:tcPr>
          <w:p>
            <w:pPr>
              <w:ind w:left="680"/>
              <w:spacing w:after="0"/>
              <w:rPr>
                <w:sz w:val="20"/>
                <w:szCs w:val="20"/>
                <w:color w:val="auto"/>
              </w:rPr>
            </w:pPr>
            <w:r>
              <w:rPr>
                <w:rFonts w:ascii="Arial" w:cs="Arial" w:eastAsia="Arial" w:hAnsi="Arial"/>
                <w:sz w:val="18"/>
                <w:szCs w:val="18"/>
                <w:b w:val="1"/>
                <w:bCs w:val="1"/>
                <w:color w:val="auto"/>
              </w:rPr>
              <w:t xml:space="preserve">Period </w:t>
            </w:r>
            <w:r>
              <w:rPr>
                <w:rFonts w:ascii="Arial" w:cs="Arial" w:eastAsia="Arial" w:hAnsi="Arial"/>
                <w:sz w:val="23"/>
                <w:szCs w:val="23"/>
                <w:color w:val="auto"/>
                <w:vertAlign w:val="superscript"/>
              </w:rPr>
              <w:t>(a)</w:t>
            </w:r>
          </w:p>
        </w:tc>
        <w:tc>
          <w:tcPr>
            <w:tcW w:w="1880" w:type="dxa"/>
            <w:vAlign w:val="bottom"/>
            <w:gridSpan w:val="2"/>
          </w:tcPr>
          <w:p>
            <w:pPr>
              <w:jc w:val="center"/>
              <w:ind w:right="220"/>
              <w:spacing w:after="0" w:line="176" w:lineRule="exact"/>
              <w:rPr>
                <w:sz w:val="20"/>
                <w:szCs w:val="20"/>
                <w:color w:val="auto"/>
              </w:rPr>
            </w:pPr>
            <w:r>
              <w:rPr>
                <w:rFonts w:ascii="Arial" w:cs="Arial" w:eastAsia="Arial" w:hAnsi="Arial"/>
                <w:sz w:val="18"/>
                <w:szCs w:val="18"/>
                <w:b w:val="1"/>
                <w:bCs w:val="1"/>
                <w:color w:val="auto"/>
                <w:w w:val="99"/>
              </w:rPr>
              <w:t>of Shares</w:t>
            </w:r>
          </w:p>
        </w:tc>
        <w:tc>
          <w:tcPr>
            <w:tcW w:w="1700" w:type="dxa"/>
            <w:vAlign w:val="bottom"/>
            <w:gridSpan w:val="2"/>
          </w:tcPr>
          <w:p>
            <w:pPr>
              <w:jc w:val="right"/>
              <w:ind w:right="430"/>
              <w:spacing w:after="0" w:line="176" w:lineRule="exact"/>
              <w:rPr>
                <w:sz w:val="20"/>
                <w:szCs w:val="20"/>
                <w:color w:val="auto"/>
              </w:rPr>
            </w:pPr>
            <w:r>
              <w:rPr>
                <w:rFonts w:ascii="Arial" w:cs="Arial" w:eastAsia="Arial" w:hAnsi="Arial"/>
                <w:sz w:val="18"/>
                <w:szCs w:val="18"/>
                <w:b w:val="1"/>
                <w:bCs w:val="1"/>
                <w:color w:val="auto"/>
              </w:rPr>
              <w:t>Price Paid</w:t>
            </w:r>
          </w:p>
        </w:tc>
        <w:tc>
          <w:tcPr>
            <w:tcW w:w="2040" w:type="dxa"/>
            <w:vAlign w:val="bottom"/>
            <w:gridSpan w:val="2"/>
          </w:tcPr>
          <w:p>
            <w:pPr>
              <w:jc w:val="center"/>
              <w:ind w:left="310"/>
              <w:spacing w:after="0" w:line="176" w:lineRule="exact"/>
              <w:rPr>
                <w:sz w:val="20"/>
                <w:szCs w:val="20"/>
                <w:color w:val="auto"/>
              </w:rPr>
            </w:pPr>
            <w:r>
              <w:rPr>
                <w:rFonts w:ascii="Arial" w:cs="Arial" w:eastAsia="Arial" w:hAnsi="Arial"/>
                <w:sz w:val="18"/>
                <w:szCs w:val="18"/>
                <w:b w:val="1"/>
                <w:bCs w:val="1"/>
                <w:color w:val="auto"/>
                <w:w w:val="99"/>
              </w:rPr>
              <w:t>Announced Plans</w:t>
            </w:r>
          </w:p>
        </w:tc>
        <w:tc>
          <w:tcPr>
            <w:tcW w:w="228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98"/>
              </w:rPr>
              <w:t>Yet be Purchased Under</w:t>
            </w:r>
          </w:p>
        </w:tc>
        <w:tc>
          <w:tcPr>
            <w:tcW w:w="0" w:type="dxa"/>
            <w:vAlign w:val="bottom"/>
          </w:tcPr>
          <w:p>
            <w:pPr>
              <w:spacing w:after="0"/>
              <w:rPr>
                <w:sz w:val="1"/>
                <w:szCs w:val="1"/>
                <w:color w:val="auto"/>
              </w:rPr>
            </w:pPr>
          </w:p>
        </w:tc>
      </w:tr>
      <w:tr>
        <w:trPr>
          <w:trHeight w:val="230"/>
        </w:trPr>
        <w:tc>
          <w:tcPr>
            <w:tcW w:w="3340" w:type="dxa"/>
            <w:vAlign w:val="bottom"/>
            <w:tcBorders>
              <w:bottom w:val="single" w:sz="8" w:color="auto"/>
            </w:tcBorders>
            <w:vMerge w:val="continue"/>
          </w:tcPr>
          <w:p>
            <w:pPr>
              <w:spacing w:after="0"/>
              <w:rPr>
                <w:sz w:val="19"/>
                <w:szCs w:val="19"/>
                <w:color w:val="auto"/>
              </w:rPr>
            </w:pPr>
          </w:p>
        </w:tc>
        <w:tc>
          <w:tcPr>
            <w:tcW w:w="18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8"/>
                <w:szCs w:val="18"/>
                <w:b w:val="1"/>
                <w:bCs w:val="1"/>
                <w:color w:val="auto"/>
                <w:w w:val="99"/>
              </w:rPr>
              <w:t>Purchased</w:t>
            </w:r>
          </w:p>
        </w:tc>
        <w:tc>
          <w:tcPr>
            <w:tcW w:w="1700" w:type="dxa"/>
            <w:vAlign w:val="bottom"/>
            <w:tcBorders>
              <w:bottom w:val="single" w:sz="8" w:color="auto"/>
            </w:tcBorders>
            <w:gridSpan w:val="2"/>
          </w:tcPr>
          <w:p>
            <w:pPr>
              <w:jc w:val="right"/>
              <w:ind w:right="450"/>
              <w:spacing w:after="0"/>
              <w:rPr>
                <w:sz w:val="20"/>
                <w:szCs w:val="20"/>
                <w:color w:val="auto"/>
              </w:rPr>
            </w:pPr>
            <w:r>
              <w:rPr>
                <w:rFonts w:ascii="Arial" w:cs="Arial" w:eastAsia="Arial" w:hAnsi="Arial"/>
                <w:sz w:val="18"/>
                <w:szCs w:val="18"/>
                <w:b w:val="1"/>
                <w:bCs w:val="1"/>
                <w:color w:val="auto"/>
              </w:rPr>
              <w:t>Per Share</w:t>
            </w:r>
          </w:p>
        </w:tc>
        <w:tc>
          <w:tcPr>
            <w:tcW w:w="2040" w:type="dxa"/>
            <w:vAlign w:val="bottom"/>
            <w:tcBorders>
              <w:bottom w:val="single" w:sz="8" w:color="auto"/>
            </w:tcBorders>
            <w:gridSpan w:val="2"/>
          </w:tcPr>
          <w:p>
            <w:pPr>
              <w:ind w:left="380"/>
              <w:spacing w:after="0" w:line="230" w:lineRule="exact"/>
              <w:rPr>
                <w:sz w:val="20"/>
                <w:szCs w:val="20"/>
                <w:color w:val="auto"/>
              </w:rPr>
            </w:pPr>
            <w:r>
              <w:rPr>
                <w:rFonts w:ascii="Arial" w:cs="Arial" w:eastAsia="Arial" w:hAnsi="Arial"/>
                <w:sz w:val="18"/>
                <w:szCs w:val="18"/>
                <w:b w:val="1"/>
                <w:bCs w:val="1"/>
                <w:color w:val="auto"/>
              </w:rPr>
              <w:t xml:space="preserve">or Programs </w:t>
            </w:r>
            <w:r>
              <w:rPr>
                <w:rFonts w:ascii="Arial" w:cs="Arial" w:eastAsia="Arial" w:hAnsi="Arial"/>
                <w:sz w:val="23"/>
                <w:szCs w:val="23"/>
                <w:color w:val="auto"/>
                <w:vertAlign w:val="superscript"/>
              </w:rPr>
              <w:t>(b)</w:t>
            </w:r>
          </w:p>
        </w:tc>
        <w:tc>
          <w:tcPr>
            <w:tcW w:w="2280" w:type="dxa"/>
            <w:vAlign w:val="bottom"/>
            <w:tcBorders>
              <w:bottom w:val="single" w:sz="8" w:color="auto"/>
            </w:tcBorders>
            <w:gridSpan w:val="2"/>
          </w:tcPr>
          <w:p>
            <w:pPr>
              <w:jc w:val="center"/>
              <w:spacing w:after="0" w:line="230" w:lineRule="exact"/>
              <w:rPr>
                <w:sz w:val="20"/>
                <w:szCs w:val="20"/>
                <w:color w:val="auto"/>
              </w:rPr>
            </w:pPr>
            <w:r>
              <w:rPr>
                <w:rFonts w:ascii="Arial" w:cs="Arial" w:eastAsia="Arial" w:hAnsi="Arial"/>
                <w:sz w:val="18"/>
                <w:szCs w:val="18"/>
                <w:b w:val="1"/>
                <w:bCs w:val="1"/>
                <w:color w:val="auto"/>
                <w:w w:val="98"/>
              </w:rPr>
              <w:t xml:space="preserve">the Plans or Programs </w:t>
            </w:r>
            <w:r>
              <w:rPr>
                <w:rFonts w:ascii="Arial" w:cs="Arial" w:eastAsia="Arial" w:hAnsi="Arial"/>
                <w:sz w:val="23"/>
                <w:szCs w:val="23"/>
                <w:color w:val="auto"/>
                <w:w w:val="98"/>
                <w:vertAlign w:val="superscript"/>
              </w:rPr>
              <w:t>(b)</w:t>
            </w:r>
          </w:p>
        </w:tc>
        <w:tc>
          <w:tcPr>
            <w:tcW w:w="0" w:type="dxa"/>
            <w:vAlign w:val="bottom"/>
          </w:tcPr>
          <w:p>
            <w:pPr>
              <w:spacing w:after="0"/>
              <w:rPr>
                <w:sz w:val="1"/>
                <w:szCs w:val="1"/>
                <w:color w:val="auto"/>
              </w:rPr>
            </w:pPr>
          </w:p>
        </w:tc>
      </w:tr>
      <w:tr>
        <w:trPr>
          <w:trHeight w:val="223"/>
        </w:trPr>
        <w:tc>
          <w:tcPr>
            <w:tcW w:w="33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(in millions)</w:t>
            </w:r>
          </w:p>
        </w:tc>
        <w:tc>
          <w:tcPr>
            <w:tcW w:w="0" w:type="dxa"/>
            <w:vAlign w:val="bottom"/>
          </w:tcPr>
          <w:p>
            <w:pPr>
              <w:spacing w:after="0"/>
              <w:rPr>
                <w:sz w:val="1"/>
                <w:szCs w:val="1"/>
                <w:color w:val="auto"/>
              </w:rPr>
            </w:pPr>
          </w:p>
        </w:tc>
      </w:tr>
      <w:tr>
        <w:trPr>
          <w:trHeight w:val="230"/>
        </w:trPr>
        <w:tc>
          <w:tcPr>
            <w:tcW w:w="3340" w:type="dxa"/>
            <w:vAlign w:val="bottom"/>
          </w:tcPr>
          <w:p>
            <w:pPr>
              <w:ind w:left="480"/>
              <w:spacing w:after="0"/>
              <w:rPr>
                <w:sz w:val="20"/>
                <w:szCs w:val="20"/>
                <w:color w:val="auto"/>
              </w:rPr>
            </w:pPr>
            <w:r>
              <w:rPr>
                <w:rFonts w:ascii="Arial" w:cs="Arial" w:eastAsia="Arial" w:hAnsi="Arial"/>
                <w:sz w:val="18"/>
                <w:szCs w:val="18"/>
                <w:color w:val="auto"/>
              </w:rPr>
              <w:t>June 28, 2021 – July 25, 2021</w:t>
            </w:r>
          </w:p>
        </w:tc>
        <w:tc>
          <w:tcPr>
            <w:tcW w:w="1340" w:type="dxa"/>
            <w:vAlign w:val="bottom"/>
          </w:tcPr>
          <w:p>
            <w:pPr>
              <w:jc w:val="right"/>
              <w:spacing w:after="0"/>
              <w:rPr>
                <w:sz w:val="20"/>
                <w:szCs w:val="20"/>
                <w:color w:val="auto"/>
              </w:rPr>
            </w:pPr>
            <w:r>
              <w:rPr>
                <w:rFonts w:ascii="Arial" w:cs="Arial" w:eastAsia="Arial" w:hAnsi="Arial"/>
                <w:sz w:val="18"/>
                <w:szCs w:val="18"/>
                <w:color w:val="auto"/>
              </w:rPr>
              <w:t>1,643</w:t>
            </w:r>
          </w:p>
        </w:tc>
        <w:tc>
          <w:tcPr>
            <w:tcW w:w="540" w:type="dxa"/>
            <w:vAlign w:val="bottom"/>
          </w:tcPr>
          <w:p>
            <w:pPr>
              <w:spacing w:after="0"/>
              <w:rPr>
                <w:sz w:val="19"/>
                <w:szCs w:val="19"/>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210"/>
              <w:spacing w:after="0"/>
              <w:rPr>
                <w:sz w:val="20"/>
                <w:szCs w:val="20"/>
                <w:color w:val="auto"/>
              </w:rPr>
            </w:pPr>
            <w:r>
              <w:rPr>
                <w:rFonts w:ascii="Arial" w:cs="Arial" w:eastAsia="Arial" w:hAnsi="Arial"/>
                <w:sz w:val="18"/>
                <w:szCs w:val="18"/>
                <w:color w:val="auto"/>
              </w:rPr>
              <w:t>380.77</w:t>
            </w:r>
          </w:p>
        </w:tc>
        <w:tc>
          <w:tcPr>
            <w:tcW w:w="20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310"/>
              <w:spacing w:after="0"/>
              <w:rPr>
                <w:sz w:val="20"/>
                <w:szCs w:val="20"/>
                <w:color w:val="auto"/>
              </w:rPr>
            </w:pPr>
            <w:r>
              <w:rPr>
                <w:rFonts w:ascii="Arial" w:cs="Arial" w:eastAsia="Arial" w:hAnsi="Arial"/>
                <w:sz w:val="18"/>
                <w:szCs w:val="18"/>
                <w:color w:val="auto"/>
              </w:rPr>
              <w:t>1,511</w:t>
            </w:r>
          </w:p>
        </w:tc>
        <w:tc>
          <w:tcPr>
            <w:tcW w:w="0" w:type="dxa"/>
            <w:vAlign w:val="bottom"/>
          </w:tcPr>
          <w:p>
            <w:pPr>
              <w:spacing w:after="0"/>
              <w:rPr>
                <w:sz w:val="1"/>
                <w:szCs w:val="1"/>
                <w:color w:val="auto"/>
              </w:rPr>
            </w:pPr>
          </w:p>
        </w:tc>
      </w:tr>
      <w:tr>
        <w:trPr>
          <w:trHeight w:val="318"/>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3"/>
                <w:szCs w:val="23"/>
                <w:color w:val="auto"/>
                <w:vertAlign w:val="subscript"/>
              </w:rPr>
              <w:t>(c)</w:t>
            </w:r>
            <w:r>
              <w:rPr>
                <w:rFonts w:ascii="Arial" w:cs="Arial" w:eastAsia="Arial" w:hAnsi="Arial"/>
                <w:sz w:val="18"/>
                <w:szCs w:val="18"/>
                <w:color w:val="auto"/>
              </w:rPr>
              <w:t xml:space="preserve">     July 26, 2021 – August 29, 2021</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832,745</w:t>
            </w:r>
          </w:p>
        </w:tc>
        <w:tc>
          <w:tcPr>
            <w:tcW w:w="54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374.46</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828,615</w:t>
            </w:r>
          </w:p>
        </w:tc>
        <w:tc>
          <w:tcPr>
            <w:tcW w:w="6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1,011</w:t>
            </w:r>
          </w:p>
        </w:tc>
        <w:tc>
          <w:tcPr>
            <w:tcW w:w="0" w:type="dxa"/>
            <w:vAlign w:val="bottom"/>
          </w:tcPr>
          <w:p>
            <w:pPr>
              <w:spacing w:after="0"/>
              <w:rPr>
                <w:sz w:val="1"/>
                <w:szCs w:val="1"/>
                <w:color w:val="auto"/>
              </w:rPr>
            </w:pPr>
          </w:p>
        </w:tc>
      </w:tr>
      <w:tr>
        <w:trPr>
          <w:trHeight w:val="178"/>
        </w:trPr>
        <w:tc>
          <w:tcPr>
            <w:tcW w:w="3340" w:type="dxa"/>
            <w:vAlign w:val="bottom"/>
          </w:tcPr>
          <w:p>
            <w:pPr>
              <w:ind w:left="480"/>
              <w:spacing w:after="0" w:line="178" w:lineRule="exact"/>
              <w:rPr>
                <w:sz w:val="20"/>
                <w:szCs w:val="20"/>
                <w:color w:val="auto"/>
              </w:rPr>
            </w:pPr>
            <w:r>
              <w:rPr>
                <w:rFonts w:ascii="Arial" w:cs="Arial" w:eastAsia="Arial" w:hAnsi="Arial"/>
                <w:sz w:val="18"/>
                <w:szCs w:val="18"/>
                <w:color w:val="auto"/>
              </w:rPr>
              <w:t>August 30, 2021 – September 26,</w:t>
            </w:r>
          </w:p>
        </w:tc>
        <w:tc>
          <w:tcPr>
            <w:tcW w:w="1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3340" w:type="dxa"/>
            <w:vAlign w:val="bottom"/>
            <w:tcBorders>
              <w:bottom w:val="single" w:sz="8" w:color="CCEEFF"/>
            </w:tcBorders>
          </w:tcPr>
          <w:p>
            <w:pPr>
              <w:ind w:left="20"/>
              <w:spacing w:after="0" w:line="228" w:lineRule="exact"/>
              <w:rPr>
                <w:sz w:val="20"/>
                <w:szCs w:val="20"/>
                <w:color w:val="auto"/>
              </w:rPr>
            </w:pPr>
            <w:r>
              <w:rPr>
                <w:rFonts w:ascii="Arial" w:cs="Arial" w:eastAsia="Arial" w:hAnsi="Arial"/>
                <w:sz w:val="18"/>
                <w:szCs w:val="18"/>
                <w:color w:val="auto"/>
              </w:rPr>
              <w:t xml:space="preserve">2021 </w:t>
            </w:r>
            <w:r>
              <w:rPr>
                <w:rFonts w:ascii="Arial" w:cs="Arial" w:eastAsia="Arial" w:hAnsi="Arial"/>
                <w:sz w:val="23"/>
                <w:szCs w:val="23"/>
                <w:color w:val="auto"/>
                <w:vertAlign w:val="superscript"/>
              </w:rPr>
              <w:t>(c)</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582,120</w:t>
            </w:r>
          </w:p>
        </w:tc>
        <w:tc>
          <w:tcPr>
            <w:tcW w:w="54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tcPr>
          <w:p>
            <w:pPr>
              <w:jc w:val="right"/>
              <w:ind w:right="21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582,120</w:t>
            </w:r>
          </w:p>
        </w:tc>
        <w:tc>
          <w:tcPr>
            <w:tcW w:w="60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jc w:val="right"/>
              <w:ind w:right="9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tcPr>
          <w:p>
            <w:pPr>
              <w:jc w:val="right"/>
              <w:ind w:right="310"/>
              <w:spacing w:after="0"/>
              <w:rPr>
                <w:sz w:val="20"/>
                <w:szCs w:val="20"/>
                <w:color w:val="auto"/>
              </w:rPr>
            </w:pPr>
            <w:r>
              <w:rPr>
                <w:rFonts w:ascii="Arial" w:cs="Arial" w:eastAsia="Arial" w:hAnsi="Arial"/>
                <w:sz w:val="18"/>
                <w:szCs w:val="18"/>
                <w:color w:val="auto"/>
              </w:rPr>
              <w:t>6,011</w:t>
            </w:r>
          </w:p>
        </w:tc>
        <w:tc>
          <w:tcPr>
            <w:tcW w:w="0" w:type="dxa"/>
            <w:vAlign w:val="bottom"/>
          </w:tcPr>
          <w:p>
            <w:pPr>
              <w:spacing w:after="0"/>
              <w:rPr>
                <w:sz w:val="1"/>
                <w:szCs w:val="1"/>
                <w:color w:val="auto"/>
              </w:rPr>
            </w:pPr>
          </w:p>
        </w:tc>
      </w:tr>
      <w:tr>
        <w:trPr>
          <w:trHeight w:val="230"/>
        </w:trPr>
        <w:tc>
          <w:tcPr>
            <w:tcW w:w="3340" w:type="dxa"/>
            <w:vAlign w:val="bottom"/>
            <w:tcBorders>
              <w:bottom w:val="single" w:sz="8" w:color="auto"/>
            </w:tcBorders>
            <w:shd w:val="clear" w:color="auto" w:fill="CCEEFF"/>
          </w:tcPr>
          <w:p>
            <w:pPr>
              <w:ind w:left="1120"/>
              <w:spacing w:after="0" w:line="223" w:lineRule="exact"/>
              <w:rPr>
                <w:sz w:val="20"/>
                <w:szCs w:val="20"/>
                <w:color w:val="auto"/>
              </w:rPr>
            </w:pPr>
            <w:r>
              <w:rPr>
                <w:rFonts w:ascii="Arial" w:cs="Arial" w:eastAsia="Arial" w:hAnsi="Arial"/>
                <w:sz w:val="25"/>
                <w:szCs w:val="25"/>
                <w:color w:val="auto"/>
                <w:vertAlign w:val="subscript"/>
              </w:rPr>
              <w:t>Total</w:t>
            </w:r>
            <w:r>
              <w:rPr>
                <w:rFonts w:ascii="Arial" w:cs="Arial" w:eastAsia="Arial" w:hAnsi="Arial"/>
                <w:sz w:val="10"/>
                <w:szCs w:val="10"/>
                <w:color w:val="auto"/>
              </w:rPr>
              <w:t>(c)(d)</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1,416,508</w:t>
            </w:r>
          </w:p>
        </w:tc>
        <w:tc>
          <w:tcPr>
            <w:tcW w:w="54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376.26</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1,410,735</w:t>
            </w:r>
          </w:p>
        </w:tc>
        <w:tc>
          <w:tcPr>
            <w:tcW w:w="6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85" w:lineRule="exact"/>
        <w:rPr>
          <w:sz w:val="20"/>
          <w:szCs w:val="20"/>
          <w:color w:val="auto"/>
        </w:rPr>
      </w:pPr>
    </w:p>
    <w:p>
      <w:pPr>
        <w:ind w:left="420" w:right="140" w:hanging="412"/>
        <w:spacing w:after="0" w:line="217" w:lineRule="auto"/>
        <w:tabs>
          <w:tab w:leader="none" w:pos="413"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We close our books and records on the last Sunday of each month to align our financial closing with our business processes, except for the month of December, as our fiscal year ends on December 31. As a result, our fiscal months often differ from the calendar months. For example, September 26, 2021 was the last day of our September 2021 fiscal month.</w:t>
      </w:r>
    </w:p>
    <w:p>
      <w:pPr>
        <w:spacing w:after="0" w:line="2" w:lineRule="exact"/>
        <w:rPr>
          <w:rFonts w:ascii="Arial" w:cs="Arial" w:eastAsia="Arial" w:hAnsi="Arial"/>
          <w:sz w:val="21"/>
          <w:szCs w:val="21"/>
          <w:color w:val="auto"/>
          <w:vertAlign w:val="superscript"/>
        </w:rPr>
      </w:pPr>
    </w:p>
    <w:p>
      <w:pPr>
        <w:ind w:left="420" w:right="140" w:hanging="412"/>
        <w:spacing w:after="0" w:line="219" w:lineRule="auto"/>
        <w:tabs>
          <w:tab w:leader="none" w:pos="413"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In October 2010, our Board of Directors approved a share repurchase program pursuant to which we are authorized to repurchase our common stock in privately negotiated transactions or in the open market at prices per share not exceeding the then-current market prices. From time to time, our Board of Directors authorizes increases to our share repurchase program. The total remaining authorization for future common share repurchases under our share repurchase program was $6.0 billion as of September 26, 2021, including a $5.0 billion increase to the program authorized by our Board of Directors on September 23, 2021. Under the program, management has discretion to determine the dollar amount of shares to be repurchased and the timing of any repurchases in compliance with applicable law and regulation. This includes purchases pursuant to Rule 10b5-1 plans, including accelerated share repurchases. The program does not have an expiration date.</w:t>
      </w:r>
    </w:p>
    <w:p>
      <w:pPr>
        <w:ind w:left="420" w:hanging="412"/>
        <w:spacing w:after="0" w:line="215" w:lineRule="auto"/>
        <w:tabs>
          <w:tab w:leader="none" w:pos="408"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During the third quarter of 2021, we entered into an accelerated share repurchase (ASR) agreement to repurchase $500 million of our common stock. Under the terms of the ASR agreement, we paid $500 million and received an initial delivery of 828,615 shares of our common stock in August 2021. Upon final settlement of the ASR agreement in September 2021, we received an additional 582,120 shares of our common stock based on the average price paid per share of $354.43, calculated with reference to the volume-weighted average price (VWAP) of our common stock over the term of the agreement, less a negotiated discount. Average Price Paid Per Share in the table above does not include ASR shares.</w:t>
      </w:r>
    </w:p>
    <w:p>
      <w:pPr>
        <w:spacing w:after="0" w:line="1" w:lineRule="exact"/>
        <w:rPr>
          <w:rFonts w:ascii="Arial" w:cs="Arial" w:eastAsia="Arial" w:hAnsi="Arial"/>
          <w:sz w:val="21"/>
          <w:szCs w:val="21"/>
          <w:color w:val="auto"/>
          <w:vertAlign w:val="superscript"/>
        </w:rPr>
      </w:pPr>
    </w:p>
    <w:p>
      <w:pPr>
        <w:ind w:left="420" w:right="140" w:hanging="412"/>
        <w:spacing w:after="0" w:line="214" w:lineRule="auto"/>
        <w:tabs>
          <w:tab w:leader="none" w:pos="413"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During the quarter ended September 26, 2021, the total number of shares purchased included 5,773 shares that were transferred to us by employees in satisfaction of tax withholding obligations associated with the vesting of restricted stock units. These purchases were made pursuant to a separate authorization by our Board of Directors and are not included within the program.</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380" w:type="dxa"/>
            <w:vAlign w:val="bottom"/>
          </w:tcPr>
          <w:p>
            <w:pPr>
              <w:spacing w:after="0"/>
              <w:rPr>
                <w:sz w:val="20"/>
                <w:szCs w:val="20"/>
                <w:color w:val="auto"/>
              </w:rPr>
            </w:pPr>
            <w:r>
              <w:rPr>
                <w:rFonts w:ascii="Arial" w:cs="Arial" w:eastAsia="Arial" w:hAnsi="Arial"/>
                <w:sz w:val="18"/>
                <w:szCs w:val="18"/>
                <w:b w:val="1"/>
                <w:bCs w:val="1"/>
                <w:color w:val="auto"/>
                <w:w w:val="98"/>
              </w:rPr>
              <w:t>ITEM 6. Exhibits</w:t>
            </w:r>
          </w:p>
        </w:tc>
        <w:tc>
          <w:tcPr>
            <w:tcW w:w="480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56"/>
        </w:trPr>
        <w:tc>
          <w:tcPr>
            <w:tcW w:w="1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Exhibit No.</w:t>
            </w:r>
          </w:p>
        </w:tc>
        <w:tc>
          <w:tcPr>
            <w:tcW w:w="984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Description</w:t>
            </w:r>
          </w:p>
        </w:tc>
      </w:tr>
      <w:tr>
        <w:trPr>
          <w:trHeight w:val="291"/>
        </w:trPr>
        <w:tc>
          <w:tcPr>
            <w:tcW w:w="1380" w:type="dxa"/>
            <w:vAlign w:val="bottom"/>
          </w:tcPr>
          <w:p>
            <w:pPr>
              <w:ind w:left="20"/>
              <w:spacing w:after="0"/>
              <w:rPr>
                <w:sz w:val="20"/>
                <w:szCs w:val="20"/>
                <w:color w:val="auto"/>
              </w:rPr>
            </w:pPr>
            <w:r>
              <w:rPr>
                <w:rFonts w:ascii="Arial" w:cs="Arial" w:eastAsia="Arial" w:hAnsi="Arial"/>
                <w:sz w:val="18"/>
                <w:szCs w:val="18"/>
                <w:color w:val="auto"/>
              </w:rPr>
              <w:t>10.1</w:t>
            </w:r>
          </w:p>
        </w:tc>
        <w:tc>
          <w:tcPr>
            <w:tcW w:w="9700" w:type="dxa"/>
            <w:vAlign w:val="bottom"/>
            <w:tcBorders>
              <w:bottom w:val="single" w:sz="8" w:color="0000FF"/>
            </w:tcBorders>
            <w:gridSpan w:val="3"/>
          </w:tcPr>
          <w:p>
            <w:pPr>
              <w:spacing w:after="0"/>
              <w:rPr>
                <w:rFonts w:ascii="Arial" w:cs="Arial" w:eastAsia="Arial" w:hAnsi="Arial"/>
                <w:sz w:val="18"/>
                <w:szCs w:val="18"/>
                <w:color w:val="0000FF"/>
                <w:w w:val="99"/>
              </w:rPr>
            </w:pPr>
            <w:hyperlink r:id="rId70">
              <w:r>
                <w:rPr>
                  <w:rFonts w:ascii="Arial" w:cs="Arial" w:eastAsia="Arial" w:hAnsi="Arial"/>
                  <w:sz w:val="18"/>
                  <w:szCs w:val="18"/>
                  <w:color w:val="0000FF"/>
                  <w:w w:val="99"/>
                </w:rPr>
                <w:t>Revolving Credit Agreement dated as of August 24, 2021, among Lockheed Martin Corporation, the lenders listed therein,</w:t>
              </w:r>
            </w:hyperlink>
          </w:p>
        </w:tc>
        <w:tc>
          <w:tcPr>
            <w:tcW w:w="140" w:type="dxa"/>
            <w:vAlign w:val="bottom"/>
          </w:tcPr>
          <w:p>
            <w:pPr>
              <w:spacing w:after="0"/>
              <w:rPr>
                <w:sz w:val="24"/>
                <w:szCs w:val="24"/>
                <w:color w:val="auto"/>
              </w:rPr>
            </w:pPr>
          </w:p>
        </w:tc>
      </w:tr>
      <w:tr>
        <w:trPr>
          <w:trHeight w:val="183"/>
        </w:trPr>
        <w:tc>
          <w:tcPr>
            <w:tcW w:w="1380" w:type="dxa"/>
            <w:vAlign w:val="bottom"/>
          </w:tcPr>
          <w:p>
            <w:pPr>
              <w:spacing w:after="0"/>
              <w:rPr>
                <w:sz w:val="15"/>
                <w:szCs w:val="15"/>
                <w:color w:val="auto"/>
              </w:rPr>
            </w:pPr>
          </w:p>
        </w:tc>
        <w:tc>
          <w:tcPr>
            <w:tcW w:w="9840" w:type="dxa"/>
            <w:vAlign w:val="bottom"/>
            <w:gridSpan w:val="4"/>
          </w:tcPr>
          <w:p>
            <w:pPr>
              <w:spacing w:after="0" w:line="182" w:lineRule="exact"/>
              <w:rPr>
                <w:rFonts w:ascii="Arial" w:cs="Arial" w:eastAsia="Arial" w:hAnsi="Arial"/>
                <w:sz w:val="18"/>
                <w:szCs w:val="18"/>
                <w:color w:val="0000FF"/>
              </w:rPr>
            </w:pPr>
            <w:hyperlink r:id="rId70">
              <w:r>
                <w:rPr>
                  <w:rFonts w:ascii="Arial" w:cs="Arial" w:eastAsia="Arial" w:hAnsi="Arial"/>
                  <w:sz w:val="18"/>
                  <w:szCs w:val="18"/>
                  <w:color w:val="0000FF"/>
                </w:rPr>
                <w:t>and Bank of America, N.A., as administrative agent (incorporated by reference to Lockheed Martin Corporation’s Current</w:t>
              </w:r>
            </w:hyperlink>
          </w:p>
        </w:tc>
      </w:tr>
      <w:tr>
        <w:trPr>
          <w:trHeight w:val="183"/>
        </w:trPr>
        <w:tc>
          <w:tcPr>
            <w:tcW w:w="1380" w:type="dxa"/>
            <w:vAlign w:val="bottom"/>
          </w:tcPr>
          <w:p>
            <w:pPr>
              <w:spacing w:after="0"/>
              <w:rPr>
                <w:sz w:val="15"/>
                <w:szCs w:val="15"/>
                <w:color w:val="auto"/>
              </w:rPr>
            </w:pPr>
          </w:p>
        </w:tc>
        <w:tc>
          <w:tcPr>
            <w:tcW w:w="4800" w:type="dxa"/>
            <w:vAlign w:val="bottom"/>
            <w:tcBorders>
              <w:top w:val="single" w:sz="8" w:color="0000FF"/>
              <w:bottom w:val="single" w:sz="8" w:color="0000FF"/>
            </w:tcBorders>
          </w:tcPr>
          <w:p>
            <w:pPr>
              <w:spacing w:after="0" w:line="182" w:lineRule="exact"/>
              <w:rPr>
                <w:rFonts w:ascii="Arial" w:cs="Arial" w:eastAsia="Arial" w:hAnsi="Arial"/>
                <w:sz w:val="18"/>
                <w:szCs w:val="18"/>
                <w:color w:val="0000FF"/>
                <w:w w:val="99"/>
              </w:rPr>
            </w:pPr>
            <w:hyperlink r:id="rId70">
              <w:r>
                <w:rPr>
                  <w:rFonts w:ascii="Arial" w:cs="Arial" w:eastAsia="Arial" w:hAnsi="Arial"/>
                  <w:sz w:val="18"/>
                  <w:szCs w:val="18"/>
                  <w:color w:val="0000FF"/>
                  <w:w w:val="99"/>
                </w:rPr>
                <w:t>Report on Form 8-K filed with the SEC on August 24, 2021).</w:t>
              </w:r>
            </w:hyperlink>
          </w:p>
        </w:tc>
        <w:tc>
          <w:tcPr>
            <w:tcW w:w="4780" w:type="dxa"/>
            <w:vAlign w:val="bottom"/>
            <w:tcBorders>
              <w:top w:val="single" w:sz="8" w:color="0000FF"/>
            </w:tcBorders>
          </w:tcPr>
          <w:p>
            <w:pPr>
              <w:spacing w:after="0"/>
              <w:rPr>
                <w:sz w:val="15"/>
                <w:szCs w:val="15"/>
                <w:color w:val="auto"/>
              </w:rPr>
            </w:pPr>
          </w:p>
        </w:tc>
        <w:tc>
          <w:tcPr>
            <w:tcW w:w="260" w:type="dxa"/>
            <w:vAlign w:val="bottom"/>
            <w:gridSpan w:val="2"/>
          </w:tcPr>
          <w:p>
            <w:pPr>
              <w:spacing w:after="0"/>
              <w:rPr>
                <w:sz w:val="15"/>
                <w:szCs w:val="15"/>
                <w:color w:val="auto"/>
              </w:rPr>
            </w:pPr>
          </w:p>
        </w:tc>
      </w:tr>
    </w:tbl>
    <w:p>
      <w:pPr>
        <w:spacing w:after="0" w:line="121" w:lineRule="exact"/>
        <w:rPr>
          <w:sz w:val="20"/>
          <w:szCs w:val="20"/>
          <w:color w:val="auto"/>
        </w:rPr>
      </w:pPr>
    </w:p>
    <w:p>
      <w:pPr>
        <w:ind w:left="1380" w:hanging="1354"/>
        <w:spacing w:after="0"/>
        <w:tabs>
          <w:tab w:leader="none" w:pos="1380" w:val="left"/>
        </w:tabs>
        <w:numPr>
          <w:ilvl w:val="0"/>
          <w:numId w:val="12"/>
        </w:numPr>
        <w:rPr>
          <w:rFonts w:ascii="Arial" w:cs="Arial" w:eastAsia="Arial" w:hAnsi="Arial"/>
          <w:sz w:val="18"/>
          <w:szCs w:val="18"/>
          <w:u w:val="single" w:color="auto"/>
          <w:color w:val="0000FF"/>
        </w:rPr>
      </w:pPr>
      <w:hyperlink w:anchor="page58">
        <w:r>
          <w:rPr>
            <w:rFonts w:ascii="Arial" w:cs="Arial" w:eastAsia="Arial" w:hAnsi="Arial"/>
            <w:sz w:val="18"/>
            <w:szCs w:val="18"/>
            <w:u w:val="single" w:color="auto"/>
            <w:color w:val="0000FF"/>
          </w:rPr>
          <w:t>Acknowledgment of Independent Registered Public Accounting Firm</w:t>
        </w:r>
      </w:hyperlink>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360" w:type="dxa"/>
            <w:vAlign w:val="bottom"/>
          </w:tcPr>
          <w:p>
            <w:pPr>
              <w:jc w:val="right"/>
              <w:ind w:right="910"/>
              <w:spacing w:after="0"/>
              <w:rPr>
                <w:sz w:val="20"/>
                <w:szCs w:val="20"/>
                <w:color w:val="auto"/>
              </w:rPr>
            </w:pPr>
            <w:r>
              <w:rPr>
                <w:rFonts w:ascii="Arial" w:cs="Arial" w:eastAsia="Arial" w:hAnsi="Arial"/>
                <w:sz w:val="18"/>
                <w:szCs w:val="18"/>
                <w:color w:val="auto"/>
                <w:w w:val="96"/>
              </w:rPr>
              <w:t>31.1</w:t>
            </w:r>
          </w:p>
        </w:tc>
        <w:tc>
          <w:tcPr>
            <w:tcW w:w="7280" w:type="dxa"/>
            <w:vAlign w:val="bottom"/>
            <w:tcBorders>
              <w:bottom w:val="single" w:sz="8" w:color="0000FF"/>
            </w:tcBorders>
            <w:gridSpan w:val="2"/>
          </w:tcPr>
          <w:p>
            <w:pPr>
              <w:spacing w:after="0"/>
              <w:rPr>
                <w:rFonts w:ascii="Arial" w:cs="Arial" w:eastAsia="Arial" w:hAnsi="Arial"/>
                <w:sz w:val="18"/>
                <w:szCs w:val="18"/>
                <w:color w:val="0000FF"/>
                <w:w w:val="99"/>
              </w:rPr>
            </w:pPr>
            <w:hyperlink w:anchor="page59">
              <w:r>
                <w:rPr>
                  <w:rFonts w:ascii="Arial" w:cs="Arial" w:eastAsia="Arial" w:hAnsi="Arial"/>
                  <w:sz w:val="18"/>
                  <w:szCs w:val="18"/>
                  <w:color w:val="0000FF"/>
                  <w:w w:val="99"/>
                </w:rPr>
                <w:t>Certification of James D. Taiclet pursuant to Section 302 of the Sarbanes-Oxley Act of 2002</w:t>
              </w:r>
            </w:hyperlink>
          </w:p>
        </w:tc>
      </w:tr>
      <w:tr>
        <w:trPr>
          <w:trHeight w:val="263"/>
        </w:trPr>
        <w:tc>
          <w:tcPr>
            <w:tcW w:w="1360" w:type="dxa"/>
            <w:vAlign w:val="bottom"/>
          </w:tcPr>
          <w:p>
            <w:pPr>
              <w:jc w:val="right"/>
              <w:ind w:right="910"/>
              <w:spacing w:after="0"/>
              <w:rPr>
                <w:sz w:val="20"/>
                <w:szCs w:val="20"/>
                <w:color w:val="auto"/>
              </w:rPr>
            </w:pPr>
            <w:r>
              <w:rPr>
                <w:rFonts w:ascii="Arial" w:cs="Arial" w:eastAsia="Arial" w:hAnsi="Arial"/>
                <w:sz w:val="18"/>
                <w:szCs w:val="18"/>
                <w:color w:val="auto"/>
                <w:w w:val="96"/>
              </w:rPr>
              <w:t>31.2</w:t>
            </w:r>
          </w:p>
        </w:tc>
        <w:tc>
          <w:tcPr>
            <w:tcW w:w="7260" w:type="dxa"/>
            <w:vAlign w:val="bottom"/>
            <w:tcBorders>
              <w:bottom w:val="single" w:sz="8" w:color="0000FF"/>
            </w:tcBorders>
          </w:tcPr>
          <w:p>
            <w:pPr>
              <w:spacing w:after="0"/>
              <w:rPr>
                <w:rFonts w:ascii="Arial" w:cs="Arial" w:eastAsia="Arial" w:hAnsi="Arial"/>
                <w:sz w:val="18"/>
                <w:szCs w:val="18"/>
                <w:color w:val="0000FF"/>
                <w:w w:val="99"/>
              </w:rPr>
            </w:pPr>
            <w:hyperlink w:anchor="page60">
              <w:r>
                <w:rPr>
                  <w:rFonts w:ascii="Arial" w:cs="Arial" w:eastAsia="Arial" w:hAnsi="Arial"/>
                  <w:sz w:val="18"/>
                  <w:szCs w:val="18"/>
                  <w:color w:val="0000FF"/>
                  <w:w w:val="99"/>
                </w:rPr>
                <w:t>Certification of John W. Mollard pursuant to Section 302 of the Sarbanes-Oxley Act of 2002</w:t>
              </w:r>
            </w:hyperlink>
          </w:p>
        </w:tc>
        <w:tc>
          <w:tcPr>
            <w:tcW w:w="20" w:type="dxa"/>
            <w:vAlign w:val="bottom"/>
          </w:tcPr>
          <w:p>
            <w:pPr>
              <w:spacing w:after="0"/>
              <w:rPr>
                <w:sz w:val="22"/>
                <w:szCs w:val="22"/>
                <w:color w:val="auto"/>
              </w:rPr>
            </w:pPr>
          </w:p>
        </w:tc>
      </w:tr>
    </w:tbl>
    <w:p>
      <w:pPr>
        <w:spacing w:after="0" w:line="94" w:lineRule="exact"/>
        <w:rPr>
          <w:sz w:val="20"/>
          <w:szCs w:val="20"/>
          <w:color w:val="auto"/>
        </w:rPr>
      </w:pPr>
    </w:p>
    <w:p>
      <w:pPr>
        <w:ind w:left="1380" w:right="800" w:hanging="1354"/>
        <w:spacing w:after="0" w:line="227" w:lineRule="auto"/>
        <w:tabs>
          <w:tab w:leader="none" w:pos="1380" w:val="left"/>
        </w:tabs>
        <w:numPr>
          <w:ilvl w:val="0"/>
          <w:numId w:val="13"/>
        </w:numPr>
        <w:rPr>
          <w:rFonts w:ascii="Arial" w:cs="Arial" w:eastAsia="Arial" w:hAnsi="Arial"/>
          <w:sz w:val="18"/>
          <w:szCs w:val="18"/>
          <w:u w:val="single" w:color="auto"/>
          <w:color w:val="0000FF"/>
        </w:rPr>
      </w:pPr>
      <w:hyperlink w:anchor="page61">
        <w:r>
          <w:rPr>
            <w:rFonts w:ascii="Arial" w:cs="Arial" w:eastAsia="Arial" w:hAnsi="Arial"/>
            <w:sz w:val="18"/>
            <w:szCs w:val="18"/>
            <w:u w:val="single" w:color="auto"/>
            <w:color w:val="0000FF"/>
          </w:rPr>
          <w:t>Certification of James D. Taiclet and John W. Mollard pursuant to 18 U.S.C. Section 1350, as adopted pursuant to</w:t>
        </w:r>
      </w:hyperlink>
      <w:r>
        <w:rPr>
          <w:rFonts w:ascii="Arial" w:cs="Arial" w:eastAsia="Arial" w:hAnsi="Arial"/>
          <w:sz w:val="18"/>
          <w:szCs w:val="18"/>
          <w:u w:val="single" w:color="auto"/>
          <w:color w:val="0000FF"/>
        </w:rPr>
        <w:t xml:space="preserve"> </w:t>
      </w:r>
      <w:hyperlink w:anchor="page61">
        <w:r>
          <w:rPr>
            <w:rFonts w:ascii="Arial" w:cs="Arial" w:eastAsia="Arial" w:hAnsi="Arial"/>
            <w:sz w:val="18"/>
            <w:szCs w:val="18"/>
            <w:u w:val="single" w:color="auto"/>
            <w:color w:val="0000FF"/>
          </w:rPr>
          <w:t>Section 906 of the Sarbanes-Oxley Act of 2002</w:t>
        </w:r>
      </w:hyperlink>
    </w:p>
    <w:p>
      <w:pPr>
        <w:spacing w:after="0" w:line="36" w:lineRule="exact"/>
        <w:rPr>
          <w:rFonts w:ascii="Arial" w:cs="Arial" w:eastAsia="Arial" w:hAnsi="Arial"/>
          <w:sz w:val="18"/>
          <w:szCs w:val="18"/>
          <w:color w:val="auto"/>
        </w:rPr>
      </w:pPr>
    </w:p>
    <w:tbl>
      <w:tblPr>
        <w:tblLayout w:type="fixed"/>
        <w:tblInd w:w="20" w:type="dxa"/>
        <w:tblCellMar>
          <w:top w:w="0" w:type="dxa"/>
          <w:left w:w="0" w:type="dxa"/>
          <w:bottom w:w="0" w:type="dxa"/>
          <w:right w:w="0" w:type="dxa"/>
        </w:tblCellMar>
      </w:tblPr>
      <w:tr>
        <w:trPr>
          <w:trHeight w:val="207"/>
        </w:trPr>
        <w:tc>
          <w:tcPr>
            <w:tcW w:w="1060" w:type="dxa"/>
            <w:vAlign w:val="bottom"/>
          </w:tcPr>
          <w:p>
            <w:pPr>
              <w:spacing w:after="0"/>
              <w:rPr>
                <w:sz w:val="20"/>
                <w:szCs w:val="20"/>
                <w:color w:val="auto"/>
              </w:rPr>
            </w:pPr>
            <w:r>
              <w:rPr>
                <w:rFonts w:ascii="Arial" w:cs="Arial" w:eastAsia="Arial" w:hAnsi="Arial"/>
                <w:sz w:val="18"/>
                <w:szCs w:val="18"/>
                <w:color w:val="auto"/>
              </w:rPr>
              <w:t>101.INS</w:t>
            </w:r>
          </w:p>
        </w:tc>
        <w:tc>
          <w:tcPr>
            <w:tcW w:w="10020" w:type="dxa"/>
            <w:vAlign w:val="bottom"/>
          </w:tcPr>
          <w:p>
            <w:pPr>
              <w:ind w:left="300"/>
              <w:spacing w:after="0"/>
              <w:rPr>
                <w:sz w:val="20"/>
                <w:szCs w:val="20"/>
                <w:color w:val="auto"/>
              </w:rPr>
            </w:pPr>
            <w:r>
              <w:rPr>
                <w:rFonts w:ascii="Arial" w:cs="Arial" w:eastAsia="Arial" w:hAnsi="Arial"/>
                <w:sz w:val="18"/>
                <w:szCs w:val="18"/>
                <w:color w:val="auto"/>
                <w:w w:val="99"/>
              </w:rPr>
              <w:t>XBRL Instance Document - the instance document does not appear in the Interactive Data File because its XBRL tags are</w:t>
            </w:r>
          </w:p>
        </w:tc>
      </w:tr>
      <w:tr>
        <w:trPr>
          <w:trHeight w:val="217"/>
        </w:trPr>
        <w:tc>
          <w:tcPr>
            <w:tcW w:w="1060" w:type="dxa"/>
            <w:vAlign w:val="bottom"/>
          </w:tcPr>
          <w:p>
            <w:pPr>
              <w:spacing w:after="0"/>
              <w:rPr>
                <w:sz w:val="18"/>
                <w:szCs w:val="18"/>
                <w:color w:val="auto"/>
              </w:rPr>
            </w:pPr>
          </w:p>
        </w:tc>
        <w:tc>
          <w:tcPr>
            <w:tcW w:w="10020" w:type="dxa"/>
            <w:vAlign w:val="bottom"/>
          </w:tcPr>
          <w:p>
            <w:pPr>
              <w:ind w:left="300"/>
              <w:spacing w:after="0"/>
              <w:rPr>
                <w:sz w:val="20"/>
                <w:szCs w:val="20"/>
                <w:color w:val="auto"/>
              </w:rPr>
            </w:pPr>
            <w:r>
              <w:rPr>
                <w:rFonts w:ascii="Arial" w:cs="Arial" w:eastAsia="Arial" w:hAnsi="Arial"/>
                <w:sz w:val="18"/>
                <w:szCs w:val="18"/>
                <w:color w:val="auto"/>
              </w:rPr>
              <w:t>embedded within the Inline XBRL document</w:t>
            </w:r>
          </w:p>
        </w:tc>
      </w:tr>
      <w:tr>
        <w:trPr>
          <w:trHeight w:val="283"/>
        </w:trPr>
        <w:tc>
          <w:tcPr>
            <w:tcW w:w="1060" w:type="dxa"/>
            <w:vAlign w:val="bottom"/>
          </w:tcPr>
          <w:p>
            <w:pPr>
              <w:spacing w:after="0"/>
              <w:rPr>
                <w:sz w:val="20"/>
                <w:szCs w:val="20"/>
                <w:color w:val="auto"/>
              </w:rPr>
            </w:pPr>
            <w:r>
              <w:rPr>
                <w:rFonts w:ascii="Arial" w:cs="Arial" w:eastAsia="Arial" w:hAnsi="Arial"/>
                <w:sz w:val="18"/>
                <w:szCs w:val="18"/>
                <w:color w:val="auto"/>
              </w:rPr>
              <w:t>101.SCH</w:t>
            </w:r>
          </w:p>
        </w:tc>
        <w:tc>
          <w:tcPr>
            <w:tcW w:w="10020" w:type="dxa"/>
            <w:vAlign w:val="bottom"/>
          </w:tcPr>
          <w:p>
            <w:pPr>
              <w:ind w:left="300"/>
              <w:spacing w:after="0"/>
              <w:rPr>
                <w:sz w:val="20"/>
                <w:szCs w:val="20"/>
                <w:color w:val="auto"/>
              </w:rPr>
            </w:pPr>
            <w:r>
              <w:rPr>
                <w:rFonts w:ascii="Arial" w:cs="Arial" w:eastAsia="Arial" w:hAnsi="Arial"/>
                <w:sz w:val="18"/>
                <w:szCs w:val="18"/>
                <w:color w:val="auto"/>
              </w:rPr>
              <w:t>Inline XBRL Taxonomy Extension Schema Document</w:t>
            </w:r>
          </w:p>
        </w:tc>
      </w:tr>
      <w:tr>
        <w:trPr>
          <w:trHeight w:val="284"/>
        </w:trPr>
        <w:tc>
          <w:tcPr>
            <w:tcW w:w="1060" w:type="dxa"/>
            <w:vAlign w:val="bottom"/>
          </w:tcPr>
          <w:p>
            <w:pPr>
              <w:spacing w:after="0"/>
              <w:rPr>
                <w:sz w:val="20"/>
                <w:szCs w:val="20"/>
                <w:color w:val="auto"/>
              </w:rPr>
            </w:pPr>
            <w:r>
              <w:rPr>
                <w:rFonts w:ascii="Arial" w:cs="Arial" w:eastAsia="Arial" w:hAnsi="Arial"/>
                <w:sz w:val="18"/>
                <w:szCs w:val="18"/>
                <w:color w:val="auto"/>
              </w:rPr>
              <w:t>101.CAL</w:t>
            </w:r>
          </w:p>
        </w:tc>
        <w:tc>
          <w:tcPr>
            <w:tcW w:w="10020" w:type="dxa"/>
            <w:vAlign w:val="bottom"/>
          </w:tcPr>
          <w:p>
            <w:pPr>
              <w:ind w:left="30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83"/>
        </w:trPr>
        <w:tc>
          <w:tcPr>
            <w:tcW w:w="1060" w:type="dxa"/>
            <w:vAlign w:val="bottom"/>
          </w:tcPr>
          <w:p>
            <w:pPr>
              <w:spacing w:after="0"/>
              <w:rPr>
                <w:sz w:val="20"/>
                <w:szCs w:val="20"/>
                <w:color w:val="auto"/>
              </w:rPr>
            </w:pPr>
            <w:r>
              <w:rPr>
                <w:rFonts w:ascii="Arial" w:cs="Arial" w:eastAsia="Arial" w:hAnsi="Arial"/>
                <w:sz w:val="18"/>
                <w:szCs w:val="18"/>
                <w:color w:val="auto"/>
              </w:rPr>
              <w:t>101.DEF</w:t>
            </w:r>
          </w:p>
        </w:tc>
        <w:tc>
          <w:tcPr>
            <w:tcW w:w="10020" w:type="dxa"/>
            <w:vAlign w:val="bottom"/>
          </w:tcPr>
          <w:p>
            <w:pPr>
              <w:ind w:left="30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83"/>
        </w:trPr>
        <w:tc>
          <w:tcPr>
            <w:tcW w:w="1060" w:type="dxa"/>
            <w:vAlign w:val="bottom"/>
          </w:tcPr>
          <w:p>
            <w:pPr>
              <w:spacing w:after="0"/>
              <w:rPr>
                <w:sz w:val="20"/>
                <w:szCs w:val="20"/>
                <w:color w:val="auto"/>
              </w:rPr>
            </w:pPr>
            <w:r>
              <w:rPr>
                <w:rFonts w:ascii="Arial" w:cs="Arial" w:eastAsia="Arial" w:hAnsi="Arial"/>
                <w:sz w:val="18"/>
                <w:szCs w:val="18"/>
                <w:color w:val="auto"/>
              </w:rPr>
              <w:t>101.LAB</w:t>
            </w:r>
          </w:p>
        </w:tc>
        <w:tc>
          <w:tcPr>
            <w:tcW w:w="10020" w:type="dxa"/>
            <w:vAlign w:val="bottom"/>
          </w:tcPr>
          <w:p>
            <w:pPr>
              <w:ind w:left="30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83"/>
        </w:trPr>
        <w:tc>
          <w:tcPr>
            <w:tcW w:w="1060" w:type="dxa"/>
            <w:vAlign w:val="bottom"/>
          </w:tcPr>
          <w:p>
            <w:pPr>
              <w:spacing w:after="0"/>
              <w:rPr>
                <w:sz w:val="20"/>
                <w:szCs w:val="20"/>
                <w:color w:val="auto"/>
              </w:rPr>
            </w:pPr>
            <w:r>
              <w:rPr>
                <w:rFonts w:ascii="Arial" w:cs="Arial" w:eastAsia="Arial" w:hAnsi="Arial"/>
                <w:sz w:val="18"/>
                <w:szCs w:val="18"/>
                <w:color w:val="auto"/>
              </w:rPr>
              <w:t>101.PRE</w:t>
            </w:r>
          </w:p>
        </w:tc>
        <w:tc>
          <w:tcPr>
            <w:tcW w:w="10020" w:type="dxa"/>
            <w:vAlign w:val="bottom"/>
          </w:tcPr>
          <w:p>
            <w:pPr>
              <w:ind w:left="300"/>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67" w:lineRule="exact"/>
        <w:rPr>
          <w:rFonts w:ascii="Arial" w:cs="Arial" w:eastAsia="Arial" w:hAnsi="Arial"/>
          <w:sz w:val="18"/>
          <w:szCs w:val="18"/>
          <w:color w:val="auto"/>
        </w:rPr>
      </w:pPr>
    </w:p>
    <w:p>
      <w:pPr>
        <w:ind w:left="1380" w:right="80" w:hanging="1354"/>
        <w:spacing w:after="0" w:line="227" w:lineRule="auto"/>
        <w:tabs>
          <w:tab w:leader="none" w:pos="1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Cover Page Interactive Data File - the cover page XBRL tags are embedded within the Inline XBRL document contained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2"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SIGNATURE</w:t>
      </w:r>
    </w:p>
    <w:p>
      <w:pPr>
        <w:spacing w:after="0" w:line="207" w:lineRule="exact"/>
        <w:rPr>
          <w:sz w:val="20"/>
          <w:szCs w:val="20"/>
          <w:color w:val="auto"/>
        </w:rPr>
      </w:pPr>
    </w:p>
    <w:p>
      <w:pPr>
        <w:ind w:firstLine="445"/>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700" w:type="dxa"/>
            <w:vAlign w:val="bottom"/>
          </w:tcPr>
          <w:p>
            <w:pPr>
              <w:spacing w:after="0"/>
              <w:rPr>
                <w:sz w:val="17"/>
                <w:szCs w:val="17"/>
                <w:color w:val="auto"/>
              </w:rPr>
            </w:pPr>
          </w:p>
        </w:tc>
        <w:tc>
          <w:tcPr>
            <w:tcW w:w="4300" w:type="dxa"/>
            <w:vAlign w:val="bottom"/>
            <w:gridSpan w:val="3"/>
          </w:tcPr>
          <w:p>
            <w:pPr>
              <w:spacing w:after="0"/>
              <w:rPr>
                <w:sz w:val="20"/>
                <w:szCs w:val="20"/>
                <w:color w:val="auto"/>
              </w:rPr>
            </w:pPr>
            <w:r>
              <w:rPr>
                <w:rFonts w:ascii="Arial" w:cs="Arial" w:eastAsia="Arial" w:hAnsi="Arial"/>
                <w:sz w:val="18"/>
                <w:szCs w:val="18"/>
                <w:color w:val="auto"/>
              </w:rPr>
              <w:t>Lockheed Martin Corporation</w:t>
            </w:r>
          </w:p>
        </w:tc>
      </w:tr>
      <w:tr>
        <w:trPr>
          <w:trHeight w:val="250"/>
        </w:trPr>
        <w:tc>
          <w:tcPr>
            <w:tcW w:w="5700" w:type="dxa"/>
            <w:vAlign w:val="bottom"/>
          </w:tcPr>
          <w:p>
            <w:pPr>
              <w:spacing w:after="0"/>
              <w:rPr>
                <w:sz w:val="21"/>
                <w:szCs w:val="21"/>
                <w:color w:val="auto"/>
              </w:rPr>
            </w:pPr>
          </w:p>
        </w:tc>
        <w:tc>
          <w:tcPr>
            <w:tcW w:w="23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(Registrant)</w:t>
            </w:r>
          </w:p>
        </w:tc>
        <w:tc>
          <w:tcPr>
            <w:tcW w:w="1980" w:type="dxa"/>
            <w:vAlign w:val="bottom"/>
          </w:tcPr>
          <w:p>
            <w:pPr>
              <w:spacing w:after="0"/>
              <w:rPr>
                <w:sz w:val="21"/>
                <w:szCs w:val="21"/>
                <w:color w:val="auto"/>
              </w:rPr>
            </w:pPr>
          </w:p>
        </w:tc>
      </w:tr>
      <w:tr>
        <w:trPr>
          <w:trHeight w:val="459"/>
        </w:trPr>
        <w:tc>
          <w:tcPr>
            <w:tcW w:w="5700" w:type="dxa"/>
            <w:vAlign w:val="bottom"/>
          </w:tcPr>
          <w:p>
            <w:pPr>
              <w:spacing w:after="0"/>
              <w:rPr>
                <w:sz w:val="20"/>
                <w:szCs w:val="20"/>
                <w:color w:val="auto"/>
              </w:rPr>
            </w:pPr>
            <w:r>
              <w:rPr>
                <w:rFonts w:ascii="Arial" w:cs="Arial" w:eastAsia="Arial" w:hAnsi="Arial"/>
                <w:sz w:val="18"/>
                <w:szCs w:val="18"/>
                <w:color w:val="auto"/>
              </w:rPr>
              <w:t>Date: October 26, 2021</w:t>
            </w:r>
          </w:p>
        </w:tc>
        <w:tc>
          <w:tcPr>
            <w:tcW w:w="4300" w:type="dxa"/>
            <w:vAlign w:val="bottom"/>
            <w:gridSpan w:val="3"/>
          </w:tcPr>
          <w:p>
            <w:pPr>
              <w:spacing w:after="0"/>
              <w:rPr>
                <w:sz w:val="20"/>
                <w:szCs w:val="20"/>
                <w:color w:val="auto"/>
              </w:rPr>
            </w:pPr>
            <w:r>
              <w:rPr>
                <w:rFonts w:ascii="Arial" w:cs="Arial" w:eastAsia="Arial" w:hAnsi="Arial"/>
                <w:sz w:val="18"/>
                <w:szCs w:val="18"/>
                <w:color w:val="auto"/>
              </w:rPr>
              <w:t>By: /s/ Brian P. Colan</w:t>
            </w:r>
          </w:p>
        </w:tc>
      </w:tr>
      <w:tr>
        <w:trPr>
          <w:trHeight w:val="250"/>
        </w:trPr>
        <w:tc>
          <w:tcPr>
            <w:tcW w:w="5700" w:type="dxa"/>
            <w:vAlign w:val="bottom"/>
          </w:tcPr>
          <w:p>
            <w:pPr>
              <w:spacing w:after="0"/>
              <w:rPr>
                <w:sz w:val="21"/>
                <w:szCs w:val="21"/>
                <w:color w:val="auto"/>
              </w:rPr>
            </w:pPr>
          </w:p>
        </w:tc>
        <w:tc>
          <w:tcPr>
            <w:tcW w:w="16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Brian P. Colan</w:t>
            </w:r>
          </w:p>
        </w:tc>
        <w:tc>
          <w:tcPr>
            <w:tcW w:w="2620" w:type="dxa"/>
            <w:vAlign w:val="bottom"/>
            <w:gridSpan w:val="2"/>
          </w:tcPr>
          <w:p>
            <w:pPr>
              <w:spacing w:after="0"/>
              <w:rPr>
                <w:sz w:val="21"/>
                <w:szCs w:val="21"/>
                <w:color w:val="auto"/>
              </w:rPr>
            </w:pPr>
          </w:p>
        </w:tc>
      </w:tr>
      <w:tr>
        <w:trPr>
          <w:trHeight w:val="230"/>
        </w:trPr>
        <w:tc>
          <w:tcPr>
            <w:tcW w:w="5700" w:type="dxa"/>
            <w:vAlign w:val="bottom"/>
          </w:tcPr>
          <w:p>
            <w:pPr>
              <w:spacing w:after="0"/>
              <w:rPr>
                <w:sz w:val="19"/>
                <w:szCs w:val="19"/>
                <w:color w:val="auto"/>
              </w:rPr>
            </w:pPr>
          </w:p>
        </w:tc>
        <w:tc>
          <w:tcPr>
            <w:tcW w:w="4300" w:type="dxa"/>
            <w:vAlign w:val="bottom"/>
            <w:gridSpan w:val="3"/>
          </w:tcPr>
          <w:p>
            <w:pPr>
              <w:spacing w:after="0"/>
              <w:rPr>
                <w:sz w:val="20"/>
                <w:szCs w:val="20"/>
                <w:color w:val="auto"/>
              </w:rPr>
            </w:pPr>
            <w:r>
              <w:rPr>
                <w:rFonts w:ascii="Arial" w:cs="Arial" w:eastAsia="Arial" w:hAnsi="Arial"/>
                <w:sz w:val="18"/>
                <w:szCs w:val="18"/>
                <w:color w:val="auto"/>
              </w:rPr>
              <w:t>Vice President and Controller</w:t>
            </w:r>
          </w:p>
        </w:tc>
      </w:tr>
      <w:tr>
        <w:trPr>
          <w:trHeight w:val="229"/>
        </w:trPr>
        <w:tc>
          <w:tcPr>
            <w:tcW w:w="5700" w:type="dxa"/>
            <w:vAlign w:val="bottom"/>
          </w:tcPr>
          <w:p>
            <w:pPr>
              <w:spacing w:after="0"/>
              <w:rPr>
                <w:sz w:val="19"/>
                <w:szCs w:val="19"/>
                <w:color w:val="auto"/>
              </w:rPr>
            </w:pPr>
          </w:p>
        </w:tc>
        <w:tc>
          <w:tcPr>
            <w:tcW w:w="4300" w:type="dxa"/>
            <w:vAlign w:val="bottom"/>
            <w:gridSpan w:val="3"/>
          </w:tcPr>
          <w:p>
            <w:pPr>
              <w:spacing w:after="0"/>
              <w:rPr>
                <w:sz w:val="20"/>
                <w:szCs w:val="20"/>
                <w:color w:val="auto"/>
              </w:rPr>
            </w:pPr>
            <w:r>
              <w:rPr>
                <w:rFonts w:ascii="Arial" w:cs="Arial" w:eastAsia="Arial" w:hAnsi="Arial"/>
                <w:sz w:val="18"/>
                <w:szCs w:val="18"/>
                <w:color w:val="auto"/>
                <w:w w:val="99"/>
              </w:rPr>
              <w:t>(Duly Authorized Officer and Chief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780"/>
          </w:cols>
          <w:pgMar w:left="320" w:top="140" w:right="79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15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Acknowledgment of</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Lockheed Martin Corporation</w:t>
      </w:r>
    </w:p>
    <w:p>
      <w:pPr>
        <w:spacing w:after="0" w:line="225"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are aware of the incorporation by reference of our report dated October 26, 2021, relating to the unaudited consolidated interim financial statements of Lockheed Martin Corporation that is included in its Form 10-Q for the quarter ended September 26, 2021, in the following Registration Statements of Lockheed Martin Corporation:</w:t>
      </w:r>
    </w:p>
    <w:p>
      <w:pPr>
        <w:spacing w:after="0" w:line="197"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333-92363 on Form S-8, dated December 8, 1999;</w:t>
      </w:r>
    </w:p>
    <w:p>
      <w:pPr>
        <w:ind w:left="660" w:hanging="328"/>
        <w:spacing w:after="0" w:line="23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333-115357 on Form S-8, dated May 10, 2004;</w:t>
      </w:r>
    </w:p>
    <w:p>
      <w:pPr>
        <w:ind w:left="660" w:hanging="328"/>
        <w:spacing w:after="0" w:line="23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333-155687 on Form S-8, dated November 25, 2008;</w:t>
      </w:r>
    </w:p>
    <w:p>
      <w:pPr>
        <w:ind w:left="660" w:hanging="328"/>
        <w:spacing w:after="0" w:line="23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333-176440 on Form S-8, dated August 23, 2011 and April 24, 2020 (Post-Effective Amendment No. 1);</w:t>
      </w:r>
    </w:p>
    <w:p>
      <w:pPr>
        <w:ind w:left="660" w:hanging="328"/>
        <w:spacing w:after="0" w:line="23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333-188118 on Form S-8, dated April 25, 2013;</w:t>
      </w:r>
    </w:p>
    <w:p>
      <w:pPr>
        <w:ind w:left="660" w:right="240" w:hanging="328"/>
        <w:spacing w:after="0" w:line="234"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333-195466 on Form S-8, dated April 24, 2014, July 23, 2014 (Post-Effective Amendment No.1) and April 24, 2020 (Post-Effective Amendment No. 2);</w:t>
      </w:r>
    </w:p>
    <w:p>
      <w:pPr>
        <w:spacing w:after="0" w:line="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333-237829, 333-237831, and 333-237832 on Form S-8, each dated April 24, 2020;</w:t>
      </w:r>
    </w:p>
    <w:p>
      <w:pPr>
        <w:ind w:left="660" w:hanging="328"/>
        <w:spacing w:after="0" w:line="23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333-237834 on Form S-3, dated April 24, 2020; and</w:t>
      </w: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333-237836 on Form S-3, dated April 24, 2020.</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Tysons, Virginia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26, 2021</w:t>
      </w:r>
    </w:p>
    <w:p>
      <w:pPr>
        <w:sectPr>
          <w:pgSz w:w="11900" w:h="16838" w:orient="portrait"/>
          <w:cols w:equalWidth="0" w:num="1">
            <w:col w:w="11240"/>
          </w:cols>
          <w:pgMar w:left="320" w:top="927"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31.1</w:t>
      </w:r>
    </w:p>
    <w:p>
      <w:pPr>
        <w:spacing w:after="0" w:line="50"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CERTIFICATION OF JAMES D. TAICLET PURSUANT TO</w:t>
      </w:r>
    </w:p>
    <w:p>
      <w:pPr>
        <w:spacing w:after="0" w:line="31"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James D. Taiclet, certify that:</w:t>
      </w:r>
    </w:p>
    <w:p>
      <w:pPr>
        <w:spacing w:after="0" w:line="225" w:lineRule="exact"/>
        <w:rPr>
          <w:sz w:val="20"/>
          <w:szCs w:val="20"/>
          <w:color w:val="auto"/>
        </w:rPr>
      </w:pPr>
    </w:p>
    <w:p>
      <w:pPr>
        <w:ind w:left="320" w:hanging="312"/>
        <w:spacing w:after="0"/>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Lockheed Martin Corporation;</w:t>
      </w:r>
    </w:p>
    <w:p>
      <w:pPr>
        <w:spacing w:after="0" w:line="225" w:lineRule="exact"/>
        <w:rPr>
          <w:rFonts w:ascii="Arial" w:cs="Arial" w:eastAsia="Arial" w:hAnsi="Arial"/>
          <w:sz w:val="18"/>
          <w:szCs w:val="18"/>
          <w:color w:val="auto"/>
        </w:rPr>
      </w:pPr>
    </w:p>
    <w:p>
      <w:pPr>
        <w:ind w:left="340" w:right="80" w:hanging="332"/>
        <w:spacing w:after="0" w:line="256" w:lineRule="auto"/>
        <w:tabs>
          <w:tab w:leader="none" w:pos="328"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left="340" w:right="120" w:hanging="332"/>
        <w:spacing w:after="0" w:line="291" w:lineRule="auto"/>
        <w:tabs>
          <w:tab w:leader="none" w:pos="328"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340" w:right="140" w:hanging="332"/>
        <w:spacing w:after="0" w:line="265" w:lineRule="auto"/>
        <w:tabs>
          <w:tab w:leader="none" w:pos="328"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225" w:lineRule="exact"/>
        <w:rPr>
          <w:rFonts w:ascii="Arial" w:cs="Arial" w:eastAsia="Arial" w:hAnsi="Arial"/>
          <w:sz w:val="17"/>
          <w:szCs w:val="17"/>
          <w:color w:val="auto"/>
        </w:rPr>
      </w:pPr>
    </w:p>
    <w:p>
      <w:pPr>
        <w:ind w:left="980" w:right="20" w:hanging="324"/>
        <w:spacing w:after="0" w:line="256" w:lineRule="auto"/>
        <w:tabs>
          <w:tab w:leader="none" w:pos="978"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ind w:left="980" w:right="320" w:hanging="324"/>
        <w:spacing w:after="0" w:line="256" w:lineRule="auto"/>
        <w:tabs>
          <w:tab w:leader="none" w:pos="978"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ind w:left="980" w:right="220" w:hanging="324"/>
        <w:spacing w:after="0" w:line="256" w:lineRule="auto"/>
        <w:tabs>
          <w:tab w:leader="none" w:pos="968" w:val="left"/>
        </w:tabs>
        <w:numPr>
          <w:ilvl w:val="1"/>
          <w:numId w:val="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ind w:left="980" w:right="60" w:hanging="324"/>
        <w:spacing w:after="0" w:line="256" w:lineRule="auto"/>
        <w:tabs>
          <w:tab w:leader="none" w:pos="978"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ind w:left="340" w:right="140" w:hanging="332"/>
        <w:spacing w:after="0" w:line="256" w:lineRule="auto"/>
        <w:tabs>
          <w:tab w:leader="none" w:pos="328"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8"/>
          <w:szCs w:val="18"/>
          <w:color w:val="auto"/>
        </w:rPr>
      </w:pPr>
    </w:p>
    <w:p>
      <w:pPr>
        <w:jc w:val="both"/>
        <w:ind w:left="980" w:right="260" w:hanging="324"/>
        <w:spacing w:after="0" w:line="256" w:lineRule="auto"/>
        <w:tabs>
          <w:tab w:leader="none" w:pos="978"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1" w:lineRule="exact"/>
        <w:rPr>
          <w:rFonts w:ascii="Arial" w:cs="Arial" w:eastAsia="Arial" w:hAnsi="Arial"/>
          <w:sz w:val="18"/>
          <w:szCs w:val="18"/>
          <w:color w:val="auto"/>
        </w:rPr>
      </w:pPr>
    </w:p>
    <w:p>
      <w:pPr>
        <w:ind w:left="980" w:right="180" w:hanging="324"/>
        <w:spacing w:after="0" w:line="261" w:lineRule="auto"/>
        <w:tabs>
          <w:tab w:leader="none" w:pos="978"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 James D. Taiclet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6350</wp:posOffset>
            </wp:positionV>
            <wp:extent cx="196278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196278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James D. Taiclet</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Date: October 26, 2021</w:t>
      </w:r>
    </w:p>
    <w:p>
      <w:pPr>
        <w:sectPr>
          <w:pgSz w:w="11900" w:h="16838" w:orient="portrait"/>
          <w:cols w:equalWidth="0" w:num="1">
            <w:col w:w="11240"/>
          </w:cols>
          <w:pgMar w:left="320" w:top="927"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31.2</w:t>
      </w:r>
    </w:p>
    <w:p>
      <w:pPr>
        <w:spacing w:after="0" w:line="50"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CERTIFICATION OF JOHN W. MOLLARD PURSUANT TO</w:t>
      </w:r>
    </w:p>
    <w:p>
      <w:pPr>
        <w:spacing w:after="0" w:line="31"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John W. Mollard, certify that:</w:t>
      </w:r>
    </w:p>
    <w:p>
      <w:pPr>
        <w:spacing w:after="0" w:line="225" w:lineRule="exact"/>
        <w:rPr>
          <w:sz w:val="20"/>
          <w:szCs w:val="20"/>
          <w:color w:val="auto"/>
        </w:rPr>
      </w:pPr>
    </w:p>
    <w:p>
      <w:pPr>
        <w:ind w:left="320" w:hanging="312"/>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Lockheed Martin Corporation;</w:t>
      </w:r>
    </w:p>
    <w:p>
      <w:pPr>
        <w:spacing w:after="0" w:line="225" w:lineRule="exact"/>
        <w:rPr>
          <w:rFonts w:ascii="Arial" w:cs="Arial" w:eastAsia="Arial" w:hAnsi="Arial"/>
          <w:sz w:val="18"/>
          <w:szCs w:val="18"/>
          <w:color w:val="auto"/>
        </w:rPr>
      </w:pPr>
    </w:p>
    <w:p>
      <w:pPr>
        <w:ind w:left="340" w:right="80" w:hanging="332"/>
        <w:spacing w:after="0" w:line="256" w:lineRule="auto"/>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left="340" w:right="120" w:hanging="332"/>
        <w:spacing w:after="0" w:line="291" w:lineRule="auto"/>
        <w:tabs>
          <w:tab w:leader="none" w:pos="328"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340" w:right="140" w:hanging="332"/>
        <w:spacing w:after="0" w:line="265" w:lineRule="auto"/>
        <w:tabs>
          <w:tab w:leader="none" w:pos="328"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225" w:lineRule="exact"/>
        <w:rPr>
          <w:rFonts w:ascii="Arial" w:cs="Arial" w:eastAsia="Arial" w:hAnsi="Arial"/>
          <w:sz w:val="17"/>
          <w:szCs w:val="17"/>
          <w:color w:val="auto"/>
        </w:rPr>
      </w:pPr>
    </w:p>
    <w:p>
      <w:pPr>
        <w:ind w:left="980" w:right="20" w:hanging="324"/>
        <w:spacing w:after="0" w:line="256" w:lineRule="auto"/>
        <w:tabs>
          <w:tab w:leader="none" w:pos="978"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ind w:left="980" w:right="320" w:hanging="324"/>
        <w:spacing w:after="0" w:line="256" w:lineRule="auto"/>
        <w:tabs>
          <w:tab w:leader="none" w:pos="978"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ind w:left="980" w:right="220" w:hanging="324"/>
        <w:spacing w:after="0" w:line="256" w:lineRule="auto"/>
        <w:tabs>
          <w:tab w:leader="none" w:pos="968" w:val="left"/>
        </w:tabs>
        <w:numPr>
          <w:ilvl w:val="1"/>
          <w:numId w:val="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ind w:left="980" w:right="60" w:hanging="324"/>
        <w:spacing w:after="0" w:line="256" w:lineRule="auto"/>
        <w:tabs>
          <w:tab w:leader="none" w:pos="978"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ind w:left="340" w:right="140" w:hanging="332"/>
        <w:spacing w:after="0" w:line="256" w:lineRule="auto"/>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8"/>
          <w:szCs w:val="18"/>
          <w:color w:val="auto"/>
        </w:rPr>
      </w:pPr>
    </w:p>
    <w:p>
      <w:pPr>
        <w:jc w:val="both"/>
        <w:ind w:left="980" w:right="260" w:hanging="324"/>
        <w:spacing w:after="0" w:line="256" w:lineRule="auto"/>
        <w:tabs>
          <w:tab w:leader="none" w:pos="978"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1" w:lineRule="exact"/>
        <w:rPr>
          <w:rFonts w:ascii="Arial" w:cs="Arial" w:eastAsia="Arial" w:hAnsi="Arial"/>
          <w:sz w:val="18"/>
          <w:szCs w:val="18"/>
          <w:color w:val="auto"/>
        </w:rPr>
      </w:pPr>
    </w:p>
    <w:p>
      <w:pPr>
        <w:ind w:left="980" w:right="180" w:hanging="324"/>
        <w:spacing w:after="0" w:line="261" w:lineRule="auto"/>
        <w:tabs>
          <w:tab w:leader="none" w:pos="978"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/s/ John W. Mollard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6350</wp:posOffset>
            </wp:positionV>
            <wp:extent cx="179133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1791335" cy="8890"/>
                    </a:xfrm>
                    <a:prstGeom prst="rect">
                      <a:avLst/>
                    </a:prstGeom>
                    <a:noFill/>
                  </pic:spPr>
                </pic:pic>
              </a:graphicData>
            </a:graphic>
          </wp:anchor>
        </w:drawing>
      </w:r>
    </w:p>
    <w:p>
      <w:pPr>
        <w:spacing w:after="0" w:line="232"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John W. Mollard</w:t>
      </w:r>
    </w:p>
    <w:p>
      <w:pPr>
        <w:spacing w:after="0" w:line="23"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Acting Chief Financial Officer</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Date: October 26, 2021</w:t>
      </w:r>
    </w:p>
    <w:p>
      <w:pPr>
        <w:sectPr>
          <w:pgSz w:w="11900" w:h="16838" w:orient="portrait"/>
          <w:cols w:equalWidth="0" w:num="1">
            <w:col w:w="11240"/>
          </w:cols>
          <w:pgMar w:left="320" w:top="927" w:right="339" w:bottom="1440" w:gutter="0" w:footer="0" w:header="0"/>
        </w:sectPr>
      </w:pPr>
    </w:p>
    <w:bookmarkStart w:id="60" w:name="page61"/>
    <w:bookmarkEnd w:id="60"/>
    <w:p>
      <w:pPr>
        <w:ind w:left="10400"/>
        <w:spacing w:after="0"/>
        <w:rPr>
          <w:sz w:val="20"/>
          <w:szCs w:val="20"/>
          <w:color w:val="auto"/>
        </w:rPr>
      </w:pPr>
      <w:r>
        <w:rPr>
          <w:rFonts w:ascii="Arial" w:cs="Arial" w:eastAsia="Arial" w:hAnsi="Arial"/>
          <w:sz w:val="17"/>
          <w:szCs w:val="17"/>
          <w:b w:val="1"/>
          <w:bCs w:val="1"/>
          <w:color w:val="auto"/>
        </w:rPr>
        <w:t>Exhibit 32</w:t>
      </w:r>
    </w:p>
    <w:p>
      <w:pPr>
        <w:spacing w:after="0" w:line="237" w:lineRule="exact"/>
        <w:rPr>
          <w:sz w:val="20"/>
          <w:szCs w:val="20"/>
          <w:color w:val="auto"/>
        </w:rPr>
      </w:pPr>
    </w:p>
    <w:p>
      <w:pPr>
        <w:jc w:val="center"/>
        <w:spacing w:after="0" w:line="287" w:lineRule="auto"/>
        <w:rPr>
          <w:sz w:val="20"/>
          <w:szCs w:val="20"/>
          <w:color w:val="auto"/>
        </w:rPr>
      </w:pPr>
      <w:r>
        <w:rPr>
          <w:rFonts w:ascii="Arial" w:cs="Arial" w:eastAsia="Arial" w:hAnsi="Arial"/>
          <w:sz w:val="18"/>
          <w:szCs w:val="18"/>
          <w:b w:val="1"/>
          <w:bCs w:val="1"/>
          <w:color w:val="auto"/>
        </w:rPr>
        <w:t>CERTIFICATION OF JAMES D. TAICLET AND JOHN W. MOLLARD PURSUANT TO 18 U.S.C. SECTION 1350, AS ADOPTED PURSUANT TO SECTION 906 OF THE SARBANES-OXLEY ACT OF 2002</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connection with the Quarterly Report of Lockheed Martin Corporation (the “Corporation”) on Form 10-Q for the quarter ended September 26, 2021, as filed with the U.S. Securities and Exchange Commission on the date hereof (the “Report”), I, James D. Taiclet, Chief Executive Officer of the Corporation, and I, John W. Mollard, Acting Chief Financial Officer of the Corporation, each certify, pursuant to 18 U.S.C. Section 1350, as adopted pursuant to Section 906 of the Sarbanes-Oxley Act of 2002, that to my knowledge:</w:t>
      </w:r>
    </w:p>
    <w:p>
      <w:pPr>
        <w:spacing w:after="0" w:line="204" w:lineRule="exact"/>
        <w:rPr>
          <w:sz w:val="20"/>
          <w:szCs w:val="20"/>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 w:lineRule="exact"/>
        <w:rPr>
          <w:rFonts w:ascii="Arial" w:cs="Arial" w:eastAsia="Arial" w:hAnsi="Arial"/>
          <w:sz w:val="18"/>
          <w:szCs w:val="18"/>
          <w:color w:val="auto"/>
        </w:rPr>
      </w:pPr>
    </w:p>
    <w:p>
      <w:pPr>
        <w:ind w:left="980" w:hanging="486"/>
        <w:spacing w:after="0" w:line="261" w:lineRule="auto"/>
        <w:tabs>
          <w:tab w:leader="none" w:pos="97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Corporation.</w:t>
      </w:r>
    </w:p>
    <w:p>
      <w:pPr>
        <w:spacing w:after="0" w:line="200" w:lineRule="exact"/>
        <w:rPr>
          <w:sz w:val="20"/>
          <w:szCs w:val="20"/>
          <w:color w:val="auto"/>
        </w:rPr>
      </w:pPr>
    </w:p>
    <w:p>
      <w:pPr>
        <w:spacing w:after="0" w:line="335"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/s/ James D. Taiclet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6350</wp:posOffset>
            </wp:positionV>
            <wp:extent cx="232283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spacing w:after="0" w:line="16"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James D. Taiclet</w:t>
      </w:r>
    </w:p>
    <w:p>
      <w:pPr>
        <w:spacing w:after="0" w:line="2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Chief Executive Officer</w:t>
      </w:r>
    </w:p>
    <w:p>
      <w:pPr>
        <w:spacing w:after="0" w:line="29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/s/ John W. Mollard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6350</wp:posOffset>
            </wp:positionV>
            <wp:extent cx="232283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2322830" cy="8255"/>
                    </a:xfrm>
                    <a:prstGeom prst="rect">
                      <a:avLst/>
                    </a:prstGeom>
                    <a:noFill/>
                  </pic:spPr>
                </pic:pic>
              </a:graphicData>
            </a:graphic>
          </wp:anchor>
        </w:drawing>
      </w:r>
    </w:p>
    <w:p>
      <w:pPr>
        <w:spacing w:after="0" w:line="232"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John W. Mollard</w:t>
      </w:r>
    </w:p>
    <w:p>
      <w:pPr>
        <w:spacing w:after="0" w:line="2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Acting Chief Financial Officer</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Date: October 26, 2021</w:t>
      </w:r>
    </w:p>
    <w:sectPr>
      <w:pgSz w:w="11900" w:h="16838" w:orient="portrait"/>
      <w:cols w:equalWidth="0" w:num="1">
        <w:col w:w="11240"/>
      </w:cols>
      <w:pgMar w:left="320" w:top="8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lowerLetter"/>
      <w:start w:val="1"/>
    </w:lvl>
  </w:abstractNum>
  <w:abstractNum w:abstractNumId="3">
    <w:nsid w:val="1F16E9E8"/>
    <w:multiLevelType w:val="hybridMultilevel"/>
    <w:lvl w:ilvl="0">
      <w:lvlJc w:val="left"/>
      <w:lvlText w:val="(%1)"/>
      <w:numFmt w:val="lowerLetter"/>
      <w:start w:val="1"/>
    </w:lvl>
  </w:abstractNum>
  <w:abstractNum w:abstractNumId="4">
    <w:nsid w:val="1190CDE7"/>
    <w:multiLevelType w:val="hybridMultilevel"/>
    <w:lvl w:ilvl="0">
      <w:lvlJc w:val="left"/>
      <w:lvlText w:val="(%1)"/>
      <w:numFmt w:val="lowerLetter"/>
      <w:start w:val="1"/>
    </w:lvl>
  </w:abstractNum>
  <w:abstractNum w:abstractNumId="5">
    <w:nsid w:val="66EF438D"/>
    <w:multiLevelType w:val="hybridMultilevel"/>
    <w:lvl w:ilvl="0">
      <w:lvlJc w:val="left"/>
      <w:lvlText w:val="(%1)"/>
      <w:numFmt w:val="lowerLetter"/>
      <w:start w:val="1"/>
    </w:lvl>
  </w:abstractNum>
  <w:abstractNum w:abstractNumId="6">
    <w:nsid w:val="140E0F76"/>
    <w:multiLevelType w:val="hybridMultilevel"/>
    <w:lvl w:ilvl="0">
      <w:lvlJc w:val="left"/>
      <w:lvlText w:val="(%1)"/>
      <w:numFmt w:val="lowerLetter"/>
      <w:start w:val="1"/>
    </w:lvl>
  </w:abstractNum>
  <w:abstractNum w:abstractNumId="7">
    <w:nsid w:val="3352255A"/>
    <w:multiLevelType w:val="hybridMultilevel"/>
    <w:lvl w:ilvl="0">
      <w:lvlJc w:val="left"/>
      <w:lvlText w:val="(%1)"/>
      <w:numFmt w:val="lowerLetter"/>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1)"/>
      <w:numFmt w:val="lowerLetter"/>
      <w:start w:val="1"/>
    </w:lvl>
  </w:abstractNum>
  <w:abstractNum w:abstractNumId="11">
    <w:nsid w:val="1BEFD79F"/>
    <w:multiLevelType w:val="hybridMultilevel"/>
    <w:lvl w:ilvl="0">
      <w:lvlJc w:val="left"/>
      <w:lvlText w:val="%1"/>
      <w:numFmt w:val="decimal"/>
      <w:start w:val="15"/>
    </w:lvl>
  </w:abstractNum>
  <w:abstractNum w:abstractNumId="12">
    <w:nsid w:val="41A7C4C9"/>
    <w:multiLevelType w:val="hybridMultilevel"/>
    <w:lvl w:ilvl="0">
      <w:lvlJc w:val="left"/>
      <w:lvlText w:val="%1"/>
      <w:numFmt w:val="decimal"/>
      <w:start w:val="32"/>
    </w:lvl>
  </w:abstractNum>
  <w:abstractNum w:abstractNumId="13">
    <w:nsid w:val="6B68079A"/>
    <w:multiLevelType w:val="hybridMultilevel"/>
    <w:lvl w:ilvl="0">
      <w:lvlJc w:val="left"/>
      <w:lvlText w:val="%1"/>
      <w:numFmt w:val="decimal"/>
      <w:start w:val="104"/>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0" Type="http://schemas.openxmlformats.org/officeDocument/2006/relationships/hyperlink" Target="https://www.sec.gov/Archives/edgar/data/936468/000093646821000086/lmt-revolvingcreditagreem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2021-10-26T15:37:34Z</dcterms:created>
  <dcterms:modified xsi:type="dcterms:W3CDTF">2021-10-26T15:37:34Z</dcterms:modified>
</cp:coreProperties>
</file>