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62230</wp:posOffset>
            </wp:positionV>
            <wp:extent cx="137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84455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8"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QUARTERLY REPORT PURSUANT TO SECTION 13 OR 15(d) OF THE SECURITIES EXCHANGE ACT OF 1934</w:t>
      </w:r>
    </w:p>
    <w:p>
      <w:pPr>
        <w:spacing w:after="0" w:line="88"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For the quarterly period ended June 26, 2022</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6" w:lineRule="exact"/>
        <w:rPr>
          <w:sz w:val="24"/>
          <w:szCs w:val="24"/>
          <w:color w:val="auto"/>
        </w:rPr>
      </w:pPr>
    </w:p>
    <w:p>
      <w:pPr>
        <w:ind w:left="3820" w:right="2200" w:hanging="3751"/>
        <w:spacing w:after="0" w:line="464" w:lineRule="auto"/>
        <w:tabs>
          <w:tab w:leader="none" w:pos="315" w:val="left"/>
        </w:tabs>
        <w:numPr>
          <w:ilvl w:val="0"/>
          <w:numId w:val="2"/>
        </w:numPr>
        <w:rPr>
          <w:rFonts w:ascii="MS PGothic" w:cs="MS PGothic" w:eastAsia="MS PGothic" w:hAnsi="MS PGothic"/>
          <w:sz w:val="18"/>
          <w:szCs w:val="18"/>
          <w:color w:val="auto"/>
        </w:rPr>
      </w:pPr>
      <w:r>
        <w:rPr>
          <w:rFonts w:ascii="Arial" w:cs="Arial" w:eastAsia="Arial" w:hAnsi="Arial"/>
          <w:sz w:val="17"/>
          <w:szCs w:val="17"/>
          <w:color w:val="auto"/>
        </w:rPr>
        <w:t>TRANSITION REPORT PURSUANT TO SECTION 13 OR 15(d) OF THE SECURITIES EXCHANGE ACT OF 1934 For the transition period from ______ to 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39370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LOCKHEED MARTIN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Maryland</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879"/>
              <w:spacing w:after="0"/>
              <w:rPr>
                <w:sz w:val="20"/>
                <w:szCs w:val="20"/>
                <w:color w:val="auto"/>
              </w:rPr>
            </w:pPr>
            <w:r>
              <w:rPr>
                <w:rFonts w:ascii="Arial" w:cs="Arial" w:eastAsia="Arial" w:hAnsi="Arial"/>
                <w:sz w:val="16"/>
                <w:szCs w:val="16"/>
                <w:b w:val="1"/>
                <w:bCs w:val="1"/>
                <w:color w:val="auto"/>
              </w:rPr>
              <w:t>52-1893632</w:t>
            </w:r>
          </w:p>
        </w:tc>
      </w:tr>
      <w:tr>
        <w:trPr>
          <w:trHeight w:val="163"/>
        </w:trPr>
        <w:tc>
          <w:tcPr>
            <w:tcW w:w="3380" w:type="dxa"/>
            <w:vAlign w:val="bottom"/>
            <w:gridSpan w:val="4"/>
          </w:tcPr>
          <w:p>
            <w:pPr>
              <w:jc w:val="center"/>
              <w:ind w:left="899"/>
              <w:spacing w:after="0" w:line="163" w:lineRule="exact"/>
              <w:rPr>
                <w:sz w:val="20"/>
                <w:szCs w:val="20"/>
                <w:color w:val="auto"/>
              </w:rPr>
            </w:pPr>
            <w:r>
              <w:rPr>
                <w:rFonts w:ascii="Arial" w:cs="Arial" w:eastAsia="Arial" w:hAnsi="Arial"/>
                <w:sz w:val="16"/>
                <w:szCs w:val="16"/>
                <w:color w:val="auto"/>
              </w:rPr>
              <w:t>(State or other jurisdiction of</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Pr>
          <w:p>
            <w:pPr>
              <w:jc w:val="center"/>
              <w:ind w:left="339"/>
              <w:spacing w:after="0" w:line="163"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3380" w:type="dxa"/>
            <w:vAlign w:val="bottom"/>
            <w:gridSpan w:val="4"/>
          </w:tcPr>
          <w:p>
            <w:pPr>
              <w:jc w:val="center"/>
              <w:ind w:left="899"/>
              <w:spacing w:after="0"/>
              <w:rPr>
                <w:sz w:val="20"/>
                <w:szCs w:val="20"/>
                <w:color w:val="auto"/>
              </w:rPr>
            </w:pPr>
            <w:r>
              <w:rPr>
                <w:rFonts w:ascii="Arial" w:cs="Arial" w:eastAsia="Arial" w:hAnsi="Arial"/>
                <w:sz w:val="16"/>
                <w:szCs w:val="16"/>
                <w:color w:val="auto"/>
              </w:rPr>
              <w:t>incorporation or organization)</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65"/>
        </w:trPr>
        <w:tc>
          <w:tcPr>
            <w:tcW w:w="2240" w:type="dxa"/>
            <w:vAlign w:val="bottom"/>
            <w:gridSpan w:val="2"/>
          </w:tcPr>
          <w:p>
            <w:pPr>
              <w:ind w:left="300"/>
              <w:spacing w:after="0"/>
              <w:rPr>
                <w:sz w:val="20"/>
                <w:szCs w:val="20"/>
                <w:color w:val="auto"/>
              </w:rPr>
            </w:pPr>
            <w:r>
              <w:rPr>
                <w:rFonts w:ascii="Arial" w:cs="Arial" w:eastAsia="Arial" w:hAnsi="Arial"/>
                <w:sz w:val="16"/>
                <w:szCs w:val="16"/>
                <w:b w:val="1"/>
                <w:bCs w:val="1"/>
                <w:color w:val="auto"/>
              </w:rPr>
              <w:t>6801 Rockledge Drive,</w:t>
            </w:r>
          </w:p>
        </w:tc>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Bethesda,</w:t>
            </w:r>
          </w:p>
        </w:tc>
        <w:tc>
          <w:tcPr>
            <w:tcW w:w="4200" w:type="dxa"/>
            <w:vAlign w:val="bottom"/>
            <w:gridSpan w:val="5"/>
          </w:tcPr>
          <w:p>
            <w:pPr>
              <w:ind w:left="140"/>
              <w:spacing w:after="0"/>
              <w:rPr>
                <w:sz w:val="20"/>
                <w:szCs w:val="20"/>
                <w:color w:val="auto"/>
              </w:rPr>
            </w:pPr>
            <w:r>
              <w:rPr>
                <w:rFonts w:ascii="Arial" w:cs="Arial" w:eastAsia="Arial" w:hAnsi="Arial"/>
                <w:sz w:val="16"/>
                <w:szCs w:val="16"/>
                <w:b w:val="1"/>
                <w:bCs w:val="1"/>
                <w:color w:val="auto"/>
              </w:rPr>
              <w:t>Maryland</w:t>
            </w:r>
          </w:p>
        </w:tc>
        <w:tc>
          <w:tcPr>
            <w:tcW w:w="3200" w:type="dxa"/>
            <w:vAlign w:val="bottom"/>
          </w:tcPr>
          <w:p>
            <w:pPr>
              <w:jc w:val="right"/>
              <w:ind w:right="1079"/>
              <w:spacing w:after="0"/>
              <w:rPr>
                <w:sz w:val="20"/>
                <w:szCs w:val="20"/>
                <w:color w:val="auto"/>
              </w:rPr>
            </w:pPr>
            <w:r>
              <w:rPr>
                <w:rFonts w:ascii="Arial" w:cs="Arial" w:eastAsia="Arial" w:hAnsi="Arial"/>
                <w:sz w:val="16"/>
                <w:szCs w:val="16"/>
                <w:b w:val="1"/>
                <w:bCs w:val="1"/>
                <w:color w:val="auto"/>
              </w:rPr>
              <w:t>20817</w:t>
            </w:r>
          </w:p>
        </w:tc>
      </w:tr>
      <w:tr>
        <w:trPr>
          <w:trHeight w:val="215"/>
        </w:trPr>
        <w:tc>
          <w:tcPr>
            <w:tcW w:w="7580" w:type="dxa"/>
            <w:vAlign w:val="bottom"/>
            <w:gridSpan w:val="9"/>
          </w:tcPr>
          <w:p>
            <w:pPr>
              <w:jc w:val="center"/>
              <w:ind w:right="3220"/>
              <w:spacing w:after="0"/>
              <w:rPr>
                <w:sz w:val="20"/>
                <w:szCs w:val="20"/>
                <w:color w:val="auto"/>
              </w:rPr>
            </w:pPr>
            <w:r>
              <w:rPr>
                <w:rFonts w:ascii="Arial" w:cs="Arial" w:eastAsia="Arial" w:hAnsi="Arial"/>
                <w:sz w:val="16"/>
                <w:szCs w:val="16"/>
                <w:color w:val="auto"/>
              </w:rPr>
              <w:t>(Address of principal executive offices)</w:t>
            </w:r>
          </w:p>
        </w:tc>
        <w:tc>
          <w:tcPr>
            <w:tcW w:w="3200" w:type="dxa"/>
            <w:vAlign w:val="bottom"/>
          </w:tcPr>
          <w:p>
            <w:pPr>
              <w:jc w:val="center"/>
              <w:ind w:left="339"/>
              <w:spacing w:after="0"/>
              <w:rPr>
                <w:sz w:val="20"/>
                <w:szCs w:val="20"/>
                <w:color w:val="auto"/>
              </w:rPr>
            </w:pPr>
            <w:r>
              <w:rPr>
                <w:rFonts w:ascii="Arial" w:cs="Arial" w:eastAsia="Arial" w:hAnsi="Arial"/>
                <w:sz w:val="16"/>
                <w:szCs w:val="16"/>
                <w:color w:val="auto"/>
              </w:rPr>
              <w:t>(Zip Code)</w:t>
            </w:r>
          </w:p>
        </w:tc>
      </w:tr>
      <w:tr>
        <w:trPr>
          <w:trHeight w:val="379"/>
        </w:trPr>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gridSpan w:val="4"/>
          </w:tcPr>
          <w:p>
            <w:pPr>
              <w:jc w:val="center"/>
              <w:ind w:left="1059"/>
              <w:spacing w:after="0"/>
              <w:rPr>
                <w:sz w:val="20"/>
                <w:szCs w:val="20"/>
                <w:color w:val="auto"/>
              </w:rPr>
            </w:pPr>
            <w:r>
              <w:rPr>
                <w:rFonts w:ascii="Arial" w:cs="Arial" w:eastAsia="Arial" w:hAnsi="Arial"/>
                <w:sz w:val="16"/>
                <w:szCs w:val="16"/>
                <w:b w:val="1"/>
                <w:bCs w:val="1"/>
                <w:color w:val="auto"/>
              </w:rPr>
              <w:t>(301) 897-6000</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5"/>
        </w:trPr>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0" w:type="dxa"/>
            <w:vAlign w:val="bottom"/>
            <w:gridSpan w:val="5"/>
          </w:tcPr>
          <w:p>
            <w:pPr>
              <w:jc w:val="center"/>
              <w:ind w:left="179"/>
              <w:spacing w:after="0"/>
              <w:rPr>
                <w:sz w:val="20"/>
                <w:szCs w:val="20"/>
                <w:color w:val="auto"/>
              </w:rPr>
            </w:pPr>
            <w:r>
              <w:rPr>
                <w:rFonts w:ascii="Arial" w:cs="Arial" w:eastAsia="Arial" w:hAnsi="Arial"/>
                <w:sz w:val="16"/>
                <w:szCs w:val="16"/>
                <w:color w:val="auto"/>
              </w:rPr>
              <w:t>(Registrant’s telephone number, including area code)</w:t>
            </w:r>
          </w:p>
        </w:tc>
        <w:tc>
          <w:tcPr>
            <w:tcW w:w="3200" w:type="dxa"/>
            <w:vAlign w:val="bottom"/>
          </w:tcPr>
          <w:p>
            <w:pPr>
              <w:spacing w:after="0"/>
              <w:rPr>
                <w:sz w:val="18"/>
                <w:szCs w:val="18"/>
                <w:color w:val="auto"/>
              </w:rPr>
            </w:pPr>
          </w:p>
        </w:tc>
      </w:tr>
      <w:tr>
        <w:trPr>
          <w:trHeight w:val="56"/>
        </w:trPr>
        <w:tc>
          <w:tcPr>
            <w:tcW w:w="142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410"/>
        </w:trPr>
        <w:tc>
          <w:tcPr>
            <w:tcW w:w="7580" w:type="dxa"/>
            <w:vAlign w:val="bottom"/>
            <w:gridSpan w:val="9"/>
          </w:tcPr>
          <w:p>
            <w:pPr>
              <w:jc w:val="center"/>
              <w:ind w:right="3460"/>
              <w:spacing w:after="0"/>
              <w:rPr>
                <w:sz w:val="20"/>
                <w:szCs w:val="20"/>
                <w:color w:val="auto"/>
              </w:rPr>
            </w:pPr>
            <w:r>
              <w:rPr>
                <w:rFonts w:ascii="Arial" w:cs="Arial" w:eastAsia="Arial" w:hAnsi="Arial"/>
                <w:sz w:val="16"/>
                <w:szCs w:val="16"/>
                <w:color w:val="auto"/>
              </w:rPr>
              <w:t>Securities registered pursuant to Section 12(b) of the Act:</w:t>
            </w:r>
          </w:p>
        </w:tc>
        <w:tc>
          <w:tcPr>
            <w:tcW w:w="3200" w:type="dxa"/>
            <w:vAlign w:val="bottom"/>
          </w:tcPr>
          <w:p>
            <w:pPr>
              <w:spacing w:after="0"/>
              <w:rPr>
                <w:sz w:val="24"/>
                <w:szCs w:val="24"/>
                <w:color w:val="auto"/>
              </w:rPr>
            </w:pPr>
          </w:p>
        </w:tc>
      </w:tr>
      <w:tr>
        <w:trPr>
          <w:trHeight w:val="191"/>
        </w:trPr>
        <w:tc>
          <w:tcPr>
            <w:tcW w:w="1420" w:type="dxa"/>
            <w:vAlign w:val="bottom"/>
          </w:tcPr>
          <w:p>
            <w:pPr>
              <w:spacing w:after="0"/>
              <w:rPr>
                <w:sz w:val="16"/>
                <w:szCs w:val="16"/>
                <w:color w:val="auto"/>
              </w:rPr>
            </w:pPr>
          </w:p>
        </w:tc>
        <w:tc>
          <w:tcPr>
            <w:tcW w:w="1960" w:type="dxa"/>
            <w:vAlign w:val="bottom"/>
            <w:gridSpan w:val="3"/>
          </w:tcPr>
          <w:p>
            <w:pPr>
              <w:jc w:val="center"/>
              <w:ind w:right="680"/>
              <w:spacing w:after="0"/>
              <w:rPr>
                <w:sz w:val="20"/>
                <w:szCs w:val="20"/>
                <w:color w:val="auto"/>
              </w:rPr>
            </w:pPr>
            <w:r>
              <w:rPr>
                <w:rFonts w:ascii="Arial" w:cs="Arial" w:eastAsia="Arial" w:hAnsi="Arial"/>
                <w:sz w:val="16"/>
                <w:szCs w:val="16"/>
                <w:color w:val="auto"/>
                <w:w w:val="99"/>
              </w:rPr>
              <w:t>Title of each class</w:t>
            </w:r>
          </w:p>
        </w:tc>
        <w:tc>
          <w:tcPr>
            <w:tcW w:w="1200" w:type="dxa"/>
            <w:vAlign w:val="bottom"/>
          </w:tcPr>
          <w:p>
            <w:pPr>
              <w:spacing w:after="0"/>
              <w:rPr>
                <w:sz w:val="16"/>
                <w:szCs w:val="16"/>
                <w:color w:val="auto"/>
              </w:rPr>
            </w:pPr>
          </w:p>
        </w:tc>
        <w:tc>
          <w:tcPr>
            <w:tcW w:w="3000" w:type="dxa"/>
            <w:vAlign w:val="bottom"/>
            <w:gridSpan w:val="4"/>
          </w:tcPr>
          <w:p>
            <w:pPr>
              <w:jc w:val="center"/>
              <w:ind w:right="940"/>
              <w:spacing w:after="0"/>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5"/>
        </w:trPr>
        <w:tc>
          <w:tcPr>
            <w:tcW w:w="3380" w:type="dxa"/>
            <w:vAlign w:val="bottom"/>
            <w:gridSpan w:val="4"/>
          </w:tcPr>
          <w:p>
            <w:pPr>
              <w:jc w:val="center"/>
              <w:ind w:left="659"/>
              <w:spacing w:after="0"/>
              <w:rPr>
                <w:sz w:val="20"/>
                <w:szCs w:val="20"/>
                <w:color w:val="auto"/>
              </w:rPr>
            </w:pPr>
            <w:r>
              <w:rPr>
                <w:rFonts w:ascii="Arial" w:cs="Arial" w:eastAsia="Arial" w:hAnsi="Arial"/>
                <w:sz w:val="16"/>
                <w:szCs w:val="16"/>
                <w:color w:val="auto"/>
              </w:rPr>
              <w:t>Common Stock, $1 par value</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gridSpan w:val="3"/>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0" w:lineRule="exact"/>
        <w:rPr>
          <w:sz w:val="24"/>
          <w:szCs w:val="24"/>
          <w:color w:val="auto"/>
        </w:rPr>
      </w:pPr>
    </w:p>
    <w:p>
      <w:pPr>
        <w:jc w:val="both"/>
        <w:ind w:right="440"/>
        <w:spacing w:after="0" w:line="20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16" w:lineRule="exact"/>
        <w:rPr>
          <w:sz w:val="24"/>
          <w:szCs w:val="24"/>
          <w:color w:val="auto"/>
        </w:rPr>
      </w:pPr>
    </w:p>
    <w:p>
      <w:pPr>
        <w:ind w:right="46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60"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202" w:lineRule="exact"/>
        <w:rPr>
          <w:sz w:val="24"/>
          <w:szCs w:val="24"/>
          <w:color w:val="auto"/>
        </w:rPr>
      </w:pPr>
    </w:p>
    <w:p>
      <w:pPr>
        <w:ind w:right="120"/>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highlight w:val="black"/>
        </w:rPr>
        <w:t>☐</w:t>
      </w:r>
    </w:p>
    <w:p>
      <w:pPr>
        <w:spacing w:after="0" w:line="83" w:lineRule="exact"/>
        <w:rPr>
          <w:sz w:val="24"/>
          <w:szCs w:val="24"/>
          <w:color w:val="auto"/>
        </w:rPr>
      </w:pPr>
    </w:p>
    <w:p>
      <w:pPr>
        <w:ind w:right="2160"/>
        <w:spacing w:after="0" w:line="30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265,152,217 shares of our common stock, $1 par value per share, outstanding as of July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26, 2022</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of Contents</w:t>
      </w:r>
    </w:p>
    <w:p>
      <w:pPr>
        <w:spacing w:after="0" w:line="32" w:lineRule="exact"/>
        <w:rPr>
          <w:sz w:val="20"/>
          <w:szCs w:val="20"/>
          <w:color w:val="auto"/>
        </w:rPr>
      </w:pPr>
    </w:p>
    <w:p>
      <w:pPr>
        <w:ind w:left="10700"/>
        <w:spacing w:after="0"/>
        <w:rPr>
          <w:sz w:val="20"/>
          <w:szCs w:val="20"/>
          <w:color w:val="auto"/>
        </w:rPr>
      </w:pPr>
      <w:r>
        <w:rPr>
          <w:rFonts w:ascii="Arial" w:cs="Arial" w:eastAsia="Arial" w:hAnsi="Arial"/>
          <w:sz w:val="18"/>
          <w:szCs w:val="18"/>
          <w:b w:val="1"/>
          <w:bCs w:val="1"/>
          <w:color w:val="2C2C2C"/>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17780</wp:posOffset>
            </wp:positionV>
            <wp:extent cx="411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FINANCIAL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888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Consolidated Statements of Earnings for the Quarters and Six Months Ended June 26, 2022 and June 27,</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2C2C2C"/>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Borders>
              <w:top w:val="single" w:sz="8" w:color="0000FF"/>
            </w:tcBorders>
            <w:gridSpan w:val="2"/>
          </w:tcPr>
          <w:p>
            <w:pPr>
              <w:ind w:left="140"/>
              <w:spacing w:after="0" w:line="142" w:lineRule="exact"/>
              <w:rPr>
                <w:sz w:val="20"/>
                <w:szCs w:val="20"/>
                <w:color w:val="auto"/>
              </w:rPr>
            </w:pPr>
            <w:r>
              <w:rPr>
                <w:rFonts w:ascii="Arial" w:cs="Arial" w:eastAsia="Arial" w:hAnsi="Arial"/>
                <w:sz w:val="16"/>
                <w:szCs w:val="16"/>
                <w:color w:val="0000FF"/>
              </w:rPr>
              <w:t>2021</w:t>
            </w: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Consolidated Statements of Comprehensive Income for the Quarters and Six Months Ended June 26, 2022</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2C2C2C"/>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8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and June 27, 2021</w:t>
            </w:r>
          </w:p>
        </w:tc>
        <w:tc>
          <w:tcPr>
            <w:tcW w:w="3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gridSpan w:val="2"/>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Consolidated Balance Sheets as of June 26, 2022 and December 31, 2021</w:t>
            </w:r>
          </w:p>
        </w:tc>
        <w:tc>
          <w:tcPr>
            <w:tcW w:w="620" w:type="dxa"/>
            <w:vAlign w:val="bottom"/>
          </w:tcPr>
          <w:p>
            <w:pPr>
              <w:jc w:val="right"/>
              <w:spacing w:after="0"/>
              <w:rPr>
                <w:sz w:val="20"/>
                <w:szCs w:val="20"/>
                <w:color w:val="auto"/>
              </w:rPr>
            </w:pPr>
            <w:r>
              <w:rPr>
                <w:rFonts w:ascii="Arial" w:cs="Arial" w:eastAsia="Arial" w:hAnsi="Arial"/>
                <w:sz w:val="18"/>
                <w:szCs w:val="18"/>
                <w:color w:val="2C2C2C"/>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9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Consolidated Statements of Cash Flows for the Six Months Ended June 26, 2022 and June 27, 2021</w:t>
            </w:r>
          </w:p>
        </w:tc>
        <w:tc>
          <w:tcPr>
            <w:tcW w:w="900" w:type="dxa"/>
            <w:vAlign w:val="bottom"/>
            <w:gridSpan w:val="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Consolidated Statements of Equity for the Quarters Ended June 26, 2022 and June 27, 2021</w:t>
            </w:r>
          </w:p>
        </w:tc>
        <w:tc>
          <w:tcPr>
            <w:tcW w:w="620" w:type="dxa"/>
            <w:vAlign w:val="bottom"/>
          </w:tcPr>
          <w:p>
            <w:pPr>
              <w:jc w:val="right"/>
              <w:spacing w:after="0"/>
              <w:rPr>
                <w:sz w:val="20"/>
                <w:szCs w:val="20"/>
                <w:color w:val="auto"/>
              </w:rPr>
            </w:pPr>
            <w:r>
              <w:rPr>
                <w:rFonts w:ascii="Arial" w:cs="Arial" w:eastAsia="Arial" w:hAnsi="Arial"/>
                <w:sz w:val="18"/>
                <w:szCs w:val="18"/>
                <w:color w:val="2C2C2C"/>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Consolidated Statements of Equity for the Six Months Ended June 26, 2022 and June 27, 2021</w:t>
            </w:r>
          </w:p>
        </w:tc>
        <w:tc>
          <w:tcPr>
            <w:tcW w:w="1340" w:type="dxa"/>
            <w:vAlign w:val="bottom"/>
            <w:gridSpan w:val="4"/>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Notes to Consolidated Financial Statements</w:t>
            </w:r>
          </w:p>
        </w:tc>
        <w:tc>
          <w:tcPr>
            <w:tcW w:w="5400" w:type="dxa"/>
            <w:vAlign w:val="bottom"/>
            <w:gridSpan w:val="11"/>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5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4300" w:type="dxa"/>
            <w:vAlign w:val="bottom"/>
            <w:gridSpan w:val="10"/>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70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82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3.</w:t>
            </w:r>
          </w:p>
        </w:tc>
        <w:tc>
          <w:tcPr>
            <w:tcW w:w="888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2C2C2C"/>
              </w:rPr>
              <w:t>48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200" w:type="dxa"/>
            <w:vAlign w:val="bottom"/>
            <w:gridSpan w:val="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Arial" w:cs="Arial" w:eastAsia="Arial" w:hAnsi="Arial"/>
                <w:sz w:val="18"/>
                <w:szCs w:val="18"/>
                <w:b w:val="1"/>
                <w:bCs w:val="1"/>
                <w:color w:val="0000FF"/>
              </w:rPr>
              <w:t>PART II. 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88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20" w:type="dxa"/>
            <w:vAlign w:val="bottom"/>
          </w:tcPr>
          <w:p>
            <w:pPr>
              <w:jc w:val="right"/>
              <w:spacing w:after="0"/>
              <w:rPr>
                <w:sz w:val="20"/>
                <w:szCs w:val="20"/>
                <w:color w:val="auto"/>
              </w:rPr>
            </w:pPr>
            <w:r>
              <w:rPr>
                <w:rFonts w:ascii="Arial" w:cs="Arial" w:eastAsia="Arial" w:hAnsi="Arial"/>
                <w:sz w:val="18"/>
                <w:szCs w:val="18"/>
                <w:color w:val="2C2C2C"/>
              </w:rPr>
              <w:t>50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1A.</w:t>
            </w:r>
          </w:p>
        </w:tc>
        <w:tc>
          <w:tcPr>
            <w:tcW w:w="9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5"/>
              </w:rPr>
              <w:t>Risk Factors</w:t>
            </w:r>
          </w:p>
        </w:tc>
        <w:tc>
          <w:tcPr>
            <w:tcW w:w="480" w:type="dxa"/>
            <w:vAlign w:val="bottom"/>
            <w:tcBorders>
              <w:top w:val="single" w:sz="8" w:color="0000FF"/>
            </w:tcBorders>
          </w:tcPr>
          <w:p>
            <w:pPr>
              <w:spacing w:after="0"/>
              <w:rPr>
                <w:sz w:val="22"/>
                <w:szCs w:val="22"/>
                <w:color w:val="auto"/>
              </w:rPr>
            </w:pPr>
          </w:p>
        </w:tc>
        <w:tc>
          <w:tcPr>
            <w:tcW w:w="742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888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2C2C2C"/>
              </w:rPr>
              <w:t>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6.</w:t>
            </w:r>
          </w:p>
        </w:tc>
        <w:tc>
          <w:tcPr>
            <w:tcW w:w="48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Exhibits</w:t>
            </w:r>
          </w:p>
        </w:tc>
        <w:tc>
          <w:tcPr>
            <w:tcW w:w="4060" w:type="dxa"/>
            <w:vAlign w:val="bottom"/>
            <w:gridSpan w:val="8"/>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53</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C2C2C"/>
              </w:rPr>
              <w:t>54</w:t>
            </w:r>
          </w:p>
        </w:tc>
        <w:tc>
          <w:tcPr>
            <w:tcW w:w="0" w:type="dxa"/>
            <w:vAlign w:val="bottom"/>
          </w:tcPr>
          <w:p>
            <w:pPr>
              <w:spacing w:after="0"/>
              <w:rPr>
                <w:sz w:val="1"/>
                <w:szCs w:val="1"/>
                <w:color w:val="auto"/>
              </w:rPr>
            </w:pPr>
          </w:p>
        </w:tc>
      </w:tr>
      <w:tr>
        <w:trPr>
          <w:trHeight w:val="1890"/>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Quarters Ended</w:t>
            </w: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26,</w:t>
            </w:r>
          </w:p>
        </w:tc>
        <w:tc>
          <w:tcPr>
            <w:tcW w:w="660" w:type="dxa"/>
            <w:vAlign w:val="bottom"/>
          </w:tcPr>
          <w:p>
            <w:pPr>
              <w:spacing w:after="0"/>
              <w:rPr>
                <w:sz w:val="14"/>
                <w:szCs w:val="14"/>
                <w:color w:val="auto"/>
              </w:rPr>
            </w:pPr>
          </w:p>
        </w:tc>
        <w:tc>
          <w:tcPr>
            <w:tcW w:w="120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w w:val="99"/>
              </w:rPr>
              <w:t>June 27,</w:t>
            </w:r>
          </w:p>
        </w:tc>
        <w:tc>
          <w:tcPr>
            <w:tcW w:w="70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4"/>
                <w:szCs w:val="14"/>
                <w:color w:val="auto"/>
              </w:rPr>
            </w:pPr>
          </w:p>
        </w:tc>
        <w:tc>
          <w:tcPr>
            <w:tcW w:w="13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4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12,761</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14,258</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25,255</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28,011</w:t>
            </w:r>
          </w:p>
        </w:tc>
      </w:tr>
      <w:tr>
        <w:trPr>
          <w:trHeight w:val="229"/>
        </w:trPr>
        <w:tc>
          <w:tcPr>
            <w:tcW w:w="4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2,685</w:t>
            </w: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2,771</w:t>
            </w: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5,155</w:t>
            </w: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5,276</w:t>
            </w:r>
          </w:p>
        </w:tc>
      </w:tr>
      <w:tr>
        <w:trPr>
          <w:trHeight w:val="223"/>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15,446</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17,029</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30,410</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33,287</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(11,395)</w:t>
            </w:r>
          </w:p>
        </w:tc>
        <w:tc>
          <w:tcPr>
            <w:tcW w:w="66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w w:val="98"/>
              </w:rPr>
              <w:t>(12,866)</w:t>
            </w:r>
          </w:p>
        </w:tc>
        <w:tc>
          <w:tcPr>
            <w:tcW w:w="7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(22,556)</w:t>
            </w:r>
          </w:p>
        </w:tc>
        <w:tc>
          <w:tcPr>
            <w:tcW w:w="52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(25,147)</w:t>
            </w: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(2,362)</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(2,438)</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(4,537)</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(4,668)</w:t>
            </w: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Severance and restructuring charges</w:t>
            </w:r>
          </w:p>
        </w:tc>
        <w:tc>
          <w:tcPr>
            <w:tcW w:w="26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(36)</w:t>
            </w:r>
          </w:p>
        </w:tc>
      </w:tr>
      <w:tr>
        <w:trPr>
          <w:trHeight w:val="230"/>
        </w:trPr>
        <w:tc>
          <w:tcPr>
            <w:tcW w:w="4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unallocated,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267</w:t>
            </w: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426</w:t>
            </w: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548</w:t>
            </w: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901</w:t>
            </w:r>
          </w:p>
        </w:tc>
      </w:tr>
      <w:tr>
        <w:trPr>
          <w:trHeight w:val="223"/>
        </w:trPr>
        <w:tc>
          <w:tcPr>
            <w:tcW w:w="4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(13,490)</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8"/>
              </w:rPr>
              <w:t>(14,878)</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(26,545)</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(28,950)</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1,956</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2,151</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3,865</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4,337</w:t>
            </w:r>
          </w:p>
        </w:tc>
      </w:tr>
      <w:tr>
        <w:trPr>
          <w:trHeight w:val="22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41</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31</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1,963</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2,192</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3,896</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4,374</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(141)</w:t>
            </w:r>
          </w:p>
        </w:tc>
        <w:tc>
          <w:tcPr>
            <w:tcW w:w="66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(142)</w:t>
            </w:r>
          </w:p>
        </w:tc>
        <w:tc>
          <w:tcPr>
            <w:tcW w:w="7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(276)</w:t>
            </w:r>
          </w:p>
        </w:tc>
        <w:tc>
          <w:tcPr>
            <w:tcW w:w="52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(282)</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FAS pension (expense)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(1,331)</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94</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(1,191)</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187</w:t>
            </w: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(expense)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(161)</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26</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(38)</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102</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330</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2,170</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2,391</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4,381</w:t>
            </w: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(355)</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(349)</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(729)</w:t>
            </w:r>
          </w:p>
        </w:tc>
      </w:tr>
      <w:tr>
        <w:trPr>
          <w:trHeight w:val="223"/>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309</w:t>
            </w:r>
          </w:p>
        </w:tc>
        <w:tc>
          <w:tcPr>
            <w:tcW w:w="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1,815</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2,042</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3,652</w:t>
            </w:r>
          </w:p>
        </w:tc>
      </w:tr>
      <w:tr>
        <w:trPr>
          <w:trHeight w:val="237"/>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1.16</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6.54</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7.65</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13.13</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1.16</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6.52</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7.62</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13.08</w:t>
            </w:r>
          </w:p>
        </w:tc>
      </w:tr>
      <w:tr>
        <w:trPr>
          <w:trHeight w:val="256"/>
        </w:trPr>
        <w:tc>
          <w:tcPr>
            <w:tcW w:w="4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dividends paid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2.80</w:t>
            </w:r>
          </w:p>
        </w:tc>
        <w:tc>
          <w:tcPr>
            <w:tcW w:w="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2.60</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5.60</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5.20</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28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rPr>
              <w:t>Lockheed Martin Corporation</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740" w:type="dxa"/>
            <w:vAlign w:val="bottom"/>
            <w:gridSpan w:val="6"/>
          </w:tcPr>
          <w:p>
            <w:pPr>
              <w:jc w:val="center"/>
              <w:ind w:left="163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2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9"/>
              </w:rPr>
              <w:t>(unaudited; in millions)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8"/>
        </w:trPr>
        <w:tc>
          <w:tcPr>
            <w:tcW w:w="1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Quarters Ended</w:t>
            </w: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26,</w:t>
            </w:r>
          </w:p>
        </w:tc>
        <w:tc>
          <w:tcPr>
            <w:tcW w:w="420" w:type="dxa"/>
            <w:vAlign w:val="bottom"/>
          </w:tcPr>
          <w:p>
            <w:pPr>
              <w:spacing w:after="0"/>
              <w:rPr>
                <w:sz w:val="14"/>
                <w:szCs w:val="14"/>
                <w:color w:val="auto"/>
              </w:rPr>
            </w:pPr>
          </w:p>
        </w:tc>
        <w:tc>
          <w:tcPr>
            <w:tcW w:w="118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June 27,</w:t>
            </w:r>
          </w:p>
        </w:tc>
        <w:tc>
          <w:tcPr>
            <w:tcW w:w="300" w:type="dxa"/>
            <w:vAlign w:val="bottom"/>
          </w:tcPr>
          <w:p>
            <w:pPr>
              <w:spacing w:after="0"/>
              <w:rPr>
                <w:sz w:val="14"/>
                <w:szCs w:val="14"/>
                <w:color w:val="auto"/>
              </w:rPr>
            </w:pPr>
          </w:p>
        </w:tc>
        <w:tc>
          <w:tcPr>
            <w:tcW w:w="11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320" w:type="dxa"/>
            <w:vAlign w:val="bottom"/>
          </w:tcPr>
          <w:p>
            <w:pPr>
              <w:spacing w:after="0"/>
              <w:rPr>
                <w:sz w:val="14"/>
                <w:szCs w:val="14"/>
                <w:color w:val="auto"/>
              </w:rPr>
            </w:pPr>
          </w:p>
        </w:tc>
        <w:tc>
          <w:tcPr>
            <w:tcW w:w="13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net of tax</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Postretirement benefit plans</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gridSpan w:val="4"/>
          </w:tcPr>
          <w:p>
            <w:pPr>
              <w:ind w:left="300"/>
              <w:spacing w:after="0" w:line="176" w:lineRule="exact"/>
              <w:rPr>
                <w:sz w:val="20"/>
                <w:szCs w:val="20"/>
                <w:color w:val="auto"/>
              </w:rPr>
            </w:pPr>
            <w:r>
              <w:rPr>
                <w:rFonts w:ascii="Arial" w:cs="Arial" w:eastAsia="Arial" w:hAnsi="Arial"/>
                <w:sz w:val="18"/>
                <w:szCs w:val="18"/>
                <w:color w:val="auto"/>
              </w:rPr>
              <w:t>Net other comprehensive income recognized during the</w:t>
            </w: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1,698</w:t>
            </w:r>
          </w:p>
        </w:tc>
        <w:tc>
          <w:tcPr>
            <w:tcW w:w="4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1,698</w:t>
            </w:r>
          </w:p>
        </w:tc>
        <w:tc>
          <w:tcPr>
            <w:tcW w:w="32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gridSpan w:val="2"/>
          </w:tcPr>
          <w:p>
            <w:pPr>
              <w:ind w:left="300"/>
              <w:spacing w:after="0"/>
              <w:rPr>
                <w:sz w:val="20"/>
                <w:szCs w:val="20"/>
                <w:color w:val="auto"/>
              </w:rPr>
            </w:pPr>
            <w:r>
              <w:rPr>
                <w:rFonts w:ascii="Arial" w:cs="Arial" w:eastAsia="Arial" w:hAnsi="Arial"/>
                <w:sz w:val="18"/>
                <w:szCs w:val="18"/>
                <w:color w:val="auto"/>
              </w:rPr>
              <w:t>period, net of tax of $461 million</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4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Pension settlement charge, net of tax of</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1,156</w:t>
            </w:r>
          </w:p>
        </w:tc>
        <w:tc>
          <w:tcPr>
            <w:tcW w:w="4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1,156</w:t>
            </w:r>
          </w:p>
        </w:tc>
        <w:tc>
          <w:tcPr>
            <w:tcW w:w="32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gridSpan w:val="2"/>
          </w:tcPr>
          <w:p>
            <w:pPr>
              <w:ind w:left="400"/>
              <w:spacing w:after="0"/>
              <w:rPr>
                <w:sz w:val="20"/>
                <w:szCs w:val="20"/>
                <w:color w:val="auto"/>
              </w:rPr>
            </w:pPr>
            <w:r>
              <w:rPr>
                <w:rFonts w:ascii="Arial" w:cs="Arial" w:eastAsia="Arial" w:hAnsi="Arial"/>
                <w:sz w:val="18"/>
                <w:szCs w:val="18"/>
                <w:color w:val="auto"/>
              </w:rPr>
              <w:t>$314 million</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Other comprehensive income, net of tax</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2,811</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2,838</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3,120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2480" w:type="dxa"/>
            <w:vAlign w:val="bottom"/>
          </w:tcPr>
          <w:p>
            <w:pPr>
              <w:spacing w:after="0"/>
              <w:rPr>
                <w:sz w:val="24"/>
                <w:szCs w:val="24"/>
                <w:color w:val="auto"/>
              </w:rPr>
            </w:pPr>
          </w:p>
        </w:tc>
        <w:tc>
          <w:tcPr>
            <w:tcW w:w="4260" w:type="dxa"/>
            <w:vAlign w:val="bottom"/>
          </w:tcPr>
          <w:p>
            <w:pPr>
              <w:jc w:val="right"/>
              <w:ind w:right="1170"/>
              <w:spacing w:after="0"/>
              <w:rPr>
                <w:sz w:val="20"/>
                <w:szCs w:val="20"/>
                <w:color w:val="auto"/>
              </w:rPr>
            </w:pPr>
            <w:r>
              <w:rPr>
                <w:rFonts w:ascii="Arial" w:cs="Arial" w:eastAsia="Arial" w:hAnsi="Arial"/>
                <w:sz w:val="18"/>
                <w:szCs w:val="18"/>
                <w:b w:val="1"/>
                <w:bCs w:val="1"/>
                <w:color w:val="auto"/>
              </w:rPr>
              <w:t>Lockheed Martin Corporation</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60" w:type="dxa"/>
            <w:vAlign w:val="bottom"/>
          </w:tcPr>
          <w:p>
            <w:pPr>
              <w:jc w:val="right"/>
              <w:ind w:right="1170"/>
              <w:spacing w:after="0"/>
              <w:rPr>
                <w:sz w:val="20"/>
                <w:szCs w:val="20"/>
                <w:color w:val="auto"/>
              </w:rPr>
            </w:pPr>
            <w:r>
              <w:rPr>
                <w:rFonts w:ascii="Arial" w:cs="Arial" w:eastAsia="Arial" w:hAnsi="Arial"/>
                <w:sz w:val="18"/>
                <w:szCs w:val="18"/>
                <w:b w:val="1"/>
                <w:bCs w:val="1"/>
                <w:color w:val="auto"/>
              </w:rPr>
              <w:t>Consolidated Balance Sheets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260" w:type="dxa"/>
            <w:vAlign w:val="bottom"/>
          </w:tcPr>
          <w:p>
            <w:pPr>
              <w:jc w:val="right"/>
              <w:ind w:right="1170"/>
              <w:spacing w:after="0"/>
              <w:rPr>
                <w:sz w:val="20"/>
                <w:szCs w:val="20"/>
                <w:color w:val="auto"/>
              </w:rPr>
            </w:pPr>
            <w:r>
              <w:rPr>
                <w:rFonts w:ascii="Arial" w:cs="Arial" w:eastAsia="Arial" w:hAnsi="Arial"/>
                <w:sz w:val="18"/>
                <w:szCs w:val="18"/>
                <w:b w:val="1"/>
                <w:bCs w:val="1"/>
                <w:color w:val="auto"/>
              </w:rPr>
              <w:t>(in millions, except par value)</w:t>
            </w: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91"/>
        </w:trPr>
        <w:tc>
          <w:tcPr>
            <w:tcW w:w="1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80" w:type="dxa"/>
            <w:vAlign w:val="bottom"/>
          </w:tcPr>
          <w:p>
            <w:pPr>
              <w:jc w:val="center"/>
              <w:ind w:right="30"/>
              <w:spacing w:after="0" w:line="190" w:lineRule="exact"/>
              <w:rPr>
                <w:sz w:val="20"/>
                <w:szCs w:val="20"/>
                <w:color w:val="auto"/>
              </w:rPr>
            </w:pPr>
            <w:r>
              <w:rPr>
                <w:rFonts w:ascii="Arial" w:cs="Arial" w:eastAsia="Arial" w:hAnsi="Arial"/>
                <w:sz w:val="18"/>
                <w:szCs w:val="18"/>
                <w:b w:val="1"/>
                <w:bCs w:val="1"/>
                <w:color w:val="auto"/>
                <w:w w:val="99"/>
              </w:rPr>
              <w:t>June 26,</w:t>
            </w:r>
          </w:p>
        </w:tc>
        <w:tc>
          <w:tcPr>
            <w:tcW w:w="380" w:type="dxa"/>
            <w:vAlign w:val="bottom"/>
          </w:tcPr>
          <w:p>
            <w:pPr>
              <w:spacing w:after="0"/>
              <w:rPr>
                <w:sz w:val="16"/>
                <w:szCs w:val="16"/>
                <w:color w:val="auto"/>
              </w:rPr>
            </w:pPr>
          </w:p>
        </w:tc>
        <w:tc>
          <w:tcPr>
            <w:tcW w:w="1440" w:type="dxa"/>
            <w:vAlign w:val="bottom"/>
          </w:tcPr>
          <w:p>
            <w:pPr>
              <w:jc w:val="right"/>
              <w:ind w:right="130"/>
              <w:spacing w:after="0" w:line="190"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14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14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9"/>
              </w:rPr>
              <w:t>(unaudited)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4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1,775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3,604</w:t>
            </w:r>
          </w:p>
        </w:tc>
      </w:tr>
      <w:tr>
        <w:trPr>
          <w:trHeight w:val="23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3,401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1,963</w:t>
            </w:r>
          </w:p>
        </w:tc>
      </w:tr>
      <w:tr>
        <w:trPr>
          <w:trHeight w:val="229"/>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Contract assets</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11,753</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10,579</w:t>
            </w:r>
          </w:p>
        </w:tc>
      </w:tr>
      <w:tr>
        <w:trPr>
          <w:trHeight w:val="229"/>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3,431</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2,981</w:t>
            </w:r>
          </w:p>
        </w:tc>
      </w:tr>
      <w:tr>
        <w:trPr>
          <w:trHeight w:val="230"/>
        </w:trPr>
        <w:tc>
          <w:tcPr>
            <w:tcW w:w="38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assets</w:t>
            </w:r>
          </w:p>
        </w:tc>
        <w:tc>
          <w:tcPr>
            <w:tcW w:w="4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613</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688</w:t>
            </w:r>
          </w:p>
        </w:tc>
      </w:tr>
      <w:tr>
        <w:trPr>
          <w:trHeight w:val="223"/>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20,973</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19,815</w:t>
            </w: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7,569</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7,597</w:t>
            </w: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10,794</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10,813</w:t>
            </w: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2,584</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2,706</w:t>
            </w: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2,680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2,290</w:t>
            </w:r>
          </w:p>
        </w:tc>
      </w:tr>
      <w:tr>
        <w:trPr>
          <w:trHeight w:val="229"/>
        </w:trPr>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4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7,158</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7,652</w:t>
            </w:r>
          </w:p>
        </w:tc>
      </w:tr>
      <w:tr>
        <w:trPr>
          <w:trHeight w:val="223"/>
        </w:trPr>
        <w:tc>
          <w:tcPr>
            <w:tcW w:w="38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51,758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50,873</w:t>
            </w:r>
          </w:p>
        </w:tc>
      </w:tr>
      <w:tr>
        <w:trPr>
          <w:trHeight w:val="223"/>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4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2,309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780</w:t>
            </w:r>
          </w:p>
        </w:tc>
      </w:tr>
      <w:tr>
        <w:trPr>
          <w:trHeight w:val="23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Salaries, benefits and payroll taxes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2,935</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3,108</w:t>
            </w:r>
          </w:p>
        </w:tc>
      </w:tr>
      <w:tr>
        <w:trPr>
          <w:trHeight w:val="229"/>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Contract liabilities</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8,077</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8,107</w:t>
            </w:r>
          </w:p>
        </w:tc>
      </w:tr>
      <w:tr>
        <w:trPr>
          <w:trHeight w:val="230"/>
        </w:trPr>
        <w:tc>
          <w:tcPr>
            <w:tcW w:w="38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4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3,158</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2,002</w:t>
            </w:r>
          </w:p>
        </w:tc>
      </w:tr>
      <w:tr>
        <w:trPr>
          <w:trHeight w:val="223"/>
        </w:trPr>
        <w:tc>
          <w:tcPr>
            <w:tcW w:w="388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16,479</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13,997</w:t>
            </w: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11,644</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11,670</w:t>
            </w: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Accrued pension liabilities</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5,808</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8,319</w:t>
            </w:r>
          </w:p>
        </w:tc>
      </w:tr>
      <w:tr>
        <w:trPr>
          <w:trHeight w:val="230"/>
        </w:trPr>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6,395</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5,928</w:t>
            </w:r>
          </w:p>
        </w:tc>
      </w:tr>
      <w:tr>
        <w:trPr>
          <w:trHeight w:val="223"/>
        </w:trPr>
        <w:tc>
          <w:tcPr>
            <w:tcW w:w="388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40,326</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39,914</w:t>
            </w: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Common stock, $1 par value per share</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264</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271</w:t>
            </w:r>
          </w:p>
        </w:tc>
      </w:tr>
      <w:tr>
        <w:trPr>
          <w:trHeight w:val="23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w:t>
            </w:r>
          </w:p>
        </w:tc>
      </w:tr>
      <w:tr>
        <w:trPr>
          <w:trHeight w:val="229"/>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426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19,336</w:t>
            </w:r>
          </w:p>
        </w:tc>
        <w:tc>
          <w:tcPr>
            <w:tcW w:w="3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21,600</w:t>
            </w:r>
          </w:p>
        </w:tc>
      </w:tr>
      <w:tr>
        <w:trPr>
          <w:trHeight w:val="230"/>
        </w:trPr>
        <w:tc>
          <w:tcPr>
            <w:tcW w:w="388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4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rPr>
              <w:t>(8,168)</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(11,006)</w:t>
            </w:r>
          </w:p>
        </w:tc>
      </w:tr>
      <w:tr>
        <w:trPr>
          <w:trHeight w:val="223"/>
        </w:trPr>
        <w:tc>
          <w:tcPr>
            <w:tcW w:w="38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Total stockholders’ equity</w:t>
            </w:r>
          </w:p>
        </w:tc>
        <w:tc>
          <w:tcPr>
            <w:tcW w:w="4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11,432</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10,959</w:t>
            </w:r>
          </w:p>
        </w:tc>
      </w:tr>
      <w:tr>
        <w:trPr>
          <w:trHeight w:val="230"/>
        </w:trPr>
        <w:tc>
          <w:tcPr>
            <w:tcW w:w="38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4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51,758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50,873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rPr>
              <w:t>Lockheed Martin Corporation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(unaudited; in millions)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5"/>
        </w:trPr>
        <w:tc>
          <w:tcPr>
            <w:tcW w:w="140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1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26,</w:t>
            </w:r>
          </w:p>
        </w:tc>
        <w:tc>
          <w:tcPr>
            <w:tcW w:w="540" w:type="dxa"/>
            <w:vAlign w:val="bottom"/>
          </w:tcPr>
          <w:p>
            <w:pPr>
              <w:spacing w:after="0"/>
              <w:rPr>
                <w:sz w:val="14"/>
                <w:szCs w:val="14"/>
                <w:color w:val="auto"/>
              </w:rPr>
            </w:pPr>
          </w:p>
        </w:tc>
        <w:tc>
          <w:tcPr>
            <w:tcW w:w="13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140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2,042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3,652</w:t>
            </w: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672</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670</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134</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127</w:t>
            </w:r>
          </w:p>
        </w:tc>
      </w:tr>
      <w:tr>
        <w:trPr>
          <w:trHeight w:val="230"/>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(1,172)</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24</w:t>
            </w:r>
          </w:p>
        </w:tc>
      </w:tr>
      <w:tr>
        <w:trPr>
          <w:trHeight w:val="229"/>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Pension settlement charge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1,470</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Severance and restructuring charges</w:t>
            </w:r>
          </w:p>
        </w:tc>
        <w:tc>
          <w:tcPr>
            <w:tcW w:w="2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36</w:t>
            </w:r>
          </w:p>
        </w:tc>
      </w:tr>
      <w:tr>
        <w:trPr>
          <w:trHeight w:val="230"/>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(1,438)</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(633)</w:t>
            </w:r>
          </w:p>
        </w:tc>
      </w:tr>
      <w:tr>
        <w:trPr>
          <w:trHeight w:val="230"/>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(1,174)</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(1,880)</w:t>
            </w:r>
          </w:p>
        </w:tc>
      </w:tr>
      <w:tr>
        <w:trPr>
          <w:trHeight w:val="229"/>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(450)</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426</w:t>
            </w:r>
          </w:p>
        </w:tc>
      </w:tr>
      <w:tr>
        <w:trPr>
          <w:trHeight w:val="229"/>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1,522</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743</w:t>
            </w:r>
          </w:p>
        </w:tc>
      </w:tr>
      <w:tr>
        <w:trPr>
          <w:trHeight w:val="230"/>
        </w:trPr>
        <w:tc>
          <w:tcPr>
            <w:tcW w:w="7940" w:type="dxa"/>
            <w:vAlign w:val="bottom"/>
            <w:gridSpan w:val="2"/>
          </w:tcPr>
          <w:p>
            <w:pPr>
              <w:ind w:left="68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(166)</w:t>
            </w:r>
          </w:p>
        </w:tc>
      </w:tr>
      <w:tr>
        <w:trPr>
          <w:trHeight w:val="229"/>
        </w:trPr>
        <w:tc>
          <w:tcPr>
            <w:tcW w:w="7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1,065</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w:t>
            </w:r>
          </w:p>
        </w:tc>
      </w:tr>
      <w:tr>
        <w:trPr>
          <w:trHeight w:val="230"/>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Qualified defined benefit pension plans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(231)</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(133)</w:t>
            </w:r>
          </w:p>
        </w:tc>
      </w:tr>
      <w:tr>
        <w:trPr>
          <w:trHeight w:val="229"/>
        </w:trPr>
        <w:tc>
          <w:tcPr>
            <w:tcW w:w="79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331</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117</w:t>
            </w:r>
          </w:p>
        </w:tc>
      </w:tr>
      <w:tr>
        <w:trPr>
          <w:trHeight w:val="223"/>
        </w:trPr>
        <w:tc>
          <w:tcPr>
            <w:tcW w:w="7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2,741</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3,016</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(572)</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(599)</w:t>
            </w:r>
          </w:p>
        </w:tc>
      </w:tr>
      <w:tr>
        <w:trPr>
          <w:trHeight w:val="230"/>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210</w:t>
            </w:r>
          </w:p>
        </w:tc>
      </w:tr>
      <w:tr>
        <w:trPr>
          <w:trHeight w:val="223"/>
        </w:trPr>
        <w:tc>
          <w:tcPr>
            <w:tcW w:w="79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(583)</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(389)</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Issuance of long-term debt, net of related costs</w:t>
            </w:r>
          </w:p>
        </w:tc>
        <w:tc>
          <w:tcPr>
            <w:tcW w:w="2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2,267</w:t>
            </w:r>
          </w:p>
        </w:tc>
        <w:tc>
          <w:tcPr>
            <w:tcW w:w="54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(2,250)</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(2,356)</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(1,500)</w:t>
            </w: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(1,511)</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(1,460)</w:t>
            </w:r>
          </w:p>
        </w:tc>
      </w:tr>
      <w:tr>
        <w:trPr>
          <w:trHeight w:val="230"/>
        </w:trPr>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(137)</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w:t>
            </w:r>
          </w:p>
        </w:tc>
      </w:tr>
      <w:tr>
        <w:trPr>
          <w:trHeight w:val="223"/>
        </w:trPr>
        <w:tc>
          <w:tcPr>
            <w:tcW w:w="79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(3,987)</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(3,042)</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(1,829)</w:t>
            </w:r>
          </w:p>
        </w:tc>
        <w:tc>
          <w:tcPr>
            <w:tcW w:w="5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(415)</w:t>
            </w:r>
          </w:p>
        </w:tc>
      </w:tr>
      <w:tr>
        <w:trPr>
          <w:trHeight w:val="230"/>
        </w:trPr>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3,604</w:t>
            </w:r>
          </w:p>
        </w:tc>
        <w:tc>
          <w:tcPr>
            <w:tcW w:w="5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3,160</w:t>
            </w:r>
          </w:p>
        </w:tc>
      </w:tr>
      <w:tr>
        <w:trPr>
          <w:trHeight w:val="230"/>
        </w:trPr>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1,775</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2,745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rPr>
              <w:t>Lockheed Martin Corporation</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Consolidated Statements of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9"/>
          </w:tcPr>
          <w:p>
            <w:pPr>
              <w:jc w:val="center"/>
              <w:ind w:right="390"/>
              <w:spacing w:after="0"/>
              <w:rPr>
                <w:sz w:val="20"/>
                <w:szCs w:val="20"/>
                <w:color w:val="auto"/>
              </w:rPr>
            </w:pPr>
            <w:r>
              <w:rPr>
                <w:rFonts w:ascii="Arial" w:cs="Arial" w:eastAsia="Arial" w:hAnsi="Arial"/>
                <w:sz w:val="18"/>
                <w:szCs w:val="18"/>
                <w:b w:val="1"/>
                <w:bCs w:val="1"/>
                <w:color w:val="auto"/>
                <w:w w:val="99"/>
              </w:rPr>
              <w:t>For the Quarters Ended June 26, 2022 and June 27, 2021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(unaudited; in millions)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Additional</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Noncontrolling</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5"/>
                <w:szCs w:val="15"/>
                <w:color w:val="auto"/>
              </w:rPr>
            </w:pPr>
          </w:p>
        </w:tc>
        <w:tc>
          <w:tcPr>
            <w:tcW w:w="14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Paid-in</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Stockholders’</w:t>
            </w:r>
          </w:p>
        </w:tc>
        <w:tc>
          <w:tcPr>
            <w:tcW w:w="180" w:type="dxa"/>
            <w:vAlign w:val="bottom"/>
          </w:tcPr>
          <w:p>
            <w:pPr>
              <w:spacing w:after="0"/>
              <w:rPr>
                <w:sz w:val="16"/>
                <w:szCs w:val="16"/>
                <w:color w:val="auto"/>
              </w:rPr>
            </w:pPr>
          </w:p>
        </w:tc>
        <w:tc>
          <w:tcPr>
            <w:tcW w:w="13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Interests in</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Subsidiary</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3"/>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27, 2022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(10,979)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10,002</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1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309</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2,811</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2,811</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2,811</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30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(1,497)</w:t>
            </w:r>
          </w:p>
        </w:tc>
        <w:tc>
          <w:tcPr>
            <w:tcW w:w="1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(1,497)</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(1,497)</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(179)</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(373)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Stock-based awards, ESOP</w:t>
            </w: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179</w:t>
            </w: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180</w:t>
            </w:r>
          </w:p>
        </w:tc>
        <w:tc>
          <w:tcPr>
            <w:tcW w:w="180" w:type="dxa"/>
            <w:vAlign w:val="bottom"/>
          </w:tcPr>
          <w:p>
            <w:pPr>
              <w:spacing w:after="0"/>
              <w:rPr>
                <w:sz w:val="15"/>
                <w:szCs w:val="15"/>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activity and other</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26, 2022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(8,168)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11,432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28, 2021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30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c>
          <w:tcPr>
            <w:tcW w:w="1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(1,454)</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6"/>
        </w:trPr>
        <w:tc>
          <w:tcPr>
            <w:tcW w:w="2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Stock-based awards, ESOP</w:t>
            </w: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5"/>
                <w:szCs w:val="15"/>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activity and other</w:t>
            </w:r>
          </w:p>
        </w:tc>
        <w:tc>
          <w:tcPr>
            <w:tcW w:w="3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decrease in noncontrolling</w:t>
            </w: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interests in subsidiary</w:t>
            </w: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 at June 27, 2021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400" w:type="dxa"/>
            <w:vAlign w:val="bottom"/>
            <w:tcBorders>
              <w:top w:val="single" w:sz="8" w:color="0000FF"/>
            </w:tcBorders>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rPr>
              <w:t>Lockheed Martin Corporation</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Consolidated Statements of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9"/>
          </w:tcPr>
          <w:p>
            <w:pPr>
              <w:jc w:val="center"/>
              <w:ind w:right="390"/>
              <w:spacing w:after="0"/>
              <w:rPr>
                <w:sz w:val="20"/>
                <w:szCs w:val="20"/>
                <w:color w:val="auto"/>
              </w:rPr>
            </w:pPr>
            <w:r>
              <w:rPr>
                <w:rFonts w:ascii="Arial" w:cs="Arial" w:eastAsia="Arial" w:hAnsi="Arial"/>
                <w:sz w:val="18"/>
                <w:szCs w:val="18"/>
                <w:b w:val="1"/>
                <w:bCs w:val="1"/>
                <w:color w:val="auto"/>
              </w:rPr>
              <w:t>For the Six Months Ended June 26, 2022 and June 27, 2021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(unaudited; in millions)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Additional</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Noncontrolling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5"/>
                <w:szCs w:val="15"/>
                <w:color w:val="auto"/>
              </w:rPr>
            </w:pPr>
          </w:p>
        </w:tc>
        <w:tc>
          <w:tcPr>
            <w:tcW w:w="14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rPr>
              <w:t>Paid-in</w:t>
            </w: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Stockholders’</w:t>
            </w:r>
          </w:p>
        </w:tc>
        <w:tc>
          <w:tcPr>
            <w:tcW w:w="180" w:type="dxa"/>
            <w:vAlign w:val="bottom"/>
          </w:tcPr>
          <w:p>
            <w:pPr>
              <w:spacing w:after="0"/>
              <w:rPr>
                <w:sz w:val="16"/>
                <w:szCs w:val="16"/>
                <w:color w:val="auto"/>
              </w:rPr>
            </w:pPr>
          </w:p>
        </w:tc>
        <w:tc>
          <w:tcPr>
            <w:tcW w:w="13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Interests in</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Subsidiary</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10,959</w:t>
            </w: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2,042</w:t>
            </w:r>
          </w:p>
        </w:tc>
        <w:tc>
          <w:tcPr>
            <w:tcW w:w="1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2,042</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2,042</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 net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2,838</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2,838</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2,838</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tax</w:t>
            </w:r>
          </w:p>
        </w:tc>
        <w:tc>
          <w:tcPr>
            <w:tcW w:w="18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(2,246)</w:t>
            </w:r>
          </w:p>
        </w:tc>
        <w:tc>
          <w:tcPr>
            <w:tcW w:w="1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(2,246)</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(2,246)</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(305)</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(2,373)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(2,373)</w:t>
            </w:r>
          </w:p>
        </w:tc>
        <w:tc>
          <w:tcPr>
            <w:tcW w:w="0" w:type="dxa"/>
            <w:vAlign w:val="bottom"/>
          </w:tcPr>
          <w:p>
            <w:pPr>
              <w:spacing w:after="0"/>
              <w:rPr>
                <w:sz w:val="1"/>
                <w:szCs w:val="1"/>
                <w:color w:val="auto"/>
              </w:rPr>
            </w:pPr>
          </w:p>
        </w:tc>
      </w:tr>
      <w:tr>
        <w:trPr>
          <w:trHeight w:val="176"/>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Stock-based awards, ESOP</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211</w:t>
            </w: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15"/>
                <w:szCs w:val="15"/>
                <w:color w:val="auto"/>
              </w:rPr>
            </w:pPr>
          </w:p>
        </w:tc>
        <w:tc>
          <w:tcPr>
            <w:tcW w:w="13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activity and other</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26,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(8,168)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11,432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3,652</w:t>
            </w:r>
          </w:p>
        </w:tc>
        <w:tc>
          <w:tcPr>
            <w:tcW w:w="1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3,652</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176"/>
        </w:trPr>
        <w:tc>
          <w:tcPr>
            <w:tcW w:w="2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 net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tax</w:t>
            </w:r>
          </w:p>
        </w:tc>
        <w:tc>
          <w:tcPr>
            <w:tcW w:w="18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(2,179)</w:t>
            </w: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76"/>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Stock-based awards, ESOP</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5"/>
                <w:szCs w:val="15"/>
                <w:color w:val="auto"/>
              </w:rPr>
            </w:pPr>
          </w:p>
        </w:tc>
        <w:tc>
          <w:tcPr>
            <w:tcW w:w="13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activity and other</w:t>
            </w:r>
          </w:p>
        </w:tc>
        <w:tc>
          <w:tcPr>
            <w:tcW w:w="1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decrease in noncontrolling</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interests in subsidiary</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 at June 27,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(15,837)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85"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We prepared these consolidated financial statements in accordance with U.S. generally accepted accounting principles (GAAP) for interim financial information, the instructions to Form 10-Q and Article 10 of U.S. Securities and Exchange Commission (SEC) Regulation S-X. Accordingly, they do not include all of the information and notes required by GAAP for complete financial statements.</w:t>
      </w:r>
    </w:p>
    <w:p>
      <w:pPr>
        <w:spacing w:after="0" w:line="144"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the opinion of management, these consolidated financial statements reflect all adjustments that are of a normal recurring nature necessary for a fair presentation of our results of operations, financial condition, and cash flows for the interim periods presented. The preparation of these consolidated financial statements requires us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environmental liabilities and assets for the portion of environmental costs that are probable of future recovery; evaluation of goodwill, intangible assets, investments and other assets for impairment; income taxes including deferred tax assets; fair value measurements; and contingencies. The consolidated financial statements include the accounts of subsidiaries we control and variable interest entities if we are the primary beneficiary. We eliminate intercompany balances and transactions in consolidation.</w:t>
      </w:r>
    </w:p>
    <w:p>
      <w:pPr>
        <w:spacing w:after="0" w:line="149"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close our books and records on the last Sunday of the interim calendar quarter, which was on June 26 for the second quarter of 2022 and June 27 for the second quarter of 2021, to align our financial closing with our business processes. The consolidated financial statements and tables of financial information included herein are labeled based on that convention. This practice only affects interim periods as our fiscal year ends on December 31.</w:t>
      </w:r>
    </w:p>
    <w:p>
      <w:pPr>
        <w:spacing w:after="0" w:line="136"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The results of operations for the interim periods presented are not necessarily indicative of results to be expected for the full year or future periods. Unless otherwise noted, we present all per share amounts cited in these consolidated financial statements on a “per diluted share” basis. These consolidated financial statements should be read in conjunction with the audited consolidated financial statements and notes thereto included in our Annual Report on Form 10-K for the year ended December 31, 2021 (2021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COMMON SHARE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number of shares outstanding used to compute earnings per common share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322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b w:val="1"/>
                <w:bCs w:val="1"/>
                <w:color w:val="auto"/>
              </w:rPr>
              <w:t>Quarters Ended</w:t>
            </w:r>
          </w:p>
        </w:tc>
        <w:tc>
          <w:tcPr>
            <w:tcW w:w="338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7"/>
        </w:trPr>
        <w:tc>
          <w:tcPr>
            <w:tcW w:w="4640" w:type="dxa"/>
            <w:vAlign w:val="bottom"/>
          </w:tcPr>
          <w:p>
            <w:pPr>
              <w:spacing w:after="0"/>
              <w:rPr>
                <w:sz w:val="15"/>
                <w:szCs w:val="15"/>
                <w:color w:val="auto"/>
              </w:rPr>
            </w:pPr>
          </w:p>
        </w:tc>
        <w:tc>
          <w:tcPr>
            <w:tcW w:w="156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26,</w:t>
            </w:r>
          </w:p>
        </w:tc>
        <w:tc>
          <w:tcPr>
            <w:tcW w:w="1660" w:type="dxa"/>
            <w:vAlign w:val="bottom"/>
          </w:tcPr>
          <w:p>
            <w:pPr>
              <w:jc w:val="right"/>
              <w:ind w:right="430"/>
              <w:spacing w:after="0" w:line="177" w:lineRule="exact"/>
              <w:rPr>
                <w:sz w:val="20"/>
                <w:szCs w:val="20"/>
                <w:color w:val="auto"/>
              </w:rPr>
            </w:pPr>
            <w:r>
              <w:rPr>
                <w:rFonts w:ascii="Arial" w:cs="Arial" w:eastAsia="Arial" w:hAnsi="Arial"/>
                <w:sz w:val="18"/>
                <w:szCs w:val="18"/>
                <w:b w:val="1"/>
                <w:bCs w:val="1"/>
                <w:color w:val="auto"/>
              </w:rPr>
              <w:t>June 27,</w:t>
            </w:r>
          </w:p>
        </w:tc>
        <w:tc>
          <w:tcPr>
            <w:tcW w:w="1820" w:type="dxa"/>
            <w:vAlign w:val="bottom"/>
          </w:tcPr>
          <w:p>
            <w:pPr>
              <w:jc w:val="right"/>
              <w:ind w:right="510"/>
              <w:spacing w:after="0" w:line="177" w:lineRule="exact"/>
              <w:rPr>
                <w:sz w:val="20"/>
                <w:szCs w:val="20"/>
                <w:color w:val="auto"/>
              </w:rPr>
            </w:pPr>
            <w:r>
              <w:rPr>
                <w:rFonts w:ascii="Arial" w:cs="Arial" w:eastAsia="Arial" w:hAnsi="Arial"/>
                <w:sz w:val="18"/>
                <w:szCs w:val="18"/>
                <w:b w:val="1"/>
                <w:bCs w:val="1"/>
                <w:color w:val="auto"/>
              </w:rPr>
              <w:t>June 26,</w:t>
            </w:r>
          </w:p>
        </w:tc>
        <w:tc>
          <w:tcPr>
            <w:tcW w:w="156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35"/>
        </w:trPr>
        <w:tc>
          <w:tcPr>
            <w:tcW w:w="4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8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77"/>
        </w:trPr>
        <w:tc>
          <w:tcPr>
            <w:tcW w:w="46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Weighted average common shares outstanding for</w:t>
            </w:r>
          </w:p>
        </w:tc>
        <w:tc>
          <w:tcPr>
            <w:tcW w:w="156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265.8</w:t>
            </w:r>
          </w:p>
        </w:tc>
        <w:tc>
          <w:tcPr>
            <w:tcW w:w="166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277.4</w:t>
            </w:r>
          </w:p>
        </w:tc>
        <w:tc>
          <w:tcPr>
            <w:tcW w:w="18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267.0</w:t>
            </w:r>
          </w:p>
        </w:tc>
        <w:tc>
          <w:tcPr>
            <w:tcW w:w="15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35"/>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computations</w:t>
            </w:r>
          </w:p>
        </w:tc>
        <w:tc>
          <w:tcPr>
            <w:tcW w:w="1560" w:type="dxa"/>
            <w:vAlign w:val="bottom"/>
            <w:vMerge w:val="continue"/>
            <w:shd w:val="clear" w:color="auto" w:fill="CCEEFF"/>
          </w:tcPr>
          <w:p>
            <w:pPr>
              <w:spacing w:after="0"/>
              <w:rPr>
                <w:sz w:val="20"/>
                <w:szCs w:val="20"/>
                <w:color w:val="auto"/>
              </w:rPr>
            </w:pPr>
          </w:p>
        </w:tc>
        <w:tc>
          <w:tcPr>
            <w:tcW w:w="1660" w:type="dxa"/>
            <w:vAlign w:val="bottom"/>
            <w:vMerge w:val="continue"/>
            <w:shd w:val="clear" w:color="auto" w:fill="CCEEFF"/>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dilutive effect of equity awards</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0.9</w:t>
            </w:r>
          </w:p>
        </w:tc>
        <w:tc>
          <w:tcPr>
            <w:tcW w:w="1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w:t>
            </w: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0.9</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7"/>
        </w:trPr>
        <w:tc>
          <w:tcPr>
            <w:tcW w:w="46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Weighted average common shares outstanding for</w:t>
            </w:r>
          </w:p>
        </w:tc>
        <w:tc>
          <w:tcPr>
            <w:tcW w:w="156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266.7</w:t>
            </w:r>
          </w:p>
        </w:tc>
        <w:tc>
          <w:tcPr>
            <w:tcW w:w="166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278.4</w:t>
            </w:r>
          </w:p>
        </w:tc>
        <w:tc>
          <w:tcPr>
            <w:tcW w:w="18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267.9</w:t>
            </w:r>
          </w:p>
        </w:tc>
        <w:tc>
          <w:tcPr>
            <w:tcW w:w="15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42"/>
        </w:trPr>
        <w:tc>
          <w:tcPr>
            <w:tcW w:w="4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 computations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during the quarters and six months ended June 26, 2022 and June 27, 2021. Basic and diluted weighted average common shares outstanding have decreased in 2022 and 2021 due to share repurchases. See “Note 9 - Stockholders’ Equity” for more information.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INFORMATION ON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four business segments: Aeronautics, Missiles and Fire Control (MFC), Rotary and Mission Systems (RMS) and Space.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organize our business segments based on the nature of products and services offered.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by Business Segment</w:t>
      </w:r>
    </w:p>
    <w:p>
      <w:pPr>
        <w:spacing w:after="0" w:line="19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Net sales and operating profit of our business segments exclude intersegment sales, cost of sales, and profit as these activities are eliminated in consolidation and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Operating Results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each of our business segments were as follows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Quarters Ended</w:t>
            </w:r>
          </w:p>
        </w:tc>
        <w:tc>
          <w:tcPr>
            <w:tcW w:w="4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June 26,</w:t>
            </w:r>
          </w:p>
        </w:tc>
        <w:tc>
          <w:tcPr>
            <w:tcW w:w="540" w:type="dxa"/>
            <w:vAlign w:val="bottom"/>
          </w:tcPr>
          <w:p>
            <w:pPr>
              <w:spacing w:after="0"/>
              <w:rPr>
                <w:sz w:val="15"/>
                <w:szCs w:val="15"/>
                <w:color w:val="auto"/>
              </w:rPr>
            </w:pPr>
          </w:p>
        </w:tc>
        <w:tc>
          <w:tcPr>
            <w:tcW w:w="110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June 27,</w:t>
            </w:r>
          </w:p>
        </w:tc>
        <w:tc>
          <w:tcPr>
            <w:tcW w:w="480" w:type="dxa"/>
            <w:vAlign w:val="bottom"/>
          </w:tcPr>
          <w:p>
            <w:pPr>
              <w:spacing w:after="0"/>
              <w:rPr>
                <w:sz w:val="15"/>
                <w:szCs w:val="15"/>
                <w:color w:val="auto"/>
              </w:rPr>
            </w:pPr>
          </w:p>
        </w:tc>
        <w:tc>
          <w:tcPr>
            <w:tcW w:w="114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26,</w:t>
            </w:r>
          </w:p>
        </w:tc>
        <w:tc>
          <w:tcPr>
            <w:tcW w:w="560" w:type="dxa"/>
            <w:vAlign w:val="bottom"/>
          </w:tcPr>
          <w:p>
            <w:pPr>
              <w:spacing w:after="0"/>
              <w:rPr>
                <w:sz w:val="15"/>
                <w:szCs w:val="15"/>
                <w:color w:val="auto"/>
              </w:rPr>
            </w:pPr>
          </w:p>
        </w:tc>
        <w:tc>
          <w:tcPr>
            <w:tcW w:w="1340" w:type="dxa"/>
            <w:vAlign w:val="bottom"/>
          </w:tcPr>
          <w:p>
            <w:pPr>
              <w:jc w:val="right"/>
              <w:ind w:right="370"/>
              <w:spacing w:after="0" w:line="177" w:lineRule="exact"/>
              <w:rPr>
                <w:sz w:val="20"/>
                <w:szCs w:val="20"/>
                <w:color w:val="auto"/>
              </w:rPr>
            </w:pPr>
            <w:r>
              <w:rPr>
                <w:rFonts w:ascii="Arial" w:cs="Arial" w:eastAsia="Arial" w:hAnsi="Arial"/>
                <w:sz w:val="18"/>
                <w:szCs w:val="18"/>
                <w:b w:val="1"/>
                <w:bCs w:val="1"/>
                <w:color w:val="auto"/>
              </w:rPr>
              <w:t>June 27,</w:t>
            </w:r>
          </w:p>
        </w:tc>
      </w:tr>
      <w:tr>
        <w:trPr>
          <w:trHeight w:val="235"/>
        </w:trPr>
        <w:tc>
          <w:tcPr>
            <w:tcW w:w="4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5,862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6,666</w:t>
            </w: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12,263</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13,053</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2,747</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2,944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5,199</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5,693</w:t>
            </w: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4,012</w:t>
            </w:r>
          </w:p>
        </w:tc>
        <w:tc>
          <w:tcPr>
            <w:tcW w:w="5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4,242</w:t>
            </w:r>
          </w:p>
        </w:tc>
        <w:tc>
          <w:tcPr>
            <w:tcW w:w="48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7,564</w:t>
            </w:r>
          </w:p>
        </w:tc>
        <w:tc>
          <w:tcPr>
            <w:tcW w:w="5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8,349</w:t>
            </w:r>
          </w:p>
        </w:tc>
      </w:tr>
      <w:tr>
        <w:trPr>
          <w:trHeight w:val="230"/>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2,825</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3,177</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5,384</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6,192</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15,446</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17,029</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30,410</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33,287</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612</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572</w:t>
            </w: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1,291</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1,265</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418</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401</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802</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797</w:t>
            </w: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403</w:t>
            </w:r>
          </w:p>
        </w:tc>
        <w:tc>
          <w:tcPr>
            <w:tcW w:w="5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458</w:t>
            </w:r>
          </w:p>
        </w:tc>
        <w:tc>
          <w:tcPr>
            <w:tcW w:w="48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751</w:t>
            </w:r>
          </w:p>
        </w:tc>
        <w:tc>
          <w:tcPr>
            <w:tcW w:w="5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891</w:t>
            </w:r>
          </w:p>
        </w:tc>
      </w:tr>
      <w:tr>
        <w:trPr>
          <w:trHeight w:val="229"/>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268</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335</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513</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562</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business segment operating profit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1,701</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1,766</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3,357</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3,515</w:t>
            </w:r>
          </w:p>
        </w:tc>
      </w:tr>
      <w:tr>
        <w:trPr>
          <w:trHeight w:val="223"/>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items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FAS/CAS pension operating adjustment</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425</w:t>
            </w:r>
          </w:p>
        </w:tc>
        <w:tc>
          <w:tcPr>
            <w:tcW w:w="5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489</w:t>
            </w:r>
          </w:p>
        </w:tc>
        <w:tc>
          <w:tcPr>
            <w:tcW w:w="48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851</w:t>
            </w:r>
          </w:p>
        </w:tc>
        <w:tc>
          <w:tcPr>
            <w:tcW w:w="5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978</w:t>
            </w:r>
          </w:p>
        </w:tc>
      </w:tr>
      <w:tr>
        <w:trPr>
          <w:trHeight w:val="229"/>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 and restructuring charges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0"/>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(163)</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(312)</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r>
      <w:tr>
        <w:trPr>
          <w:trHeight w:val="223"/>
        </w:trPr>
        <w:tc>
          <w:tcPr>
            <w:tcW w:w="4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unallocated items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262</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426</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539</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859</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consolidated operating profit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1,963</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2,192</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3,896</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4,374</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58</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52</w:t>
            </w: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118</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105</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161</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167</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317</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453</w:t>
            </w:r>
          </w:p>
        </w:tc>
        <w:tc>
          <w:tcPr>
            <w:tcW w:w="5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908</w:t>
            </w:r>
          </w:p>
        </w:tc>
        <w:tc>
          <w:tcPr>
            <w:tcW w:w="5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926</w:t>
            </w:r>
          </w:p>
        </w:tc>
      </w:tr>
      <w:tr>
        <w:trPr>
          <w:trHeight w:val="230"/>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99</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92</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182</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r>
      <w:tr>
        <w:trPr>
          <w:trHeight w:val="223"/>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intersegment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771</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759</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1,525</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1,501</w:t>
            </w:r>
          </w:p>
        </w:tc>
      </w:tr>
      <w:tr>
        <w:trPr>
          <w:trHeight w:val="223"/>
        </w:trPr>
        <w:tc>
          <w:tcPr>
            <w:tcW w:w="46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Amortization of purchased intangibles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(1)</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(58)</w:t>
            </w:r>
          </w:p>
        </w:tc>
        <w:tc>
          <w:tcPr>
            <w:tcW w:w="5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(116)</w:t>
            </w:r>
          </w:p>
        </w:tc>
        <w:tc>
          <w:tcPr>
            <w:tcW w:w="5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30"/>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30"/>
        </w:trPr>
        <w:tc>
          <w:tcPr>
            <w:tcW w:w="4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amortization of purchased intangibles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(62)</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(81)</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(124)</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Items</w:t>
      </w:r>
    </w:p>
    <w:p>
      <w:pPr>
        <w:spacing w:after="0" w:line="19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Business segment operating profit excludes the FAS/CAS pension operating adjustment described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environmental costs, changes in the fair value of strategic investments in companies made by our Lockheed Martin Ventures Fund, stock-based compensation expense, changes in the fair value of investments held in a trust for deferred compensation plans, retiree benefits, significant severance actions, significant asset impairments, gains or losses from divestitures, and other miscellaneous corporate activities. Excluded items are included in the reconciling item “Unallocated items” between operating profit from our business segments and our consolidated operating profit. See “Note 10 - Other” for a discussion related to certain factors that may impact the comparability of net sales and operating profit of our business segments.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FAS/CAS Pension Operating Adjustment</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FAS requirements under U.S. GAAP. The operating portion of the net FAS/CAS pension adjustment represents the difference between the service cost component of FAS pension (expense) income and total CAS pension cost. The non-service FAS pension (expense) income components are included in non-service FAS pension (expense) income in our consolidated statements of earnings. As a result, to the extent that CAS pension cost exceeds the service cost component of FAS pension (expense) income, we have a favorable FAS/CAS pension operating adjustment.</w:t>
      </w:r>
    </w:p>
    <w:p>
      <w:pPr>
        <w:spacing w:after="0" w:line="158"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The total FAS/CAS pension adjustment for the quarters and six months ended June 26, 2022 and June 27, 2021, including the service and non-service cost components of FAS pension (expense) income for our qualified defined benefit pension plans, were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7"/>
                <w:szCs w:val="17"/>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8"/>
                <w:szCs w:val="18"/>
                <w:b w:val="1"/>
                <w:bCs w:val="1"/>
                <w:color w:val="auto"/>
              </w:rPr>
              <w:t>Six Months Ended</w:t>
            </w:r>
          </w:p>
        </w:tc>
      </w:tr>
      <w:tr>
        <w:trPr>
          <w:trHeight w:val="160"/>
        </w:trPr>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195"/>
              <w:spacing w:after="0" w:line="160" w:lineRule="exact"/>
              <w:rPr>
                <w:sz w:val="20"/>
                <w:szCs w:val="20"/>
                <w:color w:val="auto"/>
              </w:rPr>
            </w:pPr>
            <w:r>
              <w:rPr>
                <w:rFonts w:ascii="Arial" w:cs="Arial" w:eastAsia="Arial" w:hAnsi="Arial"/>
                <w:sz w:val="17"/>
                <w:szCs w:val="17"/>
                <w:b w:val="1"/>
                <w:bCs w:val="1"/>
                <w:color w:val="auto"/>
              </w:rPr>
              <w:t>June 26,</w:t>
            </w:r>
          </w:p>
        </w:tc>
        <w:tc>
          <w:tcPr>
            <w:tcW w:w="540" w:type="dxa"/>
            <w:vAlign w:val="bottom"/>
          </w:tcPr>
          <w:p>
            <w:pPr>
              <w:spacing w:after="0"/>
              <w:rPr>
                <w:sz w:val="13"/>
                <w:szCs w:val="13"/>
                <w:color w:val="auto"/>
              </w:rPr>
            </w:pPr>
          </w:p>
        </w:tc>
        <w:tc>
          <w:tcPr>
            <w:tcW w:w="1120" w:type="dxa"/>
            <w:vAlign w:val="bottom"/>
          </w:tcPr>
          <w:p>
            <w:pPr>
              <w:jc w:val="right"/>
              <w:ind w:right="195"/>
              <w:spacing w:after="0" w:line="160" w:lineRule="exact"/>
              <w:rPr>
                <w:sz w:val="20"/>
                <w:szCs w:val="20"/>
                <w:color w:val="auto"/>
              </w:rPr>
            </w:pPr>
            <w:r>
              <w:rPr>
                <w:rFonts w:ascii="Arial" w:cs="Arial" w:eastAsia="Arial" w:hAnsi="Arial"/>
                <w:sz w:val="17"/>
                <w:szCs w:val="17"/>
                <w:b w:val="1"/>
                <w:bCs w:val="1"/>
                <w:color w:val="auto"/>
              </w:rPr>
              <w:t>June 27,</w:t>
            </w:r>
          </w:p>
        </w:tc>
        <w:tc>
          <w:tcPr>
            <w:tcW w:w="520" w:type="dxa"/>
            <w:vAlign w:val="bottom"/>
          </w:tcPr>
          <w:p>
            <w:pPr>
              <w:spacing w:after="0"/>
              <w:rPr>
                <w:sz w:val="13"/>
                <w:szCs w:val="13"/>
                <w:color w:val="auto"/>
              </w:rPr>
            </w:pPr>
          </w:p>
        </w:tc>
        <w:tc>
          <w:tcPr>
            <w:tcW w:w="1140" w:type="dxa"/>
            <w:vAlign w:val="bottom"/>
          </w:tcPr>
          <w:p>
            <w:pPr>
              <w:jc w:val="right"/>
              <w:ind w:right="234"/>
              <w:spacing w:after="0" w:line="160" w:lineRule="exact"/>
              <w:rPr>
                <w:sz w:val="20"/>
                <w:szCs w:val="20"/>
                <w:color w:val="auto"/>
              </w:rPr>
            </w:pPr>
            <w:r>
              <w:rPr>
                <w:rFonts w:ascii="Arial" w:cs="Arial" w:eastAsia="Arial" w:hAnsi="Arial"/>
                <w:sz w:val="17"/>
                <w:szCs w:val="17"/>
                <w:b w:val="1"/>
                <w:bCs w:val="1"/>
                <w:color w:val="auto"/>
              </w:rPr>
              <w:t>June 26,</w:t>
            </w:r>
          </w:p>
        </w:tc>
        <w:tc>
          <w:tcPr>
            <w:tcW w:w="560" w:type="dxa"/>
            <w:vAlign w:val="bottom"/>
          </w:tcPr>
          <w:p>
            <w:pPr>
              <w:spacing w:after="0"/>
              <w:rPr>
                <w:sz w:val="13"/>
                <w:szCs w:val="13"/>
                <w:color w:val="auto"/>
              </w:rPr>
            </w:pPr>
          </w:p>
        </w:tc>
        <w:tc>
          <w:tcPr>
            <w:tcW w:w="1380" w:type="dxa"/>
            <w:vAlign w:val="bottom"/>
          </w:tcPr>
          <w:p>
            <w:pPr>
              <w:jc w:val="right"/>
              <w:ind w:right="455"/>
              <w:spacing w:after="0" w:line="160" w:lineRule="exact"/>
              <w:rPr>
                <w:sz w:val="20"/>
                <w:szCs w:val="20"/>
                <w:color w:val="auto"/>
              </w:rPr>
            </w:pPr>
            <w:r>
              <w:rPr>
                <w:rFonts w:ascii="Arial" w:cs="Arial" w:eastAsia="Arial" w:hAnsi="Arial"/>
                <w:sz w:val="17"/>
                <w:szCs w:val="17"/>
                <w:b w:val="1"/>
                <w:bCs w:val="1"/>
                <w:color w:val="auto"/>
              </w:rPr>
              <w:t>June 27,</w:t>
            </w:r>
          </w:p>
        </w:tc>
      </w:tr>
      <w:tr>
        <w:trPr>
          <w:trHeight w:val="225"/>
        </w:trPr>
        <w:tc>
          <w:tcPr>
            <w:tcW w:w="4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2021</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FAS (expense) income and CAS cost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7"/>
                <w:szCs w:val="17"/>
                <w:color w:val="auto"/>
              </w:rPr>
              <w:t>Total FAS pension (expense) income</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55"/>
              <w:spacing w:after="0"/>
              <w:rPr>
                <w:sz w:val="20"/>
                <w:szCs w:val="20"/>
                <w:color w:val="auto"/>
              </w:rPr>
            </w:pPr>
            <w:r>
              <w:rPr>
                <w:rFonts w:ascii="Arial" w:cs="Arial" w:eastAsia="Arial" w:hAnsi="Arial"/>
                <w:sz w:val="17"/>
                <w:szCs w:val="17"/>
                <w:b w:val="1"/>
                <w:bCs w:val="1"/>
                <w:color w:val="auto"/>
              </w:rPr>
              <w:t>(1,355)</w:t>
            </w:r>
          </w:p>
        </w:tc>
        <w:tc>
          <w:tcPr>
            <w:tcW w:w="5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15"/>
              <w:spacing w:after="0"/>
              <w:rPr>
                <w:sz w:val="20"/>
                <w:szCs w:val="20"/>
                <w:color w:val="auto"/>
              </w:rPr>
            </w:pPr>
            <w:r>
              <w:rPr>
                <w:rFonts w:ascii="Arial" w:cs="Arial" w:eastAsia="Arial" w:hAnsi="Arial"/>
                <w:sz w:val="17"/>
                <w:szCs w:val="17"/>
                <w:color w:val="auto"/>
              </w:rPr>
              <w:t>67</w:t>
            </w:r>
          </w:p>
        </w:tc>
        <w:tc>
          <w:tcPr>
            <w:tcW w:w="5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254"/>
              <w:spacing w:after="0"/>
              <w:rPr>
                <w:sz w:val="20"/>
                <w:szCs w:val="20"/>
                <w:color w:val="auto"/>
              </w:rPr>
            </w:pPr>
            <w:r>
              <w:rPr>
                <w:rFonts w:ascii="Arial" w:cs="Arial" w:eastAsia="Arial" w:hAnsi="Arial"/>
                <w:sz w:val="17"/>
                <w:szCs w:val="17"/>
                <w:b w:val="1"/>
                <w:bCs w:val="1"/>
                <w:color w:val="auto"/>
              </w:rPr>
              <w:t>(1,239)</w:t>
            </w:r>
          </w:p>
        </w:tc>
        <w:tc>
          <w:tcPr>
            <w:tcW w:w="5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95"/>
              <w:spacing w:after="0"/>
              <w:rPr>
                <w:sz w:val="20"/>
                <w:szCs w:val="20"/>
                <w:color w:val="auto"/>
              </w:rPr>
            </w:pPr>
            <w:r>
              <w:rPr>
                <w:rFonts w:ascii="Arial" w:cs="Arial" w:eastAsia="Arial" w:hAnsi="Arial"/>
                <w:sz w:val="17"/>
                <w:szCs w:val="17"/>
                <w:color w:val="auto"/>
              </w:rPr>
              <w:t>133</w:t>
            </w:r>
          </w:p>
        </w:tc>
      </w:tr>
      <w:tr>
        <w:trPr>
          <w:trHeight w:val="230"/>
        </w:trPr>
        <w:tc>
          <w:tcPr>
            <w:tcW w:w="4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CAS pension cost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449</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516</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899</w:t>
            </w:r>
          </w:p>
        </w:tc>
        <w:tc>
          <w:tcPr>
            <w:tcW w:w="5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1,032</w:t>
            </w:r>
          </w:p>
        </w:tc>
      </w:tr>
      <w:tr>
        <w:trPr>
          <w:trHeight w:val="223"/>
        </w:trPr>
        <w:tc>
          <w:tcPr>
            <w:tcW w:w="4520" w:type="dxa"/>
            <w:vAlign w:val="bottom"/>
            <w:tcBorders>
              <w:bottom w:val="single" w:sz="8" w:color="auto"/>
            </w:tcBorders>
          </w:tcPr>
          <w:p>
            <w:pPr>
              <w:jc w:val="center"/>
              <w:ind w:right="815"/>
              <w:spacing w:after="0"/>
              <w:rPr>
                <w:sz w:val="20"/>
                <w:szCs w:val="20"/>
                <w:color w:val="auto"/>
              </w:rPr>
            </w:pPr>
            <w:r>
              <w:rPr>
                <w:rFonts w:ascii="Arial" w:cs="Arial" w:eastAsia="Arial" w:hAnsi="Arial"/>
                <w:sz w:val="17"/>
                <w:szCs w:val="17"/>
                <w:color w:val="auto"/>
                <w:w w:val="99"/>
              </w:rPr>
              <w:t>Total FAS/CAS pension adjustment</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(906)</w:t>
            </w: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583</w:t>
            </w: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(340)</w:t>
            </w: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1,165</w:t>
            </w:r>
          </w:p>
        </w:tc>
      </w:tr>
      <w:tr>
        <w:trPr>
          <w:trHeight w:val="236"/>
        </w:trPr>
        <w:tc>
          <w:tcPr>
            <w:tcW w:w="4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4520" w:type="dxa"/>
            <w:vAlign w:val="bottom"/>
          </w:tcPr>
          <w:p>
            <w:pPr>
              <w:jc w:val="center"/>
              <w:ind w:right="875"/>
              <w:spacing w:after="0"/>
              <w:rPr>
                <w:sz w:val="20"/>
                <w:szCs w:val="20"/>
                <w:color w:val="auto"/>
              </w:rPr>
            </w:pPr>
            <w:r>
              <w:rPr>
                <w:rFonts w:ascii="Arial" w:cs="Arial" w:eastAsia="Arial" w:hAnsi="Arial"/>
                <w:sz w:val="17"/>
                <w:szCs w:val="17"/>
                <w:b w:val="1"/>
                <w:bCs w:val="1"/>
                <w:color w:val="auto"/>
              </w:rPr>
              <w:t>Service and non-service cost reconciliation</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FAS pension service cost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(24)</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(27)</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(48)</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w:t>
            </w:r>
          </w:p>
        </w:tc>
      </w:tr>
      <w:tr>
        <w:trPr>
          <w:trHeight w:val="230"/>
        </w:trPr>
        <w:tc>
          <w:tcPr>
            <w:tcW w:w="4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Less: CAS pension cost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449</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516</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899</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1,032</w:t>
            </w:r>
          </w:p>
        </w:tc>
      </w:tr>
      <w:tr>
        <w:trPr>
          <w:trHeight w:val="223"/>
        </w:trPr>
        <w:tc>
          <w:tcPr>
            <w:tcW w:w="4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FAS/CAS pension operating adjustment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425</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489</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851</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978</w:t>
            </w:r>
          </w:p>
        </w:tc>
      </w:tr>
      <w:tr>
        <w:trPr>
          <w:trHeight w:val="230"/>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Non-service FAS pension (expense)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(1,331)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94</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(1,191)</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187</w:t>
            </w:r>
          </w:p>
        </w:tc>
      </w:tr>
      <w:tr>
        <w:trPr>
          <w:trHeight w:val="230"/>
        </w:trPr>
        <w:tc>
          <w:tcPr>
            <w:tcW w:w="4520" w:type="dxa"/>
            <w:vAlign w:val="bottom"/>
            <w:tcBorders>
              <w:bottom w:val="single" w:sz="8" w:color="auto"/>
            </w:tcBorders>
            <w:shd w:val="clear" w:color="auto" w:fill="CCEEFF"/>
          </w:tcPr>
          <w:p>
            <w:pPr>
              <w:jc w:val="center"/>
              <w:ind w:right="855"/>
              <w:spacing w:after="0"/>
              <w:rPr>
                <w:sz w:val="20"/>
                <w:szCs w:val="20"/>
                <w:color w:val="auto"/>
              </w:rPr>
            </w:pPr>
            <w:r>
              <w:rPr>
                <w:rFonts w:ascii="Arial" w:cs="Arial" w:eastAsia="Arial" w:hAnsi="Arial"/>
                <w:sz w:val="17"/>
                <w:szCs w:val="17"/>
                <w:color w:val="auto"/>
                <w:w w:val="99"/>
              </w:rPr>
              <w:t>Total FAS/CAS pension adjustment</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(906)</w:t>
            </w:r>
          </w:p>
        </w:tc>
        <w:tc>
          <w:tcPr>
            <w:tcW w:w="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583</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(340)</w:t>
            </w:r>
          </w:p>
        </w:tc>
        <w:tc>
          <w:tcPr>
            <w:tcW w:w="5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1,165</w:t>
            </w:r>
          </w:p>
        </w:tc>
      </w:tr>
    </w:tbl>
    <w:p>
      <w:pPr>
        <w:spacing w:after="0" w:line="251"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The decrease in the total FAS/CAS pension adjustment during the quarter and six months ended June 26, 2022 as compared to 2021 was principally driven by a noncash, non-operating pension settlement charge of $1.5 billion ($1.2 billion, or $4.33 per share, after-tax) recognized in connection with the transfer of $4.3 billion of our gross defined benefit pension obligations and related plan assets to an insurance company on June 24, 2022. See “Note 6 -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0"/>
                <w:szCs w:val="20"/>
                <w:color w:val="auto"/>
              </w:rPr>
            </w:pPr>
            <w:r>
              <w:rPr>
                <w:rFonts w:ascii="Arial" w:cs="Arial" w:eastAsia="Arial" w:hAnsi="Arial"/>
                <w:sz w:val="18"/>
                <w:szCs w:val="18"/>
                <w:b w:val="1"/>
                <w:bCs w:val="1"/>
                <w:i w:val="1"/>
                <w:iCs w:val="1"/>
                <w:color w:val="auto"/>
              </w:rPr>
              <w:t>Disaggregation of Net Sales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97"/>
        </w:trPr>
        <w:tc>
          <w:tcPr>
            <w:tcW w:w="9800" w:type="dxa"/>
            <w:vAlign w:val="bottom"/>
            <w:gridSpan w:val="10"/>
          </w:tcPr>
          <w:p>
            <w:pPr>
              <w:ind w:left="460"/>
              <w:spacing w:after="0"/>
              <w:rPr>
                <w:sz w:val="20"/>
                <w:szCs w:val="20"/>
                <w:color w:val="auto"/>
              </w:rPr>
            </w:pPr>
            <w:r>
              <w:rPr>
                <w:rFonts w:ascii="Arial" w:cs="Arial" w:eastAsia="Arial" w:hAnsi="Arial"/>
                <w:sz w:val="18"/>
                <w:szCs w:val="18"/>
                <w:color w:val="auto"/>
              </w:rPr>
              <w:t>Net sales by products and services, contract type, customer, and geographic region were as follows (in millions):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3"/>
        </w:trPr>
        <w:tc>
          <w:tcPr>
            <w:tcW w:w="4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Quarter Ended June 26, 2022</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Aeronautics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4,804</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2,444</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3,150</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2,363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12,761</w:t>
            </w:r>
          </w:p>
        </w:tc>
        <w:tc>
          <w:tcPr>
            <w:tcW w:w="60" w:type="dxa"/>
            <w:vAlign w:val="bottom"/>
          </w:tcPr>
          <w:p>
            <w:pPr>
              <w:spacing w:after="0"/>
              <w:rPr>
                <w:sz w:val="19"/>
                <w:szCs w:val="19"/>
                <w:color w:val="auto"/>
              </w:rPr>
            </w:pP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2,685</w:t>
            </w:r>
          </w:p>
        </w:tc>
        <w:tc>
          <w:tcPr>
            <w:tcW w:w="60" w:type="dxa"/>
            <w:vAlign w:val="bottom"/>
          </w:tcPr>
          <w:p>
            <w:pPr>
              <w:spacing w:after="0"/>
              <w:rPr>
                <w:sz w:val="19"/>
                <w:szCs w:val="19"/>
                <w:color w:val="auto"/>
              </w:rPr>
            </w:pP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5,862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2,747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2,825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15,446</w:t>
            </w:r>
          </w:p>
        </w:tc>
        <w:tc>
          <w:tcPr>
            <w:tcW w:w="60" w:type="dxa"/>
            <w:vAlign w:val="bottom"/>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Fixed-price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3,916</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1,943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2,589</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9,201</w:t>
            </w:r>
          </w:p>
        </w:tc>
        <w:tc>
          <w:tcPr>
            <w:tcW w:w="60" w:type="dxa"/>
            <w:vAlign w:val="bottom"/>
          </w:tcPr>
          <w:p>
            <w:pPr>
              <w:spacing w:after="0"/>
              <w:rPr>
                <w:sz w:val="19"/>
                <w:szCs w:val="19"/>
                <w:color w:val="auto"/>
              </w:rPr>
            </w:pP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1,946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2,072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6,245</w:t>
            </w:r>
          </w:p>
        </w:tc>
        <w:tc>
          <w:tcPr>
            <w:tcW w:w="60" w:type="dxa"/>
            <w:vAlign w:val="bottom"/>
          </w:tcPr>
          <w:p>
            <w:pPr>
              <w:spacing w:after="0"/>
              <w:rPr>
                <w:sz w:val="19"/>
                <w:szCs w:val="19"/>
                <w:color w:val="auto"/>
              </w:rPr>
            </w:pP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5,862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2,747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2,825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15,446</w:t>
            </w:r>
          </w:p>
        </w:tc>
        <w:tc>
          <w:tcPr>
            <w:tcW w:w="60" w:type="dxa"/>
            <w:vAlign w:val="bottom"/>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U.S. Government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3,963</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1,924</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2,785</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2,786</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11,458</w:t>
            </w:r>
          </w:p>
        </w:tc>
        <w:tc>
          <w:tcPr>
            <w:tcW w:w="6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1,868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1,129</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3,849</w:t>
            </w:r>
          </w:p>
        </w:tc>
        <w:tc>
          <w:tcPr>
            <w:tcW w:w="60" w:type="dxa"/>
            <w:vAlign w:val="bottom"/>
          </w:tcPr>
          <w:p>
            <w:pPr>
              <w:spacing w:after="0"/>
              <w:rPr>
                <w:sz w:val="19"/>
                <w:szCs w:val="19"/>
                <w:color w:val="auto"/>
              </w:rPr>
            </w:pPr>
          </w:p>
        </w:tc>
      </w:tr>
      <w:tr>
        <w:trPr>
          <w:trHeight w:val="229"/>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 commercial and other</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60" w:type="dxa"/>
            <w:vAlign w:val="bottom"/>
          </w:tcPr>
          <w:p>
            <w:pPr>
              <w:spacing w:after="0"/>
              <w:rPr>
                <w:sz w:val="19"/>
                <w:szCs w:val="19"/>
                <w:color w:val="auto"/>
              </w:rPr>
            </w:pPr>
          </w:p>
        </w:tc>
      </w:tr>
      <w:tr>
        <w:trPr>
          <w:trHeight w:val="223"/>
        </w:trPr>
        <w:tc>
          <w:tcPr>
            <w:tcW w:w="4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5,862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4,012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15,446</w:t>
            </w:r>
          </w:p>
        </w:tc>
        <w:tc>
          <w:tcPr>
            <w:tcW w:w="60" w:type="dxa"/>
            <w:vAlign w:val="bottom"/>
          </w:tcPr>
          <w:p>
            <w:pPr>
              <w:spacing w:after="0"/>
              <w:rPr>
                <w:sz w:val="19"/>
                <w:szCs w:val="19"/>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3,994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11,597</w:t>
            </w:r>
          </w:p>
        </w:tc>
        <w:tc>
          <w:tcPr>
            <w:tcW w:w="60" w:type="dxa"/>
            <w:vAlign w:val="bottom"/>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Europe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845</w:t>
            </w: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262</w:t>
            </w:r>
          </w:p>
        </w:tc>
        <w:tc>
          <w:tcPr>
            <w:tcW w:w="3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178</w:t>
            </w:r>
          </w:p>
        </w:tc>
        <w:tc>
          <w:tcPr>
            <w:tcW w:w="3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60" w:type="dxa"/>
            <w:vAlign w:val="bottom"/>
          </w:tcPr>
          <w:p>
            <w:pPr>
              <w:spacing w:after="0"/>
              <w:rPr>
                <w:sz w:val="19"/>
                <w:szCs w:val="19"/>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w:t>
            </w:r>
          </w:p>
        </w:tc>
        <w:tc>
          <w:tcPr>
            <w:tcW w:w="60" w:type="dxa"/>
            <w:vAlign w:val="bottom"/>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Middle East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222</w:t>
            </w: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417</w:t>
            </w:r>
          </w:p>
        </w:tc>
        <w:tc>
          <w:tcPr>
            <w:tcW w:w="3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w:t>
            </w:r>
          </w:p>
        </w:tc>
        <w:tc>
          <w:tcPr>
            <w:tcW w:w="3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60" w:type="dxa"/>
            <w:vAlign w:val="bottom"/>
          </w:tcPr>
          <w:p>
            <w:pPr>
              <w:spacing w:after="0"/>
              <w:rPr>
                <w:sz w:val="19"/>
                <w:szCs w:val="19"/>
                <w:color w:val="auto"/>
              </w:rPr>
            </w:pP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197</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5,862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2,747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2,825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15,446</w:t>
            </w:r>
          </w:p>
        </w:tc>
        <w:tc>
          <w:tcPr>
            <w:tcW w:w="60" w:type="dxa"/>
            <w:vAlign w:val="bottom"/>
          </w:tcPr>
          <w:p>
            <w:pPr>
              <w:spacing w:after="0"/>
              <w:rPr>
                <w:sz w:val="20"/>
                <w:szCs w:val="20"/>
                <w:color w:val="auto"/>
              </w:rPr>
            </w:pPr>
          </w:p>
        </w:tc>
      </w:tr>
      <w:tr>
        <w:trPr>
          <w:trHeight w:val="526"/>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Six Months Ended June 26, 2022</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23"/>
        </w:trPr>
        <w:tc>
          <w:tcPr>
            <w:tcW w:w="4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Aeronautics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10,221</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4,617</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5,938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4,479</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25,255</w:t>
            </w:r>
          </w:p>
        </w:tc>
        <w:tc>
          <w:tcPr>
            <w:tcW w:w="60" w:type="dxa"/>
            <w:vAlign w:val="bottom"/>
          </w:tcPr>
          <w:p>
            <w:pPr>
              <w:spacing w:after="0"/>
              <w:rPr>
                <w:sz w:val="19"/>
                <w:szCs w:val="19"/>
                <w:color w:val="auto"/>
              </w:rPr>
            </w:pP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5,155</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5,384</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30,410</w:t>
            </w:r>
          </w:p>
        </w:tc>
        <w:tc>
          <w:tcPr>
            <w:tcW w:w="6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Fixed-price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8,602</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3,656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4,807</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18,455</w:t>
            </w:r>
          </w:p>
        </w:tc>
        <w:tc>
          <w:tcPr>
            <w:tcW w:w="60" w:type="dxa"/>
            <w:vAlign w:val="bottom"/>
          </w:tcPr>
          <w:p>
            <w:pPr>
              <w:spacing w:after="0"/>
              <w:rPr>
                <w:sz w:val="19"/>
                <w:szCs w:val="19"/>
                <w:color w:val="auto"/>
              </w:rPr>
            </w:pPr>
          </w:p>
        </w:tc>
      </w:tr>
      <w:tr>
        <w:trPr>
          <w:trHeight w:val="230"/>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3,994</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11,955</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5,384</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30,410</w:t>
            </w:r>
          </w:p>
        </w:tc>
        <w:tc>
          <w:tcPr>
            <w:tcW w:w="6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U.S. Government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8,176</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3,519</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5,296</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5,302</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22,293</w:t>
            </w:r>
          </w:p>
        </w:tc>
        <w:tc>
          <w:tcPr>
            <w:tcW w:w="6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7,856</w:t>
            </w:r>
          </w:p>
        </w:tc>
        <w:tc>
          <w:tcPr>
            <w:tcW w:w="60" w:type="dxa"/>
            <w:vAlign w:val="bottom"/>
            <w:shd w:val="clear" w:color="auto" w:fill="CCEEFF"/>
          </w:tcPr>
          <w:p>
            <w:pPr>
              <w:spacing w:after="0"/>
              <w:rPr>
                <w:sz w:val="19"/>
                <w:szCs w:val="19"/>
                <w:color w:val="auto"/>
              </w:rPr>
            </w:pPr>
          </w:p>
        </w:tc>
      </w:tr>
      <w:tr>
        <w:trPr>
          <w:trHeight w:val="230"/>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 commercial and other</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60" w:type="dxa"/>
            <w:vAlign w:val="bottom"/>
            <w:tcBorders>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12,263</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5,199</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5,384</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30,410</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3,524</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22,554</w:t>
            </w:r>
          </w:p>
        </w:tc>
        <w:tc>
          <w:tcPr>
            <w:tcW w:w="60" w:type="dxa"/>
            <w:vAlign w:val="bottom"/>
            <w:shd w:val="clear" w:color="auto" w:fill="CCEEFF"/>
          </w:tcPr>
          <w:p>
            <w:pPr>
              <w:spacing w:after="0"/>
              <w:rPr>
                <w:sz w:val="19"/>
                <w:szCs w:val="19"/>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Europe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2,795</w:t>
            </w:r>
          </w:p>
        </w:tc>
        <w:tc>
          <w:tcPr>
            <w:tcW w:w="60" w:type="dxa"/>
            <w:vAlign w:val="bottom"/>
          </w:tcPr>
          <w:p>
            <w:pPr>
              <w:spacing w:after="0"/>
              <w:rPr>
                <w:sz w:val="19"/>
                <w:szCs w:val="19"/>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2,637</w:t>
            </w:r>
          </w:p>
        </w:tc>
        <w:tc>
          <w:tcPr>
            <w:tcW w:w="60" w:type="dxa"/>
            <w:vAlign w:val="bottom"/>
            <w:shd w:val="clear" w:color="auto" w:fill="CCEEFF"/>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Middle East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1,749</w:t>
            </w:r>
          </w:p>
        </w:tc>
        <w:tc>
          <w:tcPr>
            <w:tcW w:w="60" w:type="dxa"/>
            <w:vAlign w:val="bottom"/>
          </w:tcPr>
          <w:p>
            <w:pPr>
              <w:spacing w:after="0"/>
              <w:rPr>
                <w:sz w:val="19"/>
                <w:szCs w:val="19"/>
                <w:color w:val="auto"/>
              </w:rPr>
            </w:pPr>
          </w:p>
        </w:tc>
      </w:tr>
      <w:tr>
        <w:trPr>
          <w:trHeight w:val="229"/>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60" w:type="dxa"/>
            <w:vAlign w:val="bottom"/>
            <w:tcBorders>
              <w:bottom w:val="single" w:sz="8" w:color="auto"/>
            </w:tcBorders>
            <w:shd w:val="clear" w:color="auto" w:fill="CCEEFF"/>
          </w:tcPr>
          <w:p>
            <w:pPr>
              <w:spacing w:after="0"/>
              <w:rPr>
                <w:sz w:val="19"/>
                <w:szCs w:val="19"/>
                <w:color w:val="auto"/>
              </w:rPr>
            </w:pPr>
          </w:p>
        </w:tc>
      </w:tr>
      <w:tr>
        <w:trPr>
          <w:trHeight w:val="230"/>
        </w:trPr>
        <w:tc>
          <w:tcPr>
            <w:tcW w:w="4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5,384</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30,410</w:t>
            </w:r>
          </w:p>
        </w:tc>
        <w:tc>
          <w:tcPr>
            <w:tcW w:w="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Quarter Ended June 27, 2021</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Aeronautics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5,583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2,735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14,258</w:t>
            </w:r>
          </w:p>
        </w:tc>
      </w:tr>
      <w:tr>
        <w:trPr>
          <w:trHeight w:val="229"/>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17,029</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Fixed-price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4,920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10,358</w:t>
            </w:r>
          </w:p>
        </w:tc>
      </w:tr>
      <w:tr>
        <w:trPr>
          <w:trHeight w:val="229"/>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17,029</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U.S. Government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2,719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12,325</w:t>
            </w:r>
          </w:p>
        </w:tc>
      </w:tr>
      <w:tr>
        <w:trPr>
          <w:trHeight w:val="230"/>
        </w:trPr>
        <w:tc>
          <w:tcPr>
            <w:tcW w:w="4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r>
      <w:tr>
        <w:trPr>
          <w:trHeight w:val="229"/>
        </w:trPr>
        <w:tc>
          <w:tcPr>
            <w:tcW w:w="4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 commercial and 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41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w:t>
            </w: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29"/>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Middle East</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17,029</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Six Months Ended June 27, 2021</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Aeronautics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5,299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28,011</w:t>
            </w:r>
          </w:p>
        </w:tc>
      </w:tr>
      <w:tr>
        <w:trPr>
          <w:trHeight w:val="229"/>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13,053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33,287</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Fixed-price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9,654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5,479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20,261</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13,053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33,287</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U.S. Government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8,640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4,217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30"/>
        </w:trPr>
        <w:tc>
          <w:tcPr>
            <w:tcW w:w="4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r>
      <w:tr>
        <w:trPr>
          <w:trHeight w:val="230"/>
        </w:trPr>
        <w:tc>
          <w:tcPr>
            <w:tcW w:w="4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 commercial and 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41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33,287</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24,195</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29"/>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Middle East</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13,053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33,287</w:t>
            </w:r>
          </w:p>
        </w:tc>
      </w:tr>
    </w:tbl>
    <w:p>
      <w:pPr>
        <w:spacing w:after="0" w:line="107" w:lineRule="exact"/>
        <w:rPr>
          <w:sz w:val="20"/>
          <w:szCs w:val="20"/>
          <w:color w:val="auto"/>
        </w:rPr>
      </w:pPr>
    </w:p>
    <w:p>
      <w:pPr>
        <w:ind w:left="420" w:right="760" w:hanging="412"/>
        <w:spacing w:after="0" w:line="235" w:lineRule="auto"/>
        <w:tabs>
          <w:tab w:leader="none" w:pos="41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foreign military sales (FMS) contracted through the U.S. Government and direct commercial sales to international governments and other international customers.</w:t>
      </w: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jc w:val="both"/>
        <w:ind w:right="260" w:firstLine="405"/>
        <w:spacing w:after="0" w:line="262" w:lineRule="auto"/>
        <w:rPr>
          <w:sz w:val="20"/>
          <w:szCs w:val="20"/>
          <w:color w:val="auto"/>
        </w:rPr>
      </w:pPr>
      <w:r>
        <w:rPr>
          <w:rFonts w:ascii="Arial" w:cs="Arial" w:eastAsia="Arial" w:hAnsi="Arial"/>
          <w:sz w:val="18"/>
          <w:szCs w:val="18"/>
          <w:color w:val="auto"/>
        </w:rPr>
        <w:t>Our Aeronautics business segment includes our largest program, the F-35 Lightning II Joint Strike Fighter, an international multi-role, multi-variant, stealth fighter aircraft. Net sales for the F-35 program represented approximately 23% and 26% of our total consolidated net sales for the quarter and six months ended June 26, 2022 and 27% of our total consolidated net sales for both the quarter and six months ended June 27,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Assets</w:t>
            </w: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84"/>
        </w:trPr>
        <w:tc>
          <w:tcPr>
            <w:tcW w:w="7200" w:type="dxa"/>
            <w:vAlign w:val="bottom"/>
          </w:tcPr>
          <w:p>
            <w:pPr>
              <w:ind w:left="420"/>
              <w:spacing w:after="0"/>
              <w:rPr>
                <w:sz w:val="20"/>
                <w:szCs w:val="20"/>
                <w:color w:val="auto"/>
              </w:rPr>
            </w:pPr>
            <w:r>
              <w:rPr>
                <w:rFonts w:ascii="Arial" w:cs="Arial" w:eastAsia="Arial" w:hAnsi="Arial"/>
                <w:sz w:val="18"/>
                <w:szCs w:val="18"/>
                <w:color w:val="auto"/>
              </w:rPr>
              <w:t>Total assets for each of our business segments were as follows (in millions):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8"/>
        </w:trPr>
        <w:tc>
          <w:tcPr>
            <w:tcW w:w="7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jc w:val="right"/>
              <w:ind w:right="190"/>
              <w:spacing w:after="0" w:line="199" w:lineRule="exact"/>
              <w:rPr>
                <w:sz w:val="20"/>
                <w:szCs w:val="20"/>
                <w:color w:val="auto"/>
              </w:rPr>
            </w:pPr>
            <w:r>
              <w:rPr>
                <w:rFonts w:ascii="Arial" w:cs="Arial" w:eastAsia="Arial" w:hAnsi="Arial"/>
                <w:sz w:val="18"/>
                <w:szCs w:val="18"/>
                <w:b w:val="1"/>
                <w:bCs w:val="1"/>
                <w:color w:val="auto"/>
              </w:rPr>
              <w:t>June 26,</w:t>
            </w:r>
          </w:p>
        </w:tc>
        <w:tc>
          <w:tcPr>
            <w:tcW w:w="420" w:type="dxa"/>
            <w:vAlign w:val="bottom"/>
          </w:tcPr>
          <w:p>
            <w:pPr>
              <w:spacing w:after="0"/>
              <w:rPr>
                <w:sz w:val="17"/>
                <w:szCs w:val="17"/>
                <w:color w:val="auto"/>
              </w:rPr>
            </w:pPr>
          </w:p>
        </w:tc>
        <w:tc>
          <w:tcPr>
            <w:tcW w:w="14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7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Aeronautics</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12,168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10,756</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Missiles and Fire Control</w:t>
            </w:r>
          </w:p>
        </w:tc>
        <w:tc>
          <w:tcPr>
            <w:tcW w:w="1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5,795</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5,243</w:t>
            </w: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Rotary and Mission Systems</w:t>
            </w:r>
          </w:p>
        </w:tc>
        <w:tc>
          <w:tcPr>
            <w:tcW w:w="10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18,092</w:t>
            </w:r>
          </w:p>
        </w:tc>
        <w:tc>
          <w:tcPr>
            <w:tcW w:w="4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17,664</w:t>
            </w:r>
          </w:p>
        </w:tc>
      </w:tr>
      <w:tr>
        <w:trPr>
          <w:trHeight w:val="229"/>
        </w:trPr>
        <w:tc>
          <w:tcPr>
            <w:tcW w:w="7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w:t>
            </w:r>
          </w:p>
        </w:tc>
        <w:tc>
          <w:tcPr>
            <w:tcW w:w="1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6,527</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6,199</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business segment assets</w:t>
            </w:r>
          </w:p>
        </w:tc>
        <w:tc>
          <w:tcPr>
            <w:tcW w:w="10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42,582</w:t>
            </w:r>
          </w:p>
        </w:tc>
        <w:tc>
          <w:tcPr>
            <w:tcW w:w="4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39,862</w:t>
            </w:r>
          </w:p>
        </w:tc>
      </w:tr>
      <w:tr>
        <w:trPr>
          <w:trHeight w:val="229"/>
        </w:trPr>
        <w:tc>
          <w:tcPr>
            <w:tcW w:w="7200" w:type="dxa"/>
            <w:vAlign w:val="bottom"/>
            <w:tcBorders>
              <w:bottom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Corporate assets </w:t>
            </w:r>
            <w:r>
              <w:rPr>
                <w:rFonts w:ascii="Arial" w:cs="Arial" w:eastAsia="Arial" w:hAnsi="Arial"/>
                <w:sz w:val="23"/>
                <w:szCs w:val="23"/>
                <w:color w:val="auto"/>
                <w:vertAlign w:val="superscript"/>
              </w:rPr>
              <w:t>(a)</w:t>
            </w:r>
          </w:p>
        </w:tc>
        <w:tc>
          <w:tcPr>
            <w:tcW w:w="1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9,176</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11,011</w:t>
            </w:r>
          </w:p>
        </w:tc>
      </w:tr>
      <w:tr>
        <w:trPr>
          <w:trHeight w:val="230"/>
        </w:trPr>
        <w:tc>
          <w:tcPr>
            <w:tcW w:w="72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51,758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50,873</w:t>
            </w:r>
          </w:p>
        </w:tc>
      </w:tr>
    </w:tbl>
    <w:p>
      <w:pPr>
        <w:spacing w:after="0" w:line="134" w:lineRule="exact"/>
        <w:rPr>
          <w:sz w:val="20"/>
          <w:szCs w:val="20"/>
          <w:color w:val="auto"/>
        </w:rPr>
      </w:pPr>
    </w:p>
    <w:p>
      <w:pPr>
        <w:ind w:left="420" w:hanging="412"/>
        <w:spacing w:after="0" w:line="227" w:lineRule="auto"/>
        <w:tabs>
          <w:tab w:leader="none" w:pos="41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Corporate assets primarily include cash and cash equivalents, deferred income taxes, assets for the portion of environmental costs that are probable of future recovery, investments held in a separate trust and investments held in the Lockheed Martin Ventures Fund.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CONTRACT ASSETS AND LIABILITIES</w:t>
      </w:r>
    </w:p>
    <w:p>
      <w:pPr>
        <w:spacing w:after="0" w:line="185" w:lineRule="exact"/>
        <w:rPr>
          <w:sz w:val="20"/>
          <w:szCs w:val="20"/>
          <w:color w:val="auto"/>
        </w:rPr>
      </w:pPr>
    </w:p>
    <w:p>
      <w:pPr>
        <w:ind w:right="80" w:firstLine="405"/>
        <w:spacing w:after="0" w:line="266" w:lineRule="auto"/>
        <w:rPr>
          <w:sz w:val="20"/>
          <w:szCs w:val="20"/>
          <w:color w:val="auto"/>
        </w:rPr>
      </w:pPr>
      <w:r>
        <w:rPr>
          <w:rFonts w:ascii="Arial" w:cs="Arial" w:eastAsia="Arial" w:hAnsi="Arial"/>
          <w:sz w:val="18"/>
          <w:szCs w:val="18"/>
          <w:color w:val="auto"/>
        </w:rPr>
        <w:t>Contract assets include unbilled amounts typically resulting from sales under contracts when the percentage-of-completion cost-to-cost method of revenue recognition is utilized and revenue recognized exceeds the amount billed to the customer. Contract liabilities include advance payments and billings in excess of revenue recognized. Contract assets and contract liabilities were as follows (in millions):</w:t>
      </w: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June 26,</w:t>
            </w:r>
          </w:p>
        </w:tc>
        <w:tc>
          <w:tcPr>
            <w:tcW w:w="420" w:type="dxa"/>
            <w:vAlign w:val="bottom"/>
          </w:tcPr>
          <w:p>
            <w:pPr>
              <w:spacing w:after="0"/>
              <w:rPr>
                <w:sz w:val="15"/>
                <w:szCs w:val="15"/>
                <w:color w:val="auto"/>
              </w:rPr>
            </w:pPr>
          </w:p>
        </w:tc>
        <w:tc>
          <w:tcPr>
            <w:tcW w:w="142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470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5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11,753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10,579</w:t>
            </w:r>
          </w:p>
        </w:tc>
      </w:tr>
      <w:tr>
        <w:trPr>
          <w:trHeight w:val="23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8,077</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8,107</w:t>
            </w:r>
          </w:p>
        </w:tc>
      </w:tr>
    </w:tbl>
    <w:p>
      <w:pPr>
        <w:spacing w:after="0" w:line="251"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Contract assets increased $ 1.2 billion during the six months ended June 26, 2022, due to the recognition of revenue related to the satisfaction or partial satisfaction of performance obligations during the six months ended June 26, 2022 for which we have not yet billed our customers (primarily on the F-35 program at Aeronautics). There were no significant credit or impairment losses related to our contract assets during the quarters and six months ended June 26, 2022 and June 27, 2021.</w:t>
      </w:r>
    </w:p>
    <w:p>
      <w:pPr>
        <w:spacing w:after="0" w:line="136"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Contract liabilities decreased $30 million during the six months ended June 26, 2022, primarily due to revenue recognized in excess of payments received on these performance obligations. During the quarter and six months ended June 26, 2022, we recognized $1.4 billion and $3.5 billion of our contract liabilities at December 31, 2021 as revenue. During the quarter and six months ended June 27, 2021, we recognized $900 million and $3.2 billion of our contract liabilities at December 31, 2020 as revenue.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8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97"/>
        </w:trPr>
        <w:tc>
          <w:tcPr>
            <w:tcW w:w="6180" w:type="dxa"/>
            <w:vAlign w:val="bottom"/>
          </w:tcPr>
          <w:p>
            <w:pPr>
              <w:ind w:left="460"/>
              <w:spacing w:after="0"/>
              <w:rPr>
                <w:sz w:val="20"/>
                <w:szCs w:val="20"/>
                <w:color w:val="auto"/>
              </w:rPr>
            </w:pPr>
            <w:r>
              <w:rPr>
                <w:rFonts w:ascii="Arial" w:cs="Arial" w:eastAsia="Arial" w:hAnsi="Arial"/>
                <w:sz w:val="18"/>
                <w:szCs w:val="18"/>
                <w:color w:val="auto"/>
              </w:rPr>
              <w:t>Inventories consisted of the following (in millions):</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8"/>
        </w:trPr>
        <w:tc>
          <w:tcPr>
            <w:tcW w:w="6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60" w:type="dxa"/>
            <w:vAlign w:val="bottom"/>
          </w:tcPr>
          <w:p>
            <w:pPr>
              <w:jc w:val="right"/>
              <w:ind w:right="190"/>
              <w:spacing w:after="0" w:line="199" w:lineRule="exact"/>
              <w:rPr>
                <w:sz w:val="20"/>
                <w:szCs w:val="20"/>
                <w:color w:val="auto"/>
              </w:rPr>
            </w:pPr>
            <w:r>
              <w:rPr>
                <w:rFonts w:ascii="Arial" w:cs="Arial" w:eastAsia="Arial" w:hAnsi="Arial"/>
                <w:sz w:val="18"/>
                <w:szCs w:val="18"/>
                <w:b w:val="1"/>
                <w:bCs w:val="1"/>
                <w:color w:val="auto"/>
              </w:rPr>
              <w:t>June 26,</w:t>
            </w:r>
          </w:p>
        </w:tc>
        <w:tc>
          <w:tcPr>
            <w:tcW w:w="420" w:type="dxa"/>
            <w:vAlign w:val="bottom"/>
          </w:tcPr>
          <w:p>
            <w:pPr>
              <w:spacing w:after="0"/>
              <w:rPr>
                <w:sz w:val="17"/>
                <w:szCs w:val="17"/>
                <w:color w:val="auto"/>
              </w:rPr>
            </w:pPr>
          </w:p>
        </w:tc>
        <w:tc>
          <w:tcPr>
            <w:tcW w:w="1420" w:type="dxa"/>
            <w:vAlign w:val="bottom"/>
          </w:tcPr>
          <w:p>
            <w:pPr>
              <w:jc w:val="right"/>
              <w:ind w:right="13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spares and supplies</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624</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4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2,622</w:t>
            </w:r>
          </w:p>
        </w:tc>
        <w:tc>
          <w:tcPr>
            <w:tcW w:w="42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2,163</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195</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194</w:t>
            </w:r>
          </w:p>
        </w:tc>
      </w:tr>
      <w:tr>
        <w:trPr>
          <w:trHeight w:val="230"/>
        </w:trPr>
        <w:tc>
          <w:tcPr>
            <w:tcW w:w="6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inventories</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3,431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2,981</w:t>
            </w:r>
          </w:p>
        </w:tc>
      </w:tr>
    </w:tbl>
    <w:p>
      <w:pPr>
        <w:spacing w:after="0" w:line="25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As of June 26, 2022 and December 31, 2021, $1.1 billion and $634 million of pre-contract costs were included in inventories. The increase in pre-contract costs as of June 26, 2022 is primarily driven by delays in receiving additional contractual authorization and funding of the Lots 15-17 contract of the F-35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POSTRETIREMENT BENEFIT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 (expense) income</w:t>
      </w:r>
    </w:p>
    <w:p>
      <w:pPr>
        <w:spacing w:after="0" w:line="198"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pretax FAS (expense) income related to our qualified defined benefit pension plans and retiree medical and life insurance plans consisted of the following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Quarters Ended</w:t>
            </w:r>
          </w:p>
        </w:tc>
        <w:tc>
          <w:tcPr>
            <w:tcW w:w="4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26,</w:t>
            </w:r>
          </w:p>
        </w:tc>
        <w:tc>
          <w:tcPr>
            <w:tcW w:w="500" w:type="dxa"/>
            <w:vAlign w:val="bottom"/>
          </w:tcPr>
          <w:p>
            <w:pPr>
              <w:spacing w:after="0"/>
              <w:rPr>
                <w:sz w:val="14"/>
                <w:szCs w:val="14"/>
                <w:color w:val="auto"/>
              </w:rPr>
            </w:pPr>
          </w:p>
        </w:tc>
        <w:tc>
          <w:tcPr>
            <w:tcW w:w="10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June 27,</w:t>
            </w:r>
          </w:p>
        </w:tc>
        <w:tc>
          <w:tcPr>
            <w:tcW w:w="460" w:type="dxa"/>
            <w:vAlign w:val="bottom"/>
          </w:tcPr>
          <w:p>
            <w:pPr>
              <w:spacing w:after="0"/>
              <w:rPr>
                <w:sz w:val="14"/>
                <w:szCs w:val="14"/>
                <w:color w:val="auto"/>
              </w:rPr>
            </w:pPr>
          </w:p>
        </w:tc>
        <w:tc>
          <w:tcPr>
            <w:tcW w:w="11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June 26,</w:t>
            </w:r>
          </w:p>
        </w:tc>
        <w:tc>
          <w:tcPr>
            <w:tcW w:w="500" w:type="dxa"/>
            <w:vAlign w:val="bottom"/>
          </w:tcPr>
          <w:p>
            <w:pPr>
              <w:spacing w:after="0"/>
              <w:rPr>
                <w:sz w:val="14"/>
                <w:szCs w:val="14"/>
                <w:color w:val="auto"/>
              </w:rPr>
            </w:pPr>
          </w:p>
        </w:tc>
        <w:tc>
          <w:tcPr>
            <w:tcW w:w="126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4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Qualified defined benefit pension plans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(24)</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(48)</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(54)</w:t>
            </w:r>
          </w:p>
        </w:tc>
      </w:tr>
      <w:tr>
        <w:trPr>
          <w:trHeight w:val="229"/>
        </w:trPr>
        <w:tc>
          <w:tcPr>
            <w:tcW w:w="4960" w:type="dxa"/>
            <w:vAlign w:val="bottom"/>
          </w:tcPr>
          <w:p>
            <w:pPr>
              <w:ind w:left="120"/>
              <w:spacing w:after="0"/>
              <w:rPr>
                <w:sz w:val="20"/>
                <w:szCs w:val="20"/>
                <w:color w:val="auto"/>
              </w:rPr>
            </w:pPr>
            <w:r>
              <w:rPr>
                <w:rFonts w:ascii="Arial" w:cs="Arial" w:eastAsia="Arial" w:hAnsi="Arial"/>
                <w:sz w:val="18"/>
                <w:szCs w:val="18"/>
                <w:color w:val="auto"/>
              </w:rPr>
              <w:t>Non-operating:</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(303)</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(605)</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(621)</w:t>
            </w: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503</w:t>
            </w:r>
          </w:p>
        </w:tc>
        <w:tc>
          <w:tcPr>
            <w:tcW w:w="5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569</w:t>
            </w:r>
          </w:p>
        </w:tc>
        <w:tc>
          <w:tcPr>
            <w:tcW w:w="46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1,005</w:t>
            </w:r>
          </w:p>
        </w:tc>
        <w:tc>
          <w:tcPr>
            <w:tcW w:w="50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1,138</w:t>
            </w: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net actuarial losses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(151)</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(252)</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(301)</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(504)</w:t>
            </w: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Amortization of prior service credits</w:t>
            </w:r>
          </w:p>
        </w:tc>
        <w:tc>
          <w:tcPr>
            <w:tcW w:w="26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90</w:t>
            </w:r>
          </w:p>
        </w:tc>
        <w:tc>
          <w:tcPr>
            <w:tcW w:w="5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180</w:t>
            </w:r>
          </w:p>
        </w:tc>
        <w:tc>
          <w:tcPr>
            <w:tcW w:w="50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174</w:t>
            </w:r>
          </w:p>
        </w:tc>
      </w:tr>
      <w:tr>
        <w:trPr>
          <w:trHeight w:val="230"/>
        </w:trPr>
        <w:tc>
          <w:tcPr>
            <w:tcW w:w="4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Pension settlement charge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(1,470)</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(1,470)</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Non-service FAS pension (expense)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(1,331)</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94</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(1,191)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187</w:t>
            </w:r>
          </w:p>
        </w:tc>
      </w:tr>
      <w:tr>
        <w:trPr>
          <w:trHeight w:val="230"/>
        </w:trPr>
        <w:tc>
          <w:tcPr>
            <w:tcW w:w="4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FAS pension (expense)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(1,355)</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67</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(1,239)</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133</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Retiree medical and life insurance plans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(7)</w:t>
            </w:r>
          </w:p>
        </w:tc>
      </w:tr>
      <w:tr>
        <w:trPr>
          <w:trHeight w:val="22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(24)</w:t>
            </w:r>
          </w:p>
        </w:tc>
        <w:tc>
          <w:tcPr>
            <w:tcW w:w="5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(26)</w:t>
            </w: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34</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70</w:t>
            </w: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Recognized net actuarial gains</w:t>
            </w:r>
          </w:p>
        </w:tc>
        <w:tc>
          <w:tcPr>
            <w:tcW w:w="26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23</w:t>
            </w:r>
          </w:p>
        </w:tc>
        <w:tc>
          <w:tcPr>
            <w:tcW w:w="50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r>
      <w:tr>
        <w:trPr>
          <w:trHeight w:val="223"/>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Non-service FAS retiree medical and life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27</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53</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w:t>
            </w:r>
          </w:p>
        </w:tc>
      </w:tr>
      <w:tr>
        <w:trPr>
          <w:trHeight w:val="230"/>
        </w:trPr>
        <w:tc>
          <w:tcPr>
            <w:tcW w:w="4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FAS retiree medical and life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49</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record the service cost component of FAS (expense) income for our qualified defined benefit plans and retiree medical and life insurance plans in the cost of sales accounts; the non-service components of our FAS (expense) income for our qualified defined benefit pension plans in the non-service FAS pension (expense) income account; and the non-service components of our FAS (expense) income for our retiree medical and life insurance plans as part of the other non-operating (expense) income, net account on our consolidated statements of earnings.</w:t>
      </w:r>
    </w:p>
    <w:p>
      <w:pPr>
        <w:spacing w:after="0" w:line="152" w:lineRule="exact"/>
        <w:rPr>
          <w:sz w:val="20"/>
          <w:szCs w:val="20"/>
          <w:color w:val="auto"/>
        </w:rPr>
      </w:pPr>
    </w:p>
    <w:p>
      <w:pPr>
        <w:ind w:right="20" w:firstLine="405"/>
        <w:spacing w:after="0" w:line="260" w:lineRule="auto"/>
        <w:rPr>
          <w:sz w:val="20"/>
          <w:szCs w:val="20"/>
          <w:color w:val="auto"/>
        </w:rPr>
      </w:pPr>
      <w:r>
        <w:rPr>
          <w:rFonts w:ascii="Arial" w:cs="Arial" w:eastAsia="Arial" w:hAnsi="Arial"/>
          <w:sz w:val="18"/>
          <w:szCs w:val="18"/>
          <w:color w:val="auto"/>
        </w:rPr>
        <w:t>The recognized net actuarial losses or gains and amortization of prior service credits or costs in the table above, along with similar costs related to our other postretirement benefit plans ($6 million and $11 million for the quarter and six months ended June 26, 2022 and</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$3 million and $7 million for the quarter and six months ended June 27, 2021) were reclassified from accumulated other comprehensive loss (AOCL) and recorded as a component of FAS (expense) income for the periods presented. These costs totaled $62 million ($47 million, net of tax) and $123 million ($95 million, net of tax) during the quarter and six months ended June 26, 2022, and $177 million ($140 million, net of tax) and $355 million ($280 million, net of tax) during the quarter and six months ended June 27, 2021 and were recorded on our consolidated statements of comprehensive income as an increase to other comprehensive income.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Group Annuity Contracts and Pension Remeasurement</w:t>
      </w:r>
    </w:p>
    <w:p>
      <w:pPr>
        <w:spacing w:after="0" w:line="18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On June 24, 2022, we purchased group annuity contracts to transfer $4.3 billion of gross defined benefit pension obligations and related plan assets to an insurance company for approximately 13,600 U.S. retirees and beneficiaries. The group annuity contracts were purchased using assets from Lockheed Martin’s master retirement trust and no additional funding contribution was required. This transaction had no impact on the amount, timing, or form of the monthly retirement benefit payments to the affected retirees and beneficiaries. In connection with this transaction, we recognized a noncash, non-operating pension settlement charge of $1.5 billion ($1.2 billion, or $4.33 per share, after-tax) for the affected plans in the quarter ended June 26, 2022, which represents the accelerated recognition of actuarial losses that were included in the AOCL account within stockholders’ equity.</w:t>
      </w:r>
    </w:p>
    <w:p>
      <w:pPr>
        <w:spacing w:after="0" w:line="156"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As a result of this transaction, we were required to remeasure the benefit obligations and plan assets for the affected defined benefit pension plans as of the June 24, 2022 close date. The remeasurement reflects the use of an updated discount rate and actual return on plan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The following table provides a reconciliation of the benefit obligations, plan assets and net unfunded status related to all of our qualified defined benefit pension plans, inclusive of the plans affected by the interim remeasurement and plans that were not affected, for the six months ended June 26, 2022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5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Beginning balance at December 31, 2021</w:t>
            </w:r>
          </w:p>
        </w:tc>
        <w:tc>
          <w:tcPr>
            <w:tcW w:w="3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43,447</w:t>
            </w: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48</w:t>
            </w: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52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605</w:t>
            </w: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(776)</w:t>
            </w:r>
          </w:p>
        </w:tc>
      </w:tr>
      <w:tr>
        <w:trPr>
          <w:trHeight w:val="229"/>
        </w:trPr>
        <w:tc>
          <w:tcPr>
            <w:tcW w:w="6600" w:type="dxa"/>
            <w:vAlign w:val="bottom"/>
          </w:tcPr>
          <w:p>
            <w:pPr>
              <w:ind w:left="360"/>
              <w:spacing w:after="0" w:line="230" w:lineRule="exact"/>
              <w:rPr>
                <w:sz w:val="20"/>
                <w:szCs w:val="20"/>
                <w:color w:val="auto"/>
              </w:rPr>
            </w:pPr>
            <w:r>
              <w:rPr>
                <w:rFonts w:ascii="Arial" w:cs="Arial" w:eastAsia="Arial" w:hAnsi="Arial"/>
                <w:sz w:val="18"/>
                <w:szCs w:val="18"/>
                <w:color w:val="auto"/>
              </w:rPr>
              <w:t>Settlements</w:t>
            </w:r>
            <w:r>
              <w:rPr>
                <w:rFonts w:ascii="Arial" w:cs="Arial" w:eastAsia="Arial" w:hAnsi="Arial"/>
                <w:sz w:val="23"/>
                <w:szCs w:val="23"/>
                <w:color w:val="auto"/>
                <w:vertAlign w:val="superscript"/>
              </w:rPr>
              <w:t>(a)</w:t>
            </w:r>
          </w:p>
        </w:tc>
        <w:tc>
          <w:tcPr>
            <w:tcW w:w="352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(4,309)</w:t>
            </w: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amendments</w:t>
            </w:r>
          </w:p>
        </w:tc>
        <w:tc>
          <w:tcPr>
            <w:tcW w:w="3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w:t>
            </w:r>
          </w:p>
        </w:tc>
      </w:tr>
      <w:tr>
        <w:trPr>
          <w:trHeight w:val="230"/>
        </w:trPr>
        <w:tc>
          <w:tcPr>
            <w:tcW w:w="66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Actuarial (gains) losses</w:t>
            </w:r>
            <w:r>
              <w:rPr>
                <w:rFonts w:ascii="Arial" w:cs="Arial" w:eastAsia="Arial" w:hAnsi="Arial"/>
                <w:sz w:val="23"/>
                <w:szCs w:val="23"/>
                <w:color w:val="auto"/>
                <w:vertAlign w:val="superscript"/>
              </w:rPr>
              <w:t>(b)</w:t>
            </w:r>
          </w:p>
        </w:tc>
        <w:tc>
          <w:tcPr>
            <w:tcW w:w="3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(7,928)</w:t>
            </w:r>
          </w:p>
        </w:tc>
      </w:tr>
      <w:tr>
        <w:trPr>
          <w:trHeight w:val="223"/>
        </w:trPr>
        <w:tc>
          <w:tcPr>
            <w:tcW w:w="6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Ending balance at June 26, 2022</w:t>
            </w:r>
          </w:p>
        </w:tc>
        <w:tc>
          <w:tcPr>
            <w:tcW w:w="3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31,117</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at December 31, 2021</w:t>
            </w:r>
          </w:p>
        </w:tc>
        <w:tc>
          <w:tcPr>
            <w:tcW w:w="35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35,192</w:t>
            </w:r>
          </w:p>
        </w:tc>
      </w:tr>
      <w:tr>
        <w:trPr>
          <w:trHeight w:val="230"/>
        </w:trPr>
        <w:tc>
          <w:tcPr>
            <w:tcW w:w="6600" w:type="dxa"/>
            <w:vAlign w:val="bottom"/>
          </w:tcPr>
          <w:p>
            <w:pPr>
              <w:ind w:left="360"/>
              <w:spacing w:after="0" w:line="230" w:lineRule="exact"/>
              <w:rPr>
                <w:sz w:val="20"/>
                <w:szCs w:val="20"/>
                <w:color w:val="auto"/>
              </w:rPr>
            </w:pPr>
            <w:r>
              <w:rPr>
                <w:rFonts w:ascii="Arial" w:cs="Arial" w:eastAsia="Arial" w:hAnsi="Arial"/>
                <w:sz w:val="18"/>
                <w:szCs w:val="18"/>
                <w:color w:val="auto"/>
              </w:rPr>
              <w:t>Actual return on plan assets</w:t>
            </w:r>
            <w:r>
              <w:rPr>
                <w:rFonts w:ascii="Arial" w:cs="Arial" w:eastAsia="Arial" w:hAnsi="Arial"/>
                <w:sz w:val="23"/>
                <w:szCs w:val="23"/>
                <w:color w:val="auto"/>
                <w:vertAlign w:val="superscript"/>
              </w:rPr>
              <w:t>(c)</w:t>
            </w:r>
          </w:p>
        </w:tc>
        <w:tc>
          <w:tcPr>
            <w:tcW w:w="352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(4,734)</w:t>
            </w: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(776)</w:t>
            </w:r>
          </w:p>
        </w:tc>
      </w:tr>
      <w:tr>
        <w:trPr>
          <w:trHeight w:val="229"/>
        </w:trPr>
        <w:tc>
          <w:tcPr>
            <w:tcW w:w="660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Settlements</w:t>
            </w:r>
            <w:r>
              <w:rPr>
                <w:rFonts w:ascii="Arial" w:cs="Arial" w:eastAsia="Arial" w:hAnsi="Arial"/>
                <w:sz w:val="23"/>
                <w:szCs w:val="23"/>
                <w:color w:val="auto"/>
                <w:vertAlign w:val="superscript"/>
              </w:rPr>
              <w:t>(a)</w:t>
            </w:r>
          </w:p>
        </w:tc>
        <w:tc>
          <w:tcPr>
            <w:tcW w:w="3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(4,309)</w:t>
            </w:r>
          </w:p>
        </w:tc>
      </w:tr>
      <w:tr>
        <w:trPr>
          <w:trHeight w:val="223"/>
        </w:trPr>
        <w:tc>
          <w:tcPr>
            <w:tcW w:w="6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Ending balance at June 26, 2022</w:t>
            </w:r>
          </w:p>
        </w:tc>
        <w:tc>
          <w:tcPr>
            <w:tcW w:w="3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25,373</w:t>
            </w:r>
          </w:p>
        </w:tc>
      </w:tr>
      <w:tr>
        <w:trPr>
          <w:trHeight w:val="223"/>
        </w:trPr>
        <w:tc>
          <w:tcPr>
            <w:tcW w:w="6600" w:type="dxa"/>
            <w:vAlign w:val="bottom"/>
            <w:tcBorders>
              <w:bottom w:val="single" w:sz="8" w:color="auto"/>
            </w:tcBorders>
          </w:tcPr>
          <w:p>
            <w:pPr>
              <w:ind w:left="140"/>
              <w:spacing w:after="0" w:line="223" w:lineRule="exact"/>
              <w:rPr>
                <w:sz w:val="20"/>
                <w:szCs w:val="20"/>
                <w:color w:val="auto"/>
              </w:rPr>
            </w:pPr>
            <w:r>
              <w:rPr>
                <w:rFonts w:ascii="Arial" w:cs="Arial" w:eastAsia="Arial" w:hAnsi="Arial"/>
                <w:sz w:val="18"/>
                <w:szCs w:val="18"/>
                <w:b w:val="1"/>
                <w:bCs w:val="1"/>
                <w:color w:val="auto"/>
              </w:rPr>
              <w:t>Net unfunded status of the plans</w:t>
            </w:r>
            <w:r>
              <w:rPr>
                <w:rFonts w:ascii="Arial" w:cs="Arial" w:eastAsia="Arial" w:hAnsi="Arial"/>
                <w:sz w:val="23"/>
                <w:szCs w:val="23"/>
                <w:b w:val="1"/>
                <w:bCs w:val="1"/>
                <w:color w:val="auto"/>
                <w:vertAlign w:val="superscript"/>
              </w:rPr>
              <w:t>(d)</w:t>
            </w:r>
          </w:p>
        </w:tc>
        <w:tc>
          <w:tcPr>
            <w:tcW w:w="3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(5,744)</w:t>
            </w:r>
          </w:p>
        </w:tc>
      </w:tr>
    </w:tbl>
    <w:p>
      <w:pPr>
        <w:spacing w:after="0" w:line="220" w:lineRule="exact"/>
        <w:rPr>
          <w:sz w:val="20"/>
          <w:szCs w:val="20"/>
          <w:color w:val="auto"/>
        </w:rPr>
      </w:pPr>
    </w:p>
    <w:p>
      <w:pPr>
        <w:ind w:left="420" w:right="100" w:hanging="412"/>
        <w:spacing w:after="0" w:line="231" w:lineRule="auto"/>
        <w:tabs>
          <w:tab w:leader="none" w:pos="413"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the transfer of gross defined benefit pension obligations and related plan assets to an insurance company pursuant to the group annuity contracts purchased on June 24, 2022, as described above.</w:t>
      </w:r>
    </w:p>
    <w:p>
      <w:pPr>
        <w:spacing w:after="0" w:line="11" w:lineRule="exact"/>
        <w:rPr>
          <w:rFonts w:ascii="Arial" w:cs="Arial" w:eastAsia="Arial" w:hAnsi="Arial"/>
          <w:sz w:val="19"/>
          <w:szCs w:val="19"/>
          <w:color w:val="auto"/>
          <w:vertAlign w:val="superscript"/>
        </w:rPr>
      </w:pPr>
    </w:p>
    <w:p>
      <w:pPr>
        <w:ind w:left="400" w:hanging="392"/>
        <w:spacing w:after="0"/>
        <w:tabs>
          <w:tab w:leader="none" w:pos="40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Primarily reflects an increase in the discount rate from 2.875% at December 31, 2021 to 4.75% at the remeasurement date.</w:t>
      </w:r>
    </w:p>
    <w:p>
      <w:pPr>
        <w:spacing w:after="0" w:line="39" w:lineRule="exact"/>
        <w:rPr>
          <w:rFonts w:ascii="Arial" w:cs="Arial" w:eastAsia="Arial" w:hAnsi="Arial"/>
          <w:sz w:val="19"/>
          <w:szCs w:val="19"/>
          <w:color w:val="auto"/>
          <w:vertAlign w:val="superscript"/>
        </w:rPr>
      </w:pPr>
    </w:p>
    <w:p>
      <w:pPr>
        <w:ind w:left="420" w:right="500" w:hanging="412"/>
        <w:spacing w:after="0" w:line="272" w:lineRule="auto"/>
        <w:tabs>
          <w:tab w:leader="none" w:pos="407" w:val="left"/>
        </w:tabs>
        <w:numPr>
          <w:ilvl w:val="0"/>
          <w:numId w:val="5"/>
        </w:numPr>
        <w:rPr>
          <w:rFonts w:ascii="Arial" w:cs="Arial" w:eastAsia="Arial" w:hAnsi="Arial"/>
          <w:sz w:val="9"/>
          <w:szCs w:val="9"/>
          <w:color w:val="auto"/>
        </w:rPr>
      </w:pPr>
      <w:r>
        <w:rPr>
          <w:rFonts w:ascii="Arial" w:cs="Arial" w:eastAsia="Arial" w:hAnsi="Arial"/>
          <w:sz w:val="14"/>
          <w:szCs w:val="14"/>
          <w:color w:val="auto"/>
        </w:rPr>
        <w:t>The actual return on plan assets for the period January 1, 2022 through the June 24, 2022 remeasurement date for the affected plans was approximately (16%), or $(4.7) billion which was approximately $5.7 billion lower (the incremental loss) than our expected return on plan assets of 3.25% for the period, or $1.0 billion (the proportional effect, or approximately half of our expected 6.50% annual long-term rate of return on plan assets assumption), for the period.</w:t>
      </w:r>
    </w:p>
    <w:p>
      <w:pPr>
        <w:spacing w:after="0" w:line="19" w:lineRule="exact"/>
        <w:rPr>
          <w:rFonts w:ascii="Arial" w:cs="Arial" w:eastAsia="Arial" w:hAnsi="Arial"/>
          <w:sz w:val="9"/>
          <w:szCs w:val="9"/>
          <w:color w:val="auto"/>
        </w:rPr>
      </w:pPr>
    </w:p>
    <w:p>
      <w:pPr>
        <w:ind w:left="420" w:right="40" w:hanging="412"/>
        <w:spacing w:after="0"/>
        <w:tabs>
          <w:tab w:leader="none" w:pos="413"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For plans where the benefit obligation is in excess of plan assets, we report the net obligation (which was $5,808 million as of June 26, 2022) as part of accrued pension liabilities on our consolidated balance sheet. Conversely, for plans where the assets exceed the benefit obligation, we include the net asset (which was $64 million as of June 26, 2022) as part of other noncurrent assets on our consolidated balance sheet. The net unfunded status of the plans of $5,744 million in the table above represents the net total of these two amounts.</w:t>
      </w:r>
    </w:p>
    <w:p>
      <w:pPr>
        <w:spacing w:after="0" w:line="15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plan remeasurement resulted in a decrease of $2.2 billion to our net unfunded pension obligations (which includes the change in benefit obligation due to remeasurement of $7.9 billion and the incremental loss on plan assets recognized in remeasurement of $5.7 billion) with a corresponding increase of $1.7 billion after taxes in stockholders’ equity. The change in stockholders’ equity reflects the decrease in deferred actuarial losses, which will be recognized as an increase in net FAS pension income (or a decrease in net FAS pension expense) over the estimated remaining life expectancy of the covered employees beginning in the third quarter of 2022.</w:t>
      </w:r>
    </w:p>
    <w:p>
      <w:pPr>
        <w:spacing w:after="0" w:line="152" w:lineRule="exact"/>
        <w:rPr>
          <w:sz w:val="20"/>
          <w:szCs w:val="20"/>
          <w:color w:val="auto"/>
        </w:rPr>
      </w:pPr>
    </w:p>
    <w:p>
      <w:pPr>
        <w:jc w:val="both"/>
        <w:ind w:right="40" w:firstLine="405"/>
        <w:spacing w:after="0" w:line="262" w:lineRule="auto"/>
        <w:rPr>
          <w:sz w:val="20"/>
          <w:szCs w:val="20"/>
          <w:color w:val="auto"/>
        </w:rPr>
      </w:pPr>
      <w:r>
        <w:rPr>
          <w:rFonts w:ascii="Arial" w:cs="Arial" w:eastAsia="Arial" w:hAnsi="Arial"/>
          <w:sz w:val="18"/>
          <w:szCs w:val="18"/>
          <w:color w:val="auto"/>
        </w:rPr>
        <w:t>We now expect FAS pension expense of approximately $1.1 billion in 2022, inclusive of the noncash, non-operating pension settlement charge of $ 1.5 billion (pretax) described above. Excluding the noncash, non-operating pension settlement charge, our expected FAS pension income will be approximately $410 million in 2022, which is $50 million lower than our prior 2022 FAS pension income estimate of $460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5"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color w:val="auto"/>
        </w:rPr>
        <w:t>The required funding of our qualified defined benefit pension plans is determined in accordance with the Employee Retirement Income Security Act of 1974 (ERISA), as amended, along with consideration of CAS and Internal Revenue Code rules. We made no contributions to our qualified defined benefit pension plans during the quarters and six months ended June 26, 2022 and June 27,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LEGAL PROCEEDINGS AND CONTINGENCIES</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corporation as a whole, notwithstanding that the unfavorable resolution of any matter may have a material effect on our net earnings and cash flows in any particular interim reporting period.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spacing w:after="0" w:line="14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of America, ex rel. Patzer; Cimma v. Sikorsky Aircraft Corp., et al.</w:t>
      </w:r>
    </w:p>
    <w:p>
      <w:pPr>
        <w:spacing w:after="0" w:line="18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a result of our acquisition of Sikorsky Aircraft Corporation (Sikorsky), we assumed the defense of and any potential liability for two civil False Claims Act lawsuits pending in the U.S. District Court for the Eastern District of Wisconsin. In October 2014, the U.S. Government filed a complaint in intervention in the first suit, which was brought by qui tam relator Mary Patzer, a former Derco Aerospace (Derco) employee. In May 2017, the U.S. Government filed a complaint in intervention in a second suit, which was brought by qui tam relator Peter Cimma, a former Sikorsky Support Services, Inc. (SSSI) employee. In November 2017, the Court consolidated the cases into a single action for discovery and trial.</w:t>
      </w:r>
    </w:p>
    <w:p>
      <w:pPr>
        <w:spacing w:after="0" w:line="142"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U.S. Government alleges that Sikorsky and two of its wholly-owned subsidiaries, Derco and SSSI, violated the civil False Claims Act and the Truth in Negotiations Act in connection with a contract the U.S. Navy awarded to SSSI in June 2006 to support the Navy’s T-34 and T-44 fixed-wing turboprop training aircraft. SSSI subcontracted with Derco, primarily to procure and manage spare parts for the training aircraft. The U.S. Government contends that SSSI overbilled the Navy on the contract as the result of Derco’s use of prohibited cost-plus-percentage-of-cost (CPPC) pricing to add profit and overhead costs as a percentage of the price of the spare parts that Derco procured and then sold to SSSI. The U.S. Government also alleges that Derco’s claims to SSSI, SSSI’s claims to the Navy, and SSSI’s yearly Certificates of Final Indirect Costs from 2006 through 2012 were false and that SSSI submitted inaccurate cost or pricing data in violation of the Truth in Negotiations Act for a sole-sourced, follow-on “bridge” contract. The U.S. Government’s complaints assert common law claims for breach of contract and unjust enrichment. On November 29, 2021, the District Court granted the U.S. Government’s motion for partial summary judgment, finding that the Derco-SSSI agreement was a CPPC contract.</w:t>
      </w:r>
    </w:p>
    <w:p>
      <w:pPr>
        <w:spacing w:after="0" w:line="15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believe that we have legal and factual defenses to the U.S. Government’s remaining claims. The U.S. Government seeks damages of approximately $52 million, subject to trebling, plus statutory penalties. Although we continue to evaluate our liability and exposure, we do not currently believe that it is probable that we will incur a material loss. If, contrary to our expectations, the U.S. Government prevails on the remaining issues in this matter and proves damages at or near $52 million and is successful in having such damages trebled, the outcome could have an adverse effect on our results of operations in the period in which a liability is recognized and on our cash flows for the period in which any damages are paid.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Lockheed Martin v. Metropolitan Transportation Authority</w:t>
      </w:r>
    </w:p>
    <w:p>
      <w:pPr>
        <w:spacing w:after="0" w:line="18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 -week bench trial and the filing of post-trial pleadings by the parties. We continue to await a decision from the District Court. Although this matter relates to our former Information Systems &amp; Global Solutions (IS&amp;GS) business, we retained responsibility for the litigation when we divested IS&amp;GS in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cost of sales at the time the liability is established or adjusted.</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26, 2022 and December 31, 2021, the aggregate amount of liabilities recorded relative to environmental matters was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$726 million and $742 million, most of which are recorded in other noncurrent liabilities on our consolidated balance sheets. We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assets for the portion of environmental costs that are probable of future recovery totaling $630 million and $645 million at June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and December 31, 2021, most of which are recorded in other noncurrent assets on our consolidated balance sheets.</w:t>
      </w:r>
    </w:p>
    <w:p>
      <w:pPr>
        <w:spacing w:after="0" w:line="18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We are monitoring or investigating a number of former and present operating facilities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we record a liability when it is probable that a loss has occurred or will occur for a particular site and the loss can be reasonably estimated. The amount of liability recorded is based on our estimate of the costs to be incurred for remediation for that site. We do not discount the recorded liabilities, as the amount and timing of future cash payments are not fixed or cannot be reliably determined. We cannot reasonably determine the extent of our financial exposure in all cases as, although a loss may be probable or reasonably possible, in some cases it is not possible at this time to estimate the reasonably possible loss or range of loss. We project costs and recovery of costs over approximately 20 years.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spacing w:after="0" w:line="15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In addition to the proceedings and potential proceedings discussed above, potential new regulations of perchlorate and hexavalent chromium at the federal and state level could adversely affect us. In particular, the U.S. Environmental Protection Agency (EPA) is considering whether to regulate hexavalent chromium at the federal level and the California State Water Resources Control Board continues to reevaluate its existing drinking water standard of 6 ppb for perchlorate.</w:t>
      </w:r>
    </w:p>
    <w:p>
      <w:pPr>
        <w:spacing w:after="0" w:line="13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If substantially lower standards are adopted for perchlorate in California or for hexavalent chromium at the federal level, we expect a material increase in our estimates for environmental liabilities and the related assets for the portion of the increased costs that 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spacing w:after="0" w:line="13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also are evaluating the potential impact of existing and contemplated legal requirements addressing a class of chemicals known generally as per- and polyfluoroalkyl substances (PFAS). PFAS have been used ubiquitously, such as in fire-fighting foams, manufacturing processes, and stain- and stick-resistant products (e.g., Teflon, stain-resistant fabrics). Because we have used products and processes over the years containing some of those compounds, they likely exist as contaminants at many of our environmental remediation</w:t>
      </w:r>
    </w:p>
    <w:p>
      <w:pPr>
        <w:spacing w:after="0" w:line="2"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sites. Governmental authorities have announced plans, and in some instances have begun, to regulate certain of these compounds at extremely low concentrations in drinking water, which could lead to increased cleanup costs at many of our environmental remediation sites.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Surety Bonds and Third-Party Guarantees</w:t>
      </w:r>
    </w:p>
    <w:p>
      <w:pPr>
        <w:spacing w:after="0" w:line="185"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 We had total outstanding letters of credit, surety bonds and third-party guarantees aggregating $3.6 billion at both June 26, 2022 and December 31, 2021. Third-party guarantees do not include guarantees issued on behalf of subsidiaries and other consolidated entities.</w:t>
      </w:r>
    </w:p>
    <w:p>
      <w:pPr>
        <w:spacing w:after="0" w:line="14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At June 26, 2022 and December 31, 2021, third-party guarantees totaled $865 million and $838 million, of which approximately 70%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spacing w:after="0" w:line="15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June 26, 2022 and December 31, 2021, there were no material amounts recorded in our financial statements related to third-party guarantees or novation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spacing w:after="0" w:line="13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and recorded at fair value on a recurring basis consisted of the following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June 26, 2022</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2021</w:t>
            </w:r>
          </w:p>
        </w:tc>
        <w:tc>
          <w:tcPr>
            <w:tcW w:w="980" w:type="dxa"/>
            <w:vAlign w:val="bottom"/>
            <w:tcBorders>
              <w:bottom w:val="single" w:sz="8" w:color="auto"/>
            </w:tcBorders>
          </w:tcPr>
          <w:p>
            <w:pPr>
              <w:spacing w:after="0"/>
              <w:rPr>
                <w:sz w:val="20"/>
                <w:szCs w:val="20"/>
                <w:color w:val="auto"/>
              </w:rPr>
            </w:pPr>
          </w:p>
        </w:tc>
      </w:tr>
      <w:tr>
        <w:trPr>
          <w:trHeight w:val="223"/>
        </w:trPr>
        <w:tc>
          <w:tcPr>
            <w:tcW w:w="3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1,108</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1,108</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Other securities</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627</w:t>
            </w:r>
          </w:p>
        </w:tc>
        <w:tc>
          <w:tcPr>
            <w:tcW w:w="28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415</w:t>
            </w:r>
          </w:p>
        </w:tc>
        <w:tc>
          <w:tcPr>
            <w:tcW w:w="24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212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58</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183</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7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Assets measured at NAV </w:t>
            </w:r>
            <w:r>
              <w:rPr>
                <w:rFonts w:ascii="Arial" w:cs="Arial" w:eastAsia="Arial" w:hAnsi="Arial"/>
                <w:sz w:val="23"/>
                <w:szCs w:val="23"/>
                <w:b w:val="1"/>
                <w:bCs w:val="1"/>
                <w:color w:val="auto"/>
                <w:vertAlign w:val="superscript"/>
              </w:rPr>
              <w:t>(a)</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7"/>
        </w:trPr>
        <w:tc>
          <w:tcPr>
            <w:tcW w:w="3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commingled funds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bl>
    <w:p>
      <w:pPr>
        <w:spacing w:after="0" w:line="108"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Net Asset Value (NAV) is the total value of the fund divided by the number of the fund’s shares outstanding.</w:t>
      </w:r>
    </w:p>
    <w:p>
      <w:pPr>
        <w:spacing w:after="0" w:line="15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Substantially all assets measured at fair value, other than derivatives, represent investments held in a separate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and option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4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These contracts hedge forecasted foreign currency transactions in order to minimize fluctuations in our earnings and cash flows associated with changes in foreign currency exchange rates.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mitigate the impact of interest rate changes on earnings. These swaps are designated as cash flow hedges. We also may enter into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derivative instruments that are not designated as hedges and do not qualify for hedge accounting, which are intended to mitigate certain economic exposures.</w:t>
      </w:r>
    </w:p>
    <w:p>
      <w:pPr>
        <w:spacing w:after="0" w:line="126" w:lineRule="exact"/>
        <w:rPr>
          <w:sz w:val="20"/>
          <w:szCs w:val="20"/>
          <w:color w:val="auto"/>
        </w:rPr>
      </w:pPr>
    </w:p>
    <w:p>
      <w:pPr>
        <w:ind w:right="100" w:firstLine="445"/>
        <w:spacing w:after="0" w:line="246" w:lineRule="auto"/>
        <w:rPr>
          <w:sz w:val="20"/>
          <w:szCs w:val="20"/>
          <w:color w:val="auto"/>
        </w:rPr>
      </w:pPr>
      <w:r>
        <w:rPr>
          <w:rFonts w:ascii="Arial" w:cs="Arial" w:eastAsia="Arial" w:hAnsi="Arial"/>
          <w:sz w:val="18"/>
          <w:szCs w:val="18"/>
          <w:color w:val="auto"/>
        </w:rPr>
        <w:t>The aggregate notional amount of our outstanding interest rate swaps was $1.3 billion and $500 million at June 26, 2022 and December 31, 2021. The aggregate notional amount of our outstanding foreign currency hedges was $5.5 billion and $4.0 billion at June 26, 2022 and December 31, 2021. The fair values of our outstanding interest rate swaps and foreign currency hedges at June 26, 2022 and December 31, 2021 were not significant. Derivative instruments did not have a material impact on net earnings and comprehensive income during the quarters and six months ended June 26, 2022 and June 27, 2021. The impact of derivative instruments on our consolidated statements of cash flows is included in net cash provided by operating activities. Substantially all of our derivatives are designated for hedge accounting.</w:t>
      </w:r>
    </w:p>
    <w:p>
      <w:pPr>
        <w:spacing w:after="0" w:line="13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We also hold investments in public companies, primarily as a result of investments in early-stage companies through our Lockheed Martin Ventures Fund. These investments have quoted market prices in active markets (Level 1) and are recorded at fair value and reflected in other securities in the table above. See “Note 10 - Other - Lockheed Martin Ventures Fund” for more information on Lockheed Martin Ventures investments.</w:t>
      </w:r>
    </w:p>
    <w:p>
      <w:pPr>
        <w:spacing w:after="0" w:line="143"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$12.5 billion and $ 15.4 billion at June 26, 2022 and December 31, 2021. The outstanding principal amount of debt was $12.8 billion at both June 26, 2022 and December 31, 2021, excluding $1.2 billion and $1.1 billion of unamortized discounts and issuance costs at June 26, 2022 and December 31, 2021. The estimated fair values of our outstanding debt were determined based on the present value of future cash flows using model-derived valuations that use observable inputs such as interest rates and credit spreads (Level 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8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During the six months ended June 26, 2022, we repurchased 7.7 million shares of our common stock for $2.4 billion, including pursuant to accelerated share repurchase (ASR) agreements. As previously disclosed, in January 2022, we received 2.2 million shares of our common stock for no additional consideration upon final settlement of the ASR we entered into in the fourth quarter of 2021. In addition, we repurchased 4.7 million shares for $2.0 billion under an ASR agreement that we entered into in the first quarter of 2022 and that settled in the second quarter of 2022. Some of the shares repurchased during the second quarter of 2022 were settled subsequent to the end of the quarter.</w:t>
      </w:r>
    </w:p>
    <w:p>
      <w:pPr>
        <w:spacing w:after="0" w:line="142"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The total remaining authorization for future common share repurchases under our share repurchase program was $1.6 billion as of June 26, 2022. As we repurchase our common shares, we reduce common stock for the $ 1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5"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We declared cash dividends totaling $2.2 billion ($8.40 per share) during the six months ended June 26, 2022. In June 2022, we declared our 2022 third quarter dividend totaling approximately $743 million ($2.80 per share), which will be paid in September 2022. The total amount declared may differ from the total amount of dividends paid during a period due to the timing of dividend-equivalents paid on RSUs and PSUs. These dividend-equivalents are accrued during the vesting period and are paid upon the vesting of the RSUs and PSUs, which primarily occurs in the first quarter each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balance of AOCL, net of tax, consisted of the following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Postretirement</w:t>
            </w:r>
          </w:p>
        </w:tc>
        <w:tc>
          <w:tcPr>
            <w:tcW w:w="20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Other, net</w:t>
            </w:r>
          </w:p>
        </w:tc>
        <w:tc>
          <w:tcPr>
            <w:tcW w:w="300" w:type="dxa"/>
            <w:vAlign w:val="bottom"/>
          </w:tcPr>
          <w:p>
            <w:pPr>
              <w:spacing w:after="0"/>
              <w:rPr>
                <w:sz w:val="17"/>
                <w:szCs w:val="17"/>
                <w:color w:val="auto"/>
              </w:rPr>
            </w:pPr>
          </w:p>
        </w:tc>
        <w:tc>
          <w:tcPr>
            <w:tcW w:w="1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AOCL</w:t>
            </w:r>
          </w:p>
        </w:tc>
        <w:tc>
          <w:tcPr>
            <w:tcW w:w="0" w:type="dxa"/>
            <w:vAlign w:val="bottom"/>
          </w:tcPr>
          <w:p>
            <w:pPr>
              <w:spacing w:after="0"/>
              <w:rPr>
                <w:sz w:val="1"/>
                <w:szCs w:val="1"/>
                <w:color w:val="auto"/>
              </w:rPr>
            </w:pPr>
          </w:p>
        </w:tc>
      </w:tr>
      <w:tr>
        <w:trPr>
          <w:trHeight w:val="243"/>
        </w:trPr>
        <w:tc>
          <w:tcPr>
            <w:tcW w:w="60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Benefit Plans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(11,006)</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23"/>
                <w:szCs w:val="23"/>
                <w:color w:val="auto"/>
                <w:vertAlign w:val="superscript"/>
              </w:rPr>
              <w:t>(a)</w:t>
            </w:r>
          </w:p>
        </w:tc>
        <w:tc>
          <w:tcPr>
            <w:tcW w:w="10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1,698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1,577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AOCL</w:t>
            </w:r>
          </w:p>
        </w:tc>
        <w:tc>
          <w:tcPr>
            <w:tcW w:w="10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Pension settlement charge </w:t>
            </w:r>
            <w:r>
              <w:rPr>
                <w:rFonts w:ascii="Arial" w:cs="Arial" w:eastAsia="Arial" w:hAnsi="Arial"/>
                <w:sz w:val="23"/>
                <w:szCs w:val="23"/>
                <w:color w:val="auto"/>
                <w:vertAlign w:val="superscript"/>
              </w:rPr>
              <w:t>(a)</w:t>
            </w:r>
          </w:p>
        </w:tc>
        <w:tc>
          <w:tcPr>
            <w:tcW w:w="10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1,156</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Recognition of net actuarial losses </w:t>
            </w:r>
            <w:r>
              <w:rPr>
                <w:rFonts w:ascii="Arial" w:cs="Arial" w:eastAsia="Arial" w:hAnsi="Arial"/>
                <w:sz w:val="21"/>
                <w:szCs w:val="21"/>
                <w:color w:val="auto"/>
                <w:vertAlign w:val="superscript"/>
              </w:rPr>
              <w:t>(b)</w:t>
            </w:r>
          </w:p>
        </w:tc>
        <w:tc>
          <w:tcPr>
            <w:tcW w:w="10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230"/>
        </w:trPr>
        <w:tc>
          <w:tcPr>
            <w:tcW w:w="602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Amortization of net prior service credits </w:t>
            </w:r>
            <w:r>
              <w:rPr>
                <w:rFonts w:ascii="Arial" w:cs="Arial" w:eastAsia="Arial" w:hAnsi="Arial"/>
                <w:sz w:val="21"/>
                <w:szCs w:val="21"/>
                <w:color w:val="auto"/>
                <w:vertAlign w:val="superscript"/>
              </w:rPr>
              <w:t>(b)</w:t>
            </w:r>
          </w:p>
        </w:tc>
        <w:tc>
          <w:tcPr>
            <w:tcW w:w="10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reclassified from AOCL</w:t>
            </w:r>
          </w:p>
        </w:tc>
        <w:tc>
          <w:tcPr>
            <w:tcW w:w="10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1,251</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2,949</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June 26,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(8,168)</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(16,155)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(16,121)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Amounts reclassified from AOCL</w:t>
            </w: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Recognition of net actuarial losses </w:t>
            </w:r>
            <w:r>
              <w:rPr>
                <w:rFonts w:ascii="Arial" w:cs="Arial" w:eastAsia="Arial" w:hAnsi="Arial"/>
                <w:sz w:val="21"/>
                <w:szCs w:val="21"/>
                <w:color w:val="auto"/>
                <w:vertAlign w:val="superscript"/>
              </w:rPr>
              <w:t>(b)</w:t>
            </w:r>
          </w:p>
        </w:tc>
        <w:tc>
          <w:tcPr>
            <w:tcW w:w="10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602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Amortization of net prior service credits </w:t>
            </w:r>
            <w:r>
              <w:rPr>
                <w:rFonts w:ascii="Arial" w:cs="Arial" w:eastAsia="Arial" w:hAnsi="Arial"/>
                <w:sz w:val="21"/>
                <w:szCs w:val="21"/>
                <w:color w:val="auto"/>
                <w:vertAlign w:val="superscript"/>
              </w:rPr>
              <w:t>(b)</w:t>
            </w:r>
          </w:p>
        </w:tc>
        <w:tc>
          <w:tcPr>
            <w:tcW w:w="10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reclassified from AOCL</w:t>
            </w:r>
          </w:p>
        </w:tc>
        <w:tc>
          <w:tcPr>
            <w:tcW w:w="10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June 27,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right="80" w:hanging="412"/>
        <w:spacing w:after="0" w:line="246" w:lineRule="auto"/>
        <w:tabs>
          <w:tab w:leader="none" w:pos="41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Changes in AOCL before reclassifications related to our postretirement benefit plans represent the net actuarial gains from the interim remeasurement of certain defined benefit pension plans required as a result of the purchase of group annuity contracts to transfer $4.3 billion of our gross defined benefit pension obligations and related plan assets to an insurance company on June 24, 2022. See “Note 6 - Postretirement Benefit Plans”. Also as a result, during the quarter ended June 26, 2022, we recognized a noncash, non-operating pension settlement charge of $1.5 billion ($1.2 billion, or $4.33 per share, after-tax).</w:t>
      </w:r>
    </w:p>
    <w:p>
      <w:pPr>
        <w:spacing w:after="0" w:line="24" w:lineRule="exact"/>
        <w:rPr>
          <w:rFonts w:ascii="Arial" w:cs="Arial" w:eastAsia="Arial" w:hAnsi="Arial"/>
          <w:sz w:val="21"/>
          <w:szCs w:val="21"/>
          <w:color w:val="auto"/>
          <w:vertAlign w:val="superscript"/>
        </w:rPr>
      </w:pPr>
    </w:p>
    <w:p>
      <w:pPr>
        <w:ind w:left="420" w:right="20" w:hanging="412"/>
        <w:spacing w:after="0" w:line="238" w:lineRule="auto"/>
        <w:tabs>
          <w:tab w:leader="none" w:pos="41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These amounts include $47 million and $140 million, net of tax, for the quarters ended June 26, 2022 and June 27, 2021, which are comprised of the recognition of net actuarial losses of $115 million and $204 million for the quarters ended June 26, 2022 and June 27, 2021, and the amortization of net prior service credits of $68 million and $64 million for the quarters ended June 26, 2022 and June 27,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Estimates</w:t>
      </w:r>
    </w:p>
    <w:p>
      <w:pPr>
        <w:spacing w:after="0" w:line="18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Significant estimates and assumptions are made in estimating contract sales and costs, including the profit booking rate. At the outset of a long-term contract, we identify and monitor risks to the achievement of the technical, schedule and cost aspects of the contract, as well as variable consideration, and assess the effects of those risks on our estimates of total costs to complete the contract. The estimates consider the 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determined.</w:t>
      </w:r>
    </w:p>
    <w:p>
      <w:pPr>
        <w:spacing w:after="0" w:line="14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addition, 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favorable profit adjustments, usually relate to revisions in the estimated total costs to fulfill the performance obligations that reflect improved conditions on a particular contract. Conversely, conditions on a particular contract may deteriorate, for example COVID-19 impacts or supply chain disruptions, resulting in an increase in the estimated total costs to fulfill the performance obligations and a reduction in the profit booking rate and are typically referred to as unfavorable profit adjustments.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4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Our consolidated net adjustments not related to volume, including net profit booking rate adjustments and other matters, increased segment operating profit by approximately $455 million and $860 million during the quarter and six months ended June 26, 2022 and $385 million and $880 million during the quarter and six months ended June 27, 2021. These adjustments increased net earnings by approximately $359 million ($1.35 per share) and $679 million ($2.53 per share) during the quarter and six months ended June 26, 2022 and $304 million ($ 1.09 per share) and $695 million ($2.49 per share) during the quarter and six months ended June 27, 2021. We recognized net sales from performance obligations satisfied in prior periods of approximately $481 million and $897 million during the quarter and six months ended June 26, 2022, and $492 million and $984 million during the quarter and six months ended June 27, 2021, which primarily relate to changes in profit booking rates that impacted revenue.</w:t>
      </w:r>
    </w:p>
    <w:p>
      <w:pPr>
        <w:spacing w:after="0" w:line="14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have experienced performance issues on a classified fixed-price incentive fee contract that involves highly complex design and systems integration at our Aeronautics business segment. As of June 26, 2022, cumulative losses remained at approximately $225 million. We will continue to monitor our performance, any future changes in scope, and estimated costs to complete the program and may have to record additional losses in future periods if we experience further performance issues, increases in scope, or cost growth, which could be material to our operating results. In addition, we and our industry team will incur advanced procurement costs (also referred to as precontract costs) in order to enhance our ability to achieve the revised schedule and certain milestones. We will monitor the recoverability of precontract costs, which could be impacted by the customer’s decision regarding future phases of the program.</w:t>
      </w:r>
    </w:p>
    <w:p>
      <w:pPr>
        <w:spacing w:after="0" w:line="156"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We are responsible for a program to design, develop and construct a ground-based radar at our RMS business segment. The program has experienced performance issues for which we have periodically accrued reserves. As of June 26, 2022, cumulative losses remained at approximately $280 million. We will continue to monitor our performance, any future changes in scope, and estimated costs to complete the program and may have to record additional losses in future periods if we experience further performance issues, increases in scope, or cost growth. However, based on the losses previously recorded and our current estimate of the sales and costs to complete the program, at this time we do not anticipate that additional losses, if any, would be material to our operating results or financial condition.</w:t>
      </w:r>
    </w:p>
    <w:p>
      <w:pPr>
        <w:spacing w:after="0" w:line="14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have a program, EADGE-T, to design, integrate and install an air missile defense command, control, communications, computers - intelligence (C4I) system for an international customer that has experienced performance issues and for which we have periodically accrued reserves at our RMS business segment. We last recorded a charge and accrued reserves for this program in 2017. During the second quarter of 2022, the program was completed with a settlement of all claims between the parties and, as such, we determined that additional losses will not be incurred. Total cumulative losses on this program were approximately $260 million at June 26,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5"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Our backlog includes both funded (firm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agreements in our backlog.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June 26, 2022, our ending backlog was $134.6 billion. We expect to recognize approximately 36% of our backlog over the next 12 months and approximately 59% over the next 24 months as revenue with the remainder recognized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Lockheed Martin Ventures Fund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Through our Lockheed Martin Ventures Fund, we make strategic investments in companies that we believe are advancing or developing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new technologies applicable to our business. These investments may be in the form of common or preferred stock, warrants, convertible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or investments in funds. Most of the investments are in equity securities without readily determinable fair values (privately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which are measured initially at cost and are then adjusted to fair value only if there is an observable price change or reduced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if applicable. Investments with quoted market prices in active markets (Level 1) (publicly held securities) are recorded at fair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The carrying amounts of investments held in our Lockheed Martin Ventures Fund were $451 million and $465 million at June 26,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2021. Due to changes in fair value and/or sales of investments, we recorded net losses of $143 million ($107 million,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$0.40 per share, after-tax) and $40 million ($30 million, or $0.11 per share, after-tax) during the quarter and six months ended June 26,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net gains of $14 million ($11 million, or $0.04 per share, after-tax) and $82 million ($62 million, or $0.22 per share, after-tax) during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and six months ended June 27, 2021. These gains and losses are reflected in the other non-operating (expense) income,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on our consolidated statements of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effective income tax rates were 6.4% and 14.6% and 16.4% and 16.6% for the quarters and six months ended June 26, 2022 and June 27, 2021. The rate for the second quarter of 2022 is lower than the second quarter of 2021 primarily due to lower earnings before income taxes resulting from a noncash, non-operating pension settlement charge of $1.5 billion, which reduced the tax expense by approximately $314 million. The rates for all periods benefited from the research and development tax credit, tax deductions for foreign derived intangible income and dividends paid to the corporation's defined contribution plans with an employee stock ownership plan feature.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Restructuring Charges</w:t>
      </w:r>
    </w:p>
    <w:p>
      <w:pPr>
        <w:spacing w:after="0" w:line="185" w:lineRule="exact"/>
        <w:rPr>
          <w:sz w:val="20"/>
          <w:szCs w:val="20"/>
          <w:color w:val="auto"/>
        </w:rPr>
      </w:pPr>
    </w:p>
    <w:p>
      <w:pPr>
        <w:ind w:right="60" w:firstLine="405"/>
        <w:spacing w:after="0" w:line="282" w:lineRule="auto"/>
        <w:rPr>
          <w:sz w:val="20"/>
          <w:szCs w:val="20"/>
          <w:color w:val="auto"/>
        </w:rPr>
      </w:pPr>
      <w:r>
        <w:rPr>
          <w:rFonts w:ascii="Arial" w:cs="Arial" w:eastAsia="Arial" w:hAnsi="Arial"/>
          <w:sz w:val="17"/>
          <w:szCs w:val="17"/>
          <w:color w:val="auto"/>
        </w:rPr>
        <w:t>During the first quarter of 2021, we recorded severance and restructuring charges of $36 million ($28 million, or $0.10 per share, after-tax) related to workforce reductions and facility exit costs within our RMS business segment. These actions were taken to consolidate certain operations in order to improve the efficiency of RMS’ manufacturing operations and affordability of its products and services. Employees terminated as part of these actions were to receive lump-sum severance payments upon separation primarily based on years of service.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and Redemption</w:t>
      </w:r>
    </w:p>
    <w:p>
      <w:pPr>
        <w:spacing w:after="0" w:line="19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5, 2022, we issued a total of $ 2.3 billion of senior unsecured notes, consisting of $ 800 million aggregate principal amount of 3.90% Notes due June 15, 2032 (the “2032 Notes”), $850 million aggregate principal amount of 4.15% Notes due June 15, 2053 (the “2053 Notes”) and $650 million aggregate principal amount of 4.30% Notes due June 15, 2062 (the “2062 Notes” and, together with the 2032 Notes and 2053 Notes, the “Notes”) in a registered public offering. Net proceeds received from the offering were after deducting pricing discounts and debt issuance costs, which are being amortized and recorded as interest expense over the term of the Notes. We will pay interest on the Notes semi-annually in arrears on June 15 and December 15 of each year with the first payment made on June 15, 2022. We may, at our option, redeem the Notes of any series in whole or in part at any time and from time to time at a redemption price equal to the greater of 100% of the principal amount of the Notes to be redeemed or an applicable make-whole amount, plus accrued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91" w:lineRule="exact"/>
        <w:rPr>
          <w:sz w:val="20"/>
          <w:szCs w:val="20"/>
          <w:color w:val="auto"/>
        </w:rPr>
      </w:pPr>
    </w:p>
    <w:p>
      <w:pPr>
        <w:ind w:right="1160"/>
        <w:spacing w:after="0" w:line="287" w:lineRule="auto"/>
        <w:rPr>
          <w:sz w:val="20"/>
          <w:szCs w:val="20"/>
          <w:color w:val="auto"/>
        </w:rPr>
      </w:pPr>
      <w:r>
        <w:rPr>
          <w:rFonts w:ascii="Arial" w:cs="Arial" w:eastAsia="Arial" w:hAnsi="Arial"/>
          <w:sz w:val="18"/>
          <w:szCs w:val="18"/>
          <w:color w:val="auto"/>
        </w:rPr>
        <w:t>and unpaid interest to the date of redemption. The Notes rank equally in right of payment with all of our existing unsecured and unsubordinated indebtedness.</w:t>
      </w:r>
    </w:p>
    <w:p>
      <w:pPr>
        <w:spacing w:after="0" w:line="126"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On May 11, 2022, we used the net proceeds from the offering of the Notes to redeem all of the outstanding $500 million in aggregate principal amount of our 3.10% Notes due 2023, $750 million in aggregate principal amount of our 2.90% Notes due 2025, and the remaining balance of the net proceeds to redeem $1.0 billion of our outstanding $2.0 billion in aggregate principal amount of our 3.55% Notes due 2026 at their redemption price. We paid make-whole premiums of $13.9 million in connection with the early extinguishments of debt. We incurred losses of $34 million ($26 million, or $0.10 per share, after tax) on these transactions related to early extinguishments of debt, additional interest expense and other related charges, which was recorded in other non-operating (expense) income, net in our consolidated statements of earnings.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RECENT ACCOUNTING PRONOUNCEMENTS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(Topic 848): Facilitation of the Effects of Reference Rate Reform on Financial Reporting</w:t>
      </w:r>
    </w:p>
    <w:p>
      <w:pPr>
        <w:spacing w:after="0" w:line="196"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 xml:space="preserve">In 2017, the United Kingdom’s Financial Conduct Authority (FCA) announced that after 2021 it would no longer compel banks to submit the rates required to calculate the London Interbank Offered Rate (LIBOR), which have been widely used as reference rates for various securities and financial contracts, including loans, debt and derivatives. This announcement indicates that the continuation of LIBOR on the current basis is not guaranteed after 2021. Subsequently in March 2021, the FCA announced some USD LIBOR tenors (overnight, 1 month, 3 month, 6 month and 12 month) will continue to be published until June 30, 2023. Regulators in the U.S. and other jurisdictions have been working to replace these rates with alternative reference interest rates that are supported by transactions in liquid and observable markets, such as the Secured Overnight Financing Rate (SOFR) for USD LIBOR. Currently, our credit facility and certain of our derivative instruments reference LIBOR-based rates. Our credit facility contains provisions specifying alternative interest rate calculations to be employed when LIBOR ceases to be available as a benchmark and we have adhered to the ISDA 2020 IBOR Fallbacks Protocol, which will govern our derivatives upon the final cessation of USD LIBOR. ASU 2020-04, </w:t>
      </w:r>
      <w:r>
        <w:rPr>
          <w:rFonts w:ascii="Arial" w:cs="Arial" w:eastAsia="Arial" w:hAnsi="Arial"/>
          <w:sz w:val="18"/>
          <w:szCs w:val="18"/>
          <w:i w:val="1"/>
          <w:iCs w:val="1"/>
          <w:color w:val="auto"/>
        </w:rPr>
        <w:t>Reference Rate Reform (Topic 848): Facilitation of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Rate Reform on Financial Reporting</w:t>
      </w:r>
      <w:r>
        <w:rPr>
          <w:rFonts w:ascii="Arial" w:cs="Arial" w:eastAsia="Arial" w:hAnsi="Arial"/>
          <w:sz w:val="18"/>
          <w:szCs w:val="18"/>
          <w:color w:val="auto"/>
        </w:rPr>
        <w:t>, as amended, limits the accounting impact from contract modifications, including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due to the transition from LIBOR to alternative reference rates that are completed by December 31, 2022. The Financial Accounting Standards Board (FASB) is currently working on a project to extend the date to December 31, 2024. We do not expect a significant impact to our financial results, financial position or cash flows from the transition from LIBOR to alternative reference interest rates, but we will continue to monitor the impact of this transition until it is completed.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reviewed the accompanying consolidated balance sheet of Lockheed Martin Corporation (the Corporation) as of June 26, 2022, the related consolidated statements of earnings, comprehensive income and equity for the quarters and six months ended June 26, 2022 and June 27, 2021, and consolidated statements of cash flows for the six months ended June 26, 2022 and June 27, 2021,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Corporation as of December 31, 2021, the related consolidated statements of earnings, comprehensive income, cash flows and equity for the year then ended, and the related notes (not presented herein); and in our report dated January 25, 2022, we expressed an unqualified audit opinion on those consolidated financial statements. In our opinion, the information set forth in the accompanying consolidated balance sheet as of December 31, 2021, is fairly stated, in all material respects, in relation to the consolidated balance sheet from which it has been derived.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These financial statements are the responsibility of the Corporation’s management. We are a public accounting firm registered with the PCAOB and are required to be independent with respect to the Corporation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July 19,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5" w:lineRule="exact"/>
        <w:rPr>
          <w:sz w:val="20"/>
          <w:szCs w:val="20"/>
          <w:color w:val="auto"/>
        </w:rPr>
      </w:pPr>
    </w:p>
    <w:p>
      <w:pPr>
        <w:ind w:right="200" w:firstLine="445"/>
        <w:spacing w:after="0" w:line="255" w:lineRule="auto"/>
        <w:rPr>
          <w:sz w:val="20"/>
          <w:szCs w:val="20"/>
          <w:color w:val="auto"/>
        </w:rPr>
      </w:pPr>
      <w:r>
        <w:rPr>
          <w:rFonts w:ascii="Arial" w:cs="Arial" w:eastAsia="Arial" w:hAnsi="Arial"/>
          <w:sz w:val="18"/>
          <w:szCs w:val="18"/>
          <w:color w:val="auto"/>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During the six months ended June 26, 2022, 73% of our $30.4 billion in net sales were from the U.S. Government, either as a prime contractor or as a subcontractor (including 64% from the Department of Defense (DoD)), 26% were from international customers (including foreign military sales (FMS) contracted through the U.S. Government) and 1% were from U.S. commercial and other customers. Our main areas of focus are in defense, space, intelligence, homeland security and information technology, including cybersecurity.</w:t>
      </w:r>
    </w:p>
    <w:p>
      <w:pPr>
        <w:spacing w:after="0" w:line="144"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discussion is a supplement to and should be read in conjunction with the accompanying consolidated financial statements and notes thereto and with our Annual Report on Form 10-K for the year ended December 31, 2021 (2021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coronavirus disease 2019 (COVID-19) pandemic continued to cause business impacts in the first six months of 2022 primarily driven by the emergence of the Omicron variant in late 2021 with a resulting increase in COVID cases in early 2022. During the first six months of 2022, our performance was adversely affected by supply chain disruptions and delays, as well as labor challenges associated with employee absences, travel restrictions, site access, quarantine restrictions, remote work, and adjusted work schedules. Attendance for employees required to be onsite has fluctuated based on pandemic developments. We are actively engaging with our customers and are continuing to take measures to protect the health and safety of our employees. In our on-going effort to mitigate supply chain risks, we accelerated payments of $1.0 billion to our suppliers as of June 26, 2022, that are due according to contractual terms in future periods, while consistently prioritizing small businesses, which make up over half of our active supply base, as well as at-risk businesses.</w:t>
      </w:r>
    </w:p>
    <w:p>
      <w:pPr>
        <w:spacing w:after="0" w:line="144"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The ultimate impact of COVID-19 on our operations and financial performance in future periods, including our ability to execute our programs in the expected timeframe, remains uncertain and will depend on future pandemic-related developments, including the duration of the pandemic, potential subsequent waves of COVID-19 infection or potential new variants, the effectiveness and adoption of COVID-19 vaccines and therapeutics, supplier impacts and related government actions to prevent and manage disease spread, including the implementation of any federal, state, local or foreign vaccine mandates, all of which are uncertain and cannot be predicted. The long-term impacts of COVID-19 on government budgets and other funding priorities, including international priorities, that impact demand for our products and services are also difficult to predict, but could negatively affect our future results and performance.</w:t>
      </w:r>
    </w:p>
    <w:p>
      <w:pPr>
        <w:spacing w:after="0" w:line="156" w:lineRule="exact"/>
        <w:rPr>
          <w:sz w:val="20"/>
          <w:szCs w:val="20"/>
          <w:color w:val="auto"/>
        </w:rPr>
      </w:pPr>
    </w:p>
    <w:p>
      <w:pPr>
        <w:ind w:right="940" w:firstLine="445"/>
        <w:spacing w:after="0" w:line="453" w:lineRule="auto"/>
        <w:rPr>
          <w:sz w:val="20"/>
          <w:szCs w:val="20"/>
          <w:color w:val="auto"/>
        </w:rPr>
      </w:pPr>
      <w:r>
        <w:rPr>
          <w:rFonts w:ascii="Arial" w:cs="Arial" w:eastAsia="Arial" w:hAnsi="Arial"/>
          <w:sz w:val="18"/>
          <w:szCs w:val="18"/>
          <w:color w:val="auto"/>
        </w:rPr>
        <w:t xml:space="preserve">For additional risks to the corporation related to the COVID-19 pandemic, see Item 1A, Risk Factors of our 2021 Form 10-K. </w:t>
      </w:r>
      <w:r>
        <w:rPr>
          <w:rFonts w:ascii="Arial" w:cs="Arial" w:eastAsia="Arial" w:hAnsi="Arial"/>
          <w:sz w:val="18"/>
          <w:szCs w:val="18"/>
          <w:b w:val="1"/>
          <w:bCs w:val="1"/>
          <w:color w:val="auto"/>
        </w:rPr>
        <w:t>Inflation</w:t>
      </w:r>
    </w:p>
    <w:p>
      <w:pPr>
        <w:spacing w:after="0" w:line="2" w:lineRule="exact"/>
        <w:rPr>
          <w:sz w:val="20"/>
          <w:szCs w:val="20"/>
          <w:color w:val="auto"/>
        </w:rPr>
      </w:pPr>
    </w:p>
    <w:p>
      <w:pPr>
        <w:ind w:right="300" w:firstLine="445"/>
        <w:spacing w:after="0" w:line="255" w:lineRule="auto"/>
        <w:rPr>
          <w:sz w:val="20"/>
          <w:szCs w:val="20"/>
          <w:color w:val="auto"/>
        </w:rPr>
      </w:pPr>
      <w:r>
        <w:rPr>
          <w:rFonts w:ascii="Arial" w:cs="Arial" w:eastAsia="Arial" w:hAnsi="Arial"/>
          <w:sz w:val="18"/>
          <w:szCs w:val="18"/>
          <w:color w:val="auto"/>
        </w:rPr>
        <w:t>Heightened levels of inflation continue to present risk for Lockheed Martin and the broader industrial base. We have experienced impacts to our labor rates and suppliers have signaled inflation related cost pressures, which will flow through to our costs and pricing. Although we have not seen a significant impact from inflation to our financial results in the first half of 2022, if inflation remains at current levels for an extended period, or increases, and we are unable to successfully mitigate the impact, our costs could increase, resulting in pressure on our profits and margins, particularly for existing fixed-price contracts. For new contract proposals, we are factoring into our pricing heightened levels of inflation based on accepted DoD escalation indices and other assumptions, and in some cases seeking the inclusion of economic price adjustment (EPA) clauses, which would permit, subject to the particular contractual terms, cost adjustments in fixed price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contracts for unexpected inflation. Overall, inflation and the potential worsening of macro-economic conditions are a risk to our operations, suppliers and the stability of the defense industrial base. In addition, inflation and the increases in the cost of borrowing from rising interest rates could constrain the overall purchasing power of our customers for our products and services. Rising interest rates also will increase our borrowing costs on new debt and could affect the fair value of our investments. We remain committed to our ongoing efforts to increase the efficiency of our operations and improve the cost competitiveness and affordability of our products and services, which may, in part, offset cost increases from inflation.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in Ukraine</w:t>
      </w:r>
    </w:p>
    <w:p>
      <w:pPr>
        <w:spacing w:after="0" w:line="185"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Russia’s invasion of Ukraine has elevated global geopolitical tensions and security concerns. As a result, we have received increased interest for our products and services as countries seek to improve their security posture, particularly in Europe. We expect this interest will result in new contracts, however, given the long-cycle nature of our business, it is hard to predict when any resulting sales would occur from potential new contracts and we do not expect a significant increase in 2022 sales from new contracts in response to the conflict. We are evaluating capacity at our operations and the supply chain to anticipate potential demand and enable us to deliver critical capabilities. In addition, the U.S. Government and other nations have implemented broad economic sanctions and export controls targeting Russia, which, combined with the conflict, have the potential to indirectly disrupt our supply chain and access to certain resources. We have not, however, experienced significant adverse impacts to date and will continue to monitor for any impacts and seek to mitigate disruption that may arise. The conflict also has increased the threat of malicious cyber activity from nation states and other actors. We have taken steps designed to enhance our defensive posture against tactics and techniques associated with this increased threat.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CONSIDERATIONS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Funding</w:t>
      </w:r>
    </w:p>
    <w:p>
      <w:pPr>
        <w:spacing w:after="0" w:line="18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15, 2022, the President signed the Consolidated Appropriations Act, 2022, providing annual funding for the Department of Defense (DoD) and other government departments and agencies. The appropriation provided $781 billion for national defense, which includes the DoD, Department of Energy (DoE) nuclear weapons-related activities, and the national security activities of the Coast Guard, Federal Bureau of Investigation, and others. The DoD portion was $742.3 billion, $25 billion more than the President’s Fiscal Year (FY) 2022 request. Additionally, the legislation included $13.6 billion in supplemental funding to support Ukraine, including $3.5 billion for defense articles and $650 million in Foreign Military Financing (FMF) for Ukraine and other Eastern European allies. Our programs continued to be well supported and funded through the FY 2022 budget process. On May 21, 2022, the President signed the Additional Ukraine Supplemental Appropriations Act, 2022, providing an additional $40 billion to support Ukraine. This included $6 billion in security assistance, $9 billion to replenish U.S. stocks, and $4 billion for Foreign Military Financing (FMF).</w:t>
      </w:r>
    </w:p>
    <w:p>
      <w:pPr>
        <w:spacing w:after="0" w:line="14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28, 2022, the Administration submitted to Congress the President’s FY 2023 budget request, which proposes $813 billion for national defense. The DoD portion of this request is $773 billion, a 4% increase above the FY 2022 enacted amount. In June 2022, the Senate Armed Services Committee (SASC) and House Armed Services Committee (HASC) reported their versions of the FY 2023 National Defense Authorizations Act (NDAA), and the House Appropriations Committee (HAC) reported their version of the FY 2023 Defense Appropriations Act. As anticipated, the SASC and the HASC provided additional funds for DoD, $45 billion and $37 billion, respectively. The HAC marked to the President’s budget request. On July 14, 2022, the full House passed the FY 2023 NDAA, maintaining the additional $ 37 billion provided by the HASC. The Senate Appropriations Committee (SAC) has not yet announced when it will consider its version of the FY 2023 Defense Appropriations Act. The continued expectation is that final FY 2023 DoD funding will be higher than requested. Final legislation is not expected to be enacted until late in calendar year 2022 or, possibly, in early calendar year 2023.</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also the discussion of U.S. Government funding risks within “Item 1A, Risk Factors”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Our operating cycle is primarily long-term and involves many types of contracts for the design, development and manufacture of products and related activities with varying delivery schedules. Consequently, the results of operations of a particular period, or period-to-period comparisons of sales and profits, may not be indicative of future operating results. The following discussions of comparative results among periods should be reviewed in this context. All per share amounts cited in these discussions are presented on a “per diluted share” basis, unless otherwise noted. Our consolidated results of operations were as follows (in millions, except per share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June 26,</w:t>
            </w:r>
          </w:p>
        </w:tc>
        <w:tc>
          <w:tcPr>
            <w:tcW w:w="500" w:type="dxa"/>
            <w:vAlign w:val="bottom"/>
          </w:tcPr>
          <w:p>
            <w:pPr>
              <w:spacing w:after="0"/>
              <w:rPr>
                <w:sz w:val="15"/>
                <w:szCs w:val="15"/>
                <w:color w:val="auto"/>
              </w:rPr>
            </w:pPr>
          </w:p>
        </w:tc>
        <w:tc>
          <w:tcPr>
            <w:tcW w:w="118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27,</w:t>
            </w:r>
          </w:p>
        </w:tc>
        <w:tc>
          <w:tcPr>
            <w:tcW w:w="520" w:type="dxa"/>
            <w:vAlign w:val="bottom"/>
          </w:tcPr>
          <w:p>
            <w:pPr>
              <w:spacing w:after="0"/>
              <w:rPr>
                <w:sz w:val="15"/>
                <w:szCs w:val="15"/>
                <w:color w:val="auto"/>
              </w:rPr>
            </w:pPr>
          </w:p>
        </w:tc>
        <w:tc>
          <w:tcPr>
            <w:tcW w:w="116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5"/>
                <w:szCs w:val="15"/>
                <w:color w:val="auto"/>
              </w:rPr>
            </w:pPr>
          </w:p>
        </w:tc>
        <w:tc>
          <w:tcPr>
            <w:tcW w:w="132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June 27,</w:t>
            </w:r>
          </w:p>
        </w:tc>
      </w:tr>
      <w:tr>
        <w:trPr>
          <w:trHeight w:val="235"/>
        </w:trPr>
        <w:tc>
          <w:tcPr>
            <w:tcW w:w="4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15,446</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17,029</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30,410</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33,287</w:t>
            </w: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(13,490)</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(14,878)</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(26,545)</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(28,950)</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1,956</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2,151</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3,865</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4,337</w:t>
            </w: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41</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37</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1,963</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2,192</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3,896</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4,374</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(141)</w:t>
            </w:r>
          </w:p>
        </w:tc>
        <w:tc>
          <w:tcPr>
            <w:tcW w:w="5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(276)</w:t>
            </w:r>
          </w:p>
        </w:tc>
        <w:tc>
          <w:tcPr>
            <w:tcW w:w="52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(282)</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FAS pension (expense)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(1,331)</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(1,191)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187</w:t>
            </w: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(expense)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(161)</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(38)</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330</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2,170</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2,391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4,381</w:t>
            </w: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(21)</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(349)</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(729)</w:t>
            </w:r>
          </w:p>
        </w:tc>
      </w:tr>
      <w:tr>
        <w:trPr>
          <w:trHeight w:val="22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309</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1,815</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2,042</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3,652</w:t>
            </w:r>
          </w:p>
        </w:tc>
      </w:tr>
      <w:tr>
        <w:trPr>
          <w:trHeight w:val="2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1.16</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6.52</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7.62</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13.08</w:t>
            </w:r>
          </w:p>
        </w:tc>
      </w:tr>
    </w:tbl>
    <w:p>
      <w:pPr>
        <w:spacing w:after="0" w:line="292" w:lineRule="exact"/>
        <w:rPr>
          <w:sz w:val="20"/>
          <w:szCs w:val="20"/>
          <w:color w:val="auto"/>
        </w:rPr>
      </w:pPr>
    </w:p>
    <w:p>
      <w:pPr>
        <w:jc w:val="both"/>
        <w:ind w:right="120" w:firstLine="445"/>
        <w:spacing w:after="0" w:line="268" w:lineRule="auto"/>
        <w:rPr>
          <w:sz w:val="20"/>
          <w:szCs w:val="20"/>
          <w:color w:val="auto"/>
        </w:rPr>
      </w:pPr>
      <w:r>
        <w:rPr>
          <w:rFonts w:ascii="Arial" w:cs="Arial" w:eastAsia="Arial" w:hAnsi="Arial"/>
          <w:sz w:val="18"/>
          <w:szCs w:val="18"/>
          <w:color w:val="auto"/>
        </w:rPr>
        <w:t>Certain amounts reported in other income, net, including our share of earnings or losses from equity method investees, are included in the operating profit of our business segments. Accordingly, such amounts are included in the discussion of our business segment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ind w:right="1000" w:firstLine="445"/>
        <w:spacing w:after="0" w:line="287" w:lineRule="auto"/>
        <w:rPr>
          <w:sz w:val="20"/>
          <w:szCs w:val="20"/>
          <w:color w:val="auto"/>
        </w:rPr>
      </w:pPr>
      <w:r>
        <w:rPr>
          <w:rFonts w:ascii="Arial" w:cs="Arial" w:eastAsia="Arial" w:hAnsi="Arial"/>
          <w:sz w:val="18"/>
          <w:szCs w:val="18"/>
          <w:color w:val="auto"/>
        </w:rPr>
        <w:t>We generate sales from the delivery of products and services to our customers. Our consolidated net sales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Quarters Ended</w:t>
            </w:r>
          </w:p>
        </w:tc>
        <w:tc>
          <w:tcPr>
            <w:tcW w:w="3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4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10"/>
              <w:spacing w:after="0" w:line="177" w:lineRule="exact"/>
              <w:rPr>
                <w:sz w:val="20"/>
                <w:szCs w:val="20"/>
                <w:color w:val="auto"/>
              </w:rPr>
            </w:pPr>
            <w:r>
              <w:rPr>
                <w:rFonts w:ascii="Arial" w:cs="Arial" w:eastAsia="Arial" w:hAnsi="Arial"/>
                <w:sz w:val="18"/>
                <w:szCs w:val="18"/>
                <w:b w:val="1"/>
                <w:bCs w:val="1"/>
                <w:color w:val="auto"/>
              </w:rPr>
              <w:t>June 26,</w:t>
            </w:r>
          </w:p>
        </w:tc>
        <w:tc>
          <w:tcPr>
            <w:tcW w:w="360" w:type="dxa"/>
            <w:vAlign w:val="bottom"/>
          </w:tcPr>
          <w:p>
            <w:pPr>
              <w:spacing w:after="0"/>
              <w:rPr>
                <w:sz w:val="15"/>
                <w:szCs w:val="15"/>
                <w:color w:val="auto"/>
              </w:rPr>
            </w:pPr>
          </w:p>
        </w:tc>
        <w:tc>
          <w:tcPr>
            <w:tcW w:w="1380" w:type="dxa"/>
            <w:vAlign w:val="bottom"/>
          </w:tcPr>
          <w:p>
            <w:pPr>
              <w:jc w:val="right"/>
              <w:ind w:right="410"/>
              <w:spacing w:after="0" w:line="177" w:lineRule="exact"/>
              <w:rPr>
                <w:sz w:val="20"/>
                <w:szCs w:val="20"/>
                <w:color w:val="auto"/>
              </w:rPr>
            </w:pPr>
            <w:r>
              <w:rPr>
                <w:rFonts w:ascii="Arial" w:cs="Arial" w:eastAsia="Arial" w:hAnsi="Arial"/>
                <w:sz w:val="18"/>
                <w:szCs w:val="18"/>
                <w:b w:val="1"/>
                <w:bCs w:val="1"/>
                <w:color w:val="auto"/>
              </w:rPr>
              <w:t>June 27,</w:t>
            </w:r>
          </w:p>
        </w:tc>
        <w:tc>
          <w:tcPr>
            <w:tcW w:w="360" w:type="dxa"/>
            <w:vAlign w:val="bottom"/>
          </w:tcPr>
          <w:p>
            <w:pPr>
              <w:spacing w:after="0"/>
              <w:rPr>
                <w:sz w:val="15"/>
                <w:szCs w:val="15"/>
                <w:color w:val="auto"/>
              </w:rPr>
            </w:pPr>
          </w:p>
        </w:tc>
        <w:tc>
          <w:tcPr>
            <w:tcW w:w="1400" w:type="dxa"/>
            <w:vAlign w:val="bottom"/>
          </w:tcPr>
          <w:p>
            <w:pPr>
              <w:jc w:val="right"/>
              <w:ind w:right="430"/>
              <w:spacing w:after="0" w:line="177" w:lineRule="exact"/>
              <w:rPr>
                <w:sz w:val="20"/>
                <w:szCs w:val="20"/>
                <w:color w:val="auto"/>
              </w:rPr>
            </w:pPr>
            <w:r>
              <w:rPr>
                <w:rFonts w:ascii="Arial" w:cs="Arial" w:eastAsia="Arial" w:hAnsi="Arial"/>
                <w:sz w:val="18"/>
                <w:szCs w:val="18"/>
                <w:b w:val="1"/>
                <w:bCs w:val="1"/>
                <w:color w:val="auto"/>
              </w:rPr>
              <w:t>June 26,</w:t>
            </w:r>
          </w:p>
        </w:tc>
        <w:tc>
          <w:tcPr>
            <w:tcW w:w="340" w:type="dxa"/>
            <w:vAlign w:val="bottom"/>
          </w:tcPr>
          <w:p>
            <w:pPr>
              <w:spacing w:after="0"/>
              <w:rPr>
                <w:sz w:val="15"/>
                <w:szCs w:val="15"/>
                <w:color w:val="auto"/>
              </w:rPr>
            </w:pPr>
          </w:p>
        </w:tc>
        <w:tc>
          <w:tcPr>
            <w:tcW w:w="1340" w:type="dxa"/>
            <w:vAlign w:val="bottom"/>
          </w:tcPr>
          <w:p>
            <w:pPr>
              <w:jc w:val="right"/>
              <w:ind w:right="370"/>
              <w:spacing w:after="0" w:line="177" w:lineRule="exact"/>
              <w:rPr>
                <w:sz w:val="20"/>
                <w:szCs w:val="20"/>
                <w:color w:val="auto"/>
              </w:rPr>
            </w:pPr>
            <w:r>
              <w:rPr>
                <w:rFonts w:ascii="Arial" w:cs="Arial" w:eastAsia="Arial" w:hAnsi="Arial"/>
                <w:sz w:val="18"/>
                <w:szCs w:val="18"/>
                <w:b w:val="1"/>
                <w:bCs w:val="1"/>
                <w:color w:val="auto"/>
              </w:rPr>
              <w:t>June 27,</w:t>
            </w:r>
          </w:p>
        </w:tc>
      </w:tr>
      <w:tr>
        <w:trPr>
          <w:trHeight w:val="235"/>
        </w:trPr>
        <w:tc>
          <w:tcPr>
            <w:tcW w:w="4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12,761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14,258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25,255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28,011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 of total net sales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82.6 %</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83.7 %</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83.0 %</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84.1 %</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2,685</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2,771</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5,155</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5,276</w:t>
            </w:r>
          </w:p>
        </w:tc>
      </w:tr>
      <w:tr>
        <w:trPr>
          <w:trHeight w:val="230"/>
        </w:trPr>
        <w:tc>
          <w:tcPr>
            <w:tcW w:w="4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of total net sales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17.4 %</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17.0 %</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4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15,446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17,029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30,410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33,287</w:t>
            </w:r>
          </w:p>
        </w:tc>
      </w:tr>
    </w:tbl>
    <w:p>
      <w:pPr>
        <w:spacing w:after="0" w:line="25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 changes in our consolidated cost of sales and our business segment results of operations because changes in our sales are typically accompanied by a corresponding change in our cost of sales due to the nature of the percentage-of-completion cost-to-cost method. Overall, our sales were negatively affected in the first six months of 2022 because of supply chain impacts.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96"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Product sales decreased $1.5 billion, or 10%, during the quarter ended June 26, 2022 compared to the same period in 2021. The decrease is primarily attributable to lower product sales of approximately $780 million at Aeronautics mostly due to lower volume on F-35 contracts; about $370 million at Space primarily due to the previously announced renationalization of the Atomic Weapons Establishment (AWE) program on June 30, 2021, which was no longer included in our financial results beginning in the third quarter of 2021; approximately $220 million at RMS mostly due to lower production volume on Black Hawk; and about $130 million at MFC primarily due to lower volume on air dominance weapon systems and close out activities in the second quarter of 2021 related to the Warrior Capability Sustainment Program (Warrior).</w:t>
      </w:r>
    </w:p>
    <w:p>
      <w:pPr>
        <w:spacing w:after="0" w:line="14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Product sales decreased $2.8 billion, or 10%, during the six months ended June 26, 2022 compared to the same period in 2021. The decrease is primarily attributable to lower product sales of approximately $840 million at Aeronautics mostly due to lower volume on F-35 contracts; about $820 million at Space primarily due to the renationalization of AWE; approximately $730 million at RMS mostly due to lower net sales for training and logistics solutions (TLS) programs due to the delivery of an international pilot training system in the first quarter of 2021 and lower production volume on Black Hawk; and about $365 million at MFC primarily due to lower volume on Terminal High Altitude Area Defense (THAAD) and air dominance weapon systems.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Sales</w:t>
      </w:r>
    </w:p>
    <w:p>
      <w:pPr>
        <w:spacing w:after="0" w:line="196" w:lineRule="exact"/>
        <w:rPr>
          <w:sz w:val="20"/>
          <w:szCs w:val="20"/>
          <w:color w:val="auto"/>
        </w:rPr>
      </w:pPr>
    </w:p>
    <w:p>
      <w:pPr>
        <w:ind w:right="460" w:firstLine="445"/>
        <w:spacing w:after="0" w:line="268" w:lineRule="auto"/>
        <w:rPr>
          <w:sz w:val="20"/>
          <w:szCs w:val="20"/>
          <w:color w:val="auto"/>
        </w:rPr>
      </w:pPr>
      <w:r>
        <w:rPr>
          <w:rFonts w:ascii="Arial" w:cs="Arial" w:eastAsia="Arial" w:hAnsi="Arial"/>
          <w:sz w:val="18"/>
          <w:szCs w:val="18"/>
          <w:color w:val="auto"/>
        </w:rPr>
        <w:t>Service sales decreased $86 million, or 3%, during the quarter ended June 26, 2022 compared to the same period in 2021. The decrease in service sales was primarily attributable to lower sales of approximately $70 million at MFC primarily due to lower volume on Special Operations Forces Global Logistics Support Services (SOF GLSS).</w:t>
      </w:r>
    </w:p>
    <w:p>
      <w:pPr>
        <w:spacing w:after="0" w:line="130"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Service sales decreased $121 million, or 2%, during the six months ended June 26, 2022 compared to the same period in 2021. The decrease in service sales was primarily due to lower sales of approximately $130 million at MFC primarily due to lower volume on SOF GLSS.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98"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Cost of sales,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cost of sales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Quarters Ended</w:t>
            </w:r>
          </w:p>
        </w:tc>
        <w:tc>
          <w:tcPr>
            <w:tcW w:w="5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540" w:type="dxa"/>
            <w:vAlign w:val="bottom"/>
          </w:tcPr>
          <w:p>
            <w:pPr>
              <w:spacing w:after="0"/>
              <w:rPr>
                <w:sz w:val="14"/>
                <w:szCs w:val="14"/>
                <w:color w:val="auto"/>
              </w:rPr>
            </w:pPr>
          </w:p>
        </w:tc>
        <w:tc>
          <w:tcPr>
            <w:tcW w:w="12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June 27,</w:t>
            </w:r>
          </w:p>
        </w:tc>
        <w:tc>
          <w:tcPr>
            <w:tcW w:w="560" w:type="dxa"/>
            <w:vAlign w:val="bottom"/>
          </w:tcPr>
          <w:p>
            <w:pPr>
              <w:spacing w:after="0"/>
              <w:rPr>
                <w:sz w:val="14"/>
                <w:szCs w:val="14"/>
                <w:color w:val="auto"/>
              </w:rPr>
            </w:pPr>
          </w:p>
        </w:tc>
        <w:tc>
          <w:tcPr>
            <w:tcW w:w="130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June 26,</w:t>
            </w:r>
          </w:p>
        </w:tc>
        <w:tc>
          <w:tcPr>
            <w:tcW w:w="56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4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(11,395)</w:t>
            </w: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(12,866)</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(22,556)</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(25,147)</w:t>
            </w: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89.3 %</w:t>
            </w:r>
          </w:p>
        </w:tc>
        <w:tc>
          <w:tcPr>
            <w:tcW w:w="5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90.2 %</w:t>
            </w:r>
          </w:p>
        </w:tc>
        <w:tc>
          <w:tcPr>
            <w:tcW w:w="56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89.3 %</w:t>
            </w:r>
          </w:p>
        </w:tc>
        <w:tc>
          <w:tcPr>
            <w:tcW w:w="56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89.8 %</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 – services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(2,362)</w:t>
            </w: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(2,438)</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(4,537)</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(4,668)</w:t>
            </w: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 of service sales</w:t>
            </w:r>
          </w:p>
        </w:tc>
        <w:tc>
          <w:tcPr>
            <w:tcW w:w="28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88.0 %</w:t>
            </w:r>
          </w:p>
        </w:tc>
        <w:tc>
          <w:tcPr>
            <w:tcW w:w="5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88.0 %</w:t>
            </w:r>
          </w:p>
        </w:tc>
        <w:tc>
          <w:tcPr>
            <w:tcW w:w="56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88.0 %</w:t>
            </w:r>
          </w:p>
        </w:tc>
        <w:tc>
          <w:tcPr>
            <w:tcW w:w="56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88.5 %</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restructuring charges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w:t>
            </w: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unallocated, net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267</w:t>
            </w: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426</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548</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901</w:t>
            </w:r>
          </w:p>
        </w:tc>
      </w:tr>
      <w:tr>
        <w:trPr>
          <w:trHeight w:val="230"/>
        </w:trPr>
        <w:tc>
          <w:tcPr>
            <w:tcW w:w="4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(13,490)</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(14,878)</w:t>
            </w: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(26,545)</w:t>
            </w: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(28,950)</w:t>
            </w:r>
          </w:p>
        </w:tc>
      </w:tr>
    </w:tbl>
    <w:p>
      <w:pPr>
        <w:spacing w:after="0" w:line="251"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The following discussion of material changes in our consolidated cost of sales for products and services should be read in tandem with the preceding discussion of changes in our consolidated net sales and our business segment results of operations. Except for potential impacts to our programs resulting from COVID-19, supply chain disruptions and inflation, we have not identified any additional developing trends in cost of sales for products and services that would have a material impact on our future operations.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Costs</w:t>
      </w:r>
    </w:p>
    <w:p>
      <w:pPr>
        <w:spacing w:after="0" w:line="19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Product costs decreased $1.5 billion, or 11%, during the quarter ended June 26, 2022 compared to the same period in 2021. The decrease was primarily attributable to lower product costs of approximately $835 million at Aeronautics primarily due to lower volume on F-35 contracts; about $330 million at Space mostly due to the renationalization of AWE; approximately $175 million at RMS primarily due to lower production volume on Black Hawk; and about $130 million at MFC mostly due to lower volume on air dominance weapon systems and close out of the Warrior program in 2021.</w:t>
      </w:r>
    </w:p>
    <w:p>
      <w:pPr>
        <w:spacing w:after="0" w:line="139"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Product costs decreased $2.6 billion, or 10%, during the six months ended June 26, 2022 compared to the same period in 2021. The decrease was primarily attributable to lower product costs of approximately $860 million at Aeronautics mostly due to lower volume on F-35 contracts; about $750 million at Space primarily due to the renationalization of AWE; approximately $625 million at RMS mostly due to the delivery of an international pilot training system in the first quarter of 2021 and lower production volume on Black Hawk; and about $355 million at MFC primarily due to lower volume on THAAD and air dominance weapon systems.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Costs</w:t>
      </w:r>
    </w:p>
    <w:p>
      <w:pPr>
        <w:spacing w:after="0" w:line="196"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Service costs decreased $76 million, or 3%, during the quarter ended June 26, 2022 compared to the same period in 2021. The decrease was primarily attributable to lower service costs of approximately $65 million at MFC primarily due to lower volume on SOF GLSS.</w:t>
      </w:r>
    </w:p>
    <w:p>
      <w:pPr>
        <w:spacing w:after="0" w:line="11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Service costs decreased $131 million, or 3%, during the six months ended June 26, 2022 compared to the same period in 2021. The decrease was primarily attributable to lower service costs of approximately $125 million at MFC primarily due to lower volume on SOF GLSS.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Unallocated, Net</w:t>
      </w:r>
    </w:p>
    <w:p>
      <w:pPr>
        <w:spacing w:after="0" w:line="196"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Other unallocated, net primarily includes the FAS/CAS pension operating adjustment (which represents the difference between CAS pension cost recorded in our business segment’s results of operations and the service cost component of FAS pension (expense) income), stock-based compensation expense, changes in the fair value of investments held in a trust for deferred compensation plans and other corporate costs. These items are not allocated to the business segments and, therefore, are not allocated to cost of sales for products or services. Other unallocated, net reduced cost of sales by $267 million and $548 million during the quarter and six months ended June 26, 2022, compared to $426 million and $901 million during the quarter and six months ended June 27, 2021. Other unallocated, net during the quarter and six months ended June 26, 2022 was lower primarily due to declines in the fair value of investments held in a trust for deferred compensation plans during the quarter and six months ended June 26, 2022 compared to the same periods in 2021, a decrease in our FAS/CAS pension operating adjustment due to lower CAS cost from the American Rescue Plan Act of 2021 (ARPA) legislation, and fluctuations in costs associated with various corporate items, none of which were individually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Restructuring Charges</w:t>
      </w:r>
    </w:p>
    <w:p>
      <w:pPr>
        <w:spacing w:after="0" w:line="183" w:lineRule="exact"/>
        <w:rPr>
          <w:sz w:val="20"/>
          <w:szCs w:val="20"/>
          <w:color w:val="auto"/>
        </w:rPr>
      </w:pPr>
    </w:p>
    <w:p>
      <w:pPr>
        <w:jc w:val="both"/>
        <w:ind w:right="40" w:firstLine="405"/>
        <w:spacing w:after="0" w:line="268" w:lineRule="auto"/>
        <w:rPr>
          <w:sz w:val="20"/>
          <w:szCs w:val="20"/>
          <w:color w:val="auto"/>
        </w:rPr>
      </w:pPr>
      <w:r>
        <w:rPr>
          <w:rFonts w:ascii="Arial" w:cs="Arial" w:eastAsia="Arial" w:hAnsi="Arial"/>
          <w:sz w:val="18"/>
          <w:szCs w:val="18"/>
          <w:color w:val="auto"/>
        </w:rPr>
        <w:t>During the first quarter of 2021, we recorded severance and restructuring charges of $36 million ($28 million, or $0.10 per share, after-tax) associated with plans to close and consolidate certain facilities and reduce total workforce within our RMS business segment. See “Note 10 - Other” included in our Notes to Consolidated Financial Statements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8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Other income, net primarily includes earnings generated by equity method investees. Other income, net was $7 million and $31 million during the quarter and six months ended June 26, 2022, compared to $41 million and $37 million during the quarter and six months ended June 27, 2021. Other income, net during the quarter</w:t>
      </w:r>
    </w:p>
    <w:p>
      <w:pPr>
        <w:spacing w:after="0" w:line="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ended June 26, 2022 included lower earnings generated by our equity method investment in ULA due to lower launch volume and launch vehicle mix.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98"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Interest expense during the quarter and six months ended June 26, 2022 was $141 million and $276 million, compared to $142 million and $282 million during the quarter and six months ended June 27, 2021. See “Capital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Resources” included within “Liquidity and Cash Flows” discussion below and “Note 10 - Other” included in our Notes to Consolidated Financial Statements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Non-Service FAS Pension (Expense) Income</w:t>
      </w:r>
    </w:p>
    <w:p>
      <w:pPr>
        <w:spacing w:after="0" w:line="18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Non-service FAS pension expense was $1.3 billion and $1.2 billion for the quarter and six months ended June 26, 2022, compared to FAS pension income of $94 million and $187 million during the quarter and six months ended June 27, 2021. Non-service FAS pension expense for the quarter and six months ended June 26, 2022 includes a noncash, non-operating pension settlement charge of $1.5 billion ($1.2 billion, or $4.33 per share, after-tax), related to the transfer of $4.3 billion of our gross defined benefit pension obligations and related plan assets to an insurance company. See “Note 6 - Postretirement Benefit Plans” included in our Notes to Consolidated Financial Statements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(Expense) Income, Net</w:t>
      </w:r>
    </w:p>
    <w:p>
      <w:pPr>
        <w:spacing w:after="0" w:line="252"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Other non-operating (expense) income, net primarily includes gains or losses related to changes in the fair value of strategic investments in companies made by our Lockheed Martin Ventures Fund. During the quarter ended June 26, 2022, other non-operating expense, net was $161 million compared to other non-operating income, net of $26 million during the quarter ended June 27, 2021. During the six months ended June 26, 2022, other non-operating expense, net was $38 million compared to other non-operating income, net of $102 million during the six months ended June 27, 2021. The decrease during the quarter and six months ended June 26, 2022 was primarily due to decreases in the fair value of investments held in this fund and losses related to early extinguishments of debt. See “Note 10 - Other” included in our Notes to Consolidated Financial Statements for additional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effective income tax rates were 6.4% and 14.6% for the quarter and six months ended June 26, 2022 and 16.4% and 16.6% for the quarter and six months ended June 27, 2021. The rate for the second quarter of 2022 is lower than the second quarter of 2021 primarily due to lower earnings before income taxes resulting from a noncash, non-operating pension settlement charge of $1.5 billion, which reduced the tax expense by approximately $314 million. The rates for all periods benefited from the research and development tax credit, tax deductions for foreign derived intangible income and dividends paid to the corporation's defined contribution plans with an employee stock ownership plan feature.</w:t>
      </w:r>
    </w:p>
    <w:p>
      <w:pPr>
        <w:spacing w:after="0" w:line="142" w:lineRule="exact"/>
        <w:rPr>
          <w:sz w:val="20"/>
          <w:szCs w:val="20"/>
          <w:color w:val="auto"/>
        </w:rPr>
      </w:pPr>
    </w:p>
    <w:p>
      <w:pPr>
        <w:ind w:firstLine="405"/>
        <w:spacing w:after="0" w:line="244" w:lineRule="auto"/>
        <w:rPr>
          <w:sz w:val="20"/>
          <w:szCs w:val="20"/>
          <w:color w:val="auto"/>
        </w:rPr>
      </w:pPr>
      <w:r>
        <w:rPr>
          <w:rFonts w:ascii="Arial" w:cs="Arial" w:eastAsia="Arial" w:hAnsi="Arial"/>
          <w:sz w:val="18"/>
          <w:szCs w:val="18"/>
          <w:color w:val="auto"/>
        </w:rPr>
        <w:t>Changes in U.S. (federal or state) or foreign tax laws and regulations, or their interpretation and application, including those with retroactive effect, including the amortization for research or experimental expenditures, could significantly impact our provision for income taxes, the amount of taxes payable, our deferred tax asset and liability balances, and stockholders’ equity. Proposals to increase the U.S. corporate income tax rate would require us to increase our net deferred tax assets upon enactment of new tax legislation, with a corresponding material, one-time, noncash decrease in income tax expense, but our income tax expense and payments would likely be materially increased in subsequent years. Our net deferred tax assets were $2.7 billion and $2.3 billion at June 26, 2022 and December 31, 2021, based on a 21% federal statutory income tax rate, and primarily relate to our postretirement benefit plans. In addition to future changes in tax laws, the amount of net deferred tax assets will change periodically based on several factors, including the measurement of our postretirement benefit plan obligations, actual cash contributions to our postretirement benefit plans and the reevaluation of uncertain tax positions.</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Beginning in 2022, the Tax Cuts and Jobs Act of 2017 eliminates the option to deduct research and development expenditures</w:t>
      </w:r>
    </w:p>
    <w:p>
      <w:pPr>
        <w:spacing w:after="0" w:line="1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immediately in the year incurred and requires taxpayers to amortize such expenditures over five years. While it is possible that Congress may defer, modify, or repeal this provision, potentially with retroactive effect, and we continue to have ongoing discussions with members of Congress, both on our own and with other industries through coalitions, we have no assurance that this provision will be deferred, modified, or repealed. Furthermore, in anticipation of the new provision taking effect, we analyzed the provision and worked with our advisors to evaluate its application to our business. We anticipate our cash from operations in 2022 will be negatively impacted by approximately $500 million and our net deferred tax assets will increase by a similar amount provided this provision is not deferred, modified, or repealed. The actual impact on 2022 cash from operations will depend on the amount of research and development expenses paid or incurred in 2022 among other factors. While the largest impact of this provision will be to 2022 cash from operations, the impact would continue over the five-year amortization period, but would decrease over the period and be immaterial in year six.</w:t>
      </w:r>
    </w:p>
    <w:p>
      <w:pPr>
        <w:spacing w:after="0" w:line="156" w:lineRule="exact"/>
        <w:rPr>
          <w:sz w:val="20"/>
          <w:szCs w:val="20"/>
          <w:color w:val="auto"/>
        </w:rPr>
      </w:pPr>
    </w:p>
    <w:p>
      <w:pPr>
        <w:ind w:right="120" w:firstLine="405"/>
        <w:spacing w:after="0" w:line="271" w:lineRule="auto"/>
        <w:rPr>
          <w:sz w:val="20"/>
          <w:szCs w:val="20"/>
          <w:color w:val="auto"/>
        </w:rPr>
      </w:pPr>
      <w:r>
        <w:rPr>
          <w:rFonts w:ascii="Arial" w:cs="Arial" w:eastAsia="Arial" w:hAnsi="Arial"/>
          <w:sz w:val="18"/>
          <w:szCs w:val="18"/>
          <w:color w:val="auto"/>
        </w:rPr>
        <w:t>We are regularly under audit or examination by tax authorities, including foreign tax authorities (including in, amongst others, Australia, Canada, India, Italy, Japan, Poland, and the United Kingdom). The final determination of tax audits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40"/>
        <w:spacing w:after="0" w:line="453" w:lineRule="auto"/>
        <w:rPr>
          <w:sz w:val="20"/>
          <w:szCs w:val="20"/>
          <w:color w:val="auto"/>
        </w:rPr>
      </w:pPr>
      <w:r>
        <w:rPr>
          <w:rFonts w:ascii="Arial" w:cs="Arial" w:eastAsia="Arial" w:hAnsi="Arial"/>
          <w:sz w:val="18"/>
          <w:szCs w:val="18"/>
          <w:color w:val="auto"/>
        </w:rPr>
        <w:t xml:space="preserve">any related litigation could similarly result in unanticipated increases in our tax expense and affect profitability and cash flows. </w:t>
      </w:r>
      <w:r>
        <w:rPr>
          <w:rFonts w:ascii="Arial" w:cs="Arial" w:eastAsia="Arial" w:hAnsi="Arial"/>
          <w:sz w:val="18"/>
          <w:szCs w:val="18"/>
          <w:b w:val="1"/>
          <w:bCs w:val="1"/>
          <w:color w:val="auto"/>
        </w:rPr>
        <w:t>Net Earnings</w:t>
      </w:r>
    </w:p>
    <w:p>
      <w:pPr>
        <w:spacing w:after="0" w:line="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reported net earnings of $309 million ($1.16 per share) and $2.0 billion ($7.62 per share) during the quarter and six months ended June 26, 2022, compared to $1.8 billion ($ 6.52 per share) and $3.7 billion ($13.08 per share) during the quarter and six months ended June 27, 2021. Net earnings and earnings per share for both the quarter and six months ended June 26, 2022 were affected by factors mentioned above, including the noncash, non-operating pension settlement charge of $1.5 billion ($1.2 billion, or $4.33 per share, after-tax) related to the transfer of $4.3 billion of gross defined benefit pension obligations and related plan assets to an insurance company. Earnings per share also benefited from a net decrease of approximately 11.7 million and 11.2 million weighted average common shares outstanding during the quarter and six months ended June 26, 2022, compared to the same periods in 2021. The reduction in weighted average common shares was a result of share repurchases, partially offset by share issuance under our stock-based awards and certain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OF OPERATIONS</w:t>
      </w:r>
    </w:p>
    <w:p>
      <w:pPr>
        <w:spacing w:after="0" w:line="198"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We operate in four business segments: Aeronautics, MFC, RMS and Space. We organize our business segments based on the nature of products and services offered.</w:t>
      </w:r>
    </w:p>
    <w:p>
      <w:pPr>
        <w:spacing w:after="0" w:line="11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Net sales and operating profit of our business segments exclude intersegment sales, cost of sales, and profit as these activities are eliminated in consolidation and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spacing w:after="0" w:line="13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Business segment operating profit excludes the FAS/CAS pension operating adjustment described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environmental costs, changes in the fair value of strategic investments in companies made by our Lockheed Martin Ventures Fund, stock-based compensation expense, changes in the fair value of investments held in a trust for deferred compensation plans, retiree benefits, significant severance actions, significant asset impairments, gains or losses from divestitures, and other miscellaneous corporate activities. Excluded items are included in the reconciling item “Unallocated items” between operating profit from our business segments and our consolidated operating profit.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Summary operating results for each of our business segments were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4"/>
                <w:szCs w:val="14"/>
                <w:color w:val="auto"/>
              </w:rPr>
            </w:pPr>
          </w:p>
        </w:tc>
        <w:tc>
          <w:tcPr>
            <w:tcW w:w="114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27,</w:t>
            </w:r>
          </w:p>
        </w:tc>
        <w:tc>
          <w:tcPr>
            <w:tcW w:w="52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26,</w:t>
            </w:r>
          </w:p>
        </w:tc>
        <w:tc>
          <w:tcPr>
            <w:tcW w:w="540" w:type="dxa"/>
            <w:vAlign w:val="bottom"/>
          </w:tcPr>
          <w:p>
            <w:pPr>
              <w:spacing w:after="0"/>
              <w:rPr>
                <w:sz w:val="14"/>
                <w:szCs w:val="14"/>
                <w:color w:val="auto"/>
              </w:rPr>
            </w:pPr>
          </w:p>
        </w:tc>
        <w:tc>
          <w:tcPr>
            <w:tcW w:w="13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4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5,862</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6,666</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12,263</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13,053</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2,747</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2,944</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5,199</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5,693</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4,012</w:t>
            </w:r>
          </w:p>
        </w:tc>
        <w:tc>
          <w:tcPr>
            <w:tcW w:w="5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4,242</w:t>
            </w:r>
          </w:p>
        </w:tc>
        <w:tc>
          <w:tcPr>
            <w:tcW w:w="5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7,564</w:t>
            </w:r>
          </w:p>
        </w:tc>
        <w:tc>
          <w:tcPr>
            <w:tcW w:w="5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8,349</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2,825</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3,177</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5,384</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6,192</w:t>
            </w:r>
          </w:p>
        </w:tc>
      </w:tr>
      <w:tr>
        <w:trPr>
          <w:trHeight w:val="223"/>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15,446</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17,029</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30,410</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33,287</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Aeronautics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612</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572</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1,291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1,265</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Missiles and Fire Control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418</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401</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802</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797</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Rotary and Mission Systems</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403</w:t>
            </w:r>
          </w:p>
        </w:tc>
        <w:tc>
          <w:tcPr>
            <w:tcW w:w="5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751</w:t>
            </w:r>
          </w:p>
        </w:tc>
        <w:tc>
          <w:tcPr>
            <w:tcW w:w="5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891</w:t>
            </w:r>
          </w:p>
        </w:tc>
      </w:tr>
      <w:tr>
        <w:trPr>
          <w:trHeight w:val="230"/>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Space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268</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335</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513</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562</w:t>
            </w:r>
          </w:p>
        </w:tc>
      </w:tr>
      <w:tr>
        <w:trPr>
          <w:trHeight w:val="223"/>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business segment operating profit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1,701</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1,766</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3,357</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3,515</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 items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FAS/CAS pension operating adjustment</w:t>
            </w: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425</w:t>
            </w:r>
          </w:p>
        </w:tc>
        <w:tc>
          <w:tcPr>
            <w:tcW w:w="5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489</w:t>
            </w:r>
          </w:p>
        </w:tc>
        <w:tc>
          <w:tcPr>
            <w:tcW w:w="5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851</w:t>
            </w:r>
          </w:p>
        </w:tc>
        <w:tc>
          <w:tcPr>
            <w:tcW w:w="5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978</w:t>
            </w: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 and restructuring charges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w:t>
            </w:r>
          </w:p>
        </w:tc>
      </w:tr>
      <w:tr>
        <w:trPr>
          <w:trHeight w:val="229"/>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(163)</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(63)</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(312)</w:t>
            </w: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(83)</w:t>
            </w:r>
          </w:p>
        </w:tc>
      </w:tr>
      <w:tr>
        <w:trPr>
          <w:trHeight w:val="223"/>
        </w:trPr>
        <w:tc>
          <w:tcPr>
            <w:tcW w:w="4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unallocated items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262</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426</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539</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859</w:t>
            </w:r>
          </w:p>
        </w:tc>
      </w:tr>
      <w:tr>
        <w:trPr>
          <w:trHeight w:val="230"/>
        </w:trPr>
        <w:tc>
          <w:tcPr>
            <w:tcW w:w="4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consolidated operating profit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1,963</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2,192</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3,896</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Our business segments’ results of operations include pension expense only as calculated under U.S. Government Cost Accounting Standards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FAS requirements under U.S. GAAP. The operating portion of the net FAS/CAS pension adjustment represents the difference between the service cost component of FAS pension (expense) income and total CAS pension cost. The non-service FAS pension (expense) income components are included in non-service FAS pension (expense) income in our consolidated statements of earnings. As a result, to the extent that CAS pension cost exceeds the service cost component of FAS pension (expense) income, we have a favorable FAS/CAS pension operating adjustment.</w:t>
      </w:r>
    </w:p>
    <w:p>
      <w:pPr>
        <w:spacing w:after="0" w:line="154"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The total FAS/CAS pension adjustment for the quarters and six months ended June 26, 2022 and June 27, 2021, including the service and non-service cost components of FAS pension (expense) income for our qualified defined benefit pension plans,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27,</w:t>
            </w:r>
          </w:p>
        </w:tc>
        <w:tc>
          <w:tcPr>
            <w:tcW w:w="52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4"/>
                <w:szCs w:val="14"/>
                <w:color w:val="auto"/>
              </w:rPr>
            </w:pPr>
          </w:p>
        </w:tc>
        <w:tc>
          <w:tcPr>
            <w:tcW w:w="13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4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FAS (expense) income and CAS cost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7"/>
                <w:szCs w:val="17"/>
                <w:color w:val="auto"/>
              </w:rPr>
              <w:t>Total FAS pension (expense)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(1,355)</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67</w:t>
            </w:r>
          </w:p>
        </w:tc>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(1,239)</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29"/>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CAS pension cost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449</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516</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899</w:t>
            </w: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1,032</w:t>
            </w:r>
          </w:p>
        </w:tc>
      </w:tr>
      <w:tr>
        <w:trPr>
          <w:trHeight w:val="223"/>
        </w:trPr>
        <w:tc>
          <w:tcPr>
            <w:tcW w:w="46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Total FAS/CAS pension adjustment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(906)</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583</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(340)</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1,165</w:t>
            </w:r>
          </w:p>
        </w:tc>
      </w:tr>
      <w:tr>
        <w:trPr>
          <w:trHeight w:val="237"/>
        </w:trPr>
        <w:tc>
          <w:tcPr>
            <w:tcW w:w="4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Service and non-service cost reconciliation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FAS pension 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(24)</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(48)</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w:t>
            </w:r>
          </w:p>
        </w:tc>
      </w:tr>
      <w:tr>
        <w:trPr>
          <w:trHeight w:val="230"/>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CAS pension cost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449</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516</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899</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1,032</w:t>
            </w:r>
          </w:p>
        </w:tc>
      </w:tr>
      <w:tr>
        <w:trPr>
          <w:trHeight w:val="223"/>
        </w:trPr>
        <w:tc>
          <w:tcPr>
            <w:tcW w:w="46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FAS/CAS pension operating adjustment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425</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489</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851</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978</w:t>
            </w:r>
          </w:p>
        </w:tc>
      </w:tr>
      <w:tr>
        <w:trPr>
          <w:trHeight w:val="230"/>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Non-service FAS pension (expense) income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(1,331)</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94</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(1,191)</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187</w:t>
            </w:r>
          </w:p>
        </w:tc>
      </w:tr>
      <w:tr>
        <w:trPr>
          <w:trHeight w:val="230"/>
        </w:trPr>
        <w:tc>
          <w:tcPr>
            <w:tcW w:w="4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FAS/CAS pension adjustment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(906)</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583</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(340)</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1,165</w:t>
            </w:r>
          </w:p>
        </w:tc>
      </w:tr>
    </w:tbl>
    <w:p>
      <w:pPr>
        <w:spacing w:after="0" w:line="251"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color w:val="auto"/>
        </w:rPr>
        <w:t>The decrease in the net FAS/CAS pension adjustment during the quarter and six months ended June 26, 2022 as compared to 2021 was principally driven by a noncash, non-operating pension settlement charge of $1.5 billion ($1.2 billion, or $4.33 per share, after-tax) recognized in connection with the transfer of $4.3 billion of our gross defined benefit pension obligations and related plan assets to an insurance company on June 24, 2022. See “Note 6 - Postretirement Benefit Plans”.</w:t>
      </w:r>
    </w:p>
    <w:p>
      <w:pPr>
        <w:spacing w:after="0" w:line="13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w:t>
      </w:r>
    </w:p>
    <w:p>
      <w:pPr>
        <w:spacing w:after="0" w:line="15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 -term supply contracts for certain materials or components to coincide with the production schedule of certain products and to ensure their availability at known unit prices.</w:t>
      </w:r>
    </w:p>
    <w:p>
      <w:pPr>
        <w:spacing w:after="0" w:line="144"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Many of our contracts span several years and include highly complex technical requirements. At the outset of a contract, we identify and monitor risks to the achievement of the technical, schedule and cost aspects of the contract and assess the effects of those risks on our estimates of total costs to complete the contract. The estimates consider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the technical, schedule and cost aspects of the contract, which decreases the estimated total costs to complete the contract. Conversely, our profit booking rates may decrease if the estimated total costs to complete the contract increase. All of the estimates are subject to change during the performance of the contract and may affect the profit booking rate.</w:t>
      </w:r>
    </w:p>
    <w:p>
      <w:pPr>
        <w:spacing w:after="0" w:line="158" w:lineRule="exact"/>
        <w:rPr>
          <w:sz w:val="20"/>
          <w:szCs w:val="20"/>
          <w:color w:val="auto"/>
        </w:rPr>
      </w:pPr>
    </w:p>
    <w:p>
      <w:pPr>
        <w:jc w:val="both"/>
        <w:ind w:right="120" w:firstLine="405"/>
        <w:spacing w:after="0" w:line="268" w:lineRule="auto"/>
        <w:rPr>
          <w:sz w:val="20"/>
          <w:szCs w:val="20"/>
          <w:color w:val="auto"/>
        </w:rPr>
      </w:pPr>
      <w:r>
        <w:rPr>
          <w:rFonts w:ascii="Arial" w:cs="Arial" w:eastAsia="Arial" w:hAnsi="Arial"/>
          <w:sz w:val="18"/>
          <w:szCs w:val="18"/>
          <w:color w:val="auto"/>
        </w:rPr>
        <w:t>We have a number of programs that are designated as classified by the U.S. Government which cannot be specifically described. The operating results of these classified programs are included in our consolidated and business segment results and are subjected to the same oversight and internal controls as our other programs.</w:t>
      </w:r>
    </w:p>
    <w:p>
      <w:pPr>
        <w:spacing w:after="0" w:line="13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Our net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spacing w:after="0" w:line="142" w:lineRule="exact"/>
        <w:rPr>
          <w:sz w:val="20"/>
          <w:szCs w:val="20"/>
          <w:color w:val="auto"/>
        </w:rPr>
      </w:pPr>
    </w:p>
    <w:p>
      <w:pPr>
        <w:ind w:right="760" w:firstLine="405"/>
        <w:spacing w:after="0" w:line="291" w:lineRule="auto"/>
        <w:rPr>
          <w:sz w:val="20"/>
          <w:szCs w:val="20"/>
          <w:color w:val="auto"/>
        </w:rPr>
      </w:pPr>
      <w:r>
        <w:rPr>
          <w:rFonts w:ascii="Arial" w:cs="Arial" w:eastAsia="Arial" w:hAnsi="Arial"/>
          <w:sz w:val="17"/>
          <w:szCs w:val="17"/>
          <w:color w:val="auto"/>
        </w:rPr>
        <w:t>Changes in net sales and operating profit generally are expressed in terms of volume.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In addition, 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favorable profit adjustments, usually relate to revisions in the estimated total costs to fulfill the performance obligations that reflect improved conditions on a particular contract. Conversely, conditions on a particular contract may deteriorate, for example COVID-19 impacts or supply chain disruptions, resulting in an increase in the estimated total costs to fulfill the performance obligations and a reduction in the profit booking rate and are typically referred to as unfavorable profit adjustments.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49" w:lineRule="exact"/>
        <w:rPr>
          <w:sz w:val="20"/>
          <w:szCs w:val="20"/>
          <w:color w:val="auto"/>
        </w:rPr>
      </w:pPr>
    </w:p>
    <w:p>
      <w:pPr>
        <w:ind w:right="460" w:firstLine="405"/>
        <w:spacing w:after="0" w:line="268" w:lineRule="auto"/>
        <w:rPr>
          <w:sz w:val="20"/>
          <w:szCs w:val="20"/>
          <w:color w:val="auto"/>
        </w:rPr>
      </w:pPr>
      <w:r>
        <w:rPr>
          <w:rFonts w:ascii="Arial" w:cs="Arial" w:eastAsia="Arial" w:hAnsi="Arial"/>
          <w:sz w:val="18"/>
          <w:szCs w:val="18"/>
          <w:color w:val="auto"/>
        </w:rPr>
        <w:t>Our consolidated net adjustments not related to volume, including net profit booking rate adjustments and other matters, increased segment operating profit by approximately $455 million and $860 million during the quarter and six months ended June 26, 2022 and $385 million and $880 million during the quarter and six months ended June 27, 2021.</w:t>
      </w:r>
    </w:p>
    <w:p>
      <w:pPr>
        <w:spacing w:after="0" w:line="130" w:lineRule="exact"/>
        <w:rPr>
          <w:sz w:val="20"/>
          <w:szCs w:val="20"/>
          <w:color w:val="auto"/>
        </w:rPr>
      </w:pPr>
    </w:p>
    <w:p>
      <w:pPr>
        <w:ind w:right="540" w:firstLine="405"/>
        <w:spacing w:after="0" w:line="287" w:lineRule="auto"/>
        <w:rPr>
          <w:sz w:val="20"/>
          <w:szCs w:val="20"/>
          <w:color w:val="auto"/>
        </w:rPr>
      </w:pPr>
      <w:r>
        <w:rPr>
          <w:rFonts w:ascii="Arial" w:cs="Arial" w:eastAsia="Arial" w:hAnsi="Arial"/>
          <w:sz w:val="18"/>
          <w:szCs w:val="18"/>
          <w:color w:val="auto"/>
        </w:rPr>
        <w:t>We periodically experience performance issues and record losses for certain programs. For further discussion on the programs at Aeronautics and RMS, see “Note 10 - Other” included in our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00" w:type="dxa"/>
            <w:vAlign w:val="bottom"/>
          </w:tcPr>
          <w:p>
            <w:pPr>
              <w:spacing w:after="0"/>
              <w:rPr>
                <w:sz w:val="20"/>
                <w:szCs w:val="20"/>
                <w:color w:val="auto"/>
              </w:rPr>
            </w:pPr>
            <w:r>
              <w:rPr>
                <w:rFonts w:ascii="Arial" w:cs="Arial" w:eastAsia="Arial" w:hAnsi="Arial"/>
                <w:sz w:val="18"/>
                <w:szCs w:val="18"/>
                <w:b w:val="1"/>
                <w:bCs w:val="1"/>
                <w:color w:val="auto"/>
              </w:rPr>
              <w:t>Aeronautics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7"/>
        </w:trPr>
        <w:tc>
          <w:tcPr>
            <w:tcW w:w="8020" w:type="dxa"/>
            <w:vAlign w:val="bottom"/>
            <w:gridSpan w:val="6"/>
          </w:tcPr>
          <w:p>
            <w:pPr>
              <w:ind w:left="420"/>
              <w:spacing w:after="0"/>
              <w:rPr>
                <w:sz w:val="20"/>
                <w:szCs w:val="20"/>
                <w:color w:val="auto"/>
              </w:rPr>
            </w:pPr>
            <w:r>
              <w:rPr>
                <w:rFonts w:ascii="Arial" w:cs="Arial" w:eastAsia="Arial" w:hAnsi="Arial"/>
                <w:sz w:val="18"/>
                <w:szCs w:val="18"/>
                <w:color w:val="auto"/>
              </w:rPr>
              <w:t>Summary operating results for our Aeronautics business segment were as follows (in millions):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3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Quarters Ended</w:t>
            </w:r>
          </w:p>
        </w:tc>
        <w:tc>
          <w:tcPr>
            <w:tcW w:w="6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58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27,</w:t>
            </w:r>
          </w:p>
        </w:tc>
        <w:tc>
          <w:tcPr>
            <w:tcW w:w="680" w:type="dxa"/>
            <w:vAlign w:val="bottom"/>
          </w:tcPr>
          <w:p>
            <w:pPr>
              <w:spacing w:after="0"/>
              <w:rPr>
                <w:sz w:val="14"/>
                <w:szCs w:val="14"/>
                <w:color w:val="auto"/>
              </w:rPr>
            </w:pPr>
          </w:p>
        </w:tc>
        <w:tc>
          <w:tcPr>
            <w:tcW w:w="11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60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3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5,862</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6,666</w:t>
            </w:r>
          </w:p>
        </w:tc>
        <w:tc>
          <w:tcPr>
            <w:tcW w:w="6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12,263</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13,053</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612</w:t>
            </w:r>
          </w:p>
        </w:tc>
        <w:tc>
          <w:tcPr>
            <w:tcW w:w="58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572</w:t>
            </w:r>
          </w:p>
        </w:tc>
        <w:tc>
          <w:tcPr>
            <w:tcW w:w="6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1,291</w:t>
            </w:r>
          </w:p>
        </w:tc>
        <w:tc>
          <w:tcPr>
            <w:tcW w:w="6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1,265</w:t>
            </w:r>
          </w:p>
        </w:tc>
      </w:tr>
      <w:tr>
        <w:trPr>
          <w:trHeight w:val="23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10.4 %</w:t>
            </w:r>
          </w:p>
        </w:tc>
        <w:tc>
          <w:tcPr>
            <w:tcW w:w="5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8.6 %</w:t>
            </w:r>
          </w:p>
        </w:tc>
        <w:tc>
          <w:tcPr>
            <w:tcW w:w="6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10.5 %</w:t>
            </w:r>
          </w:p>
        </w:tc>
        <w:tc>
          <w:tcPr>
            <w:tcW w:w="6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9.7 %</w:t>
            </w:r>
          </w:p>
        </w:tc>
      </w:tr>
    </w:tbl>
    <w:p>
      <w:pPr>
        <w:spacing w:after="0" w:line="25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 xml:space="preserve">Aeronautics’ net sales during the quarter ended June 26, 2022 decreased $804 million, or 12%, compared to the same period in 2021. </w:t>
      </w:r>
      <w:r>
        <w:rPr>
          <w:rFonts w:ascii="Arial" w:cs="Arial" w:eastAsia="Arial" w:hAnsi="Arial"/>
          <w:sz w:val="18"/>
          <w:szCs w:val="18"/>
          <w:color w:val="212529"/>
        </w:rPr>
        <w:t xml:space="preserve">Net sales decreased by approximately $ 945 million for the F-35 program due to lower volume on production contracts as a result of supply chain performance delays and delays in receiving additional contractual authorization and funding under the Lots 15-17 contract, and </w:t>
      </w:r>
      <w:r>
        <w:rPr>
          <w:rFonts w:ascii="Arial" w:cs="Arial" w:eastAsia="Arial" w:hAnsi="Arial"/>
          <w:sz w:val="18"/>
          <w:szCs w:val="18"/>
          <w:color w:val="000000"/>
        </w:rPr>
        <w:t>about</w:t>
      </w:r>
      <w:r>
        <w:rPr>
          <w:rFonts w:ascii="Arial" w:cs="Arial" w:eastAsia="Arial" w:hAnsi="Arial"/>
          <w:sz w:val="18"/>
          <w:szCs w:val="18"/>
          <w:color w:val="212529"/>
        </w:rPr>
        <w:t xml:space="preserve"> </w:t>
      </w:r>
      <w:r>
        <w:rPr>
          <w:rFonts w:ascii="Arial" w:cs="Arial" w:eastAsia="Arial" w:hAnsi="Arial"/>
          <w:sz w:val="18"/>
          <w:szCs w:val="18"/>
          <w:color w:val="000000"/>
        </w:rPr>
        <w:t xml:space="preserve">$50 million on the F-16 program due to </w:t>
      </w:r>
      <w:r>
        <w:rPr>
          <w:rFonts w:ascii="Arial" w:cs="Arial" w:eastAsia="Arial" w:hAnsi="Arial"/>
          <w:sz w:val="18"/>
          <w:szCs w:val="18"/>
          <w:color w:val="212529"/>
        </w:rPr>
        <w:t>lower volume on sustainment contracts and</w:t>
      </w:r>
      <w:r>
        <w:rPr>
          <w:rFonts w:ascii="Arial" w:cs="Arial" w:eastAsia="Arial" w:hAnsi="Arial"/>
          <w:sz w:val="18"/>
          <w:szCs w:val="18"/>
          <w:color w:val="000000"/>
        </w:rPr>
        <w:t xml:space="preserve"> an unfavorable profit adjustment on a production contract in the second quarter of 2022 as a result of manufacturing line ramp up delays, </w:t>
      </w:r>
      <w:r>
        <w:rPr>
          <w:rFonts w:ascii="Arial" w:cs="Arial" w:eastAsia="Arial" w:hAnsi="Arial"/>
          <w:sz w:val="18"/>
          <w:szCs w:val="18"/>
          <w:color w:val="212529"/>
        </w:rPr>
        <w:t>partially offset by higher volume on production contracts.</w:t>
      </w:r>
      <w:r>
        <w:rPr>
          <w:rFonts w:ascii="Arial" w:cs="Arial" w:eastAsia="Arial" w:hAnsi="Arial"/>
          <w:sz w:val="18"/>
          <w:szCs w:val="18"/>
          <w:color w:val="000000"/>
        </w:rPr>
        <w:t xml:space="preserve"> These decreases were partially offset by an increase of approximately $210 million on classified contracts primarily due to higher volume.</w:t>
      </w:r>
    </w:p>
    <w:p>
      <w:pPr>
        <w:spacing w:after="0" w:line="142"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Aeronautics’ operating profit during the quarter ended June 26, 2022 increased $40 million, or 7% compared to the same period in 2021. Operating profit increased approximately $220 million on classified contracts due to a $225 million loss in the second quarter of 2021 on a classified program; and approximately $40 million for the F-22 program due to higher net favorable profit adjustments. These increases were partially offset by lower operating profit of approximately $145 million for the F-35 program due to lower volume on production contracts as described above; and about $55 million for the F-16 program due to an unfavorable profit adjustment on a production contract in the second quarter of 2022 as described above. Adjustments not related to volume, including net profit booking rate adjustments, were $120 million higher in the second quarter of 2022 compared to the same period in 2021.</w:t>
      </w:r>
    </w:p>
    <w:p>
      <w:pPr>
        <w:spacing w:after="0" w:line="14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 xml:space="preserve">Aeronautics’ net sales during the six months ended June 26, 2022 decreased $ 790 million, or 6%, compared to the same period in 2021. </w:t>
      </w:r>
      <w:r>
        <w:rPr>
          <w:rFonts w:ascii="Arial" w:cs="Arial" w:eastAsia="Arial" w:hAnsi="Arial"/>
          <w:sz w:val="18"/>
          <w:szCs w:val="18"/>
          <w:color w:val="212529"/>
        </w:rPr>
        <w:t>Net sales decreased by approximately $1.0 billion for the F-35 program due to lower volume as described above and lower net</w:t>
      </w:r>
      <w:r>
        <w:rPr>
          <w:rFonts w:ascii="Arial" w:cs="Arial" w:eastAsia="Arial" w:hAnsi="Arial"/>
          <w:sz w:val="18"/>
          <w:szCs w:val="18"/>
          <w:color w:val="auto"/>
        </w:rPr>
        <w:t xml:space="preserve"> </w:t>
      </w:r>
      <w:r>
        <w:rPr>
          <w:rFonts w:ascii="Arial" w:cs="Arial" w:eastAsia="Arial" w:hAnsi="Arial"/>
          <w:sz w:val="18"/>
          <w:szCs w:val="18"/>
          <w:color w:val="212529"/>
        </w:rPr>
        <w:t xml:space="preserve">favorable profit adjustments on production contracts. This </w:t>
      </w:r>
      <w:r>
        <w:rPr>
          <w:rFonts w:ascii="Arial" w:cs="Arial" w:eastAsia="Arial" w:hAnsi="Arial"/>
          <w:sz w:val="18"/>
          <w:szCs w:val="18"/>
          <w:color w:val="000000"/>
        </w:rPr>
        <w:t>decrease was</w:t>
      </w:r>
      <w:r>
        <w:rPr>
          <w:rFonts w:ascii="Arial" w:cs="Arial" w:eastAsia="Arial" w:hAnsi="Arial"/>
          <w:sz w:val="18"/>
          <w:szCs w:val="18"/>
          <w:color w:val="212529"/>
        </w:rPr>
        <w:t xml:space="preserve"> partially offset by in</w:t>
      </w:r>
      <w:r>
        <w:rPr>
          <w:rFonts w:ascii="Arial" w:cs="Arial" w:eastAsia="Arial" w:hAnsi="Arial"/>
          <w:sz w:val="18"/>
          <w:szCs w:val="18"/>
          <w:color w:val="000000"/>
        </w:rPr>
        <w:t>creases of approximately $220 million on</w:t>
      </w:r>
      <w:r>
        <w:rPr>
          <w:rFonts w:ascii="Arial" w:cs="Arial" w:eastAsia="Arial" w:hAnsi="Arial"/>
          <w:sz w:val="18"/>
          <w:szCs w:val="18"/>
          <w:color w:val="212529"/>
        </w:rPr>
        <w:t xml:space="preserve"> </w:t>
      </w:r>
      <w:r>
        <w:rPr>
          <w:rFonts w:ascii="Arial" w:cs="Arial" w:eastAsia="Arial" w:hAnsi="Arial"/>
          <w:sz w:val="18"/>
          <w:szCs w:val="18"/>
          <w:color w:val="000000"/>
        </w:rPr>
        <w:t>classified contracts primarily due to higher volume; and about $30 million for the F-16 program due to higher volume on production contracts that was partially offset by unfavorable profit adjustments on a production contract and a modernization contract.</w:t>
      </w:r>
    </w:p>
    <w:p>
      <w:pPr>
        <w:spacing w:after="0" w:line="152" w:lineRule="exact"/>
        <w:rPr>
          <w:sz w:val="20"/>
          <w:szCs w:val="20"/>
          <w:color w:val="auto"/>
        </w:rPr>
      </w:pPr>
    </w:p>
    <w:p>
      <w:pPr>
        <w:jc w:val="both"/>
        <w:ind w:right="100" w:firstLine="445"/>
        <w:spacing w:after="0" w:line="272" w:lineRule="auto"/>
        <w:rPr>
          <w:sz w:val="20"/>
          <w:szCs w:val="20"/>
          <w:color w:val="auto"/>
        </w:rPr>
      </w:pPr>
      <w:r>
        <w:rPr>
          <w:rFonts w:ascii="Arial" w:cs="Arial" w:eastAsia="Arial" w:hAnsi="Arial"/>
          <w:sz w:val="17"/>
          <w:szCs w:val="17"/>
          <w:color w:val="auto"/>
        </w:rPr>
        <w:t>Aeronautics’ operating profit during the six months ended June 26, 2022 increased $ 26 million, or 2%, compared to the same period in 2021. Operating profit increased approximately $240 million on classified contracts due to a $225 million loss in the second quarter of 2021 for a classified program for performance issues; and about $70 million for the F-22 program due to higher net favorable profit adjustments.</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increases were partially offset by lower operating profit of approximately $195 million for the F-35 program due to lower volume as described above and lower net favorable profit adjustments on production contracts; and about $80 million for the F-16 program due to unfavorable profit adjustments on a production contract and modernization contracts. Adjustments not related to volume, including net profit booking rate adjustments, were $95 million higher in the six months ended June 26, 2022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20" w:type="dxa"/>
            <w:vAlign w:val="bottom"/>
          </w:tcPr>
          <w:p>
            <w:pPr>
              <w:spacing w:after="0"/>
              <w:rPr>
                <w:sz w:val="20"/>
                <w:szCs w:val="20"/>
                <w:color w:val="auto"/>
              </w:rPr>
            </w:pPr>
            <w:r>
              <w:rPr>
                <w:rFonts w:ascii="Arial" w:cs="Arial" w:eastAsia="Arial" w:hAnsi="Arial"/>
                <w:sz w:val="18"/>
                <w:szCs w:val="18"/>
                <w:b w:val="1"/>
                <w:bCs w:val="1"/>
                <w:color w:val="auto"/>
              </w:rPr>
              <w:t>Missiles and Fire Control</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7"/>
        </w:trPr>
        <w:tc>
          <w:tcPr>
            <w:tcW w:w="7520" w:type="dxa"/>
            <w:vAlign w:val="bottom"/>
            <w:gridSpan w:val="5"/>
          </w:tcPr>
          <w:p>
            <w:pPr>
              <w:jc w:val="right"/>
              <w:ind w:right="30"/>
              <w:spacing w:after="0"/>
              <w:rPr>
                <w:sz w:val="20"/>
                <w:szCs w:val="20"/>
                <w:color w:val="auto"/>
              </w:rPr>
            </w:pPr>
            <w:r>
              <w:rPr>
                <w:rFonts w:ascii="Arial" w:cs="Arial" w:eastAsia="Arial" w:hAnsi="Arial"/>
                <w:sz w:val="18"/>
                <w:szCs w:val="18"/>
                <w:color w:val="auto"/>
              </w:rPr>
              <w:t>Summary operating results for our MFC business segment were as follows (in millions):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3"/>
        </w:trPr>
        <w:tc>
          <w:tcPr>
            <w:tcW w:w="3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Quarters Ended</w:t>
            </w:r>
          </w:p>
        </w:tc>
        <w:tc>
          <w:tcPr>
            <w:tcW w:w="4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56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27,</w:t>
            </w:r>
          </w:p>
        </w:tc>
        <w:tc>
          <w:tcPr>
            <w:tcW w:w="4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58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3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2,747</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2,944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5,199</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5,693</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418</w:t>
            </w:r>
          </w:p>
        </w:tc>
        <w:tc>
          <w:tcPr>
            <w:tcW w:w="56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401</w:t>
            </w:r>
          </w:p>
        </w:tc>
        <w:tc>
          <w:tcPr>
            <w:tcW w:w="4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802</w:t>
            </w:r>
          </w:p>
        </w:tc>
        <w:tc>
          <w:tcPr>
            <w:tcW w:w="5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797</w:t>
            </w:r>
          </w:p>
        </w:tc>
      </w:tr>
      <w:tr>
        <w:trPr>
          <w:trHeight w:val="237"/>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15.2 %</w:t>
            </w:r>
          </w:p>
        </w:tc>
        <w:tc>
          <w:tcPr>
            <w:tcW w:w="5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13.6 %</w:t>
            </w: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15.4 %</w:t>
            </w:r>
          </w:p>
        </w:tc>
        <w:tc>
          <w:tcPr>
            <w:tcW w:w="5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14.0 %</w:t>
            </w:r>
          </w:p>
        </w:tc>
      </w:tr>
    </w:tbl>
    <w:p>
      <w:pPr>
        <w:spacing w:after="0" w:line="25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MFC’s net sales during the quarter ended June 26, 2022 decreased $197 million, or 7%, compared to the same period in 2021. The decrease was primarily attributable to lower net sales of approximately $ 155 million for sensors and global sustainment programs primarily due to lower volume on SOF GLSS as a result of troop withdrawals from Afghanistan and lower net favorable profit adjustments due to close out activities in the second quarter of 2021 related to the Warrior; and about $45 million for tactical and strike missile programs due to lower volume (air dominance weapon systems).</w:t>
      </w:r>
    </w:p>
    <w:p>
      <w:pPr>
        <w:spacing w:after="0" w:line="13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MFC’s operating profit during the quarter ended June 26, 2022 increased $17 million, or 4%, compared to the same period in 2021.The increase was primarily attributable to higher operating profit of approximately $40 million for tactical and strike missile programs due to higher net favorable profit adjustments (Joint Air-to-Surface Standoff Missile (JASSM), High Mobility Artillery Rocket System (HIMARS), and Hellfire); and about $10 million for integrated air and missile defense programs due to higher net favorable profit adjustments (Patriot Advanced Capability-3 (PAC-3)). These increases were partially offset by a decrease of about $40 million for sensors and global sustainment programs primarily due to lower net favorable profit adjustments as a result of the closeout of the Warrior program in 2021. In addition, operating margin was positively impacted when compared to the second quarter of 2021 due to contract mix (lower SOF GLSS volume and lower development volume for tactical and strike missiles). Adjustments not related to volume, including net profit booking rate adjustments in the second quarter of 2022 were comparable to the same period in 2021.</w:t>
      </w:r>
    </w:p>
    <w:p>
      <w:pPr>
        <w:spacing w:after="0" w:line="14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MFC’s net sales during the six months ended June 26, 2022 decreased $494 million, or 9%, compared to the same period in 2021. The decrease was primarily attributable to lower net sales of approximately $230 million for sensors and global sustainment programs due to lower volume on SOF GLSS as described above and lower volume and net favorable profit adjustments on Sniper Advanced Targeting Pod (SNIPER®), partially offset by the net effect of favorable profit adjustments on an international program as a result of a requirements modification in the first quarter of 2022 and the termination of the Warrior program in 2021; about $125 million for tactical and strike missile programs due to lower volume (air dominance weapon systems and hypersonics); and approximately $105 million for integrated air and missile defense programs due to lower volume (THAAD) and lower net favorable profit adjustments (PAC-3).</w:t>
      </w:r>
    </w:p>
    <w:p>
      <w:pPr>
        <w:spacing w:after="0" w:line="156"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MFC’s operating profit during the six months ended June 26, 2022 was comparable to the same period in 2021. Operating profit increased by approximately $30 million for tactical and strike missile programs due to higher net favorable profit adjustments (HIMARS, GMLRS and JASSM); and about $10 million for sensors and global sustainment programs primarily due to the net effect of favorable profit adjustments on an international program in the first quarter of 2022 and the termination of the Warrior program in 2021, partially offset by lower net favorable profit adjustments (SNIPER). These increases were offset by approximately $35 million for integrated air and missile defense programs due to volume (THAAD) and lower net favorable profit adjustments (PAC-3). In addition, operating margin was positively impacted when compared to the six months ended June 27, 2021 due to contract mix (lower SOF GLSS volume and lower development volume at tactical and strike missiles). Adjustments not related to volume, including net profit booking rate adjustments, were $20 million higher in the six months ended June 26, 2022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20" w:type="dxa"/>
            <w:vAlign w:val="bottom"/>
          </w:tcPr>
          <w:p>
            <w:pPr>
              <w:spacing w:after="0"/>
              <w:rPr>
                <w:sz w:val="20"/>
                <w:szCs w:val="20"/>
                <w:color w:val="auto"/>
              </w:rPr>
            </w:pPr>
            <w:r>
              <w:rPr>
                <w:rFonts w:ascii="Arial" w:cs="Arial" w:eastAsia="Arial" w:hAnsi="Arial"/>
                <w:sz w:val="18"/>
                <w:szCs w:val="18"/>
                <w:b w:val="1"/>
                <w:bCs w:val="1"/>
                <w:color w:val="auto"/>
              </w:rPr>
              <w:t>Rotary and Mission Systems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7"/>
        </w:trPr>
        <w:tc>
          <w:tcPr>
            <w:tcW w:w="7520" w:type="dxa"/>
            <w:vAlign w:val="bottom"/>
            <w:gridSpan w:val="5"/>
          </w:tcPr>
          <w:p>
            <w:pPr>
              <w:jc w:val="right"/>
              <w:ind w:right="10"/>
              <w:spacing w:after="0"/>
              <w:rPr>
                <w:sz w:val="20"/>
                <w:szCs w:val="20"/>
                <w:color w:val="auto"/>
              </w:rPr>
            </w:pPr>
            <w:r>
              <w:rPr>
                <w:rFonts w:ascii="Arial" w:cs="Arial" w:eastAsia="Arial" w:hAnsi="Arial"/>
                <w:sz w:val="18"/>
                <w:szCs w:val="18"/>
                <w:color w:val="auto"/>
              </w:rPr>
              <w:t>Summary operating results for our RMS business segment were as follows (in millions):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3"/>
        </w:trPr>
        <w:tc>
          <w:tcPr>
            <w:tcW w:w="3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Quarters Ended</w:t>
            </w:r>
          </w:p>
        </w:tc>
        <w:tc>
          <w:tcPr>
            <w:tcW w:w="4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56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27,</w:t>
            </w:r>
          </w:p>
        </w:tc>
        <w:tc>
          <w:tcPr>
            <w:tcW w:w="42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26,</w:t>
            </w:r>
          </w:p>
        </w:tc>
        <w:tc>
          <w:tcPr>
            <w:tcW w:w="580" w:type="dxa"/>
            <w:vAlign w:val="bottom"/>
          </w:tcPr>
          <w:p>
            <w:pPr>
              <w:spacing w:after="0"/>
              <w:rPr>
                <w:sz w:val="14"/>
                <w:szCs w:val="14"/>
                <w:color w:val="auto"/>
              </w:rPr>
            </w:pPr>
          </w:p>
        </w:tc>
        <w:tc>
          <w:tcPr>
            <w:tcW w:w="14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3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4,012</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4,242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7,564</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8,349</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403</w:t>
            </w:r>
          </w:p>
        </w:tc>
        <w:tc>
          <w:tcPr>
            <w:tcW w:w="56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751</w:t>
            </w:r>
          </w:p>
        </w:tc>
        <w:tc>
          <w:tcPr>
            <w:tcW w:w="5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891</w:t>
            </w:r>
          </w:p>
        </w:tc>
      </w:tr>
      <w:tr>
        <w:trPr>
          <w:trHeight w:val="237"/>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10.0 %</w:t>
            </w:r>
          </w:p>
        </w:tc>
        <w:tc>
          <w:tcPr>
            <w:tcW w:w="5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10.8 %</w:t>
            </w: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9.9 %</w:t>
            </w:r>
          </w:p>
        </w:tc>
        <w:tc>
          <w:tcPr>
            <w:tcW w:w="5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10.7 %</w:t>
            </w:r>
          </w:p>
        </w:tc>
      </w:tr>
    </w:tbl>
    <w:p>
      <w:pPr>
        <w:spacing w:after="0" w:line="25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RMS’ net sales during the quarter ended June 26, 2022 decreased $230 million, or 5%, compared to the same period in 2021. The decrease was primarily attributable to lower net sales of approximately $100 million for Sikorsky helicopter programs due to lower production volume (Black Hawk); about $80 million for integrated warfare systems and sensors (IWSS) programs due to lower volume (Littoral Combat Ship (LCS) and Advanced Hawkeye); and approximately $55 million for various C6ISR (command, control, communications, computers, cyber, combat systems, intelligence, surveillance, and reconnaissance) programs due to lower volume.</w:t>
      </w:r>
    </w:p>
    <w:p>
      <w:pPr>
        <w:spacing w:after="0" w:line="13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RMS’ operating profit during the quarter ended June 26, 2022 decreased $55 million, or 12%, compared to the same period in 2021. The decrease was primarily attributable to approximately $20 million for IWSS programs due to lower net favorable profit adjustments (Aegis and ground-based radar), about $10 million for various C6ISR programs due to lower volume; and approximately $10 million for Sikorsky helicopter programs due to lower production volume (Black Hawk). Adjustments not related to volume, including net profit booking rate adjustments, were $25 million lower in the second quarter of 2022 compared to the same period in 2021.</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RMS’ net sales during the six months ended June 26, 2022 decreased $ 785 million, or 9%, compared to the same period in 2021. The decrease was primarily attributable to lower net sales of approximately $310 million for TLS programs primarily due to the delivery of an international pilot training system in the first quarter of 2021 that did not recur in 2022; about $230 million for IWSS programs due to lower volume (LCS, TPQ-53 and Advanced Hawkeye); approximately $140 million for Sikorsky helicopter programs due to lower production volume (Black Hawk); and about $105 million for various C6ISR programs due to lower volume.</w:t>
      </w:r>
    </w:p>
    <w:p>
      <w:pPr>
        <w:spacing w:after="0" w:line="1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RMS’ operating profit during the six months ended June 26, 2022 decreased $140 million, or 16%, compared to the same period in 2021. The decrease was primarily attributable to approximately $50 million for IWSS programs due to lower net favorable profit adjustments (Aegis and ground-based radar); $45 million for various C6ISR programs due to lower net favorable profit adjustments and volume, and approximately $ 25 million for Sikorsky helicopter programs due to lower production volume and net favorable profit adjustments (Black Hawk), partially offset by higher net favorable profit adjustments and volume (CRH). Operating profit for TLS programs was comparable due to the delivery of an international pilot training system in the first quarter of 2021 that did not recur in 2022, offset by higher net favorable profit adjustments on various other programs. Adjustments not related to volume, including net profit booking rate adjustments, were $80 million lower in the six months ended June 26, 2022 compared to the same period in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our Space business segment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Quarters Ended</w:t>
            </w:r>
          </w:p>
        </w:tc>
        <w:tc>
          <w:tcPr>
            <w:tcW w:w="6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3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26,</w:t>
            </w:r>
          </w:p>
        </w:tc>
        <w:tc>
          <w:tcPr>
            <w:tcW w:w="58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27,</w:t>
            </w:r>
          </w:p>
        </w:tc>
        <w:tc>
          <w:tcPr>
            <w:tcW w:w="60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June 26,</w:t>
            </w:r>
          </w:p>
        </w:tc>
        <w:tc>
          <w:tcPr>
            <w:tcW w:w="600" w:type="dxa"/>
            <w:vAlign w:val="bottom"/>
          </w:tcPr>
          <w:p>
            <w:pPr>
              <w:spacing w:after="0"/>
              <w:rPr>
                <w:sz w:val="15"/>
                <w:szCs w:val="15"/>
                <w:color w:val="auto"/>
              </w:rPr>
            </w:pPr>
          </w:p>
        </w:tc>
        <w:tc>
          <w:tcPr>
            <w:tcW w:w="1440" w:type="dxa"/>
            <w:vAlign w:val="bottom"/>
          </w:tcPr>
          <w:p>
            <w:pPr>
              <w:jc w:val="right"/>
              <w:ind w:right="430"/>
              <w:spacing w:after="0" w:line="177" w:lineRule="exact"/>
              <w:rPr>
                <w:sz w:val="20"/>
                <w:szCs w:val="20"/>
                <w:color w:val="auto"/>
              </w:rPr>
            </w:pPr>
            <w:r>
              <w:rPr>
                <w:rFonts w:ascii="Arial" w:cs="Arial" w:eastAsia="Arial" w:hAnsi="Arial"/>
                <w:sz w:val="18"/>
                <w:szCs w:val="18"/>
                <w:b w:val="1"/>
                <w:bCs w:val="1"/>
                <w:color w:val="auto"/>
              </w:rPr>
              <w:t>June 27,</w:t>
            </w:r>
          </w:p>
        </w:tc>
      </w:tr>
      <w:tr>
        <w:trPr>
          <w:trHeight w:val="235"/>
        </w:trPr>
        <w:tc>
          <w:tcPr>
            <w:tcW w:w="3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2,825</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3,177</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5,384</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6,192</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268</w:t>
            </w:r>
          </w:p>
        </w:tc>
        <w:tc>
          <w:tcPr>
            <w:tcW w:w="58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335</w:t>
            </w:r>
          </w:p>
        </w:tc>
        <w:tc>
          <w:tcPr>
            <w:tcW w:w="60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513</w:t>
            </w:r>
          </w:p>
        </w:tc>
        <w:tc>
          <w:tcPr>
            <w:tcW w:w="600" w:type="dxa"/>
            <w:vAlign w:val="bottom"/>
          </w:tcPr>
          <w:p>
            <w:pPr>
              <w:spacing w:after="0"/>
              <w:rPr>
                <w:sz w:val="19"/>
                <w:szCs w:val="19"/>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562</w:t>
            </w:r>
          </w:p>
        </w:tc>
      </w:tr>
      <w:tr>
        <w:trPr>
          <w:trHeight w:val="23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9.5 %</w:t>
            </w:r>
          </w:p>
        </w:tc>
        <w:tc>
          <w:tcPr>
            <w:tcW w:w="5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10.5 %</w:t>
            </w:r>
          </w:p>
        </w:tc>
        <w:tc>
          <w:tcPr>
            <w:tcW w:w="6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9.5 %</w:t>
            </w:r>
          </w:p>
        </w:tc>
        <w:tc>
          <w:tcPr>
            <w:tcW w:w="6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9.1 %</w:t>
            </w:r>
          </w:p>
        </w:tc>
      </w:tr>
    </w:tbl>
    <w:p>
      <w:pPr>
        <w:spacing w:after="0" w:line="25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Space’s net sales during the quarter ended June 26, 2022 decreased $352 million, or 11%, compared to the same period in 2021. The decrease was primarily attributable to lower net sales of approximately $425 million due to the previously announced renationalization of the AWE program on June 30, 2021, which was no longer included in our financial results beginning in the third quarter of 2021; and about $55 million for commercial civil space programs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lower volume (Orion). These decreases were partially offset by higher net sales of about $130 million for strategic and missile defense programs due to higher development volume (Next Generation Interceptor (NGI)).</w:t>
      </w:r>
    </w:p>
    <w:p>
      <w:pPr>
        <w:spacing w:after="0" w:line="12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Space’s operating profit during the quarter ended June 26, 2022 decreased $67 million, or 20%, compared to the same period in 2021. The decrease was primarily attributable to approximately $ 55 million for national security space programs primarily due to lower net favorable profit adjustments (primarily Space-Based Infrared System (SBIRS) and classified programs); and about $40 million of lower equity earnings from our investment in United Launch Alliance (ULA). These decreases were partially offset by an increase of approximately $30 million for strategic and missile defense programs due to higher net favorable profit adjustments (primarily Fleet Ballistic Missile (FBM) programs). Operating profit for the AWE program was comparable as its operating profit in the second quarter of 2021 was mostly offset by accelerated amortization expense for intangible assets as a result of the renationalization. Adjustments not related to volume, including net profit booking rate adjustments, were $30 million lower in the second quarter of 2022 compared to the same period in 2021.</w:t>
      </w:r>
    </w:p>
    <w:p>
      <w:pPr>
        <w:spacing w:after="0" w:line="14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Space’s net sales during the six months ended June 26, 2022 decreased $808 million, or 13%, compared to the same period in 2021. The decrease was primarily attributable to lower net sales of approximately $865 million due to the renationalization of the AWE program on June 30, 2021, which was no longer included in our financial results beginning in the third quarter of 2021; and about $150 million for commercial civil space programs due to lower volume (Orion and Human Lander System (HLS) programs). These decreases were partially offset by higher net sales of about $230 million for strategic and missile defense programs due to higher development volume (NGI).</w:t>
      </w:r>
    </w:p>
    <w:p>
      <w:pPr>
        <w:spacing w:after="0" w:line="1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Space’s operating profit during the six months ended June 26, 2022 decreased $49 million, or 9%, compared to the same period in 2021. The decrease was primarily attributable to approximately $45 million for national security space programs primarily due to lower net favorable profit adjustments (primarily SBIRS and classified programs); and about $35 million for commercial civil space programs due to lower net favorable profit adjustments and lower volume (the Orion and HLS programs). These decreases were partially offset by an increase of approximately $30 million for strategic and missile defense programs due to higher net favorable profit adjustments (primarily FBM programs). Operating profit for the AWE program was comparable as its operating profit in the first six months of 2021 was mostly offset by accelerated amortization expense for intangible assets as a result of the renationalization. Adjustments not related to volume, including net profit booking rate adjustments, were $55 million lower in the six months ended June 26, 2022 compared to the same period in 2021.</w:t>
      </w:r>
    </w:p>
    <w:p>
      <w:pPr>
        <w:spacing w:after="0" w:line="145" w:lineRule="exact"/>
        <w:rPr>
          <w:sz w:val="20"/>
          <w:szCs w:val="20"/>
          <w:color w:val="auto"/>
        </w:rPr>
      </w:pPr>
    </w:p>
    <w:p>
      <w:pPr>
        <w:jc w:val="both"/>
        <w:ind w:right="200" w:firstLine="405"/>
        <w:spacing w:after="0" w:line="268" w:lineRule="auto"/>
        <w:rPr>
          <w:sz w:val="20"/>
          <w:szCs w:val="20"/>
          <w:color w:val="auto"/>
        </w:rPr>
      </w:pPr>
      <w:r>
        <w:rPr>
          <w:rFonts w:ascii="Arial" w:cs="Arial" w:eastAsia="Arial" w:hAnsi="Arial"/>
          <w:sz w:val="18"/>
          <w:szCs w:val="18"/>
          <w:color w:val="auto"/>
        </w:rPr>
        <w:t>Total equity earnings (primarily ULA) represented approximately $5 million, or 2%, and $35 million, or 7%, of Space's operating profit during the quarter and six months ended June 26, 2022, compared to approximately $45 million, or 13%, and $40 million, or 7% during the quarter and six months ended June 27,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Flows</w:t>
      </w:r>
    </w:p>
    <w:p>
      <w:pPr>
        <w:spacing w:after="0" w:line="19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At June 26, 2022, we had cash and cash equivalents of $1.8 billion. Our principal source of liquidity is our cash from operations. However, we also have access to credit markets, if needed, for liquidity or general corporate purposes, including our revolving credit facility or the ability to issue commercial paper, and letters of credit to support customer advance payments and for other trade finance purposes such as guaranteeing our performance on particular contracts. We believe our cash and cash equivalents, our expected cash flow generated from operations and our access to credit markets will be sufficient to meet our cash requirements and cash deployment plans over the next twelve months and beyond based on our current business plans.</w:t>
      </w:r>
    </w:p>
    <w:p>
      <w:pPr>
        <w:spacing w:after="0" w:line="142"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from non-U.S. Government customers in excess of costs incurred, is our primary source of cash from operations. We generally do not begin work on contracts until funding is appropriated by the customer. However, from time to time, we fund customer programs ourselves pending government appropriations. If we incur costs in excess of funds obligated on the contract or in advance of a contract award, this negatively affects our cash flows and we may be at risk for reimbursement of the excess costs. For example, due to the prolonged negotiation of the F-35 Low Rate Initial Production (LRIP) Lots 15-17 production contract, beginning in the second quarter our costs to continue production to meet our customer’s desired aircraft delivery dates began to exceed the contract value and available funding which prevented us from invoicing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receiving cash of approximately $465 million for costs incurred in the second quarter of 2022. See “Other Matters” below and Item 1A, Risk Factors, for additional information.</w:t>
      </w:r>
    </w:p>
    <w:p>
      <w:pPr>
        <w:spacing w:after="0" w:line="12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Billing timetables and payment terms on our contracts vary based on a number of factors, including the contract type. We generally bill and collect cash more frequently under cost-reimbursable contracts, which represented approximately 39% of the sales we recorded during the six months ended June 26, 2022, as we are authorized to bill as the costs are incurred. A number of our fixed-price contracts may provide for performance-based payments, which allow us to bill and collect cash as we perform on the contract. The amount of performance-based payments and the related milestones are encompassed in the negotiation of each contract. The timing of such payments may differ from the timing of the costs incurred related to our contract performance, thereby affecting our cash flows.</w:t>
      </w:r>
    </w:p>
    <w:p>
      <w:pPr>
        <w:spacing w:after="0" w:line="14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or decides to withhold payments on our billings. While the impact of policy changes or withholding payments may delay the receipt of cash, the cumulative amount of cash collected during the life of the contract should not vary.</w:t>
      </w:r>
    </w:p>
    <w:p>
      <w:pPr>
        <w:spacing w:after="0" w:line="14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To date, the effects of COVID-19 have resulted in some negative impacts on our cash flows, partially due to supplier delays. The U.S. Government has taken certain actions and enacted legislation to mitigate the impacts of COVID-19 on public health, the economy, state and local governments, individuals, and businesses. Since the pandemic began, Lockheed Martin has remained committed to accelerating payments to the supply chain with a focus on small and at risk businesses. As of June 26, 2022, we have accelerated $1.0 billion of payments to our suppliers that are due by their terms in future periods. We will continue to monitor risk driven by the pandemic and, based on our current assessment, we will continue to accelerate payments to our suppliers based on risk assessed need through the end of 2022.</w:t>
      </w:r>
    </w:p>
    <w:p>
      <w:pPr>
        <w:spacing w:after="0" w:line="15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addition, we have a balanced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 We have returned cash to stockholders through dividends and share repurchases. Our total remaining authorization for future common share repurchases under our program was $1.6 billion at June 26, 2022.</w:t>
      </w:r>
    </w:p>
    <w:p>
      <w:pPr>
        <w:spacing w:after="0" w:line="14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also continue to actively manage our debt levels, including maturities and interest rates, as evidenced by the debt transaction in the second quarter of 2022 and our pension obligations. We expect to continue to opportunistically manage our pension liabilities through the purchase of group annuity contracts for portions of our outstanding defined benefit pension obligations using assets from the pension trust as we did on June 24, 2022. See “Note 6 - Postretirement Benefit Plans” included in our Notes to Consolidated Financial Statements for additional information. Future pension risk transfer transactions could also be significant and result in us making additional contributions to the pension trust and/or require us to recognize noncash, non-operating pension settlement charges in earnings in the applicable reporting period.</w:t>
      </w:r>
    </w:p>
    <w:p>
      <w:pPr>
        <w:spacing w:after="0" w:line="142"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There were no material changes during the quarter or six months ended June 26, 2022 to our contractual commitments as presented in “Management’s Discussion and Analysis of Financial Condition and Results of Operations” of our 2021 Form 10-K that were outside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cash flow information followed by a discussion of the key elements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7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5"/>
                <w:szCs w:val="15"/>
                <w:color w:val="auto"/>
              </w:rPr>
            </w:pPr>
          </w:p>
        </w:tc>
        <w:tc>
          <w:tcPr>
            <w:tcW w:w="132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27,</w:t>
            </w:r>
          </w:p>
        </w:tc>
      </w:tr>
      <w:tr>
        <w:trPr>
          <w:trHeight w:val="235"/>
        </w:trPr>
        <w:tc>
          <w:tcPr>
            <w:tcW w:w="7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7"/>
              </w:rPr>
              <w:t>3,604</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3,160</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7"/>
              </w:rPr>
              <w:t>2,042</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3,652</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1,104</w:t>
            </w:r>
          </w:p>
        </w:tc>
        <w:tc>
          <w:tcPr>
            <w:tcW w:w="52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857</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working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(1,570)</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(1,510)</w:t>
            </w:r>
          </w:p>
        </w:tc>
      </w:tr>
      <w:tr>
        <w:trPr>
          <w:trHeight w:val="229"/>
        </w:trPr>
        <w:tc>
          <w:tcPr>
            <w:tcW w:w="7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1,165</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17</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7"/>
              </w:rPr>
              <w:t>2,741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3,016</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(583)</w:t>
            </w:r>
          </w:p>
        </w:tc>
        <w:tc>
          <w:tcPr>
            <w:tcW w:w="52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(389)</w:t>
            </w:r>
          </w:p>
        </w:tc>
      </w:tr>
      <w:tr>
        <w:trPr>
          <w:trHeight w:val="229"/>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(3,987)</w:t>
            </w: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(3,042)</w:t>
            </w:r>
          </w:p>
        </w:tc>
      </w:tr>
      <w:tr>
        <w:trPr>
          <w:trHeight w:val="223"/>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(1,829)</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(415)</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7"/>
              </w:rPr>
              <w:t>1,775</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2,745</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during the six months ended June 26, 2022 decreased $275 million compared to the same</w:t>
      </w:r>
    </w:p>
    <w:p>
      <w:pPr>
        <w:spacing w:after="0" w:line="234" w:lineRule="auto"/>
        <w:rPr>
          <w:sz w:val="20"/>
          <w:szCs w:val="20"/>
          <w:color w:val="auto"/>
        </w:rPr>
      </w:pPr>
      <w:r>
        <w:rPr>
          <w:rFonts w:ascii="Arial" w:cs="Arial" w:eastAsia="Arial" w:hAnsi="Arial"/>
          <w:sz w:val="18"/>
          <w:szCs w:val="18"/>
          <w:color w:val="auto"/>
        </w:rPr>
        <w:t>period in 2021. The decrease was primarily due to cash impacts for the lack of additional contractual authorization and funding from the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Government prior to the end of the second quarter of 2022 on the Lots 15-17 contract of the F-35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 - Free Cash Flow</w:t>
      </w:r>
    </w:p>
    <w:p>
      <w:pPr>
        <w:spacing w:after="0" w:line="18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as well as a performance goal in our annual and long-term incentive plans. We believe free cash flow is a useful measure for investors because it represents the amount of cash generated from operations after reinvesting in the business and that may be available to return to stockholders and creditors (through dividends, stock repurchase and debt repayments) or available to fund acquisitions. The entire amount of free cash flow is not necessarily available for discretionary expenditures, however, because it does not account for certain mandatory expenditures, such as the repayment of maturing debt.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cash provided by operating activities to free cash flow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June 26,</w:t>
            </w:r>
          </w:p>
        </w:tc>
        <w:tc>
          <w:tcPr>
            <w:tcW w:w="520" w:type="dxa"/>
            <w:vAlign w:val="bottom"/>
          </w:tcPr>
          <w:p>
            <w:pPr>
              <w:spacing w:after="0"/>
              <w:rPr>
                <w:sz w:val="14"/>
                <w:szCs w:val="14"/>
                <w:color w:val="auto"/>
              </w:rPr>
            </w:pPr>
          </w:p>
        </w:tc>
        <w:tc>
          <w:tcPr>
            <w:tcW w:w="132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27,</w:t>
            </w:r>
          </w:p>
        </w:tc>
      </w:tr>
      <w:tr>
        <w:trPr>
          <w:trHeight w:val="243"/>
        </w:trPr>
        <w:tc>
          <w:tcPr>
            <w:tcW w:w="7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5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7"/>
              </w:rPr>
              <w:t>2,741</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3,016</w:t>
            </w:r>
          </w:p>
        </w:tc>
      </w:tr>
      <w:tr>
        <w:trPr>
          <w:trHeight w:val="230"/>
        </w:trPr>
        <w:tc>
          <w:tcPr>
            <w:tcW w:w="7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(572)</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(599)</w:t>
            </w: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7"/>
              </w:rPr>
              <w:t>2,169</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rPr>
              <w:t>2,417</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Net cash used for investing activities during the six months ended June 26, 2022 increased $194 million compared to the same period in 2021. The increase in cash used for investing activities is due to the receipt of $231 million in the first six months of 2021 from the sale of our ownership interest in the Advanced Military Maintenance, Repair and Overhaul Center (AMMROC) joint venture. Capital expenditures totaled $ 572 million and $599 million during the six months ended June 26, 2022 and June 27, 2021. The majority of our capital expenditures were for equipment 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3"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Net cash used for financing activities was $4.0 billion during the six months ended June 26, 2022, compared to $3.0 billion during the same period in 2021.</w:t>
      </w:r>
    </w:p>
    <w:p>
      <w:pPr>
        <w:spacing w:after="0" w:line="11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During the six months ended June 26, 2022 and June 27, 2021, we paid dividends totaling $1.5 billion ($5.60 per share) and $1.5 billion ($5.20 per share).</w:t>
      </w:r>
    </w:p>
    <w:p>
      <w:pPr>
        <w:spacing w:after="0" w:line="126"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During the six months ended June 26, 2022, we paid $2.4 billion to repurchase 7.7 million shares of our common stock, some of which were settled subsequent to the end of the second quarter. See “Note 9 - Stockholders’ Equity” included in our Notes to Consolidated Financial Statements for additional information. During the six months ended June 27, 2021, we paid $1.5 billion to repurchase 4.2 million shares of our common stock.</w:t>
      </w:r>
    </w:p>
    <w:p>
      <w:pPr>
        <w:spacing w:after="0" w:line="136" w:lineRule="exact"/>
        <w:rPr>
          <w:sz w:val="20"/>
          <w:szCs w:val="20"/>
          <w:color w:val="auto"/>
        </w:rPr>
      </w:pPr>
    </w:p>
    <w:p>
      <w:pPr>
        <w:jc w:val="both"/>
        <w:ind w:right="120" w:firstLine="445"/>
        <w:spacing w:after="0" w:line="262" w:lineRule="auto"/>
        <w:rPr>
          <w:sz w:val="20"/>
          <w:szCs w:val="20"/>
          <w:color w:val="auto"/>
        </w:rPr>
      </w:pPr>
      <w:r>
        <w:rPr>
          <w:rFonts w:ascii="Arial" w:cs="Arial" w:eastAsia="Arial" w:hAnsi="Arial"/>
          <w:sz w:val="18"/>
          <w:szCs w:val="18"/>
          <w:color w:val="auto"/>
        </w:rPr>
        <w:t>During the quarter ended June 26, 2022, we received net proceeds of $2.3 billion from issuance of senior unsecured notes and used the net proceeds from the offering to redeem all of the outstanding $500 million Notes due 2023, $ 750 million Notes due 2025 and used the remaining balance of the net proceeds to redeem $1.0 billion of our outstanding $2.0 billion Notes due 2026. See “Note 10 - Other” included in our Notes to Consolidated Financial Statements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98" w:lineRule="exact"/>
        <w:rPr>
          <w:sz w:val="20"/>
          <w:szCs w:val="20"/>
          <w:color w:val="auto"/>
        </w:rPr>
      </w:pPr>
    </w:p>
    <w:p>
      <w:pPr>
        <w:ind w:right="180" w:firstLine="486"/>
        <w:spacing w:after="0" w:line="287" w:lineRule="auto"/>
        <w:rPr>
          <w:sz w:val="20"/>
          <w:szCs w:val="20"/>
          <w:color w:val="auto"/>
        </w:rPr>
      </w:pPr>
      <w:r>
        <w:rPr>
          <w:rFonts w:ascii="Arial" w:cs="Arial" w:eastAsia="Arial" w:hAnsi="Arial"/>
          <w:sz w:val="18"/>
          <w:szCs w:val="18"/>
          <w:color w:val="auto"/>
        </w:rPr>
        <w:t>At June 26, 2022, we held cash and cash equivalents of $1.8 billion that was generally available to fund ordinary business operations without significant legal, regulatory, or other restrictions.</w:t>
      </w:r>
    </w:p>
    <w:p>
      <w:pPr>
        <w:spacing w:after="0" w:line="180"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At June 26, 2022, we had a $ 3.0 billion revolving credit facility (the Revolving Credit Facility) with various banks with an expiration date of August 24, 2026 that is available for general corporate purposes including supporting commercial paper borrowings. We may request and the banks may grant, at their discretion, an increase in the borrowing capacity under the Revolving Credit Facility of up to an additional $500 million. There were no borrowings outstanding under the Revolving Credit Facility at June 26, 2022.</w:t>
      </w:r>
    </w:p>
    <w:p>
      <w:pPr>
        <w:spacing w:after="0" w:line="20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have agreements in place with financial institutions to provide for the issuance of commercial paper. The outstanding balance of commercial paper can fluctuate daily and the amount outstanding during the period may be greater than or less than the amount reported at the end of the period. There were no commercial paper borrowings outstanding as of June 26, 2022 and December 31, 2021. We may, as conditions warrant, from time to time issue commercial paper backed by our Revolving Credit Facility to manage the timing of cash flows. However, depending on market conditions, commercial paper may not be available on favorable terms or at all.</w:t>
      </w:r>
    </w:p>
    <w:p>
      <w:pPr>
        <w:spacing w:after="0" w:line="20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outstanding debt, net of unamortized discounts and issuance costs was $11.6 billion as of June 26, 2022 and is in the form of publicly-issued notes that bear interest at fixed rates. The outstanding debt at June 26, 2022 is inclusive of the second quarter 2022 issuance of $2.3 billion in aggregate principal amount of senior unsecured notes and redemption of outstanding $500 million in aggregate principal amount of our 3.10% Notes due 2023, $750 million in aggregate principal amount of our 2.90% Notes due 2025, and $1.0 billion of our outstanding $2.0 billion in aggregate principal amount of our 3.55% Notes due 2026 at their redemption price.</w:t>
      </w:r>
    </w:p>
    <w:p>
      <w:pPr>
        <w:spacing w:after="0" w:line="206"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For further discussion on the outstanding debt at June 26, 2022, see “Note 10 - Other” included in our Notes to Consolidated Financial Statements. As of June 26, 2022, we were in compliance with all covenants contained in our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F-35 Program</w:t>
      </w:r>
    </w:p>
    <w:p>
      <w:pPr>
        <w:spacing w:after="0" w:line="18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F-35 program primarily consists of production contracts, sustainment activities, and new development efforts. Production of the aircraft is expected to continue for many years given the U.S. Government’s current inventory objective of 2,456 aircraft for the U.S. Air Force, U.S. Marine Corps, and U.S. Navy; commitments from our seven international partner countries and seven Foreign Military Sales (FMS) customers; as well as interest from other countries. During the first quarter of 2022, Finland became the seventh FMS customer to join the program, and Germany announced its intention to purchase 35 F-35 aircraft. On March 28, 2022, the Government of Canada selected the F-35 as the preferred bidder to move into the Finalization Phase of the competitive process to replace their fighter fleet. In the Finalization Phase, they will collaborate with the F-35 team to deliver unique requirements and a delivery profile before moving forward with contracting with the U.S. Government for the procurement of 88 aircraft.</w:t>
      </w:r>
    </w:p>
    <w:p>
      <w:pPr>
        <w:spacing w:after="0" w:line="14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recently reached an agreement in principle with the U.S. Government on the F-35 Low Rate Initial Production (LRIP) Lots 15-17 production contract and we continue to engage with the U.S. Government to definitize the contract. We have been performing work on the Lots 15-17 production under customer authorization and initial funding to begin work under an advance acquisition contract received in December 2019. Our costs began to exceed the contract value and available funding on the Lots 15-17 advance acquisition contract in the second quarter of 2022. As a result, this prevented the recognition of approximately $325 million of sales and associated operating profit in the second quarter. Additionally, it prevented us from invoicing and receiving cash of approximately $465 million for costs incurred in the second quarter of 2022. At the end of the second quarter of 2022, we also had approximately $1 billion in potential termination liability exposure to third parties related to LRIP Lots 15-17. We expect to recover the unrecognized sales and resume invoicing costs incurred upon receiving contractual authorization and funding on the production contract with the U.S. Government, which we expect to occur in the third quarter of 2022. However, until a final agreement is reached or the U.S. Government otherwise provides additional contractual authorization and funding, our results of operations, cash flows, and financial condition will continue to be negatively impacted and the impacts could be material.</w:t>
      </w:r>
    </w:p>
    <w:p>
      <w:pPr>
        <w:spacing w:after="0" w:line="163"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During the second quarter of 2022, we encountered supplier delays due to COVID-19 that negatively impacted F-35 net sales and operating profit in the second quarter due to lower volume and we expect the timing of F-35 net sales and operating profit will continue to be impacted in future periods. We are working closely with our supply base to develop plans that minimize the impacts to the F-35 partners and FMS customers, however, as a result we now expect a flat delivery profile in 2023. Additionally, as part of the Lots 15-17 production contract, the U.S. Government reduced the acquisition quantities based on budget availability. While we expect the LRIP Lots 15-17 contract to support our long-term objective to produce 156 aircraft a year, COVID-19 and other impacts experienced by the F-35 enterprise have required us to modify our near-term production plan. Deliveries are expected to remain in the range of 147-153 aircraft per year in 2023 and 2024, before we achieve our 156 aircraft delivery target in 2025. We continue to anticipate annual deliveries of 156 aircraft beyond 2025 for the foreseeable future.</w:t>
      </w:r>
    </w:p>
    <w:p>
      <w:pPr>
        <w:spacing w:after="0" w:line="140" w:lineRule="exact"/>
        <w:rPr>
          <w:sz w:val="20"/>
          <w:szCs w:val="20"/>
          <w:color w:val="auto"/>
        </w:rPr>
      </w:pPr>
    </w:p>
    <w:p>
      <w:pPr>
        <w:jc w:val="both"/>
        <w:ind w:right="580" w:firstLine="445"/>
        <w:spacing w:after="0" w:line="268" w:lineRule="auto"/>
        <w:rPr>
          <w:sz w:val="20"/>
          <w:szCs w:val="20"/>
          <w:color w:val="auto"/>
        </w:rPr>
      </w:pPr>
      <w:r>
        <w:rPr>
          <w:rFonts w:ascii="Arial" w:cs="Arial" w:eastAsia="Arial" w:hAnsi="Arial"/>
          <w:sz w:val="18"/>
          <w:szCs w:val="18"/>
          <w:color w:val="auto"/>
        </w:rPr>
        <w:t>During the second quarter of 2022, we delivered 35 production aircraft to our U.S. and international partner countries, and FMS customers, resulting in total deliveries of 814 production aircraft. We have 169 production aircraft in backlog, including orders from our international partner customers and countries.</w:t>
      </w:r>
    </w:p>
    <w:p>
      <w:pPr>
        <w:spacing w:after="0" w:line="130" w:lineRule="exact"/>
        <w:rPr>
          <w:sz w:val="20"/>
          <w:szCs w:val="20"/>
          <w:color w:val="auto"/>
        </w:rPr>
      </w:pPr>
    </w:p>
    <w:p>
      <w:pPr>
        <w:ind w:right="120" w:firstLine="445"/>
        <w:spacing w:after="0" w:line="318" w:lineRule="auto"/>
        <w:rPr>
          <w:sz w:val="20"/>
          <w:szCs w:val="20"/>
          <w:color w:val="auto"/>
        </w:rPr>
      </w:pPr>
      <w:r>
        <w:rPr>
          <w:rFonts w:ascii="Arial" w:cs="Arial" w:eastAsia="Arial" w:hAnsi="Arial"/>
          <w:sz w:val="17"/>
          <w:szCs w:val="17"/>
          <w:color w:val="auto"/>
        </w:rPr>
        <w:t>We successfully negotiated a new four-year contract with the International Association of Machinists and Aerospace Workers covering approximately 5,000 represented employees that primarily work on F-35 production in Fort Worth, Texas in the second quarter of 2022.</w:t>
      </w:r>
    </w:p>
    <w:p>
      <w:pPr>
        <w:spacing w:after="0" w:line="103"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Given the size and complexity of the F-35 program, we anticipate that there will be continual reviews related to aircraft performance, program schedule, delivery schedule, cost, and requirements as part of the DoD, Congressional, and international countries’ oversight, and budgeting processes. In addition to the contract negotiation and funding challenges described above, current program challenges include supplier, Lockheed Martin and partner performance (including COVID-19 performance-related challenges), software development, execution of future flight tests and findings resulting from testing and operating the aircraft, the level of cost associated with life cycle operations, sustainment and potential contractual obligations, inflation-related cost pressures, and the ability to continue to reduce the unit production costs and improve affordability.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5" w:lineRule="exact"/>
        <w:rPr>
          <w:sz w:val="20"/>
          <w:szCs w:val="20"/>
          <w:color w:val="auto"/>
        </w:rPr>
      </w:pPr>
    </w:p>
    <w:p>
      <w:pPr>
        <w:ind w:right="580" w:firstLine="445"/>
        <w:spacing w:after="0" w:line="287" w:lineRule="auto"/>
        <w:rPr>
          <w:sz w:val="20"/>
          <w:szCs w:val="20"/>
          <w:color w:val="auto"/>
        </w:rPr>
      </w:pPr>
      <w:r>
        <w:rPr>
          <w:rFonts w:ascii="Arial" w:cs="Arial" w:eastAsia="Arial" w:hAnsi="Arial"/>
          <w:sz w:val="18"/>
          <w:szCs w:val="18"/>
          <w:color w:val="auto"/>
        </w:rPr>
        <w:t>See “Note 7 - Legal Proceedings and Contingencies” included in our Notes to Consolidated Financial Statements for information regarding our contingent obligations, including off-balance sheet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8"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2021 Form 10-K, except for, as set forth below, updated defined benefit pension plan disclosures to reflect the impact of the purchase of group annuity contracts on June 24,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On June 24, 2022, we purchased group annuity contracts to transfer $ 4.3 billion of gross defined benefit pension obligations and related plan assets to an insurance company for approximately 13,600 U.S. retirees and beneficiaries. The group annuity contracts were purchased using assets from Lockheed Martin’s master retirement trust and no additional funding contribution was required. In connection with this transaction, we recognized a noncash, non-operating pension settlement charge of $1.5 billion ($ 1.2 billion, or $4.33 per share, after-tax) for the affected defined benefit pension plans (the Affected Plans) in the quarter ended June 26, 2022, which represents the accelerated recognition of actuarial losses that were included in the accumulated other comprehensive loss account within stockholders’ equity.</w:t>
      </w:r>
    </w:p>
    <w:p>
      <w:pPr>
        <w:spacing w:after="0" w:line="142"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As a result of this transaction, we were required to remeasure the benefit obligations and assets related to the Affected Plans as of the June 24, 2022 close date (the Remeasurement Date). The remeasurement reflects the use of an updated discount rate and actual return on plan assets described in further detail below. For more information on the transaction and remeasurement, see “Note 6 - Postretirement Benefit Plans” included in our 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Actuarial Assumptions</w:t>
      </w:r>
    </w:p>
    <w:p>
      <w:pPr>
        <w:spacing w:after="0" w:line="18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benefit obligations and assets of our postretirement benefit plans are measured at the end of each year, or more frequently, upon the occurrence of certain events such as a significant plan amendment, settlement or curtailment. The amounts we record are measured using actuarial valuations, which are dependent upon key assumptions such as discount rates, the expected long -term rate of return on plan assets, participant longevity, and employee turnover. The assumptions we make affect both the calculation of the benefit obligations as of the measurement date and the calculation of FAS pension (expense) income in subsequent periods.</w:t>
      </w:r>
    </w:p>
    <w:p>
      <w:pPr>
        <w:spacing w:after="0" w:line="15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described above, we remeasured the benefit obligations and assets related to the Affected Plans as of the June 24, 2022 close date. When calculating the benefit obligations related to the Affected Plans, we utilized a discount rate of 4.75% as of the Remeasurement Date, compared to 2.875% as of December 31, 2021. The increase in the discount rate resulted in a decrease of approximately $7.9 billion in the projected benefit obligations. The discount rate we select is based on our best estimates and judgment. A change of plus or minus 25 basis points in the 4.75% discount rate assumption used in the remeasurement for the Affected Plans would have decreased or increased the amount of the benefit obligation we recorded by approximately $0.8 billion, with an after-tax increase or decrease in stockholders’ equity of approximately $0.6 billion.</w:t>
      </w:r>
    </w:p>
    <w:p>
      <w:pPr>
        <w:spacing w:after="0" w:line="14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actual return on plan assets for the period January 1, 2022 through the June 24, 2022 remeasurement date for the Affected Plans was approximately (16)%, or $(4.7) billion, which was approximately $5.7 billion lower (the incremental loss) than our expected return on plan assets of approximately 3.25% for the period, or $1.0 billion (the proportional effect, or approximately half of our expected 6.50% annual long-term rate of return on plan assets assumption), for the period. The incremental loss of $5.7 billion on plan assets was recognized in the remeasurement of the assets related to the Affected Plans.</w:t>
      </w:r>
    </w:p>
    <w:p>
      <w:pPr>
        <w:spacing w:after="0" w:line="13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The plan remeasurements resulted in a decrease of $2.2 billion to our net unfunded pension obligations (which includes the change in benefit obligation primarily related to the higher discount rate utilized in the remeasurement of $7.9 billion and the incremental loss on plan assets recognized in remeasurement of $5.7 billion) with a corresponding increase of $1.7 billion after taxes in stockholders’ equity. The change in stockholders’ equity reflects the decrease in deferred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actuarial losses, which will be recognized as an increase in net FAS pension income (or a decrease in net FAS pension expense) over the estimated remaining life expectancy of the covered employees beginning in the third quarter of 2022. However, deferred net actuarial gains or losses in stockholders’ equity are adjusted annually when the funded status of our postretirement benefit plans are measured, which will result in additional changes to our FAS pension income or expense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Considerations</w:t>
      </w:r>
    </w:p>
    <w:p>
      <w:pPr>
        <w:spacing w:after="0" w:line="183"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The required funding of our qualified defined benefit pension plans is determined in accordance with the Employee Retirement Income Security Act of 1974 (ERISA), as amended, along with consideration of CAS and Internal Revenue Code rules.</w:t>
      </w:r>
    </w:p>
    <w:p>
      <w:pPr>
        <w:spacing w:after="0" w:line="112"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Contributions to our defined benefit pension plans are recovered over time through the pricing of our products and services on U.S. Government contracts, including FMS, and are recognized in our cost of sales and net sales. CAS govern the extent to which our pension costs are allocable to and recoverable under contracts with the U.S. Government, including FMS. Pension cost recoveries under CAS occur in different periods from when pension contributions are made in accordance with ERISA.</w:t>
      </w:r>
    </w:p>
    <w:p>
      <w:pPr>
        <w:spacing w:after="0" w:line="149" w:lineRule="exact"/>
        <w:rPr>
          <w:sz w:val="20"/>
          <w:szCs w:val="20"/>
          <w:color w:val="auto"/>
        </w:rPr>
      </w:pPr>
    </w:p>
    <w:p>
      <w:pPr>
        <w:ind w:right="460" w:firstLine="445"/>
        <w:spacing w:after="0" w:line="453" w:lineRule="auto"/>
        <w:rPr>
          <w:sz w:val="20"/>
          <w:szCs w:val="20"/>
          <w:color w:val="auto"/>
        </w:rPr>
      </w:pPr>
      <w:r>
        <w:rPr>
          <w:rFonts w:ascii="Arial" w:cs="Arial" w:eastAsia="Arial" w:hAnsi="Arial"/>
          <w:sz w:val="18"/>
          <w:szCs w:val="18"/>
          <w:color w:val="auto"/>
        </w:rPr>
        <w:t xml:space="preserve">We made no contributions to our qualified defined benefit pension plans during the quarters and six months ended June 26, 2022. </w:t>
      </w:r>
      <w:r>
        <w:rPr>
          <w:rFonts w:ascii="Arial" w:cs="Arial" w:eastAsia="Arial" w:hAnsi="Arial"/>
          <w:sz w:val="18"/>
          <w:szCs w:val="18"/>
          <w:i w:val="1"/>
          <w:iCs w:val="1"/>
          <w:color w:val="auto"/>
        </w:rPr>
        <w:t>Trends</w:t>
      </w:r>
    </w:p>
    <w:p>
      <w:pPr>
        <w:spacing w:after="0" w:line="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now expect FAS pension expense of approximately $1.1 billion in 2022, inclusive of the noncash, non-operating pension settlement charge of $ 1.5 billion (pretax) described above. Excluding the noncash, non-operating pension settlement charge, our expected FAS pension income will be approximately $410 million in 2022, which is $50 million lower than our prior 2022 FAS pension income estimate of $460 million.</w:t>
      </w:r>
    </w:p>
    <w:p>
      <w:pPr>
        <w:spacing w:after="0" w:line="149"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Our 2022 CAS cost was not impacted by the purchase of the group annuity contracts or the remeasurement of the benefit pension obligations and related assets related to the Affected Plans described above. Therefore, we continue to expect our CAS pension cost will be approximately $1.8 billion in 2022, which is consistent with our prior 2022 CAS pension cost estimate.</w:t>
      </w:r>
    </w:p>
    <w:p>
      <w:pPr>
        <w:spacing w:after="0" w:line="130" w:lineRule="exact"/>
        <w:rPr>
          <w:sz w:val="20"/>
          <w:szCs w:val="20"/>
          <w:color w:val="auto"/>
        </w:rPr>
      </w:pPr>
    </w:p>
    <w:p>
      <w:pPr>
        <w:ind w:right="340" w:firstLine="445"/>
        <w:spacing w:after="0" w:line="262" w:lineRule="auto"/>
        <w:rPr>
          <w:sz w:val="20"/>
          <w:szCs w:val="20"/>
          <w:color w:val="auto"/>
        </w:rPr>
      </w:pPr>
      <w:r>
        <w:rPr>
          <w:rFonts w:ascii="Arial" w:cs="Arial" w:eastAsia="Arial" w:hAnsi="Arial"/>
          <w:sz w:val="18"/>
          <w:szCs w:val="18"/>
          <w:color w:val="auto"/>
        </w:rPr>
        <w:t>We now expect a total FAS/CAS pension adjustment of approximately $740 million in 2022, inclusive of the noncash, non-operating pension settlement charge of $1.5 billion (pretax) described above, compared to our prior estimate of $2.3 billion in 2022. Excluding the noncash, non-operating pension settlement charge, our expected total FAS/CAS pension adjustment will be approximately $2.2 billion in 2022, which is $50 million lower than our prior 2022 estimate.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plan to make contributions to our qualified defined benefit pension plans in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6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carrying value of our goodwill balance was $10.8 billion at June 26, 2022, including $2.7 billion of goodwill at our Sikorsky reporting unit. The carrying value of our Sikorsky reporting unit also included an indefinite-lived trademark intangible asset of $887 million as of June 26, 2022. In the fourth quarter of 2021, we performed our annual impairment test for goodwill and indefinite-lived trademark intangible asset, and the results of that test indicated no impairment existed. As of the date of our 2021 annual impairment test, we estimated that the fair value of our Sikorsky reporting unit exceeded its carrying value for goodwill by a margin of approximately 30% and the fair value of the intangible asset exceeded its carrying value by a margin of approximately 15%. We will perform our next annual goodwill and intangible asset impairment test during the fourth quarter of 2022 and will perform a quantitative assessment of the fair value of our Sikorsky reporting unit.</w:t>
      </w:r>
    </w:p>
    <w:p>
      <w:pPr>
        <w:spacing w:after="0" w:line="15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fair values of our goodwill and indefinite-lived trademark intangible asset at our Sikorsky reporting unit can be significantly impacted by its performance, the amount and timing of expected future cash flows, contract terminations, changes in expected future orders, general market pressures, including U.S. Government budgetary constraints, discount rates, long term growth rates, and changes in U.S. (federal or state) or foreign tax laws and regulations, or their interpretation and application, including those with retroactive effect, along with other significant judgments. Based on our assessment of these circumstances, we have determined that goodwill and indefinite-lived trademark intangible asset at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our Sikorsky reporting unit are at risk for impairment should there be a deterioration of projected cash flows of the reporting unit.</w:t>
      </w:r>
    </w:p>
    <w:p>
      <w:pPr>
        <w:spacing w:after="0" w:line="198"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We do not currently anticipate any material impairments on our assets as a result of COVID-19 or inflation. See Item 1A, Risk Factors of our 2021 Form 10-K for a discussion of the potential impacts of COVID-19 on the fair value of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See “Note 11 - Recent Accounting Pronouncements” included in our Notes to Consolidated Financial Statements for information related to new accounting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As disclosed in “Item 7A, Quantitative and Qualitative Disclosures About Market Risk” of our 2021 Form 10-K, we transact business globally and are subject to risks associated with changing foreign currency exchange rates. We enter into foreign currency hedges such as forward and option contracts that change in value as foreign currency exchange rates change. Our exposures to market risk have not changed materially since December 31, 2021. See “Note 8 - Fair Value Measurements” included in our Notes to Consolidated Financial Statements for additional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We performed an evaluation of the effectiveness of our disclosure controls and procedures as of June 26, 2022.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operating and effective as of June 26, 2022.</w:t>
      </w:r>
    </w:p>
    <w:p>
      <w:pPr>
        <w:spacing w:after="0" w:line="136"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26, 2022 that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This Form 10 -Q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pacing w:after="0" w:line="206" w:lineRule="exact"/>
        <w:rPr>
          <w:sz w:val="20"/>
          <w:szCs w:val="20"/>
          <w:color w:val="auto"/>
        </w:rPr>
      </w:pPr>
    </w:p>
    <w:p>
      <w:pPr>
        <w:ind w:left="460" w:right="140" w:hanging="331"/>
        <w:spacing w:after="0" w:line="234" w:lineRule="auto"/>
        <w:tabs>
          <w:tab w:leader="none" w:pos="455" w:val="left"/>
        </w:tabs>
        <w:numPr>
          <w:ilvl w:val="0"/>
          <w:numId w:val="8"/>
        </w:numPr>
        <w:rPr>
          <w:rFonts w:ascii="Arial" w:cs="Arial" w:eastAsia="Arial" w:hAnsi="Arial"/>
          <w:sz w:val="22"/>
          <w:szCs w:val="22"/>
          <w:color w:val="212529"/>
        </w:rPr>
      </w:pPr>
      <w:r>
        <w:rPr>
          <w:rFonts w:ascii="Arial" w:cs="Arial" w:eastAsia="Arial" w:hAnsi="Arial"/>
          <w:sz w:val="18"/>
          <w:szCs w:val="18"/>
          <w:color w:val="auto"/>
        </w:rPr>
        <w:t>the impact of COVID-19 or future epidemics on our business and financial results, including supply chain disruptions and delays, labor challenges associated with employee absences, quarantine restrictions, travel restrictions, site access, program delays, changes in customer payment policies and the impacts of potential vaccine mandates or other requirements;</w:t>
      </w:r>
    </w:p>
    <w:p>
      <w:pPr>
        <w:spacing w:after="0" w:line="2" w:lineRule="exact"/>
        <w:rPr>
          <w:rFonts w:ascii="Arial" w:cs="Arial" w:eastAsia="Arial" w:hAnsi="Arial"/>
          <w:sz w:val="22"/>
          <w:szCs w:val="22"/>
          <w:color w:val="212529"/>
        </w:rPr>
      </w:pPr>
    </w:p>
    <w:p>
      <w:pPr>
        <w:ind w:left="460" w:right="820" w:hanging="331"/>
        <w:spacing w:after="0" w:line="234"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budget uncertainty, the risk of future budget cuts and the impacts of inflation, the debt ceiling and the potential for government shutdowns and changing funding and acquisition priorities;</w:t>
      </w:r>
    </w:p>
    <w:p>
      <w:pPr>
        <w:spacing w:after="0" w:line="1" w:lineRule="exact"/>
        <w:rPr>
          <w:rFonts w:ascii="Arial" w:cs="Arial" w:eastAsia="Arial" w:hAnsi="Arial"/>
          <w:sz w:val="18"/>
          <w:szCs w:val="18"/>
          <w:color w:val="auto"/>
        </w:rPr>
      </w:pPr>
    </w:p>
    <w:p>
      <w:pPr>
        <w:ind w:left="460" w:right="500" w:hanging="331"/>
        <w:spacing w:after="0" w:line="242"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contracts with the U.S. Government, which are dependent on U.S. Government funding and can be terminated for convenience, and our ability to negotiate favorable contract terms;</w:t>
      </w:r>
    </w:p>
    <w:p>
      <w:pPr>
        <w:spacing w:after="0" w:line="1" w:lineRule="exact"/>
        <w:rPr>
          <w:rFonts w:ascii="Arial" w:cs="Arial" w:eastAsia="Arial" w:hAnsi="Arial"/>
          <w:sz w:val="18"/>
          <w:szCs w:val="18"/>
          <w:color w:val="auto"/>
        </w:rPr>
      </w:pPr>
    </w:p>
    <w:p>
      <w:pPr>
        <w:ind w:left="460" w:right="1140" w:hanging="331"/>
        <w:spacing w:after="0" w:line="242"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development, production, sustainment, performance, schedule, cost and requirements of complex and technologically advanced programs, including the F-35 program;</w:t>
      </w:r>
    </w:p>
    <w:p>
      <w:pPr>
        <w:spacing w:after="0" w:line="1" w:lineRule="exact"/>
        <w:rPr>
          <w:rFonts w:ascii="Arial" w:cs="Arial" w:eastAsia="Arial" w:hAnsi="Arial"/>
          <w:sz w:val="18"/>
          <w:szCs w:val="18"/>
          <w:color w:val="auto"/>
        </w:rPr>
      </w:pPr>
    </w:p>
    <w:p>
      <w:pPr>
        <w:ind w:left="440" w:hanging="311"/>
        <w:spacing w:after="0" w:line="23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delay of the definitization and funding of the Lots 15-17 F-35 production contract;</w:t>
      </w:r>
    </w:p>
    <w:p>
      <w:pPr>
        <w:ind w:left="460" w:right="460" w:hanging="331"/>
        <w:spacing w:after="0" w:line="242"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production rates and orders for significant programs, compliance with stringent performance and reliability standards, and materials availability;</w:t>
      </w:r>
    </w:p>
    <w:p>
      <w:pPr>
        <w:spacing w:after="0" w:line="1" w:lineRule="exact"/>
        <w:rPr>
          <w:rFonts w:ascii="Arial" w:cs="Arial" w:eastAsia="Arial" w:hAnsi="Arial"/>
          <w:sz w:val="18"/>
          <w:szCs w:val="18"/>
          <w:color w:val="auto"/>
        </w:rPr>
      </w:pPr>
    </w:p>
    <w:p>
      <w:pPr>
        <w:ind w:left="440" w:hanging="311"/>
        <w:spacing w:after="0" w:line="23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and financial viability of key suppliers, teammates, joint ventures and partners, subcontractors and customers;</w:t>
      </w:r>
    </w:p>
    <w:p>
      <w:pPr>
        <w:ind w:left="460" w:right="80" w:hanging="331"/>
        <w:spacing w:after="0" w:line="250"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industry, business and political conditions including their effects on governmental policy and government actions that disrupt our supply chain or prevent the sale or delivery of our products (such as delays in approvals for exports requiring Congressional notification);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right="180" w:hanging="331"/>
        <w:spacing w:after="0" w:line="267" w:lineRule="auto"/>
        <w:tabs>
          <w:tab w:leader="none" w:pos="4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trade policies or sanctions (including potential Chinese sanctions on us or our suppliers, teammates or partners, U.S. Government sanctions on Turkey and its removal from the F-35 program, and potential indirect effects of sanctions on Russia to our supply chain);</w:t>
      </w:r>
    </w:p>
    <w:p>
      <w:pPr>
        <w:spacing w:after="0" w:line="1" w:lineRule="exact"/>
        <w:rPr>
          <w:rFonts w:ascii="Arial" w:cs="Arial" w:eastAsia="Arial" w:hAnsi="Arial"/>
          <w:sz w:val="17"/>
          <w:szCs w:val="17"/>
          <w:color w:val="auto"/>
        </w:rPr>
      </w:pPr>
    </w:p>
    <w:p>
      <w:pPr>
        <w:ind w:left="460" w:right="300" w:hanging="331"/>
        <w:spacing w:after="0" w:line="234"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expanding into and doing business in adjacent markets and internationally and the differing risks posed by international sales;</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national priorities and foreign government budgets and planned orders;</w:t>
      </w:r>
    </w:p>
    <w:p>
      <w:pPr>
        <w:spacing w:after="0" w:line="9" w:lineRule="exact"/>
        <w:rPr>
          <w:rFonts w:ascii="Arial" w:cs="Arial" w:eastAsia="Arial" w:hAnsi="Arial"/>
          <w:sz w:val="18"/>
          <w:szCs w:val="18"/>
          <w:color w:val="auto"/>
        </w:rPr>
      </w:pPr>
    </w:p>
    <w:p>
      <w:pPr>
        <w:ind w:left="460" w:right="380" w:hanging="331"/>
        <w:spacing w:after="0" w:line="234"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environment for our products and services, including competition from emerging competitors including startups and non-traditional defense contractors;</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contract awards as well as the timing and customer acceptance of product deliveries and performance milestones;</w:t>
      </w:r>
    </w:p>
    <w:p>
      <w:pPr>
        <w:spacing w:after="0" w:line="9" w:lineRule="exact"/>
        <w:rPr>
          <w:rFonts w:ascii="Arial" w:cs="Arial" w:eastAsia="Arial" w:hAnsi="Arial"/>
          <w:sz w:val="18"/>
          <w:szCs w:val="18"/>
          <w:color w:val="auto"/>
        </w:rPr>
      </w:pPr>
    </w:p>
    <w:p>
      <w:pPr>
        <w:ind w:left="440" w:hanging="311"/>
        <w:spacing w:after="0" w:line="23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new technologies and products, including emerging digital and network technologies and capabilities;</w:t>
      </w:r>
    </w:p>
    <w:p>
      <w:pPr>
        <w:ind w:left="440" w:hanging="311"/>
        <w:spacing w:after="0" w:line="23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a highly skilled workforce, the impact of work stoppages or other labor disruptions;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or other security threats or other disruptions faced by us or our suppliers;</w:t>
      </w:r>
    </w:p>
    <w:p>
      <w:pPr>
        <w:spacing w:after="0" w:line="9" w:lineRule="exact"/>
        <w:rPr>
          <w:rFonts w:ascii="Arial" w:cs="Arial" w:eastAsia="Arial" w:hAnsi="Arial"/>
          <w:sz w:val="18"/>
          <w:szCs w:val="18"/>
          <w:color w:val="auto"/>
        </w:rPr>
      </w:pPr>
    </w:p>
    <w:p>
      <w:pPr>
        <w:ind w:left="460" w:right="320" w:hanging="331"/>
        <w:spacing w:after="0" w:line="234"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and continue, and the timing and impact of, capitalization changes such as share repurchases and dividend payments;</w:t>
      </w:r>
    </w:p>
    <w:p>
      <w:pPr>
        <w:spacing w:after="0" w:line="1" w:lineRule="exact"/>
        <w:rPr>
          <w:rFonts w:ascii="Arial" w:cs="Arial" w:eastAsia="Arial" w:hAnsi="Arial"/>
          <w:sz w:val="18"/>
          <w:szCs w:val="18"/>
          <w:color w:val="auto"/>
        </w:rPr>
      </w:pPr>
    </w:p>
    <w:p>
      <w:pPr>
        <w:ind w:left="460" w:right="320" w:hanging="331"/>
        <w:spacing w:after="0" w:line="242"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recover costs under U.S. Government contracts, the mix of fixed-price and cost-reimbursable contracts, risks related to losses on fixed-price development programs, and the impacts of cost overruns and inflation;</w:t>
      </w:r>
    </w:p>
    <w:p>
      <w:pPr>
        <w:spacing w:after="0" w:line="1" w:lineRule="exact"/>
        <w:rPr>
          <w:rFonts w:ascii="Arial" w:cs="Arial" w:eastAsia="Arial" w:hAnsi="Arial"/>
          <w:sz w:val="18"/>
          <w:szCs w:val="18"/>
          <w:color w:val="auto"/>
        </w:rPr>
      </w:pPr>
    </w:p>
    <w:p>
      <w:pPr>
        <w:ind w:left="440" w:hanging="311"/>
        <w:spacing w:after="0" w:line="23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and projections;</w:t>
      </w:r>
    </w:p>
    <w:p>
      <w:pPr>
        <w:ind w:left="460" w:right="260" w:hanging="331"/>
        <w:spacing w:after="0"/>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pension risk transfers, including potential noncash settlement charges, timing and estimates regarding pension funding and movements in interest rates and other changes that may affect pension plan assumptions, stockholders’ equity, the level of the FAS/CAS adjustment, and actual returns on pension plan assets;</w:t>
      </w:r>
    </w:p>
    <w:p>
      <w:pPr>
        <w:ind w:left="460" w:right="220" w:hanging="331"/>
        <w:spacing w:after="0"/>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realizing the anticipated benefits of acquisitions or divestitures, investments, joint ventures, teaming arrangements or internal reorganizations, and market volatility affecting the fair value of investments in our Lockheed Martin Ventures Fund that are marked to market;</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increase the efficiency of our operations and improve the affordability of our products and services;</w:t>
      </w:r>
    </w:p>
    <w:p>
      <w:pPr>
        <w:spacing w:after="0" w:line="9" w:lineRule="exact"/>
        <w:rPr>
          <w:rFonts w:ascii="Arial" w:cs="Arial" w:eastAsia="Arial" w:hAnsi="Arial"/>
          <w:sz w:val="18"/>
          <w:szCs w:val="18"/>
          <w:color w:val="auto"/>
        </w:rPr>
      </w:pPr>
    </w:p>
    <w:p>
      <w:pPr>
        <w:ind w:left="440" w:hanging="311"/>
        <w:spacing w:after="0" w:line="23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of an impairment of our assets, including the potential impairment of goodwill recorded at the Sikorsky line of business;</w:t>
      </w:r>
    </w:p>
    <w:p>
      <w:pPr>
        <w:ind w:left="440" w:hanging="311"/>
        <w:spacing w:after="0" w:line="23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adequacy of our insurance and indemnities;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benefit fully from or adequately protect our intellectual property rights;</w:t>
      </w:r>
    </w:p>
    <w:p>
      <w:pPr>
        <w:spacing w:after="0" w:line="9" w:lineRule="exact"/>
        <w:rPr>
          <w:rFonts w:ascii="Arial" w:cs="Arial" w:eastAsia="Arial" w:hAnsi="Arial"/>
          <w:sz w:val="18"/>
          <w:szCs w:val="18"/>
          <w:color w:val="auto"/>
        </w:rPr>
      </w:pPr>
    </w:p>
    <w:p>
      <w:pPr>
        <w:ind w:left="460" w:right="420" w:hanging="331"/>
        <w:spacing w:after="0" w:line="234"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procurement and other regulations and policies affecting our industry, export of its products, cost allowability or recovery, preferred contract type, and performance and progress payments policy;</w:t>
      </w:r>
    </w:p>
    <w:p>
      <w:pPr>
        <w:spacing w:after="0" w:line="1" w:lineRule="exact"/>
        <w:rPr>
          <w:rFonts w:ascii="Arial" w:cs="Arial" w:eastAsia="Arial" w:hAnsi="Arial"/>
          <w:sz w:val="18"/>
          <w:szCs w:val="18"/>
          <w:color w:val="auto"/>
        </w:rPr>
      </w:pPr>
    </w:p>
    <w:p>
      <w:pPr>
        <w:ind w:left="460" w:right="760" w:hanging="331"/>
        <w:spacing w:after="0" w:line="242"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climate change and changes to laws, regulations, policies, markets and customer requirements in response to climate change concerns;</w:t>
      </w:r>
    </w:p>
    <w:p>
      <w:pPr>
        <w:spacing w:after="0" w:line="1" w:lineRule="exact"/>
        <w:rPr>
          <w:rFonts w:ascii="Arial" w:cs="Arial" w:eastAsia="Arial" w:hAnsi="Arial"/>
          <w:sz w:val="18"/>
          <w:szCs w:val="18"/>
          <w:color w:val="auto"/>
        </w:rPr>
      </w:pPr>
    </w:p>
    <w:p>
      <w:pPr>
        <w:ind w:left="440" w:hanging="311"/>
        <w:spacing w:after="0" w:line="23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U.S. or foreign tax, export or other laws, regulations, and policies and their interpretation or application; and</w:t>
      </w:r>
    </w:p>
    <w:p>
      <w:pPr>
        <w:ind w:left="460" w:right="34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bid protests, environmental remediation efforts, audits, government investigations or government allegations that we have failed to comply with law, other contingencies and U.S. Government identification of deficiencies in our business systems.</w:t>
      </w:r>
    </w:p>
    <w:p>
      <w:pPr>
        <w:spacing w:after="0" w:line="13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 xml:space="preserve">These are only some of the factors that may affect the forward-looking statements contained in this Form 10-Q. For a discussion identifying additional important factors that could cause actual results to differ materially from those anticipated in the forward-looking statements, see our filings with the U.S. Securities and Exchange Commission (SEC) including, but not limited to, “Management’s Discussion and Analysis of Financial Condition and Results of Operations” and “Risk Factors” in our Annual Report on Form 10-K for the year ended December 31, 2021 and subsequent Quarterly Reports on Form 10-Q. Our filings may be accessed through the Investor Relations page of our website, </w:t>
      </w:r>
      <w:r>
        <w:rPr>
          <w:rFonts w:ascii="Arial" w:cs="Arial" w:eastAsia="Arial" w:hAnsi="Arial"/>
          <w:sz w:val="18"/>
          <w:szCs w:val="18"/>
          <w:u w:val="single" w:color="auto"/>
          <w:color w:val="0000FF"/>
        </w:rPr>
        <w:t>www.lockheedmartin.com/investor</w:t>
      </w:r>
      <w:r>
        <w:rPr>
          <w:rFonts w:ascii="Arial" w:cs="Arial" w:eastAsia="Arial" w:hAnsi="Arial"/>
          <w:sz w:val="18"/>
          <w:szCs w:val="18"/>
          <w:color w:val="auto"/>
        </w:rPr>
        <w:t xml:space="preserve">, or through the website maintained by the SEC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15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Our actual financial results likely will be different from those projected due to the inherent nature of projections. Given these uncertainties, forward-looking statements should not be relied on in making investment decisions. The forward -looking statements contained in this Form 10-Q speak only as of the date of its filing. Except where required by applicable law, we expressly disclaim a duty to provide updates to forward-looking statements after the date of this Form 10-Q to reflect subsequent events, changed circumstances, changes in expectations, or the estimates and assumptions associated with them. The forward-looking statements in this Form 10-Q are intended to be subject to the safe harbor protection provided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corporation as a whole, notwithstanding that the unfavorable resolution of any matter may have a material effect on our net earnings and cash flows in any particular interim reporting period. We cannot predict the outcome of legal or other proceedings with certainty. These matters include the proceedings summarized in “Note 7 - Legal Proceedings and Contingencies” included in our Notes to Consolidated Financial Statements in this Form 10-Q and “Note 15 – Legal Proceedings, Commitments and Contingencies” in our Annual Report on Form 10-K for the year ended December 31, 2021 (2021 Form 10-K) filed with the U.S. Securities and Exchange Commission.</w:t>
      </w:r>
    </w:p>
    <w:p>
      <w:pPr>
        <w:spacing w:after="0" w:line="154"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 For information regarding the matters discussed above, including current estimates of the amounts that we believe are required for remediation or clean-up to the extent estimable, see “Note 7 - Legal Proceedings and Contingencies” included in our Notes to Consolidated Financial Statements. See also “Critical Accounting Policies – Environmental Matters” in “Management’s Discussion and Analysis of Financial Condition and Results of Operations” and “Note 15 – Legal Proceedings, Commitments and Contingencies”, each in our 2021 Form 10-K, for a description of previously reported matters.</w:t>
      </w:r>
    </w:p>
    <w:p>
      <w:pPr>
        <w:spacing w:after="0" w:line="14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Except for the risk factors discussed below, we do not believe that there have been any material changes to the risk factors disclosed in “Item 1A, Risk Factors” of our 2021 Form 10-K. These risks and uncertainties described in our risk factors have the potential to materially affect our business, results of operations, financial condition, cash flows, projected results and future prospects. These risks are not exclusive and additional risks to which we are subject include the factors mentioned under “Forward-Looking Statements” and the risks described in “Management’s Discussion and Analysis of Financial Condition and Results of Operations” in this Quarterly Report on Form 10-Q.</w:t>
      </w:r>
    </w:p>
    <w:p>
      <w:pPr>
        <w:spacing w:after="0" w:line="152"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b w:val="1"/>
          <w:bCs w:val="1"/>
          <w:color w:val="auto"/>
        </w:rPr>
        <w:t>The F-35 program comprises a material portion of our revenue and reductions or delays in funding for this program and risks related to the development, production, sustainment, performance, schedule, cost, and requirements of the program could adversely affect our performance.</w:t>
      </w:r>
    </w:p>
    <w:p>
      <w:pPr>
        <w:spacing w:after="0" w:line="132" w:lineRule="exact"/>
        <w:rPr>
          <w:sz w:val="20"/>
          <w:szCs w:val="20"/>
          <w:color w:val="auto"/>
        </w:rPr>
      </w:pPr>
    </w:p>
    <w:p>
      <w:pPr>
        <w:ind w:right="20" w:firstLine="445"/>
        <w:spacing w:after="0" w:line="244" w:lineRule="auto"/>
        <w:rPr>
          <w:sz w:val="20"/>
          <w:szCs w:val="20"/>
          <w:color w:val="auto"/>
        </w:rPr>
      </w:pPr>
      <w:r>
        <w:rPr>
          <w:rFonts w:ascii="Arial" w:cs="Arial" w:eastAsia="Arial" w:hAnsi="Arial"/>
          <w:sz w:val="18"/>
          <w:szCs w:val="18"/>
          <w:color w:val="auto"/>
        </w:rPr>
        <w:t>The F-35 program, which consists of multiple development, production, and sustainment contracts, is our largest program and represented 27% and 26% of our total consolidated net sales in 2021 and the first six months of 2022. A decision by the U.S. Government or other governments to cut or delay spending on this program or reduce or delay planned orders would have an adverse impact on our business and results of operations. Given the size and complexity of the F-35 program, we anticipate that there will be continual reviews related to aircraft performance, program schedule, delivery schedule, cost, and requirements as part of the DoD, Congressional, and international countries’ oversight and budgeting processes. Current program challenges include supplier, Lockheed Martin and partner performance (including COVID-19 performance-related challenges), software development, definitizing and receiving funding for contracts on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timely basis (as described below), execution of future flight tests and findings resulting from testing and operating the aircraft, the level of cost associated with life cycle operations, sustainment and potential contractual obligations, inflation related cost pressures, and the ability to continue to reduce the unit production costs and improve affordability.</w:t>
      </w:r>
    </w:p>
    <w:p>
      <w:pPr>
        <w:spacing w:after="0" w:line="135"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recently reached an agreement in principle with the U.S. Government on the F-35 Low Rate Initial Production (LRIP) Lots 15-17 production contract and we continue to engage with the U.S. Government to definitize the contract. We have been performing work on the Lots 15-17 production under customer authorization and initial funding to begin work under an advance acquisition contract received in December 2019. Our costs began to exceed the contract value and available funding on the Lots 15-17 advance acquisition contract in the second quarter of 2022. As a result, this prevented the recognition of approximately $325 million of sales and associated operating profit in the second quarter. Additionally, it prevented us from invoicing and receiving cash of approximately $465 million for costs incurred in the second quarter of 2022. At the end of the second quarter of 2022, we also had approximately $1 billion in potential termination liability exposure to third parties related to LRIP Lots 15-17. We expect to recover the unrecognized sales and resume invoicing costs incurred upon receiving contractual authorization and funding on the production contract with the U.S. Government, which we expect to occur in the third quarter of 2022. However, there can be no assurance that the existing agreement in principle will be converted to a definitive contract in a timely manner, on acceptable terms, or at all. Until a final agreement is reached or the U.S. Government otherwise provides additional contractual authorization and funding, our results of operations, cash flows, and financial condition will continue to be negatively impacted and the impacts could be material.</w:t>
      </w:r>
    </w:p>
    <w:p>
      <w:pPr>
        <w:spacing w:after="0" w:line="14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Our planned production rates and deliveries have been affected and could continue to be affected by COVID-19 or supplier delays which affect our results of operations. During the second quarter of 2022, we encountered supplier delays due to COVID-19 that negatively impacted F-35 net sales and operating profit in the second quarter due to lower volume and we expect the timing of F-35 net sales and operating profit will continue to be impacted in future periods. We are working closely with our supply base to develop plans that minimize the impacts to the F-35 partners and FMS customers, however, as a result we now expect a flat delivery profile in 2023. Although we expect deliveries to be in the range of 147-153 aircraft per year in 2023 and 2024 with a target of 156 deliveries in 2025 and beyond, this delivery profile is subject to risks, including additional supplier delays or budget constraints. If we were unable to achieve our expected delivery profile, our results of operations could be negatively affected.</w:t>
      </w:r>
    </w:p>
    <w:p>
      <w:pPr>
        <w:spacing w:after="0" w:line="14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also may not be successful in making hardware and software upgrades and other modernization capabilities in a timely manner, including as a result of dependencies on suppliers, which could increase costs and create schedule delays. Our ability to capture and retain future F-35 growth in development, production and sustainment is dependent on the success of our efforts to achieve F-35 sustainment performance, customer affordability, supply chain improvements, continued reliability improvements and other efficiencies, some of which are outside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equity securities during the quarter ended June 26, 2022.</w:t>
      </w:r>
    </w:p>
    <w:p>
      <w:pPr>
        <w:spacing w:after="0" w:line="185" w:lineRule="exact"/>
        <w:rPr>
          <w:sz w:val="20"/>
          <w:szCs w:val="20"/>
          <w:color w:val="auto"/>
        </w:rPr>
      </w:pPr>
    </w:p>
    <w:p>
      <w:pPr>
        <w:ind w:right="320" w:firstLine="445"/>
        <w:spacing w:after="0" w:line="273" w:lineRule="auto"/>
        <w:rPr>
          <w:sz w:val="20"/>
          <w:szCs w:val="20"/>
          <w:color w:val="auto"/>
        </w:rPr>
      </w:pPr>
      <w:r>
        <w:rPr>
          <w:rFonts w:ascii="Arial" w:cs="Arial" w:eastAsia="Arial" w:hAnsi="Arial"/>
          <w:sz w:val="18"/>
          <w:szCs w:val="18"/>
          <w:color w:val="auto"/>
        </w:rPr>
        <w:t>The following table provides information about our repurchases of our common stock that is registered pursuant to Section 12 of the Securities Exchange Act of 1934 during the quarter ended June 26, 2022.</w:t>
      </w:r>
    </w:p>
    <w:tbl>
      <w:tblPr>
        <w:tblLayout w:type="fixed"/>
        <w:tblInd w:w="0" w:type="dxa"/>
        <w:tblCellMar>
          <w:top w:w="0" w:type="dxa"/>
          <w:left w:w="0" w:type="dxa"/>
          <w:bottom w:w="0" w:type="dxa"/>
          <w:right w:w="0" w:type="dxa"/>
        </w:tblCellMar>
      </w:tblPr>
      <w:tr>
        <w:trPr>
          <w:trHeight w:val="191"/>
        </w:trPr>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6"/>
                <w:szCs w:val="16"/>
                <w:color w:val="auto"/>
              </w:rPr>
            </w:pPr>
          </w:p>
        </w:tc>
        <w:tc>
          <w:tcPr>
            <w:tcW w:w="20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480" w:type="dxa"/>
            <w:vAlign w:val="bottom"/>
            <w:gridSpan w:val="2"/>
            <w:vMerge w:val="restart"/>
          </w:tcPr>
          <w:p>
            <w:pPr>
              <w:jc w:val="center"/>
              <w:ind w:left="10"/>
              <w:spacing w:after="0"/>
              <w:rPr>
                <w:sz w:val="20"/>
                <w:szCs w:val="20"/>
                <w:color w:val="auto"/>
              </w:rPr>
            </w:pPr>
            <w:r>
              <w:rPr>
                <w:rFonts w:ascii="Arial" w:cs="Arial" w:eastAsia="Arial" w:hAnsi="Arial"/>
                <w:sz w:val="18"/>
                <w:szCs w:val="18"/>
                <w:b w:val="1"/>
                <w:bCs w:val="1"/>
                <w:color w:val="auto"/>
                <w:w w:val="98"/>
              </w:rPr>
              <w:t>Total Number</w:t>
            </w:r>
          </w:p>
        </w:tc>
        <w:tc>
          <w:tcPr>
            <w:tcW w:w="320" w:type="dxa"/>
            <w:vAlign w:val="bottom"/>
          </w:tcPr>
          <w:p>
            <w:pPr>
              <w:spacing w:after="0"/>
              <w:rPr>
                <w:sz w:val="15"/>
                <w:szCs w:val="15"/>
                <w:color w:val="auto"/>
              </w:rPr>
            </w:pPr>
          </w:p>
        </w:tc>
        <w:tc>
          <w:tcPr>
            <w:tcW w:w="12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Average</w:t>
            </w:r>
          </w:p>
        </w:tc>
        <w:tc>
          <w:tcPr>
            <w:tcW w:w="184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84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w w:val="99"/>
              </w:rPr>
              <w:t>Part of Publicly</w:t>
            </w:r>
          </w:p>
        </w:tc>
        <w:tc>
          <w:tcPr>
            <w:tcW w:w="2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May Yet be Purchased</w:t>
            </w:r>
          </w:p>
        </w:tc>
        <w:tc>
          <w:tcPr>
            <w:tcW w:w="0" w:type="dxa"/>
            <w:vAlign w:val="bottom"/>
          </w:tcPr>
          <w:p>
            <w:pPr>
              <w:spacing w:after="0"/>
              <w:rPr>
                <w:sz w:val="1"/>
                <w:szCs w:val="1"/>
                <w:color w:val="auto"/>
              </w:rPr>
            </w:pPr>
          </w:p>
        </w:tc>
      </w:tr>
      <w:tr>
        <w:trPr>
          <w:trHeight w:val="189"/>
        </w:trPr>
        <w:tc>
          <w:tcPr>
            <w:tcW w:w="40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xml:space="preserve">Period </w:t>
            </w:r>
            <w:r>
              <w:rPr>
                <w:rFonts w:ascii="Arial" w:cs="Arial" w:eastAsia="Arial" w:hAnsi="Arial"/>
                <w:sz w:val="23"/>
                <w:szCs w:val="23"/>
                <w:color w:val="auto"/>
                <w:vertAlign w:val="superscript"/>
              </w:rPr>
              <w:t>(a)</w:t>
            </w:r>
          </w:p>
        </w:tc>
        <w:tc>
          <w:tcPr>
            <w:tcW w:w="1480" w:type="dxa"/>
            <w:vAlign w:val="bottom"/>
            <w:gridSpan w:val="2"/>
          </w:tcPr>
          <w:p>
            <w:pPr>
              <w:jc w:val="center"/>
              <w:ind w:left="10"/>
              <w:spacing w:after="0" w:line="189" w:lineRule="exact"/>
              <w:rPr>
                <w:sz w:val="20"/>
                <w:szCs w:val="20"/>
                <w:color w:val="auto"/>
              </w:rPr>
            </w:pPr>
            <w:r>
              <w:rPr>
                <w:rFonts w:ascii="Arial" w:cs="Arial" w:eastAsia="Arial" w:hAnsi="Arial"/>
                <w:sz w:val="18"/>
                <w:szCs w:val="18"/>
                <w:b w:val="1"/>
                <w:bCs w:val="1"/>
                <w:color w:val="auto"/>
                <w:w w:val="99"/>
              </w:rPr>
              <w:t>of Shares</w:t>
            </w:r>
          </w:p>
        </w:tc>
        <w:tc>
          <w:tcPr>
            <w:tcW w:w="320" w:type="dxa"/>
            <w:vAlign w:val="bottom"/>
          </w:tcPr>
          <w:p>
            <w:pPr>
              <w:spacing w:after="0"/>
              <w:rPr>
                <w:sz w:val="16"/>
                <w:szCs w:val="16"/>
                <w:color w:val="auto"/>
              </w:rPr>
            </w:pPr>
          </w:p>
        </w:tc>
        <w:tc>
          <w:tcPr>
            <w:tcW w:w="124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Price Paid</w:t>
            </w:r>
          </w:p>
        </w:tc>
        <w:tc>
          <w:tcPr>
            <w:tcW w:w="18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6"/>
                <w:szCs w:val="16"/>
                <w:color w:val="auto"/>
              </w:rPr>
            </w:pPr>
          </w:p>
        </w:tc>
        <w:tc>
          <w:tcPr>
            <w:tcW w:w="20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9"/>
              </w:rPr>
              <w:t>Purchased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 Share</w:t>
            </w:r>
          </w:p>
        </w:tc>
        <w:tc>
          <w:tcPr>
            <w:tcW w:w="1840" w:type="dxa"/>
            <w:vAlign w:val="bottom"/>
            <w:tcBorders>
              <w:bottom w:val="single" w:sz="8" w:color="auto"/>
            </w:tcBorders>
            <w:gridSpan w:val="2"/>
          </w:tcPr>
          <w:p>
            <w:pPr>
              <w:jc w:val="center"/>
              <w:ind w:left="10"/>
              <w:spacing w:after="0" w:line="230"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3"/>
                <w:szCs w:val="23"/>
                <w:color w:val="auto"/>
                <w:w w:val="96"/>
                <w:vertAlign w:val="superscript"/>
              </w:rPr>
              <w:t>(b)</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30"/>
              <w:spacing w:after="0" w:line="230"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color w:val="auto"/>
                <w:w w:val="94"/>
                <w:vertAlign w:val="superscript"/>
              </w:rPr>
              <w:t>(b)</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March 28, 2022 – April 24, 2022</w:t>
            </w:r>
            <w:r>
              <w:rPr>
                <w:rFonts w:ascii="Arial" w:cs="Arial" w:eastAsia="Arial" w:hAnsi="Arial"/>
                <w:sz w:val="23"/>
                <w:szCs w:val="23"/>
                <w:color w:val="auto"/>
                <w:vertAlign w:val="superscript"/>
              </w:rPr>
              <w:t>(c)(d)</w:t>
            </w:r>
          </w:p>
        </w:tc>
        <w:tc>
          <w:tcPr>
            <w:tcW w:w="1240" w:type="dxa"/>
            <w:vAlign w:val="bottom"/>
          </w:tcPr>
          <w:p>
            <w:pPr>
              <w:jc w:val="right"/>
              <w:spacing w:after="0"/>
              <w:rPr>
                <w:sz w:val="20"/>
                <w:szCs w:val="20"/>
                <w:color w:val="auto"/>
              </w:rPr>
            </w:pPr>
            <w:r>
              <w:rPr>
                <w:rFonts w:ascii="Arial" w:cs="Arial" w:eastAsia="Arial" w:hAnsi="Arial"/>
                <w:sz w:val="18"/>
                <w:szCs w:val="18"/>
                <w:color w:val="auto"/>
              </w:rPr>
              <w:t>550,437</w:t>
            </w:r>
          </w:p>
        </w:tc>
        <w:tc>
          <w:tcPr>
            <w:tcW w:w="24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445.95</w:t>
            </w:r>
          </w:p>
        </w:tc>
        <w:tc>
          <w:tcPr>
            <w:tcW w:w="1380" w:type="dxa"/>
            <w:vAlign w:val="bottom"/>
          </w:tcPr>
          <w:p>
            <w:pPr>
              <w:jc w:val="right"/>
              <w:spacing w:after="0"/>
              <w:rPr>
                <w:sz w:val="20"/>
                <w:szCs w:val="20"/>
                <w:color w:val="auto"/>
              </w:rPr>
            </w:pPr>
            <w:r>
              <w:rPr>
                <w:rFonts w:ascii="Arial" w:cs="Arial" w:eastAsia="Arial" w:hAnsi="Arial"/>
                <w:sz w:val="18"/>
                <w:szCs w:val="18"/>
                <w:color w:val="auto"/>
              </w:rPr>
              <w:t>550,270</w:t>
            </w: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43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April 25, 2022 – May 29, 2022</w:t>
            </w:r>
            <w:r>
              <w:rPr>
                <w:rFonts w:ascii="Arial" w:cs="Arial" w:eastAsia="Arial" w:hAnsi="Arial"/>
                <w:sz w:val="23"/>
                <w:szCs w:val="23"/>
                <w:color w:val="auto"/>
                <w:vertAlign w:val="superscript"/>
              </w:rPr>
              <w:t>(d)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436.15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351,937</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May 30, 2022 – June 26,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519,197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422.71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519,197</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tcPr>
          <w:p>
            <w:pPr>
              <w:jc w:val="right"/>
              <w:ind w:right="43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680"/>
              <w:spacing w:after="0" w:line="223" w:lineRule="exact"/>
              <w:rPr>
                <w:sz w:val="20"/>
                <w:szCs w:val="20"/>
                <w:color w:val="auto"/>
              </w:rPr>
            </w:pPr>
            <w:r>
              <w:rPr>
                <w:rFonts w:ascii="Arial" w:cs="Arial" w:eastAsia="Arial" w:hAnsi="Arial"/>
                <w:sz w:val="25"/>
                <w:szCs w:val="25"/>
                <w:color w:val="auto"/>
                <w:vertAlign w:val="subscript"/>
              </w:rPr>
              <w:t>Total</w:t>
            </w:r>
            <w:r>
              <w:rPr>
                <w:rFonts w:ascii="Arial" w:cs="Arial" w:eastAsia="Arial" w:hAnsi="Arial"/>
                <w:sz w:val="10"/>
                <w:szCs w:val="10"/>
                <w:color w:val="auto"/>
              </w:rPr>
              <w:t>(c)(d)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1,422,912</w:t>
            </w:r>
          </w:p>
        </w:tc>
        <w:tc>
          <w:tcPr>
            <w:tcW w:w="2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428.16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1,421,404</w:t>
            </w:r>
          </w:p>
        </w:tc>
        <w:tc>
          <w:tcPr>
            <w:tcW w:w="4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420" w:right="160" w:hanging="412"/>
        <w:spacing w:after="0" w:line="238" w:lineRule="auto"/>
        <w:tabs>
          <w:tab w:leader="none" w:pos="41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June 26, 2022 was the last day of our June 2022 fiscal month.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right="100" w:hanging="412"/>
        <w:spacing w:after="0" w:line="246" w:lineRule="auto"/>
        <w:tabs>
          <w:tab w:leader="none" w:pos="41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 October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The total remaining authorization for future common share repurchases under our share repurchase program was $1.6 billion as of June 26, 2022.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p>
      <w:pPr>
        <w:spacing w:after="0" w:line="24" w:lineRule="exact"/>
        <w:rPr>
          <w:rFonts w:ascii="Arial" w:cs="Arial" w:eastAsia="Arial" w:hAnsi="Arial"/>
          <w:sz w:val="21"/>
          <w:szCs w:val="21"/>
          <w:color w:val="auto"/>
          <w:vertAlign w:val="superscript"/>
        </w:rPr>
      </w:pPr>
    </w:p>
    <w:p>
      <w:pPr>
        <w:ind w:left="420" w:hanging="412"/>
        <w:spacing w:after="0" w:line="246" w:lineRule="auto"/>
        <w:tabs>
          <w:tab w:leader="none" w:pos="40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During the first quarter of 2022, we entered into an accelerated share repurchase (ASR) agreement to repurchase $2.0 billion of our common stock that settled in the second quarter of 2022. Under the terms of the ASR agreement, we paid $2.0 billion and received an initial delivery of 4,130,738 shares of our common stock in February 2022. Upon final settlement of the ASR agreement in April 2022, we received an additional 550,270 shares of our common stock for no additional consideration. The average price paid per share under the ASR agreement was $427.26, calculated with reference to the volume-weighted average price (VWAP) of our common stock over the term of the agreement, less a negotiated discount. Average Price Paid Per Share in the table above does not include ASR shares.</w:t>
      </w:r>
    </w:p>
    <w:p>
      <w:pPr>
        <w:spacing w:after="0" w:line="38" w:lineRule="exact"/>
        <w:rPr>
          <w:rFonts w:ascii="Arial" w:cs="Arial" w:eastAsia="Arial" w:hAnsi="Arial"/>
          <w:sz w:val="21"/>
          <w:szCs w:val="21"/>
          <w:color w:val="auto"/>
          <w:vertAlign w:val="superscript"/>
        </w:rPr>
      </w:pPr>
    </w:p>
    <w:p>
      <w:pPr>
        <w:jc w:val="both"/>
        <w:ind w:left="420" w:right="340" w:hanging="412"/>
        <w:spacing w:after="0" w:line="233" w:lineRule="auto"/>
        <w:tabs>
          <w:tab w:leader="none" w:pos="41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During the quarter ended June 26, 2022, the total number of shares purchased included 1,508 shares that were transferred to us by employees in satisfaction of tax withholding obligations associated with the vesting of restricted stock units. These purchases were made pursuant to a separate authorization by our Board of Directors and are not included within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80" w:type="dxa"/>
            <w:vAlign w:val="bottom"/>
          </w:tcPr>
          <w:p>
            <w:pPr>
              <w:spacing w:after="0"/>
              <w:rPr>
                <w:sz w:val="20"/>
                <w:szCs w:val="20"/>
                <w:color w:val="auto"/>
              </w:rPr>
            </w:pPr>
            <w:r>
              <w:rPr>
                <w:rFonts w:ascii="Arial" w:cs="Arial" w:eastAsia="Arial" w:hAnsi="Arial"/>
                <w:sz w:val="18"/>
                <w:szCs w:val="18"/>
                <w:b w:val="1"/>
                <w:bCs w:val="1"/>
                <w:color w:val="auto"/>
                <w:w w:val="98"/>
              </w:rPr>
              <w:t>ITEM 6. Exhibits</w:t>
            </w:r>
          </w:p>
        </w:tc>
        <w:tc>
          <w:tcPr>
            <w:tcW w:w="68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3"/>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9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236"/>
        </w:trPr>
        <w:tc>
          <w:tcPr>
            <w:tcW w:w="1380" w:type="dxa"/>
            <w:vAlign w:val="bottom"/>
          </w:tcPr>
          <w:p>
            <w:pPr>
              <w:ind w:left="20"/>
              <w:spacing w:after="0"/>
              <w:rPr>
                <w:sz w:val="20"/>
                <w:szCs w:val="20"/>
                <w:color w:val="auto"/>
              </w:rPr>
            </w:pPr>
            <w:r>
              <w:rPr>
                <w:rFonts w:ascii="Arial" w:cs="Arial" w:eastAsia="Arial" w:hAnsi="Arial"/>
                <w:sz w:val="18"/>
                <w:szCs w:val="18"/>
                <w:color w:val="auto"/>
              </w:rPr>
              <w:t>4.1</w:t>
            </w:r>
          </w:p>
        </w:tc>
        <w:tc>
          <w:tcPr>
            <w:tcW w:w="9840" w:type="dxa"/>
            <w:vAlign w:val="bottom"/>
            <w:gridSpan w:val="4"/>
          </w:tcPr>
          <w:p>
            <w:pPr>
              <w:spacing w:after="0"/>
              <w:rPr>
                <w:rFonts w:ascii="Arial" w:cs="Arial" w:eastAsia="Arial" w:hAnsi="Arial"/>
                <w:sz w:val="18"/>
                <w:szCs w:val="18"/>
                <w:color w:val="0000FF"/>
              </w:rPr>
            </w:pPr>
            <w:hyperlink r:id="rId67">
              <w:r>
                <w:rPr>
                  <w:rFonts w:ascii="Arial" w:cs="Arial" w:eastAsia="Arial" w:hAnsi="Arial"/>
                  <w:sz w:val="18"/>
                  <w:szCs w:val="18"/>
                  <w:color w:val="0000FF"/>
                </w:rPr>
                <w:t>Supplemental Indenture, dated as of April 21, 2022, between Lockheed Martin Corporation and U.S. Bank Trust Company,</w:t>
              </w:r>
            </w:hyperlink>
          </w:p>
        </w:tc>
      </w:tr>
      <w:tr>
        <w:trPr>
          <w:trHeight w:val="183"/>
        </w:trPr>
        <w:tc>
          <w:tcPr>
            <w:tcW w:w="1380" w:type="dxa"/>
            <w:vAlign w:val="bottom"/>
          </w:tcPr>
          <w:p>
            <w:pPr>
              <w:spacing w:after="0"/>
              <w:rPr>
                <w:sz w:val="15"/>
                <w:szCs w:val="15"/>
                <w:color w:val="auto"/>
              </w:rPr>
            </w:pPr>
          </w:p>
        </w:tc>
        <w:tc>
          <w:tcPr>
            <w:tcW w:w="974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National Association, to the Indenture dated September 6, 2011 (incorporated by reference to Exhibit 4.1 to Lockheed</w:t>
              </w:r>
            </w:hyperlink>
          </w:p>
        </w:tc>
        <w:tc>
          <w:tcPr>
            <w:tcW w:w="10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68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Martin Corporation’s Current Report on Form 8-K filed with the SEC on April 21, 2022)</w:t>
              </w:r>
            </w:hyperlink>
          </w:p>
        </w:tc>
        <w:tc>
          <w:tcPr>
            <w:tcW w:w="2480" w:type="dxa"/>
            <w:vAlign w:val="bottom"/>
            <w:tcBorders>
              <w:top w:val="single" w:sz="8" w:color="0000FF"/>
            </w:tcBorders>
          </w:tcPr>
          <w:p>
            <w:pPr>
              <w:spacing w:after="0"/>
              <w:rPr>
                <w:sz w:val="15"/>
                <w:szCs w:val="15"/>
                <w:color w:val="auto"/>
              </w:rPr>
            </w:pPr>
          </w:p>
        </w:tc>
        <w:tc>
          <w:tcPr>
            <w:tcW w:w="500" w:type="dxa"/>
            <w:vAlign w:val="bottom"/>
            <w:gridSpan w:val="2"/>
          </w:tcPr>
          <w:p>
            <w:pPr>
              <w:spacing w:after="0"/>
              <w:rPr>
                <w:sz w:val="15"/>
                <w:szCs w:val="15"/>
                <w:color w:val="auto"/>
              </w:rPr>
            </w:pPr>
          </w:p>
        </w:tc>
      </w:tr>
    </w:tbl>
    <w:p>
      <w:pPr>
        <w:spacing w:after="0" w:line="116" w:lineRule="exact"/>
        <w:rPr>
          <w:sz w:val="20"/>
          <w:szCs w:val="20"/>
          <w:color w:val="auto"/>
        </w:rPr>
      </w:pPr>
    </w:p>
    <w:p>
      <w:pPr>
        <w:ind w:left="1380" w:hanging="135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Acknowledgment of Independent Registered Public Accounting Firm</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31.1</w:t>
            </w:r>
          </w:p>
        </w:tc>
        <w:tc>
          <w:tcPr>
            <w:tcW w:w="72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James D. Taiclet pursuant to Section 302 of the Sarbanes-Oxley Act of 2002</w:t>
            </w:r>
          </w:p>
        </w:tc>
      </w:tr>
      <w:tr>
        <w:trPr>
          <w:trHeight w:val="263"/>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31.2</w:t>
            </w:r>
          </w:p>
        </w:tc>
        <w:tc>
          <w:tcPr>
            <w:tcW w:w="7280" w:type="dxa"/>
            <w:vAlign w:val="bottom"/>
            <w:gridSpan w:val="2"/>
          </w:tcPr>
          <w:p>
            <w:pPr>
              <w:spacing w:after="0"/>
              <w:rPr>
                <w:sz w:val="20"/>
                <w:szCs w:val="20"/>
                <w:color w:val="auto"/>
              </w:rPr>
            </w:pPr>
            <w:r>
              <w:rPr>
                <w:rFonts w:ascii="Arial" w:cs="Arial" w:eastAsia="Arial" w:hAnsi="Arial"/>
                <w:sz w:val="18"/>
                <w:szCs w:val="18"/>
                <w:color w:val="0000FF"/>
              </w:rPr>
              <w:t>Certification of Jesus Malave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7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76" w:lineRule="exact"/>
        <w:rPr>
          <w:sz w:val="20"/>
          <w:szCs w:val="20"/>
          <w:color w:val="auto"/>
        </w:rPr>
      </w:pPr>
    </w:p>
    <w:p>
      <w:pPr>
        <w:ind w:left="1380" w:right="980" w:hanging="135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Certification of James D. Taiclet and Jesus Malave pursuant to 18 U.S.C. Section 1350, as adopted pursuant to Section 906 of the Sarbanes-Oxley Act of 2002</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30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39"/>
        </w:trPr>
        <w:tc>
          <w:tcPr>
            <w:tcW w:w="1060" w:type="dxa"/>
            <w:vAlign w:val="bottom"/>
          </w:tcPr>
          <w:p>
            <w:pPr>
              <w:spacing w:after="0"/>
              <w:rPr>
                <w:sz w:val="20"/>
                <w:szCs w:val="20"/>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embedded within the Inline XBRL document</w:t>
            </w:r>
          </w:p>
        </w:tc>
      </w:tr>
      <w:tr>
        <w:trPr>
          <w:trHeight w:val="292"/>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5" w:lineRule="exact"/>
        <w:rPr>
          <w:sz w:val="20"/>
          <w:szCs w:val="20"/>
          <w:color w:val="auto"/>
        </w:rPr>
      </w:pPr>
    </w:p>
    <w:p>
      <w:pPr>
        <w:ind w:left="1380" w:right="80" w:hanging="135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18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Lockheed Martin Corporation</w:t>
            </w:r>
          </w:p>
        </w:tc>
      </w:tr>
      <w:tr>
        <w:trPr>
          <w:trHeight w:val="254"/>
        </w:trPr>
        <w:tc>
          <w:tcPr>
            <w:tcW w:w="5700" w:type="dxa"/>
            <w:vAlign w:val="bottom"/>
          </w:tcPr>
          <w:p>
            <w:pPr>
              <w:spacing w:after="0"/>
              <w:rPr>
                <w:sz w:val="22"/>
                <w:szCs w:val="22"/>
                <w:color w:val="auto"/>
              </w:rPr>
            </w:pPr>
          </w:p>
        </w:tc>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980" w:type="dxa"/>
            <w:vAlign w:val="bottom"/>
          </w:tcPr>
          <w:p>
            <w:pPr>
              <w:spacing w:after="0"/>
              <w:rPr>
                <w:sz w:val="22"/>
                <w:szCs w:val="22"/>
                <w:color w:val="auto"/>
              </w:rPr>
            </w:pPr>
          </w:p>
        </w:tc>
      </w:tr>
      <w:tr>
        <w:trPr>
          <w:trHeight w:val="455"/>
        </w:trPr>
        <w:tc>
          <w:tcPr>
            <w:tcW w:w="5700" w:type="dxa"/>
            <w:vAlign w:val="bottom"/>
          </w:tcPr>
          <w:p>
            <w:pPr>
              <w:spacing w:after="0"/>
              <w:rPr>
                <w:sz w:val="20"/>
                <w:szCs w:val="20"/>
                <w:color w:val="auto"/>
              </w:rPr>
            </w:pPr>
            <w:r>
              <w:rPr>
                <w:rFonts w:ascii="Arial" w:cs="Arial" w:eastAsia="Arial" w:hAnsi="Arial"/>
                <w:sz w:val="18"/>
                <w:szCs w:val="18"/>
                <w:color w:val="auto"/>
              </w:rPr>
              <w:t>Date: July 19, 2022</w:t>
            </w:r>
          </w:p>
        </w:tc>
        <w:tc>
          <w:tcPr>
            <w:tcW w:w="4300" w:type="dxa"/>
            <w:vAlign w:val="bottom"/>
            <w:gridSpan w:val="3"/>
          </w:tcPr>
          <w:p>
            <w:pPr>
              <w:spacing w:after="0"/>
              <w:rPr>
                <w:sz w:val="20"/>
                <w:szCs w:val="20"/>
                <w:color w:val="auto"/>
              </w:rPr>
            </w:pPr>
            <w:r>
              <w:rPr>
                <w:rFonts w:ascii="Arial" w:cs="Arial" w:eastAsia="Arial" w:hAnsi="Arial"/>
                <w:sz w:val="18"/>
                <w:szCs w:val="18"/>
                <w:color w:val="auto"/>
              </w:rPr>
              <w:t>By: /s/ H. Edward Paul III</w:t>
            </w:r>
          </w:p>
        </w:tc>
      </w:tr>
      <w:tr>
        <w:trPr>
          <w:trHeight w:val="245"/>
        </w:trPr>
        <w:tc>
          <w:tcPr>
            <w:tcW w:w="5700" w:type="dxa"/>
            <w:vAlign w:val="bottom"/>
          </w:tcPr>
          <w:p>
            <w:pPr>
              <w:spacing w:after="0"/>
              <w:rPr>
                <w:sz w:val="21"/>
                <w:szCs w:val="21"/>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Edward Paul III</w:t>
            </w:r>
          </w:p>
        </w:tc>
        <w:tc>
          <w:tcPr>
            <w:tcW w:w="2300" w:type="dxa"/>
            <w:vAlign w:val="bottom"/>
            <w:gridSpan w:val="2"/>
          </w:tcPr>
          <w:p>
            <w:pPr>
              <w:spacing w:after="0"/>
              <w:rPr>
                <w:sz w:val="21"/>
                <w:szCs w:val="21"/>
                <w:color w:val="auto"/>
              </w:rPr>
            </w:pPr>
          </w:p>
        </w:tc>
      </w:tr>
      <w:tr>
        <w:trPr>
          <w:trHeight w:val="230"/>
        </w:trPr>
        <w:tc>
          <w:tcPr>
            <w:tcW w:w="570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r>
        <w:trPr>
          <w:trHeight w:val="239"/>
        </w:trPr>
        <w:tc>
          <w:tcPr>
            <w:tcW w:w="5700" w:type="dxa"/>
            <w:vAlign w:val="bottom"/>
          </w:tcPr>
          <w:p>
            <w:pPr>
              <w:spacing w:after="0"/>
              <w:rPr>
                <w:sz w:val="20"/>
                <w:szCs w:val="20"/>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w w:val="99"/>
              </w:rPr>
              <w:t>(Duly 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320" w:top="122" w:right="7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are aware of the incorporation by reference of our report dated July 19, 2022, relating to the unaudited consolidated interim financial statements of Lockheed Martin Corporation that is included in its Form 10-Q for the quarter ended June 26, 2022, in the following Registration Statements of Lockheed Martin Corporation:</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333-92363 on Form S-8, dated December 8, 1999;</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333-115357 on Form S-8, dated May 10, 2004;</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333-155687 on Form S-8, dated November 25, 2008;</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333-176440 on Form S-8, dated August 23, 2011 and April 24, 2020 (Post-Effective Amendment No. 1);</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333-188118 on Form S-8, dated April 25, 2013;</w:t>
      </w:r>
    </w:p>
    <w:p>
      <w:pPr>
        <w:ind w:left="660" w:right="240" w:hanging="328"/>
        <w:spacing w:after="0" w:line="24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333-195466 on Form S-8, dated April 24, 2014, July 23, 2014 (Post-Effective Amendment No.1) and April 24, 2020 (Post-Effective Amendment No. 2);</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333-237829, 333-237831, and 333-237832 on Form S-8, each dated April 24, 2020;</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333-237834 on Form S-3, dated April 24, 2020;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333-237836 on Form S-3, dated April 24,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July 19, 2022</w:t>
      </w:r>
    </w:p>
    <w:p>
      <w:pPr>
        <w:sectPr>
          <w:pgSz w:w="11900" w:h="16838" w:orient="portrait"/>
          <w:cols w:equalWidth="0" w:num="1">
            <w:col w:w="11240"/>
          </w:cols>
          <w:pgMar w:left="320" w:top="93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5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JAMES D. TAICLET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D. Taiclet,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73"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17780</wp:posOffset>
            </wp:positionV>
            <wp:extent cx="19627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July 19, 2022</w:t>
      </w:r>
    </w:p>
    <w:p>
      <w:pPr>
        <w:sectPr>
          <w:pgSz w:w="11900" w:h="16838" w:orient="portrait"/>
          <w:cols w:equalWidth="0" w:num="1">
            <w:col w:w="11240"/>
          </w:cols>
          <w:pgMar w:left="320" w:top="93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JESUS MALAVE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Jesus Malave, certify that:</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980" w:right="2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980" w:right="22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6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right="260" w:hanging="324"/>
        <w:spacing w:after="0" w:line="268"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324"/>
        <w:spacing w:after="0" w:line="273"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Jesus Malave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17780</wp:posOffset>
            </wp:positionV>
            <wp:extent cx="17913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3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Jesus Malave</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July 19, 2022</w:t>
      </w:r>
    </w:p>
    <w:p>
      <w:pPr>
        <w:sectPr>
          <w:pgSz w:w="11900" w:h="16838" w:orient="portrait"/>
          <w:cols w:equalWidth="0" w:num="1">
            <w:col w:w="11240"/>
          </w:cols>
          <w:pgMar w:left="320" w:top="931" w:right="339" w:bottom="1440" w:gutter="0" w:footer="0" w:header="0"/>
        </w:sectPr>
      </w:pPr>
    </w:p>
    <w:bookmarkStart w:id="57" w:name="page58"/>
    <w:bookmarkEnd w:id="57"/>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ind w:left="340" w:right="80"/>
        <w:spacing w:after="0" w:line="296" w:lineRule="auto"/>
        <w:rPr>
          <w:sz w:val="20"/>
          <w:szCs w:val="20"/>
          <w:color w:val="auto"/>
        </w:rPr>
      </w:pPr>
      <w:r>
        <w:rPr>
          <w:rFonts w:ascii="Arial" w:cs="Arial" w:eastAsia="Arial" w:hAnsi="Arial"/>
          <w:sz w:val="18"/>
          <w:szCs w:val="18"/>
          <w:b w:val="1"/>
          <w:bCs w:val="1"/>
          <w:color w:val="auto"/>
        </w:rPr>
        <w:t>CERTIFICATION OF JAMES D. TAICLET AND JESUS MALAVE PURSUANT TO 18 U.S.C. SECTION 1350, AS ADOPTED PURSUANT TO SECTION 906 OF THE SARBANES-OXLEY ACT OF 2002</w:t>
      </w:r>
    </w:p>
    <w:p>
      <w:pPr>
        <w:spacing w:after="0" w:line="13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Quarterly Report of Lockheed Martin Corporation (the “Corporation”) on Form 10-Q for the period ended June 26, 2022, as filed with the U.S. Securities and Exchange Commission on the date hereof (the “Report”), I, James D. Taiclet, Chief Executive Officer of the Corporation, and I, Jesus Malave, Chief Financial Officer of the Corporation, each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980" w:hanging="486"/>
        <w:spacing w:after="0" w:line="266" w:lineRule="auto"/>
        <w:tabs>
          <w:tab w:leader="none" w:pos="9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0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D. Taiclet</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8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Jesus Malave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2322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Jesus Malave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decimal"/>
      <w:start w:val="15"/>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67" Type="http://schemas.openxmlformats.org/officeDocument/2006/relationships/hyperlink" Target="https://www.sec.gov/Archives/edgar/data/936468/000119312522112230/d3143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2022-07-19T15:31:18Z</dcterms:created>
  <dcterms:modified xsi:type="dcterms:W3CDTF">2022-07-19T15:31:18Z</dcterms:modified>
</cp:coreProperties>
</file>