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6019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6019800"/>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35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Hill Stephanie 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6801 ROCKLEDGE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LOCKHEED MARTIN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LMT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02/23/2025</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477"/>
        <w:spacing w:after="0"/>
        <w:rPr>
          <w:sz w:val="20"/>
          <w:szCs w:val="20"/>
          <w:color w:val="auto"/>
        </w:rPr>
      </w:pPr>
      <w:r>
        <w:rPr>
          <w:rFonts w:ascii="Times New Roman" w:cs="Times New Roman" w:eastAsia="Times New Roman" w:hAnsi="Times New Roman"/>
          <w:sz w:val="17"/>
          <w:szCs w:val="17"/>
          <w:color w:val="0000FF"/>
        </w:rPr>
        <w:t>Pres. Rotary &amp; Mission Systems</w:t>
      </w:r>
    </w:p>
    <w:p>
      <w:pPr>
        <w:spacing w:after="0" w:line="316" w:lineRule="exact"/>
        <w:rPr>
          <w:sz w:val="24"/>
          <w:szCs w:val="24"/>
          <w:color w:val="auto"/>
        </w:rPr>
      </w:pPr>
    </w:p>
    <w:p>
      <w:pPr>
        <w:sectPr>
          <w:pgSz w:w="11900" w:h="16838" w:orient="portrait"/>
          <w:cols w:equalWidth="0" w:num="3">
            <w:col w:w="3200" w:space="720"/>
            <w:col w:w="3220" w:space="603"/>
            <w:col w:w="3337"/>
          </w:cols>
          <w:pgMar w:left="460" w:top="216" w:right="359" w:bottom="350"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1740" w:type="dxa"/>
            <w:vAlign w:val="bottom"/>
            <w:tcBorders>
              <w:bottom w:val="single" w:sz="8" w:color="9A9A9A"/>
            </w:tcBorders>
          </w:tcPr>
          <w:p>
            <w:pPr>
              <w:spacing w:after="0"/>
              <w:rPr>
                <w:sz w:val="3"/>
                <w:szCs w:val="3"/>
                <w:color w:val="auto"/>
              </w:rPr>
            </w:pPr>
          </w:p>
        </w:tc>
        <w:tc>
          <w:tcPr>
            <w:tcW w:w="3600" w:type="dxa"/>
            <w:vAlign w:val="bottom"/>
            <w:gridSpan w:val="5"/>
            <w:vMerge w:val="restart"/>
          </w:tcPr>
          <w:p>
            <w:pPr>
              <w:jc w:val="right"/>
              <w:ind w:right="86"/>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5"/>
            <w:vMerge w:val="restart"/>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740" w:type="dxa"/>
            <w:vAlign w:val="bottom"/>
          </w:tcPr>
          <w:p>
            <w:pPr>
              <w:spacing w:after="0"/>
              <w:rPr>
                <w:sz w:val="7"/>
                <w:szCs w:val="7"/>
                <w:color w:val="auto"/>
              </w:rPr>
            </w:pPr>
          </w:p>
        </w:tc>
        <w:tc>
          <w:tcPr>
            <w:tcW w:w="3600" w:type="dxa"/>
            <w:vAlign w:val="bottom"/>
            <w:gridSpan w:val="5"/>
            <w:vMerge w:val="continue"/>
          </w:tcPr>
          <w:p>
            <w:pPr>
              <w:spacing w:after="0"/>
              <w:rPr>
                <w:sz w:val="7"/>
                <w:szCs w:val="7"/>
                <w:color w:val="auto"/>
              </w:rPr>
            </w:pPr>
          </w:p>
        </w:tc>
        <w:tc>
          <w:tcPr>
            <w:tcW w:w="362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ind w:left="380"/>
              <w:spacing w:after="0"/>
              <w:rPr>
                <w:sz w:val="20"/>
                <w:szCs w:val="20"/>
                <w:color w:val="auto"/>
              </w:rPr>
            </w:pPr>
            <w:r>
              <w:rPr>
                <w:rFonts w:ascii="Arial" w:cs="Arial" w:eastAsia="Arial" w:hAnsi="Arial"/>
                <w:sz w:val="13"/>
                <w:szCs w:val="13"/>
                <w:color w:val="auto"/>
              </w:rPr>
              <w:t>Line)</w:t>
            </w: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BETHESDA</w:t>
            </w:r>
          </w:p>
        </w:tc>
        <w:tc>
          <w:tcPr>
            <w:tcW w:w="7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MD</w:t>
            </w:r>
          </w:p>
        </w:tc>
        <w:tc>
          <w:tcPr>
            <w:tcW w:w="1740" w:type="dxa"/>
            <w:vAlign w:val="bottom"/>
          </w:tcPr>
          <w:p>
            <w:pPr>
              <w:ind w:left="540"/>
              <w:spacing w:after="0"/>
              <w:rPr>
                <w:sz w:val="20"/>
                <w:szCs w:val="20"/>
                <w:color w:val="auto"/>
              </w:rPr>
            </w:pPr>
            <w:r>
              <w:rPr>
                <w:rFonts w:ascii="Times New Roman" w:cs="Times New Roman" w:eastAsia="Times New Roman" w:hAnsi="Times New Roman"/>
                <w:sz w:val="17"/>
                <w:szCs w:val="17"/>
                <w:color w:val="0000FF"/>
              </w:rPr>
              <w:t>20817</w:t>
            </w: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900" w:type="dxa"/>
            <w:vAlign w:val="bottom"/>
            <w:gridSpan w:val="4"/>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740" w:type="dxa"/>
            <w:vAlign w:val="bottom"/>
            <w:tcBorders>
              <w:bottom w:val="single" w:sz="8" w:color="9A9A9A"/>
            </w:tcBorders>
          </w:tcPr>
          <w:p>
            <w:pPr>
              <w:spacing w:after="0"/>
              <w:rPr>
                <w:sz w:val="13"/>
                <w:szCs w:val="13"/>
                <w:color w:val="auto"/>
              </w:rPr>
            </w:pPr>
          </w:p>
        </w:tc>
        <w:tc>
          <w:tcPr>
            <w:tcW w:w="4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900" w:type="dxa"/>
            <w:vAlign w:val="bottom"/>
            <w:gridSpan w:val="4"/>
          </w:tcPr>
          <w:p>
            <w:pPr>
              <w:ind w:left="20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780" w:type="dxa"/>
            <w:vAlign w:val="bottom"/>
            <w:vMerge w:val="restart"/>
          </w:tcPr>
          <w:p>
            <w:pPr>
              <w:ind w:left="100"/>
              <w:spacing w:after="0"/>
              <w:rPr>
                <w:sz w:val="20"/>
                <w:szCs w:val="20"/>
                <w:color w:val="auto"/>
              </w:rPr>
            </w:pPr>
            <w:r>
              <w:rPr>
                <w:rFonts w:ascii="Arial" w:cs="Arial" w:eastAsia="Arial" w:hAnsi="Arial"/>
                <w:sz w:val="13"/>
                <w:szCs w:val="13"/>
                <w:color w:val="auto"/>
              </w:rPr>
              <w:t>(State)</w:t>
            </w:r>
          </w:p>
        </w:tc>
        <w:tc>
          <w:tcPr>
            <w:tcW w:w="2180" w:type="dxa"/>
            <w:vAlign w:val="bottom"/>
            <w:gridSpan w:val="2"/>
            <w:vMerge w:val="restart"/>
          </w:tcPr>
          <w:p>
            <w:pPr>
              <w:ind w:left="540"/>
              <w:spacing w:after="0"/>
              <w:rPr>
                <w:sz w:val="20"/>
                <w:szCs w:val="20"/>
                <w:color w:val="auto"/>
              </w:rPr>
            </w:pPr>
            <w:r>
              <w:rPr>
                <w:rFonts w:ascii="Arial" w:cs="Arial" w:eastAsia="Arial" w:hAnsi="Arial"/>
                <w:sz w:val="13"/>
                <w:szCs w:val="13"/>
                <w:color w:val="auto"/>
              </w:rPr>
              <w:t>(Zip)</w:t>
            </w: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tcPr>
          <w:p>
            <w:pPr>
              <w:ind w:left="20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2180" w:type="dxa"/>
            <w:vAlign w:val="bottom"/>
            <w:gridSpan w:val="2"/>
            <w:vMerge w:val="continue"/>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1740" w:type="dxa"/>
            <w:vAlign w:val="bottom"/>
            <w:tcBorders>
              <w:bottom w:val="single" w:sz="8" w:color="2C2C2C"/>
            </w:tcBorders>
          </w:tcPr>
          <w:p>
            <w:pPr>
              <w:spacing w:after="0"/>
              <w:rPr>
                <w:sz w:val="10"/>
                <w:szCs w:val="10"/>
                <w:color w:val="auto"/>
              </w:rPr>
            </w:pPr>
          </w:p>
        </w:tc>
        <w:tc>
          <w:tcPr>
            <w:tcW w:w="5440" w:type="dxa"/>
            <w:vAlign w:val="bottom"/>
            <w:tcBorders>
              <w:bottom w:val="single" w:sz="8" w:color="2C2C2C"/>
            </w:tcBorders>
            <w:gridSpan w:val="7"/>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8"/>
          </w:tcPr>
          <w:p>
            <w:pPr>
              <w:ind w:left="2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000" w:type="dxa"/>
            <w:vAlign w:val="bottom"/>
            <w:tcBorders>
              <w:bottom w:val="single" w:sz="8" w:color="2C2C2C"/>
            </w:tcBorders>
            <w:gridSpan w:val="3"/>
          </w:tcPr>
          <w:p>
            <w:pPr>
              <w:spacing w:after="0"/>
              <w:rPr>
                <w:sz w:val="3"/>
                <w:szCs w:val="3"/>
                <w:color w:val="auto"/>
              </w:rPr>
            </w:pPr>
          </w:p>
        </w:tc>
        <w:tc>
          <w:tcPr>
            <w:tcW w:w="21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0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180" w:type="dxa"/>
            <w:vAlign w:val="bottom"/>
            <w:gridSpan w:val="2"/>
          </w:tcPr>
          <w:p>
            <w:pPr>
              <w:ind w:left="11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180" w:type="dxa"/>
            <w:vAlign w:val="bottom"/>
            <w:gridSpan w:val="2"/>
          </w:tcPr>
          <w:p>
            <w:pPr>
              <w:ind w:left="116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180" w:type="dxa"/>
            <w:vAlign w:val="bottom"/>
            <w:gridSpan w:val="2"/>
          </w:tcPr>
          <w:p>
            <w:pPr>
              <w:jc w:val="center"/>
              <w:ind w:left="1026"/>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right"/>
              <w:ind w:right="6"/>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jc w:val="right"/>
              <w:ind w:right="166"/>
              <w:spacing w:after="0"/>
              <w:rPr>
                <w:sz w:val="20"/>
                <w:szCs w:val="20"/>
                <w:color w:val="auto"/>
              </w:rPr>
            </w:pPr>
            <w:r>
              <w:rPr>
                <w:rFonts w:ascii="Arial" w:cs="Arial" w:eastAsia="Arial" w:hAnsi="Arial"/>
                <w:sz w:val="12"/>
                <w:szCs w:val="12"/>
                <w:b w:val="1"/>
                <w:bCs w:val="1"/>
                <w:color w:val="auto"/>
              </w:rPr>
              <w:t>(D)</w:t>
            </w:r>
          </w:p>
        </w:tc>
        <w:tc>
          <w:tcPr>
            <w:tcW w:w="72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1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2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8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2"/>
          </w:tcPr>
          <w:p>
            <w:pPr>
              <w:jc w:val="center"/>
              <w:ind w:left="1046"/>
              <w:spacing w:after="0"/>
              <w:rPr>
                <w:sz w:val="20"/>
                <w:szCs w:val="20"/>
                <w:color w:val="auto"/>
              </w:rPr>
            </w:pPr>
            <w:r>
              <w:rPr>
                <w:rFonts w:ascii="Times New Roman" w:cs="Times New Roman" w:eastAsia="Times New Roman" w:hAnsi="Times New Roman"/>
                <w:sz w:val="17"/>
                <w:szCs w:val="17"/>
                <w:color w:val="0000FF"/>
              </w:rPr>
              <w:t>02/23/2025</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6,184</w:t>
            </w:r>
            <w:r>
              <w:rPr>
                <w:rFonts w:ascii="Times New Roman" w:cs="Times New Roman" w:eastAsia="Times New Roman" w:hAnsi="Times New Roman"/>
                <w:sz w:val="21"/>
                <w:szCs w:val="21"/>
                <w:color w:val="008000"/>
                <w:w w:val="91"/>
                <w:vertAlign w:val="superscript"/>
              </w:rPr>
              <w:t>(1)</w:t>
            </w:r>
          </w:p>
        </w:tc>
        <w:tc>
          <w:tcPr>
            <w:tcW w:w="500" w:type="dxa"/>
            <w:vAlign w:val="bottom"/>
            <w:tcBorders>
              <w:bottom w:val="single" w:sz="8" w:color="2C2C2C"/>
            </w:tcBorders>
          </w:tcPr>
          <w:p>
            <w:pPr>
              <w:jc w:val="right"/>
              <w:ind w:right="86"/>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tcPr>
          <w:p>
            <w:pPr>
              <w:jc w:val="center"/>
              <w:spacing w:after="0" w:line="312"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15,516.256</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2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8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2"/>
          </w:tcPr>
          <w:p>
            <w:pPr>
              <w:jc w:val="center"/>
              <w:ind w:left="1046"/>
              <w:spacing w:after="0"/>
              <w:rPr>
                <w:sz w:val="20"/>
                <w:szCs w:val="20"/>
                <w:color w:val="auto"/>
              </w:rPr>
            </w:pPr>
            <w:r>
              <w:rPr>
                <w:rFonts w:ascii="Times New Roman" w:cs="Times New Roman" w:eastAsia="Times New Roman" w:hAnsi="Times New Roman"/>
                <w:sz w:val="17"/>
                <w:szCs w:val="17"/>
                <w:color w:val="0000FF"/>
              </w:rPr>
              <w:t>02/23/2025</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2,957</w:t>
            </w:r>
          </w:p>
        </w:tc>
        <w:tc>
          <w:tcPr>
            <w:tcW w:w="500" w:type="dxa"/>
            <w:vAlign w:val="bottom"/>
            <w:tcBorders>
              <w:bottom w:val="single" w:sz="8" w:color="2C2C2C"/>
            </w:tcBorders>
          </w:tcPr>
          <w:p>
            <w:pPr>
              <w:jc w:val="right"/>
              <w:ind w:right="86"/>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tcPr>
          <w:p>
            <w:pPr>
              <w:jc w:val="center"/>
              <w:spacing w:after="0" w:line="312"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(2)</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18,473.256</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2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8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2"/>
          </w:tcPr>
          <w:p>
            <w:pPr>
              <w:jc w:val="center"/>
              <w:ind w:left="1046"/>
              <w:spacing w:after="0"/>
              <w:rPr>
                <w:sz w:val="20"/>
                <w:szCs w:val="20"/>
                <w:color w:val="auto"/>
              </w:rPr>
            </w:pPr>
            <w:r>
              <w:rPr>
                <w:rFonts w:ascii="Times New Roman" w:cs="Times New Roman" w:eastAsia="Times New Roman" w:hAnsi="Times New Roman"/>
                <w:sz w:val="17"/>
                <w:szCs w:val="17"/>
                <w:color w:val="0000FF"/>
              </w:rPr>
              <w:t>02/23/2025</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4,350</w:t>
            </w:r>
            <w:r>
              <w:rPr>
                <w:rFonts w:ascii="Times New Roman" w:cs="Times New Roman" w:eastAsia="Times New Roman" w:hAnsi="Times New Roman"/>
                <w:sz w:val="21"/>
                <w:szCs w:val="21"/>
                <w:color w:val="008000"/>
                <w:w w:val="91"/>
                <w:vertAlign w:val="superscript"/>
              </w:rPr>
              <w:t>(3)</w:t>
            </w:r>
          </w:p>
        </w:tc>
        <w:tc>
          <w:tcPr>
            <w:tcW w:w="500" w:type="dxa"/>
            <w:vAlign w:val="bottom"/>
            <w:tcBorders>
              <w:bottom w:val="single" w:sz="8" w:color="2C2C2C"/>
            </w:tcBorders>
          </w:tcPr>
          <w:p>
            <w:pPr>
              <w:jc w:val="right"/>
              <w:ind w:right="86"/>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440.72</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14,123.256</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Lockheed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Martin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jc w:val="center"/>
              <w:spacing w:after="0" w:line="208" w:lineRule="exact"/>
              <w:rPr>
                <w:sz w:val="20"/>
                <w:szCs w:val="20"/>
                <w:color w:val="auto"/>
              </w:rPr>
            </w:pPr>
            <w:r>
              <w:rPr>
                <w:rFonts w:ascii="Times New Roman" w:cs="Times New Roman" w:eastAsia="Times New Roman" w:hAnsi="Times New Roman"/>
                <w:sz w:val="17"/>
                <w:szCs w:val="17"/>
                <w:color w:val="0000FF"/>
                <w:w w:val="94"/>
              </w:rPr>
              <w:t>4,065.6303</w:t>
            </w:r>
            <w:r>
              <w:rPr>
                <w:rFonts w:ascii="Times New Roman" w:cs="Times New Roman" w:eastAsia="Times New Roman" w:hAnsi="Times New Roman"/>
                <w:sz w:val="21"/>
                <w:szCs w:val="21"/>
                <w:color w:val="008000"/>
                <w:w w:val="94"/>
                <w:vertAlign w:val="superscript"/>
              </w:rPr>
              <w:t>(4)</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Salaried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Savings</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60"/>
        </w:trPr>
        <w:tc>
          <w:tcPr>
            <w:tcW w:w="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tcPr>
          <w:p>
            <w:pPr>
              <w:spacing w:after="0"/>
              <w:rPr>
                <w:sz w:val="15"/>
                <w:szCs w:val="15"/>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2,957</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right"/>
              <w:ind w:right="180"/>
              <w:spacing w:after="0" w:line="130" w:lineRule="exact"/>
              <w:rPr>
                <w:sz w:val="20"/>
                <w:szCs w:val="20"/>
                <w:color w:val="auto"/>
              </w:rPr>
            </w:pPr>
            <w:r>
              <w:rPr>
                <w:rFonts w:ascii="Times New Roman" w:cs="Times New Roman" w:eastAsia="Times New Roman" w:hAnsi="Times New Roman"/>
                <w:sz w:val="13"/>
                <w:szCs w:val="13"/>
                <w:color w:val="0000FF"/>
              </w:rPr>
              <w:t>02/23/2025</w:t>
            </w:r>
          </w:p>
        </w:tc>
        <w:tc>
          <w:tcPr>
            <w:tcW w:w="1100" w:type="dxa"/>
            <w:vAlign w:val="bottom"/>
          </w:tcPr>
          <w:p>
            <w:pPr>
              <w:spacing w:after="0"/>
              <w:rPr>
                <w:sz w:val="11"/>
                <w:szCs w:val="11"/>
                <w:color w:val="auto"/>
              </w:rPr>
            </w:pPr>
          </w:p>
        </w:tc>
        <w:tc>
          <w:tcPr>
            <w:tcW w:w="80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2,957</w:t>
            </w:r>
          </w:p>
        </w:tc>
        <w:tc>
          <w:tcPr>
            <w:tcW w:w="780" w:type="dxa"/>
            <w:vAlign w:val="bottom"/>
            <w:vMerge w:val="continue"/>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Times New Roman" w:cs="Times New Roman" w:eastAsia="Times New Roman" w:hAnsi="Times New Roman"/>
                <w:sz w:val="13"/>
                <w:szCs w:val="13"/>
                <w:color w:val="0000FF"/>
              </w:rPr>
              <w:t>02/23/2025</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tcPr>
          <w:p>
            <w:pPr>
              <w:ind w:left="14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0.0000</w:t>
            </w:r>
          </w:p>
        </w:tc>
        <w:tc>
          <w:tcPr>
            <w:tcW w:w="940" w:type="dxa"/>
            <w:vAlign w:val="bottom"/>
          </w:tcPr>
          <w:p>
            <w:pPr>
              <w:ind w:left="300"/>
              <w:spacing w:after="0" w:line="130" w:lineRule="exact"/>
              <w:rPr>
                <w:sz w:val="20"/>
                <w:szCs w:val="20"/>
                <w:color w:val="auto"/>
              </w:rPr>
            </w:pPr>
            <w:r>
              <w:rPr>
                <w:rFonts w:ascii="Times New Roman" w:cs="Times New Roman" w:eastAsia="Times New Roman" w:hAnsi="Times New Roman"/>
                <w:sz w:val="13"/>
                <w:szCs w:val="13"/>
                <w:color w:val="0000FF"/>
              </w:rPr>
              <w:t>0.0000</w:t>
            </w:r>
          </w:p>
        </w:tc>
        <w:tc>
          <w:tcPr>
            <w:tcW w:w="740" w:type="dxa"/>
            <w:vAlign w:val="bottom"/>
          </w:tcPr>
          <w:p>
            <w:pPr>
              <w:ind w:left="34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26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acquired upon settlement of performance stock units granted on February 23, 2022, following the end of a three-year performance period 2022-2024 (Performance Cycle). The amount earned during the Performance Cycle is based on the satisfaction of performance against three separate financial metrics.</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Disposition to the Issuer of shares to satisfy the Reporting Person's tax withholding obligation upon vesting and settlement of stock units which is exempt under Rule 16b-3.</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Holdings as of reportable transaction date include additional acquisitions and dividend reinvestment under the company's 401(k) plan.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23, 2022, the reporting person was granted 3,085 restricted stock units, the remaining unvested portion of which vested on the third anniversary of the grant 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Substitute Power of Attorney</w:t>
      </w:r>
    </w:p>
    <w:p>
      <w:pPr>
        <w:spacing w:after="0" w:line="10"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Stephanie C. Hill, by Peter A.</w:t>
      </w:r>
      <w:r>
        <w:rPr>
          <w:sz w:val="20"/>
          <w:szCs w:val="20"/>
          <w:color w:val="auto"/>
        </w:rPr>
        <w:tab/>
      </w:r>
      <w:r>
        <w:rPr>
          <w:rFonts w:ascii="Times New Roman" w:cs="Times New Roman" w:eastAsia="Times New Roman" w:hAnsi="Times New Roman"/>
          <w:sz w:val="25"/>
          <w:szCs w:val="25"/>
          <w:color w:val="0000FF"/>
          <w:vertAlign w:val="subscript"/>
        </w:rPr>
        <w:t>02/25/2025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280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Christou,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1188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887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35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Substitute Power of Attorney</w:t>
      </w:r>
    </w:p>
    <w:p>
      <w:pPr>
        <w:spacing w:after="0" w:line="32" w:lineRule="exact"/>
        <w:rPr>
          <w:sz w:val="20"/>
          <w:szCs w:val="20"/>
          <w:color w:val="auto"/>
        </w:rPr>
      </w:pPr>
    </w:p>
    <w:p>
      <w:pPr>
        <w:ind w:right="1899"/>
        <w:spacing w:after="0" w:line="257" w:lineRule="auto"/>
        <w:rPr>
          <w:sz w:val="20"/>
          <w:szCs w:val="20"/>
          <w:color w:val="auto"/>
        </w:rPr>
      </w:pPr>
      <w:r>
        <w:rPr>
          <w:rFonts w:ascii="Courier New" w:cs="Courier New" w:eastAsia="Courier New" w:hAnsi="Courier New"/>
          <w:sz w:val="16"/>
          <w:szCs w:val="16"/>
          <w:color w:val="auto"/>
        </w:rPr>
        <w:t>Pursuant to written powers of attorney (each a Power of Attorney) by the individuals listed below and the Substitute Power of Attorney from Maryanne R. Lavan dated June 27, 2023 (the Stevens Substitute Power of Attorney), the undersigned, John E. Stevens, has been constituted and appointed the lawful substitute attorney-in-fact and agent of the individuals, with full power of substitution, to execute and file documents with the Securities and Exchange Commission pursuant to Section 16 of the Securities Exchange Act and Rule 144 of</w:t>
      </w:r>
    </w:p>
    <w:p>
      <w:pPr>
        <w:spacing w:after="0" w:line="5" w:lineRule="exact"/>
        <w:rPr>
          <w:sz w:val="20"/>
          <w:szCs w:val="20"/>
          <w:color w:val="auto"/>
        </w:rPr>
      </w:pPr>
    </w:p>
    <w:p>
      <w:pPr>
        <w:ind w:right="2199" w:firstLine="203"/>
        <w:spacing w:after="0" w:line="244" w:lineRule="auto"/>
        <w:rPr>
          <w:sz w:val="20"/>
          <w:szCs w:val="20"/>
          <w:color w:val="auto"/>
        </w:rPr>
      </w:pPr>
      <w:r>
        <w:rPr>
          <w:rFonts w:ascii="Courier New" w:cs="Courier New" w:eastAsia="Courier New" w:hAnsi="Courier New"/>
          <w:sz w:val="17"/>
          <w:szCs w:val="17"/>
          <w:color w:val="auto"/>
        </w:rPr>
        <w:t>the Securities Act of 1933, with respect to equity securities of Lockheed Martin Corporation and with such further powers as specified in each Power of Attorney and the Stevens Substitute Power of Attorney. Individual</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of Power of Attorney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John C. Aquilino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December 11, 2024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David B. Burritt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January 24, 2020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Timothy S. Cahill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September 30, 2022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Bruce A. Carlson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January 24, 2020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John M. Donovan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October 26, 2021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Joseph F. Dunford, Jr.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February 10, 2020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Thomas J. Falk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January 24, 2020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Stephanie C. Hill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11, 2020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Vicki A. Hollub</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January 24, 2020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Robert M. Lightfoot, Jr.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December 15, 2021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Jesus Malave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February 2, 2022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 Edward Paul III</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6, 2022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Debra L. Reed-Klages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November 1, 2019</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Frank A. St. John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January 16, 2020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James D. Taiclet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January 24, 2020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Gregory M. Ulmer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November 29, 2020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Heather Wilson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4, 2024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Patricia E. Yarrington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3, 2021</w:t>
      </w:r>
    </w:p>
    <w:p>
      <w:pPr>
        <w:spacing w:after="0" w:line="2" w:lineRule="exact"/>
        <w:rPr>
          <w:sz w:val="20"/>
          <w:szCs w:val="20"/>
          <w:color w:val="auto"/>
        </w:rPr>
      </w:pPr>
    </w:p>
    <w:p>
      <w:pPr>
        <w:ind w:right="1899"/>
        <w:spacing w:after="0" w:line="257" w:lineRule="auto"/>
        <w:rPr>
          <w:sz w:val="20"/>
          <w:szCs w:val="20"/>
          <w:color w:val="auto"/>
        </w:rPr>
      </w:pPr>
      <w:r>
        <w:rPr>
          <w:rFonts w:ascii="Courier New" w:cs="Courier New" w:eastAsia="Courier New" w:hAnsi="Courier New"/>
          <w:sz w:val="16"/>
          <w:szCs w:val="16"/>
          <w:color w:val="auto"/>
        </w:rPr>
        <w:t>In accordance with the authority granted under each Power of Attorney and the Stevens Substitute Power of Attorney, including the power of substitution, the undersigned hereby appoints Peter A. Christou as substitute attorney-in-fact, on</w:t>
      </w:r>
    </w:p>
    <w:p>
      <w:pPr>
        <w:spacing w:after="0" w:line="2" w:lineRule="exact"/>
        <w:rPr>
          <w:sz w:val="20"/>
          <w:szCs w:val="20"/>
          <w:color w:val="auto"/>
        </w:rPr>
      </w:pPr>
    </w:p>
    <w:p>
      <w:pPr>
        <w:ind w:right="1999" w:firstLine="203"/>
        <w:spacing w:after="0" w:line="242" w:lineRule="auto"/>
        <w:rPr>
          <w:sz w:val="20"/>
          <w:szCs w:val="20"/>
          <w:color w:val="auto"/>
        </w:rPr>
      </w:pPr>
      <w:r>
        <w:rPr>
          <w:rFonts w:ascii="Courier New" w:cs="Courier New" w:eastAsia="Courier New" w:hAnsi="Courier New"/>
          <w:sz w:val="17"/>
          <w:szCs w:val="17"/>
          <w:color w:val="auto"/>
        </w:rPr>
        <w:t>behalf of the individuals listed above, with no power of substitution, to exercise and execute all of the powers granted or conferred to the undersigned in each Power of Attorney and the Stevens Substitute Power of Attorney with the exception of the power of substitution.</w:t>
      </w:r>
    </w:p>
    <w:p>
      <w:pPr>
        <w:spacing w:after="0" w:line="2" w:lineRule="exact"/>
        <w:rPr>
          <w:sz w:val="20"/>
          <w:szCs w:val="20"/>
          <w:color w:val="auto"/>
        </w:rPr>
      </w:pPr>
    </w:p>
    <w:p>
      <w:pPr>
        <w:ind w:right="2299"/>
        <w:spacing w:after="0" w:line="242" w:lineRule="auto"/>
        <w:rPr>
          <w:sz w:val="20"/>
          <w:szCs w:val="20"/>
          <w:color w:val="auto"/>
        </w:rPr>
      </w:pPr>
      <w:r>
        <w:rPr>
          <w:rFonts w:ascii="Courier New" w:cs="Courier New" w:eastAsia="Courier New" w:hAnsi="Courier New"/>
          <w:sz w:val="17"/>
          <w:szCs w:val="17"/>
          <w:color w:val="auto"/>
        </w:rPr>
        <w:t>For the avoidance of doubt, the foregoing appointment shall not serve as a revocation of the powers granted to the undersigned himself in each Power of Attorney and the Stevens Substitute Power of Attorney.</w:t>
      </w:r>
    </w:p>
    <w:p>
      <w:pPr>
        <w:spacing w:after="0" w:line="2" w:lineRule="exact"/>
        <w:rPr>
          <w:sz w:val="20"/>
          <w:szCs w:val="20"/>
          <w:color w:val="auto"/>
        </w:rPr>
      </w:pPr>
    </w:p>
    <w:p>
      <w:pPr>
        <w:ind w:right="2099"/>
        <w:spacing w:after="0" w:line="242" w:lineRule="auto"/>
        <w:rPr>
          <w:sz w:val="20"/>
          <w:szCs w:val="20"/>
          <w:color w:val="auto"/>
        </w:rPr>
      </w:pPr>
      <w:r>
        <w:rPr>
          <w:rFonts w:ascii="Courier New" w:cs="Courier New" w:eastAsia="Courier New" w:hAnsi="Courier New"/>
          <w:sz w:val="17"/>
          <w:szCs w:val="17"/>
          <w:color w:val="auto"/>
        </w:rPr>
        <w:t>This Substitute Power of Attorney shall remain in full force and effect unless and until revoked by the undersigned.</w:t>
      </w:r>
    </w:p>
    <w:p>
      <w:pPr>
        <w:spacing w:after="0" w:line="1" w:lineRule="exact"/>
        <w:rPr>
          <w:sz w:val="20"/>
          <w:szCs w:val="20"/>
          <w:color w:val="auto"/>
        </w:rPr>
      </w:pPr>
    </w:p>
    <w:p>
      <w:pPr>
        <w:ind w:left="200" w:right="1899" w:hanging="202"/>
        <w:spacing w:after="0" w:line="320" w:lineRule="auto"/>
        <w:rPr>
          <w:sz w:val="20"/>
          <w:szCs w:val="20"/>
          <w:color w:val="auto"/>
        </w:rPr>
      </w:pPr>
      <w:r>
        <w:rPr>
          <w:rFonts w:ascii="Courier New" w:cs="Courier New" w:eastAsia="Courier New" w:hAnsi="Courier New"/>
          <w:sz w:val="17"/>
          <w:szCs w:val="17"/>
          <w:color w:val="auto"/>
        </w:rPr>
        <w:t>IN WITNESS WHEREOF, the undersigned has caused this Substitute Power of Attorney to be executed as of February 18, 2025.</w:t>
      </w: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John E. Stevens</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96020" TargetMode="External"/><Relationship Id="rId14" Type="http://schemas.openxmlformats.org/officeDocument/2006/relationships/hyperlink" Target="http://www.sec.gov/cgi-bin/browse-edgar?action=getcompany&amp;CIK=00009364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2025-02-25T20:09:10Z</dcterms:created>
  <dcterms:modified xsi:type="dcterms:W3CDTF">2025-02-25T20:09:10Z</dcterms:modified>
</cp:coreProperties>
</file>