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4"/>
        <w:spacing w:after="0"/>
        <w:rPr>
          <w:sz w:val="20"/>
          <w:szCs w:val="20"/>
          <w:color w:val="auto"/>
        </w:rPr>
      </w:pPr>
      <w:r>
        <w:rPr>
          <w:rFonts w:ascii="Arial" w:cs="Arial" w:eastAsia="Arial" w:hAnsi="Arial"/>
          <w:sz w:val="17"/>
          <w:szCs w:val="17"/>
          <w:color w:val="auto"/>
        </w:rPr>
        <w:t>UNITED STATES</w:t>
      </w:r>
    </w:p>
    <w:p>
      <w:pPr>
        <w:spacing w:after="0" w:line="29" w:lineRule="exact"/>
        <w:rPr>
          <w:sz w:val="24"/>
          <w:szCs w:val="24"/>
          <w:color w:val="auto"/>
        </w:rPr>
      </w:pPr>
    </w:p>
    <w:p>
      <w:pPr>
        <w:jc w:val="center"/>
        <w:ind w:right="-204"/>
        <w:spacing w:after="0"/>
        <w:rPr>
          <w:sz w:val="20"/>
          <w:szCs w:val="20"/>
          <w:color w:val="auto"/>
        </w:rPr>
      </w:pPr>
      <w:r>
        <w:rPr>
          <w:rFonts w:ascii="Arial" w:cs="Arial" w:eastAsia="Arial" w:hAnsi="Arial"/>
          <w:sz w:val="17"/>
          <w:szCs w:val="17"/>
          <w:color w:val="auto"/>
        </w:rPr>
        <w:t>SECURITIES AND EXCHANGE COMMISSION</w:t>
      </w:r>
    </w:p>
    <w:p>
      <w:pPr>
        <w:spacing w:after="0" w:line="7" w:lineRule="exact"/>
        <w:rPr>
          <w:sz w:val="24"/>
          <w:szCs w:val="24"/>
          <w:color w:val="auto"/>
        </w:rPr>
      </w:pPr>
    </w:p>
    <w:p>
      <w:pPr>
        <w:jc w:val="center"/>
        <w:ind w:right="-204"/>
        <w:spacing w:after="0"/>
        <w:rPr>
          <w:sz w:val="20"/>
          <w:szCs w:val="20"/>
          <w:color w:val="auto"/>
        </w:rPr>
      </w:pPr>
      <w:r>
        <w:rPr>
          <w:rFonts w:ascii="Arial" w:cs="Arial" w:eastAsia="Arial" w:hAnsi="Arial"/>
          <w:sz w:val="17"/>
          <w:szCs w:val="17"/>
          <w:color w:val="auto"/>
        </w:rPr>
        <w:t>Washington, D.C. 20549</w:t>
      </w:r>
    </w:p>
    <w:p>
      <w:pPr>
        <w:spacing w:after="0" w:line="188" w:lineRule="exact"/>
        <w:rPr>
          <w:sz w:val="24"/>
          <w:szCs w:val="24"/>
          <w:color w:val="auto"/>
        </w:rPr>
      </w:pPr>
    </w:p>
    <w:p>
      <w:pPr>
        <w:jc w:val="center"/>
        <w:ind w:right="-204"/>
        <w:spacing w:after="0"/>
        <w:rPr>
          <w:sz w:val="20"/>
          <w:szCs w:val="20"/>
          <w:color w:val="auto"/>
        </w:rPr>
      </w:pPr>
      <w:r>
        <w:rPr>
          <w:rFonts w:ascii="Arial" w:cs="Arial" w:eastAsia="Arial" w:hAnsi="Arial"/>
          <w:sz w:val="17"/>
          <w:szCs w:val="17"/>
          <w:color w:val="auto"/>
        </w:rPr>
        <w:t>SCHEDULE 14A</w:t>
      </w:r>
    </w:p>
    <w:p>
      <w:pPr>
        <w:spacing w:after="0" w:line="210" w:lineRule="exact"/>
        <w:rPr>
          <w:sz w:val="24"/>
          <w:szCs w:val="24"/>
          <w:color w:val="auto"/>
        </w:rPr>
      </w:pPr>
    </w:p>
    <w:p>
      <w:pPr>
        <w:jc w:val="center"/>
        <w:ind w:right="-204"/>
        <w:spacing w:after="0"/>
        <w:rPr>
          <w:sz w:val="20"/>
          <w:szCs w:val="20"/>
          <w:color w:val="auto"/>
        </w:rPr>
      </w:pPr>
      <w:r>
        <w:rPr>
          <w:rFonts w:ascii="Arial" w:cs="Arial" w:eastAsia="Arial" w:hAnsi="Arial"/>
          <w:sz w:val="17"/>
          <w:szCs w:val="17"/>
          <w:color w:val="auto"/>
        </w:rPr>
        <w:t>Proxy Statement Pursuant to Section 14(a) of the</w:t>
      </w:r>
    </w:p>
    <w:p>
      <w:pPr>
        <w:spacing w:after="0" w:line="29" w:lineRule="exact"/>
        <w:rPr>
          <w:sz w:val="24"/>
          <w:szCs w:val="24"/>
          <w:color w:val="auto"/>
        </w:rPr>
      </w:pPr>
    </w:p>
    <w:p>
      <w:pPr>
        <w:jc w:val="center"/>
        <w:ind w:right="-204"/>
        <w:spacing w:after="0"/>
        <w:rPr>
          <w:sz w:val="20"/>
          <w:szCs w:val="20"/>
          <w:color w:val="auto"/>
        </w:rPr>
      </w:pPr>
      <w:r>
        <w:rPr>
          <w:rFonts w:ascii="Arial" w:cs="Arial" w:eastAsia="Arial" w:hAnsi="Arial"/>
          <w:sz w:val="17"/>
          <w:szCs w:val="17"/>
          <w:color w:val="auto"/>
        </w:rPr>
        <w:t>Securities Exchange Act of 1934 (Amendment No. )</w:t>
      </w:r>
    </w:p>
    <w:p>
      <w:pPr>
        <w:spacing w:after="0" w:line="236" w:lineRule="exact"/>
        <w:rPr>
          <w:sz w:val="24"/>
          <w:szCs w:val="24"/>
          <w:color w:val="auto"/>
        </w:rPr>
      </w:pPr>
    </w:p>
    <w:p>
      <w:pPr>
        <w:ind w:left="5"/>
        <w:spacing w:after="0" w:line="207" w:lineRule="exact"/>
        <w:tabs>
          <w:tab w:leader="none" w:pos="7745"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4"/>
          <w:szCs w:val="14"/>
          <w:color w:val="auto"/>
        </w:rPr>
        <w:t xml:space="preserve"> Filed by the Registrant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4"/>
          <w:szCs w:val="14"/>
          <w:color w:val="auto"/>
        </w:rPr>
        <w:t>Filed by a Party other than the Registrant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ind w:left="5"/>
        <w:spacing w:after="0"/>
        <w:rPr>
          <w:sz w:val="20"/>
          <w:szCs w:val="20"/>
          <w:color w:val="auto"/>
        </w:rPr>
      </w:pPr>
      <w:r>
        <w:rPr>
          <w:rFonts w:ascii="Arial" w:cs="Arial" w:eastAsia="Arial" w:hAnsi="Arial"/>
          <w:sz w:val="14"/>
          <w:szCs w:val="14"/>
          <w:color w:val="auto"/>
        </w:rPr>
        <w:t>CHECK THE APPROPRIATE BOX:</w:t>
      </w:r>
    </w:p>
    <w:p>
      <w:pPr>
        <w:spacing w:after="0" w:line="69" w:lineRule="exact"/>
        <w:rPr>
          <w:sz w:val="24"/>
          <w:szCs w:val="24"/>
          <w:color w:val="auto"/>
        </w:rPr>
      </w:pPr>
    </w:p>
    <w:p>
      <w:pPr>
        <w:ind w:left="585" w:hanging="585"/>
        <w:spacing w:after="0"/>
        <w:tabs>
          <w:tab w:leader="none" w:pos="585"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Preliminary Proxy Statement</w:t>
      </w:r>
    </w:p>
    <w:p>
      <w:pPr>
        <w:spacing w:after="0" w:line="85" w:lineRule="exact"/>
        <w:rPr>
          <w:rFonts w:ascii="MS PGothic" w:cs="MS PGothic" w:eastAsia="MS PGothic" w:hAnsi="MS PGothic"/>
          <w:sz w:val="18"/>
          <w:szCs w:val="18"/>
          <w:color w:val="auto"/>
        </w:rPr>
      </w:pPr>
    </w:p>
    <w:p>
      <w:pPr>
        <w:ind w:left="585" w:hanging="585"/>
        <w:spacing w:after="0"/>
        <w:tabs>
          <w:tab w:leader="none" w:pos="585"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Confidential, For Use of the Commission Only (as permitted by Rule 14a-6(e)(2))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-305435</wp:posOffset>
            </wp:positionV>
            <wp:extent cx="7246620" cy="9779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977900"/>
                    </a:xfrm>
                    <a:prstGeom prst="rect">
                      <a:avLst/>
                    </a:prstGeom>
                    <a:noFill/>
                  </pic:spPr>
                </pic:pic>
              </a:graphicData>
            </a:graphic>
          </wp:anchor>
        </w:drawing>
      </w:r>
    </w:p>
    <w:p>
      <w:pPr>
        <w:spacing w:after="0" w:line="228" w:lineRule="exact"/>
        <w:rPr>
          <w:sz w:val="24"/>
          <w:szCs w:val="24"/>
          <w:color w:val="auto"/>
        </w:rPr>
      </w:pPr>
    </w:p>
    <w:p>
      <w:pPr>
        <w:ind w:left="585" w:hanging="585"/>
        <w:spacing w:after="0"/>
        <w:tabs>
          <w:tab w:leader="none" w:pos="585" w:val="left"/>
        </w:tabs>
        <w:numPr>
          <w:ilvl w:val="0"/>
          <w:numId w:val="2"/>
        </w:numPr>
        <w:rPr>
          <w:rFonts w:ascii="MS PGothic" w:cs="MS PGothic" w:eastAsia="MS PGothic" w:hAnsi="MS PGothic"/>
          <w:sz w:val="18"/>
          <w:szCs w:val="18"/>
          <w:color w:val="auto"/>
        </w:rPr>
      </w:pPr>
      <w:r>
        <w:rPr>
          <w:rFonts w:ascii="Arial" w:cs="Arial" w:eastAsia="Arial" w:hAnsi="Arial"/>
          <w:sz w:val="14"/>
          <w:szCs w:val="14"/>
          <w:color w:val="auto"/>
        </w:rPr>
        <w:t>Definitive Proxy Statement</w:t>
      </w:r>
    </w:p>
    <w:p>
      <w:pPr>
        <w:spacing w:after="0" w:line="99" w:lineRule="exact"/>
        <w:rPr>
          <w:sz w:val="24"/>
          <w:szCs w:val="24"/>
          <w:color w:val="auto"/>
        </w:rPr>
      </w:pPr>
    </w:p>
    <w:p>
      <w:pPr>
        <w:ind w:left="585" w:hanging="585"/>
        <w:spacing w:after="0"/>
        <w:tabs>
          <w:tab w:leader="none" w:pos="585" w:val="left"/>
        </w:tabs>
        <w:numPr>
          <w:ilvl w:val="0"/>
          <w:numId w:val="3"/>
        </w:numPr>
        <w:rPr>
          <w:rFonts w:ascii="MS PGothic" w:cs="MS PGothic" w:eastAsia="MS PGothic" w:hAnsi="MS PGothic"/>
          <w:sz w:val="18"/>
          <w:szCs w:val="18"/>
          <w:color w:val="auto"/>
        </w:rPr>
      </w:pPr>
      <w:r>
        <w:rPr>
          <w:rFonts w:ascii="Arial" w:cs="Arial" w:eastAsia="Arial" w:hAnsi="Arial"/>
          <w:sz w:val="14"/>
          <w:szCs w:val="14"/>
          <w:color w:val="auto"/>
        </w:rPr>
        <w:t>Definitive Additional Materials</w:t>
      </w:r>
    </w:p>
    <w:p>
      <w:pPr>
        <w:spacing w:after="0" w:line="85" w:lineRule="exact"/>
        <w:rPr>
          <w:rFonts w:ascii="MS PGothic" w:cs="MS PGothic" w:eastAsia="MS PGothic" w:hAnsi="MS PGothic"/>
          <w:sz w:val="18"/>
          <w:szCs w:val="18"/>
          <w:color w:val="auto"/>
        </w:rPr>
      </w:pPr>
    </w:p>
    <w:p>
      <w:pPr>
        <w:ind w:left="585" w:hanging="585"/>
        <w:spacing w:after="0"/>
        <w:tabs>
          <w:tab w:leader="none" w:pos="585" w:val="left"/>
        </w:tabs>
        <w:numPr>
          <w:ilvl w:val="0"/>
          <w:numId w:val="3"/>
        </w:numPr>
        <w:rPr>
          <w:rFonts w:ascii="MS PGothic" w:cs="MS PGothic" w:eastAsia="MS PGothic" w:hAnsi="MS PGothic"/>
          <w:sz w:val="18"/>
          <w:szCs w:val="18"/>
          <w:color w:val="auto"/>
        </w:rPr>
      </w:pPr>
      <w:r>
        <w:rPr>
          <w:rFonts w:ascii="Arial" w:cs="Arial" w:eastAsia="Arial" w:hAnsi="Arial"/>
          <w:sz w:val="14"/>
          <w:szCs w:val="14"/>
          <w:color w:val="auto"/>
        </w:rPr>
        <w:t>Soliciting Material Pursuant to Section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45720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2889885</wp:posOffset>
            </wp:positionH>
            <wp:positionV relativeFrom="paragraph">
              <wp:posOffset>191770</wp:posOffset>
            </wp:positionV>
            <wp:extent cx="1440815" cy="3257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0815" cy="3257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ind w:right="-204"/>
        <w:spacing w:after="0"/>
        <w:rPr>
          <w:sz w:val="20"/>
          <w:szCs w:val="20"/>
          <w:color w:val="auto"/>
        </w:rPr>
      </w:pPr>
      <w:r>
        <w:rPr>
          <w:rFonts w:ascii="Arial" w:cs="Arial" w:eastAsia="Arial" w:hAnsi="Arial"/>
          <w:sz w:val="22"/>
          <w:szCs w:val="22"/>
          <w:b w:val="1"/>
          <w:bCs w:val="1"/>
          <w:color w:val="auto"/>
        </w:rPr>
        <w:t>Lockheed Martin Corporation</w:t>
      </w:r>
    </w:p>
    <w:p>
      <w:pPr>
        <w:spacing w:after="0" w:line="270" w:lineRule="exact"/>
        <w:rPr>
          <w:sz w:val="24"/>
          <w:szCs w:val="24"/>
          <w:color w:val="auto"/>
        </w:rPr>
      </w:pPr>
    </w:p>
    <w:p>
      <w:pPr>
        <w:jc w:val="center"/>
        <w:ind w:right="-204"/>
        <w:spacing w:after="0"/>
        <w:rPr>
          <w:sz w:val="20"/>
          <w:szCs w:val="20"/>
          <w:color w:val="auto"/>
        </w:rPr>
      </w:pPr>
      <w:r>
        <w:rPr>
          <w:rFonts w:ascii="Arial" w:cs="Arial" w:eastAsia="Arial" w:hAnsi="Arial"/>
          <w:sz w:val="14"/>
          <w:szCs w:val="14"/>
          <w:color w:val="auto"/>
        </w:rPr>
        <w:t>(Name of Registrant as Specified In Its Charter)</w:t>
      </w:r>
    </w:p>
    <w:p>
      <w:pPr>
        <w:spacing w:after="0" w:line="19" w:lineRule="exact"/>
        <w:rPr>
          <w:sz w:val="24"/>
          <w:szCs w:val="24"/>
          <w:color w:val="auto"/>
        </w:rPr>
      </w:pPr>
    </w:p>
    <w:p>
      <w:pPr>
        <w:jc w:val="center"/>
        <w:ind w:right="-204"/>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253" w:lineRule="exact"/>
        <w:rPr>
          <w:sz w:val="24"/>
          <w:szCs w:val="24"/>
          <w:color w:val="auto"/>
        </w:rPr>
      </w:pPr>
    </w:p>
    <w:p>
      <w:pPr>
        <w:ind w:left="5"/>
        <w:spacing w:after="0"/>
        <w:rPr>
          <w:sz w:val="20"/>
          <w:szCs w:val="20"/>
          <w:color w:val="auto"/>
        </w:rPr>
      </w:pPr>
      <w:r>
        <w:rPr>
          <w:rFonts w:ascii="Arial" w:cs="Arial" w:eastAsia="Arial" w:hAnsi="Arial"/>
          <w:sz w:val="14"/>
          <w:szCs w:val="14"/>
          <w:color w:val="auto"/>
        </w:rPr>
        <w:t>PAYMENT OF FILING FEE (CHECK THE APPROPRIATE BOX):</w:t>
      </w:r>
    </w:p>
    <w:p>
      <w:pPr>
        <w:spacing w:after="0" w:line="69" w:lineRule="exact"/>
        <w:rPr>
          <w:sz w:val="24"/>
          <w:szCs w:val="24"/>
          <w:color w:val="auto"/>
        </w:rPr>
      </w:pPr>
    </w:p>
    <w:p>
      <w:pPr>
        <w:ind w:left="585" w:hanging="585"/>
        <w:spacing w:after="0"/>
        <w:tabs>
          <w:tab w:leader="none" w:pos="585" w:val="left"/>
        </w:tabs>
        <w:numPr>
          <w:ilvl w:val="0"/>
          <w:numId w:val="4"/>
        </w:numPr>
        <w:rPr>
          <w:rFonts w:ascii="MS PGothic" w:cs="MS PGothic" w:eastAsia="MS PGothic" w:hAnsi="MS PGothic"/>
          <w:sz w:val="18"/>
          <w:szCs w:val="18"/>
          <w:color w:val="auto"/>
        </w:rPr>
      </w:pPr>
      <w:r>
        <w:rPr>
          <w:rFonts w:ascii="Arial" w:cs="Arial" w:eastAsia="Arial" w:hAnsi="Arial"/>
          <w:sz w:val="14"/>
          <w:szCs w:val="14"/>
          <w:color w:val="auto"/>
        </w:rPr>
        <w:t>No fee required.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-133985</wp:posOffset>
            </wp:positionV>
            <wp:extent cx="7246620" cy="2392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392680"/>
                    </a:xfrm>
                    <a:prstGeom prst="rect">
                      <a:avLst/>
                    </a:prstGeom>
                    <a:noFill/>
                  </pic:spPr>
                </pic:pic>
              </a:graphicData>
            </a:graphic>
          </wp:anchor>
        </w:drawing>
      </w:r>
    </w:p>
    <w:p>
      <w:pPr>
        <w:spacing w:after="0" w:line="66" w:lineRule="exact"/>
        <w:rPr>
          <w:sz w:val="24"/>
          <w:szCs w:val="24"/>
          <w:color w:val="auto"/>
        </w:rPr>
      </w:pPr>
    </w:p>
    <w:p>
      <w:pPr>
        <w:ind w:left="585" w:hanging="585"/>
        <w:spacing w:after="0"/>
        <w:tabs>
          <w:tab w:leader="none" w:pos="585" w:val="left"/>
        </w:tabs>
        <w:numPr>
          <w:ilvl w:val="0"/>
          <w:numId w:val="5"/>
        </w:numPr>
        <w:rPr>
          <w:rFonts w:ascii="MS PGothic" w:cs="MS PGothic" w:eastAsia="MS PGothic" w:hAnsi="MS PGothic"/>
          <w:sz w:val="18"/>
          <w:szCs w:val="18"/>
          <w:color w:val="auto"/>
        </w:rPr>
      </w:pPr>
      <w:r>
        <w:rPr>
          <w:rFonts w:ascii="Arial" w:cs="Arial" w:eastAsia="Arial" w:hAnsi="Arial"/>
          <w:sz w:val="14"/>
          <w:szCs w:val="14"/>
          <w:color w:val="auto"/>
        </w:rPr>
        <w:t>Fee computed on table below per Exchange Act Rules 14a-6(i)(1) and 0-11.</w:t>
      </w:r>
    </w:p>
    <w:p>
      <w:pPr>
        <w:spacing w:after="0" w:line="85" w:lineRule="exact"/>
        <w:rPr>
          <w:rFonts w:ascii="MS PGothic" w:cs="MS PGothic" w:eastAsia="MS PGothic" w:hAnsi="MS PGothic"/>
          <w:sz w:val="18"/>
          <w:szCs w:val="18"/>
          <w:color w:val="auto"/>
        </w:rPr>
      </w:pPr>
    </w:p>
    <w:p>
      <w:pPr>
        <w:ind w:left="1085" w:hanging="167"/>
        <w:spacing w:after="0"/>
        <w:tabs>
          <w:tab w:leader="none" w:pos="1085" w:val="left"/>
        </w:tabs>
        <w:numPr>
          <w:ilvl w:val="1"/>
          <w:numId w:val="5"/>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spacing w:after="0" w:line="109" w:lineRule="exact"/>
        <w:rPr>
          <w:rFonts w:ascii="Arial" w:cs="Arial" w:eastAsia="Arial" w:hAnsi="Arial"/>
          <w:sz w:val="14"/>
          <w:szCs w:val="14"/>
          <w:color w:val="auto"/>
        </w:rPr>
      </w:pPr>
    </w:p>
    <w:p>
      <w:pPr>
        <w:ind w:left="1085" w:hanging="167"/>
        <w:spacing w:after="0"/>
        <w:tabs>
          <w:tab w:leader="none" w:pos="1085" w:val="left"/>
        </w:tabs>
        <w:numPr>
          <w:ilvl w:val="1"/>
          <w:numId w:val="5"/>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spacing w:after="0" w:line="109" w:lineRule="exact"/>
        <w:rPr>
          <w:rFonts w:ascii="Arial" w:cs="Arial" w:eastAsia="Arial" w:hAnsi="Arial"/>
          <w:sz w:val="14"/>
          <w:szCs w:val="14"/>
          <w:color w:val="auto"/>
        </w:rPr>
      </w:pPr>
    </w:p>
    <w:p>
      <w:pPr>
        <w:ind w:left="925" w:right="40" w:hanging="7"/>
        <w:spacing w:after="0" w:line="281" w:lineRule="auto"/>
        <w:tabs>
          <w:tab w:leader="none" w:pos="1093" w:val="left"/>
        </w:tabs>
        <w:numPr>
          <w:ilvl w:val="1"/>
          <w:numId w:val="5"/>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spacing w:after="0" w:line="1" w:lineRule="exact"/>
        <w:rPr>
          <w:rFonts w:ascii="Arial" w:cs="Arial" w:eastAsia="Arial" w:hAnsi="Arial"/>
          <w:sz w:val="14"/>
          <w:szCs w:val="14"/>
          <w:color w:val="auto"/>
        </w:rPr>
      </w:pPr>
    </w:p>
    <w:p>
      <w:pPr>
        <w:ind w:left="1085" w:hanging="167"/>
        <w:spacing w:after="0"/>
        <w:tabs>
          <w:tab w:leader="none" w:pos="1085" w:val="left"/>
        </w:tabs>
        <w:numPr>
          <w:ilvl w:val="1"/>
          <w:numId w:val="5"/>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spacing w:after="0" w:line="109" w:lineRule="exact"/>
        <w:rPr>
          <w:rFonts w:ascii="Arial" w:cs="Arial" w:eastAsia="Arial" w:hAnsi="Arial"/>
          <w:sz w:val="14"/>
          <w:szCs w:val="14"/>
          <w:color w:val="auto"/>
        </w:rPr>
      </w:pPr>
    </w:p>
    <w:p>
      <w:pPr>
        <w:ind w:left="1085" w:hanging="167"/>
        <w:spacing w:after="0"/>
        <w:tabs>
          <w:tab w:leader="none" w:pos="1085" w:val="left"/>
        </w:tabs>
        <w:numPr>
          <w:ilvl w:val="1"/>
          <w:numId w:val="5"/>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122" w:lineRule="exact"/>
        <w:rPr>
          <w:rFonts w:ascii="Arial" w:cs="Arial" w:eastAsia="Arial" w:hAnsi="Arial"/>
          <w:sz w:val="14"/>
          <w:szCs w:val="14"/>
          <w:color w:val="auto"/>
        </w:rPr>
      </w:pPr>
    </w:p>
    <w:p>
      <w:pPr>
        <w:ind w:left="585" w:hanging="585"/>
        <w:spacing w:after="0"/>
        <w:tabs>
          <w:tab w:leader="none" w:pos="585" w:val="left"/>
        </w:tabs>
        <w:numPr>
          <w:ilvl w:val="0"/>
          <w:numId w:val="5"/>
        </w:numPr>
        <w:rPr>
          <w:rFonts w:ascii="MS PGothic" w:cs="MS PGothic" w:eastAsia="MS PGothic" w:hAnsi="MS PGothic"/>
          <w:sz w:val="18"/>
          <w:szCs w:val="18"/>
          <w:color w:val="auto"/>
        </w:rPr>
      </w:pPr>
      <w:r>
        <w:rPr>
          <w:rFonts w:ascii="Arial" w:cs="Arial" w:eastAsia="Arial" w:hAnsi="Arial"/>
          <w:sz w:val="14"/>
          <w:szCs w:val="14"/>
          <w:color w:val="auto"/>
        </w:rPr>
        <w:t>Fee paid previously with preliminary materials.</w:t>
      </w:r>
    </w:p>
    <w:p>
      <w:pPr>
        <w:spacing w:after="0" w:line="99" w:lineRule="exact"/>
        <w:rPr>
          <w:rFonts w:ascii="MS PGothic" w:cs="MS PGothic" w:eastAsia="MS PGothic" w:hAnsi="MS PGothic"/>
          <w:sz w:val="18"/>
          <w:szCs w:val="18"/>
          <w:color w:val="auto"/>
        </w:rPr>
      </w:pPr>
    </w:p>
    <w:p>
      <w:pPr>
        <w:ind w:left="585" w:hanging="585"/>
        <w:spacing w:after="0" w:line="256" w:lineRule="auto"/>
        <w:tabs>
          <w:tab w:leader="none" w:pos="585" w:val="left"/>
        </w:tabs>
        <w:numPr>
          <w:ilvl w:val="0"/>
          <w:numId w:val="5"/>
        </w:numPr>
        <w:rPr>
          <w:rFonts w:ascii="MS PGothic" w:cs="MS PGothic" w:eastAsia="MS PGothic" w:hAnsi="MS PGothic"/>
          <w:sz w:val="18"/>
          <w:szCs w:val="18"/>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9" w:lineRule="exact"/>
        <w:rPr>
          <w:rFonts w:ascii="MS PGothic" w:cs="MS PGothic" w:eastAsia="MS PGothic" w:hAnsi="MS PGothic"/>
          <w:sz w:val="18"/>
          <w:szCs w:val="18"/>
          <w:color w:val="auto"/>
        </w:rPr>
      </w:pPr>
    </w:p>
    <w:p>
      <w:pPr>
        <w:ind w:left="1085" w:hanging="167"/>
        <w:spacing w:after="0"/>
        <w:tabs>
          <w:tab w:leader="none" w:pos="1085" w:val="left"/>
        </w:tabs>
        <w:numPr>
          <w:ilvl w:val="1"/>
          <w:numId w:val="5"/>
        </w:numPr>
        <w:rPr>
          <w:rFonts w:ascii="Arial" w:cs="Arial" w:eastAsia="Arial" w:hAnsi="Arial"/>
          <w:sz w:val="14"/>
          <w:szCs w:val="14"/>
          <w:color w:val="auto"/>
        </w:rPr>
      </w:pPr>
      <w:r>
        <w:rPr>
          <w:rFonts w:ascii="Arial" w:cs="Arial" w:eastAsia="Arial" w:hAnsi="Arial"/>
          <w:sz w:val="14"/>
          <w:szCs w:val="14"/>
          <w:color w:val="auto"/>
        </w:rPr>
        <w:t>Amount previously paid:</w:t>
      </w:r>
    </w:p>
    <w:p>
      <w:pPr>
        <w:spacing w:after="0" w:line="109" w:lineRule="exact"/>
        <w:rPr>
          <w:rFonts w:ascii="Arial" w:cs="Arial" w:eastAsia="Arial" w:hAnsi="Arial"/>
          <w:sz w:val="14"/>
          <w:szCs w:val="14"/>
          <w:color w:val="auto"/>
        </w:rPr>
      </w:pPr>
    </w:p>
    <w:p>
      <w:pPr>
        <w:ind w:left="1085" w:hanging="167"/>
        <w:spacing w:after="0"/>
        <w:tabs>
          <w:tab w:leader="none" w:pos="1085" w:val="left"/>
        </w:tabs>
        <w:numPr>
          <w:ilvl w:val="1"/>
          <w:numId w:val="5"/>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spacing w:after="0" w:line="109" w:lineRule="exact"/>
        <w:rPr>
          <w:rFonts w:ascii="Arial" w:cs="Arial" w:eastAsia="Arial" w:hAnsi="Arial"/>
          <w:sz w:val="14"/>
          <w:szCs w:val="14"/>
          <w:color w:val="auto"/>
        </w:rPr>
      </w:pPr>
    </w:p>
    <w:p>
      <w:pPr>
        <w:ind w:left="1085" w:hanging="167"/>
        <w:spacing w:after="0"/>
        <w:tabs>
          <w:tab w:leader="none" w:pos="1085" w:val="left"/>
        </w:tabs>
        <w:numPr>
          <w:ilvl w:val="1"/>
          <w:numId w:val="5"/>
        </w:numPr>
        <w:rPr>
          <w:rFonts w:ascii="Arial" w:cs="Arial" w:eastAsia="Arial" w:hAnsi="Arial"/>
          <w:sz w:val="14"/>
          <w:szCs w:val="14"/>
          <w:color w:val="auto"/>
        </w:rPr>
      </w:pPr>
      <w:r>
        <w:rPr>
          <w:rFonts w:ascii="Arial" w:cs="Arial" w:eastAsia="Arial" w:hAnsi="Arial"/>
          <w:sz w:val="14"/>
          <w:szCs w:val="14"/>
          <w:color w:val="auto"/>
        </w:rPr>
        <w:t>Filing Party:</w:t>
      </w:r>
    </w:p>
    <w:p>
      <w:pPr>
        <w:spacing w:after="0" w:line="109" w:lineRule="exact"/>
        <w:rPr>
          <w:rFonts w:ascii="Arial" w:cs="Arial" w:eastAsia="Arial" w:hAnsi="Arial"/>
          <w:sz w:val="14"/>
          <w:szCs w:val="14"/>
          <w:color w:val="auto"/>
        </w:rPr>
      </w:pPr>
    </w:p>
    <w:p>
      <w:pPr>
        <w:ind w:left="1085" w:hanging="167"/>
        <w:spacing w:after="0"/>
        <w:tabs>
          <w:tab w:leader="none" w:pos="1085" w:val="left"/>
        </w:tabs>
        <w:numPr>
          <w:ilvl w:val="1"/>
          <w:numId w:val="5"/>
        </w:numPr>
        <w:rPr>
          <w:rFonts w:ascii="Arial" w:cs="Arial" w:eastAsia="Arial" w:hAnsi="Arial"/>
          <w:sz w:val="14"/>
          <w:szCs w:val="14"/>
          <w:color w:val="auto"/>
        </w:rPr>
      </w:pPr>
      <w:r>
        <w:rPr>
          <w:rFonts w:ascii="Arial" w:cs="Arial" w:eastAsia="Arial" w:hAnsi="Arial"/>
          <w:sz w:val="14"/>
          <w:szCs w:val="14"/>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60325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45"/>
          </w:cols>
          <w:pgMar w:left="275" w:top="219" w:right="47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311785</wp:posOffset>
            </wp:positionV>
            <wp:extent cx="6791960" cy="8849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6791960" cy="8849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2298065" cy="4889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2298065" cy="488950"/>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color w:val="auto"/>
        </w:rPr>
        <w:t>March 15, 2019</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color w:val="505E83"/>
        </w:rPr>
        <w:t>Dear Fellow Stockholders:</w:t>
      </w:r>
    </w:p>
    <w:p>
      <w:pPr>
        <w:spacing w:after="0" w:line="238" w:lineRule="exact"/>
        <w:rPr>
          <w:sz w:val="20"/>
          <w:szCs w:val="20"/>
          <w:color w:val="auto"/>
        </w:rPr>
      </w:pPr>
    </w:p>
    <w:p>
      <w:pPr>
        <w:jc w:val="both"/>
        <w:ind w:right="620"/>
        <w:spacing w:after="0" w:line="291" w:lineRule="auto"/>
        <w:rPr>
          <w:sz w:val="20"/>
          <w:szCs w:val="20"/>
          <w:color w:val="auto"/>
        </w:rPr>
      </w:pPr>
      <w:r>
        <w:rPr>
          <w:rFonts w:ascii="Arial" w:cs="Arial" w:eastAsia="Arial" w:hAnsi="Arial"/>
          <w:sz w:val="16"/>
          <w:szCs w:val="16"/>
          <w:color w:val="auto"/>
        </w:rPr>
        <w:t>You are cordially invited to attend Lockheed Martin’s 2019 Annual Meeting of Stockholders on Thursday, April 25, 2019, at 8:00 a.m. EDT.</w:t>
      </w:r>
    </w:p>
    <w:p>
      <w:pPr>
        <w:spacing w:after="0" w:line="148" w:lineRule="exact"/>
        <w:rPr>
          <w:sz w:val="20"/>
          <w:szCs w:val="20"/>
          <w:color w:val="auto"/>
        </w:rPr>
      </w:pPr>
    </w:p>
    <w:p>
      <w:pPr>
        <w:jc w:val="both"/>
        <w:ind w:right="640"/>
        <w:spacing w:after="0" w:line="269" w:lineRule="auto"/>
        <w:rPr>
          <w:sz w:val="20"/>
          <w:szCs w:val="20"/>
          <w:color w:val="auto"/>
        </w:rPr>
      </w:pPr>
      <w:r>
        <w:rPr>
          <w:rFonts w:ascii="Arial" w:cs="Arial" w:eastAsia="Arial" w:hAnsi="Arial"/>
          <w:sz w:val="16"/>
          <w:szCs w:val="16"/>
          <w:color w:val="auto"/>
        </w:rPr>
        <w:t>Below are some highlights about our financial performance, key actions, and important decisions in 2018. For more information, please review this Proxy Statement and the enclosed 2018 Annual Report.</w:t>
      </w:r>
    </w:p>
    <w:p>
      <w:pPr>
        <w:spacing w:after="0" w:line="165"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Lockheed Martin achieved outstanding financial results in 2018. Our annual net sales of $53.8 billion were eight percent higher than last year and the highest sales in our corporation's history. Our earnings per share of $17.59 in 2018 were also an increase over 2017. We set a record for orders of $79 billion and ended the year with a record backlog of $130.5 billion. Also, in 2018, we generated $3.1 billion in cash from operations (after making $5.0 billion of annual pension contributions) and returned $3.8 billion in cash to stockholders through dividends and share repurchases. These impressive results, along with our operational accomplishments and new business awards, demonstrate the strength of our broad portfolio and the consistency of our performance across the corporation.</w:t>
      </w:r>
    </w:p>
    <w:p>
      <w:pPr>
        <w:spacing w:after="0" w:line="183"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In 2018, we built upon our solid foundation and expanded our existing portfolio to profitably grow our business and create value for our stockholders, customers, and employees. We led our industry in mission focus and performance. And we attracted and retained the best talent in our industry and offered them opportunities to grow.</w:t>
      </w:r>
    </w:p>
    <w:p>
      <w:pPr>
        <w:spacing w:after="0" w:line="172" w:lineRule="exact"/>
        <w:rPr>
          <w:sz w:val="20"/>
          <w:szCs w:val="20"/>
          <w:color w:val="auto"/>
        </w:rPr>
      </w:pPr>
    </w:p>
    <w:p>
      <w:pPr>
        <w:ind w:right="160"/>
        <w:spacing w:after="0" w:line="255" w:lineRule="auto"/>
        <w:rPr>
          <w:sz w:val="20"/>
          <w:szCs w:val="20"/>
          <w:color w:val="auto"/>
        </w:rPr>
      </w:pPr>
      <w:r>
        <w:rPr>
          <w:rFonts w:ascii="Arial" w:cs="Arial" w:eastAsia="Arial" w:hAnsi="Arial"/>
          <w:sz w:val="16"/>
          <w:szCs w:val="16"/>
          <w:color w:val="auto"/>
        </w:rPr>
        <w:t>As we work to maintain our performance and growth, we continue to strengthen our leadership and accountability. We tie our executive pay programs to performance through a mix of short- and long-term incentives that align with our stockholders' interests. Our executive compensation programs are intended to promote decision-making that supports a pay-for-performance philosophy while mitigating risk for the corporation.</w:t>
      </w:r>
    </w:p>
    <w:p>
      <w:pPr>
        <w:spacing w:after="0" w:line="178" w:lineRule="exact"/>
        <w:rPr>
          <w:sz w:val="20"/>
          <w:szCs w:val="20"/>
          <w:color w:val="auto"/>
        </w:rPr>
      </w:pPr>
    </w:p>
    <w:p>
      <w:pPr>
        <w:ind w:right="160"/>
        <w:spacing w:after="0" w:line="255" w:lineRule="auto"/>
        <w:rPr>
          <w:sz w:val="20"/>
          <w:szCs w:val="20"/>
          <w:color w:val="auto"/>
        </w:rPr>
      </w:pPr>
      <w:r>
        <w:rPr>
          <w:rFonts w:ascii="Arial" w:cs="Arial" w:eastAsia="Arial" w:hAnsi="Arial"/>
          <w:sz w:val="16"/>
          <w:szCs w:val="16"/>
          <w:color w:val="auto"/>
        </w:rPr>
        <w:t>Over the past five years, we also added six new independent directors. Most recently, Vicki Hollub joined the Lockheed Martin Board in July 2018. Prior to last year's Annual Meeting, Jeh Johnson and James Taiclet joined the Board in January 2018. We are committed to recruiting experienced directors who offer diverse perspectives, professional expertise, and unique skills that align to our long-term corporate strategy and business needs.</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We are deeply grateful to Nolan Archibald and Joseph Ralston who will retire from the Board at the 2019 Annual Meeting. Nolan has served as our Lead Director since 2015, and both he and Joe have made many valuable contributions to the Board. Our independent directors elected Daniel Akerson to serve as the new independent Lead Director following the Annual Meeting. Dan is a proven leader who will provide continued independent leadership to the Board.</w:t>
      </w:r>
    </w:p>
    <w:p>
      <w:pPr>
        <w:spacing w:after="0" w:line="178"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On behalf of the entire Board, I want to thank you for your continued investment in Lockheed Martin. Even if you plan on attending the Annual Meeting in person, we urge you to cast your vote promptly in accordance with the Board of Directors’ recommendations. Lockheed Martin has a bright future ahead—and we look forward to continuing to deliver to our customers and our stockholders through strong performance, innovation, and growth for decades to come.</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116840</wp:posOffset>
            </wp:positionV>
            <wp:extent cx="1758315" cy="4114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58315" cy="4114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color w:val="012E6C"/>
        </w:rPr>
        <w:t>Marillyn A. Hewson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-2772410</wp:posOffset>
            </wp:positionV>
            <wp:extent cx="1792605" cy="22383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92605" cy="223837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Chairman, President and</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w:t>
      </w:r>
    </w:p>
    <w:p>
      <w:pPr>
        <w:spacing w:after="0" w:line="6430" w:lineRule="exact"/>
        <w:rPr>
          <w:sz w:val="20"/>
          <w:szCs w:val="20"/>
          <w:color w:val="auto"/>
        </w:rPr>
      </w:pPr>
    </w:p>
    <w:p>
      <w:pPr>
        <w:sectPr>
          <w:pgSz w:w="11900" w:h="16838" w:orient="portrait"/>
          <w:cols w:equalWidth="0" w:num="2">
            <w:col w:w="6120" w:space="400"/>
            <w:col w:w="4840"/>
          </w:cols>
          <w:pgMar w:left="280" w:top="1440"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9380" w:val="left"/>
          <w:tab w:leader="none" w:pos="1126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2019 Proxy Statement</w:t>
      </w:r>
      <w:r>
        <w:rPr>
          <w:sz w:val="20"/>
          <w:szCs w:val="20"/>
          <w:color w:val="auto"/>
        </w:rPr>
        <w:tab/>
      </w:r>
      <w:r>
        <w:rPr>
          <w:rFonts w:ascii="Arial" w:cs="Arial" w:eastAsia="Arial" w:hAnsi="Arial"/>
          <w:sz w:val="14"/>
          <w:szCs w:val="14"/>
          <w:b w:val="1"/>
          <w:bCs w:val="1"/>
          <w:color w:val="808080"/>
        </w:rPr>
        <w:t>1</w:t>
      </w:r>
    </w:p>
    <w:p>
      <w:pPr>
        <w:sectPr>
          <w:pgSz w:w="11900" w:h="16838" w:orient="portrait"/>
          <w:cols w:equalWidth="0" w:num="1">
            <w:col w:w="11360"/>
          </w:cols>
          <w:pgMar w:left="280" w:top="1440" w:right="259" w:bottom="1440" w:gutter="0" w:footer="0" w:header="0"/>
          <w:type w:val="continuous"/>
        </w:sectPr>
      </w:pPr>
    </w:p>
    <w:bookmarkStart w:id="4" w:name="page5"/>
    <w:bookmarkEnd w:id="4"/>
    <w:p>
      <w:pPr>
        <w:spacing w:after="0"/>
        <w:rPr>
          <w:sz w:val="20"/>
          <w:szCs w:val="20"/>
          <w:color w:val="auto"/>
        </w:rPr>
      </w:pPr>
      <w:r>
        <w:rPr>
          <w:rFonts w:ascii="Arial" w:cs="Arial" w:eastAsia="Arial" w:hAnsi="Arial"/>
          <w:sz w:val="43"/>
          <w:szCs w:val="43"/>
          <w:color w:val="012E6C"/>
        </w:rPr>
        <w:t>Notice of 2019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330200</wp:posOffset>
            </wp:positionV>
            <wp:extent cx="310451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04515" cy="171450"/>
                    </a:xfrm>
                    <a:prstGeom prst="rect">
                      <a:avLst/>
                    </a:prstGeom>
                    <a:noFill/>
                  </pic:spPr>
                </pic:pic>
              </a:graphicData>
            </a:graphic>
          </wp:anchor>
        </w:drawing>
      </w:r>
    </w:p>
    <w:p>
      <w:pPr>
        <w:sectPr>
          <w:pgSz w:w="11900" w:h="16838" w:orient="portrait"/>
          <w:cols w:equalWidth="0" w:num="1">
            <w:col w:w="11280"/>
          </w:cols>
          <w:pgMar w:left="240" w:top="77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20" w:type="dxa"/>
            <w:vAlign w:val="bottom"/>
            <w:tcBorders>
              <w:bottom w:val="single" w:sz="8" w:color="959595"/>
            </w:tcBorders>
          </w:tcPr>
          <w:p>
            <w:pPr>
              <w:spacing w:after="0"/>
              <w:rPr>
                <w:sz w:val="15"/>
                <w:szCs w:val="15"/>
                <w:color w:val="auto"/>
              </w:rPr>
            </w:pPr>
          </w:p>
        </w:tc>
        <w:tc>
          <w:tcPr>
            <w:tcW w:w="3320" w:type="dxa"/>
            <w:vAlign w:val="bottom"/>
            <w:tcBorders>
              <w:bottom w:val="single" w:sz="8" w:color="959595"/>
            </w:tcBorders>
          </w:tcPr>
          <w:p>
            <w:pPr>
              <w:ind w:left="20"/>
              <w:spacing w:after="0"/>
              <w:rPr>
                <w:sz w:val="20"/>
                <w:szCs w:val="20"/>
                <w:color w:val="auto"/>
              </w:rPr>
            </w:pPr>
            <w:r>
              <w:rPr>
                <w:rFonts w:ascii="Arial" w:cs="Arial" w:eastAsia="Arial" w:hAnsi="Arial"/>
                <w:sz w:val="13"/>
                <w:szCs w:val="13"/>
                <w:color w:val="auto"/>
              </w:rPr>
              <w:t>Agenda</w:t>
            </w:r>
          </w:p>
        </w:tc>
        <w:tc>
          <w:tcPr>
            <w:tcW w:w="2060" w:type="dxa"/>
            <w:vAlign w:val="bottom"/>
            <w:tcBorders>
              <w:bottom w:val="single" w:sz="8" w:color="959595"/>
            </w:tcBorders>
          </w:tcPr>
          <w:p>
            <w:pPr>
              <w:ind w:left="20"/>
              <w:spacing w:after="0"/>
              <w:rPr>
                <w:sz w:val="20"/>
                <w:szCs w:val="20"/>
                <w:color w:val="auto"/>
              </w:rPr>
            </w:pPr>
            <w:r>
              <w:rPr>
                <w:rFonts w:ascii="Arial" w:cs="Arial" w:eastAsia="Arial" w:hAnsi="Arial"/>
                <w:sz w:val="13"/>
                <w:szCs w:val="13"/>
                <w:color w:val="auto"/>
              </w:rPr>
              <w:t>Board Recommendation</w:t>
            </w:r>
          </w:p>
        </w:tc>
        <w:tc>
          <w:tcPr>
            <w:tcW w:w="0" w:type="dxa"/>
            <w:vAlign w:val="bottom"/>
          </w:tcPr>
          <w:p>
            <w:pPr>
              <w:spacing w:after="0"/>
              <w:rPr>
                <w:sz w:val="1"/>
                <w:szCs w:val="1"/>
                <w:color w:val="auto"/>
              </w:rPr>
            </w:pPr>
          </w:p>
        </w:tc>
      </w:tr>
      <w:tr>
        <w:trPr>
          <w:trHeight w:val="188"/>
        </w:trPr>
        <w:tc>
          <w:tcPr>
            <w:tcW w:w="820" w:type="dxa"/>
            <w:vAlign w:val="bottom"/>
            <w:vMerge w:val="restart"/>
          </w:tcPr>
          <w:p>
            <w:pPr>
              <w:ind w:left="40"/>
              <w:spacing w:after="0"/>
              <w:rPr>
                <w:sz w:val="20"/>
                <w:szCs w:val="20"/>
                <w:color w:val="auto"/>
              </w:rPr>
            </w:pPr>
            <w:r>
              <w:rPr>
                <w:rFonts w:ascii="Arial" w:cs="Arial" w:eastAsia="Arial" w:hAnsi="Arial"/>
                <w:sz w:val="17"/>
                <w:szCs w:val="17"/>
                <w:color w:val="012E6C"/>
              </w:rPr>
              <w:t>Item 1</w:t>
            </w:r>
          </w:p>
        </w:tc>
        <w:tc>
          <w:tcPr>
            <w:tcW w:w="3320" w:type="dxa"/>
            <w:vAlign w:val="bottom"/>
          </w:tcPr>
          <w:p>
            <w:pPr>
              <w:ind w:left="20"/>
              <w:spacing w:after="0" w:line="188" w:lineRule="exact"/>
              <w:rPr>
                <w:sz w:val="20"/>
                <w:szCs w:val="20"/>
                <w:color w:val="auto"/>
              </w:rPr>
            </w:pPr>
            <w:r>
              <w:rPr>
                <w:rFonts w:ascii="Arial" w:cs="Arial" w:eastAsia="Arial" w:hAnsi="Arial"/>
                <w:sz w:val="17"/>
                <w:szCs w:val="17"/>
                <w:color w:val="auto"/>
              </w:rPr>
              <w:t>Election of 10 directors</w:t>
            </w:r>
          </w:p>
        </w:tc>
        <w:tc>
          <w:tcPr>
            <w:tcW w:w="2060" w:type="dxa"/>
            <w:vAlign w:val="bottom"/>
          </w:tcPr>
          <w:p>
            <w:pPr>
              <w:ind w:left="20"/>
              <w:spacing w:after="0" w:line="188" w:lineRule="exact"/>
              <w:rPr>
                <w:sz w:val="20"/>
                <w:szCs w:val="20"/>
                <w:color w:val="auto"/>
              </w:rPr>
            </w:pPr>
            <w:r>
              <w:rPr>
                <w:rFonts w:ascii="Arial" w:cs="Arial" w:eastAsia="Arial" w:hAnsi="Arial"/>
                <w:sz w:val="17"/>
                <w:szCs w:val="17"/>
                <w:color w:val="012E6C"/>
              </w:rPr>
              <w:t>FOR</w:t>
            </w:r>
          </w:p>
        </w:tc>
        <w:tc>
          <w:tcPr>
            <w:tcW w:w="0" w:type="dxa"/>
            <w:vAlign w:val="bottom"/>
          </w:tcPr>
          <w:p>
            <w:pPr>
              <w:spacing w:after="0"/>
              <w:rPr>
                <w:sz w:val="1"/>
                <w:szCs w:val="1"/>
                <w:color w:val="auto"/>
              </w:rPr>
            </w:pPr>
          </w:p>
        </w:tc>
      </w:tr>
      <w:tr>
        <w:trPr>
          <w:trHeight w:val="150"/>
        </w:trPr>
        <w:tc>
          <w:tcPr>
            <w:tcW w:w="820" w:type="dxa"/>
            <w:vAlign w:val="bottom"/>
            <w:vMerge w:val="continue"/>
          </w:tcPr>
          <w:p>
            <w:pPr>
              <w:spacing w:after="0"/>
              <w:rPr>
                <w:sz w:val="13"/>
                <w:szCs w:val="13"/>
                <w:color w:val="auto"/>
              </w:rPr>
            </w:pPr>
          </w:p>
        </w:tc>
        <w:tc>
          <w:tcPr>
            <w:tcW w:w="3320" w:type="dxa"/>
            <w:vAlign w:val="bottom"/>
          </w:tcPr>
          <w:p>
            <w:pPr>
              <w:spacing w:after="0"/>
              <w:rPr>
                <w:sz w:val="13"/>
                <w:szCs w:val="13"/>
                <w:color w:val="auto"/>
              </w:rPr>
            </w:pPr>
          </w:p>
        </w:tc>
        <w:tc>
          <w:tcPr>
            <w:tcW w:w="2060" w:type="dxa"/>
            <w:vAlign w:val="bottom"/>
            <w:vMerge w:val="restart"/>
          </w:tcPr>
          <w:p>
            <w:pPr>
              <w:ind w:left="20"/>
              <w:spacing w:after="0" w:line="189" w:lineRule="exact"/>
              <w:rPr>
                <w:sz w:val="20"/>
                <w:szCs w:val="20"/>
                <w:color w:val="auto"/>
              </w:rPr>
            </w:pPr>
            <w:r>
              <w:rPr>
                <w:rFonts w:ascii="Arial" w:cs="Arial" w:eastAsia="Arial" w:hAnsi="Arial"/>
                <w:sz w:val="17"/>
                <w:szCs w:val="17"/>
                <w:color w:val="auto"/>
              </w:rPr>
              <w:t>each of the director-</w:t>
            </w:r>
          </w:p>
        </w:tc>
        <w:tc>
          <w:tcPr>
            <w:tcW w:w="0" w:type="dxa"/>
            <w:vAlign w:val="bottom"/>
          </w:tcPr>
          <w:p>
            <w:pPr>
              <w:spacing w:after="0"/>
              <w:rPr>
                <w:sz w:val="1"/>
                <w:szCs w:val="1"/>
                <w:color w:val="auto"/>
              </w:rPr>
            </w:pPr>
          </w:p>
        </w:tc>
      </w:tr>
      <w:tr>
        <w:trPr>
          <w:trHeight w:val="39"/>
        </w:trPr>
        <w:tc>
          <w:tcPr>
            <w:tcW w:w="820" w:type="dxa"/>
            <w:vAlign w:val="bottom"/>
          </w:tcPr>
          <w:p>
            <w:pPr>
              <w:spacing w:after="0"/>
              <w:rPr>
                <w:sz w:val="3"/>
                <w:szCs w:val="3"/>
                <w:color w:val="auto"/>
              </w:rPr>
            </w:pPr>
          </w:p>
        </w:tc>
        <w:tc>
          <w:tcPr>
            <w:tcW w:w="3320" w:type="dxa"/>
            <w:vAlign w:val="bottom"/>
          </w:tcPr>
          <w:p>
            <w:pPr>
              <w:spacing w:after="0"/>
              <w:rPr>
                <w:sz w:val="3"/>
                <w:szCs w:val="3"/>
                <w:color w:val="auto"/>
              </w:rPr>
            </w:pPr>
          </w:p>
        </w:tc>
        <w:tc>
          <w:tcPr>
            <w:tcW w:w="20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8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060" w:type="dxa"/>
            <w:vAlign w:val="bottom"/>
          </w:tcPr>
          <w:p>
            <w:pPr>
              <w:ind w:left="20"/>
              <w:spacing w:after="0"/>
              <w:rPr>
                <w:sz w:val="20"/>
                <w:szCs w:val="20"/>
                <w:color w:val="auto"/>
              </w:rPr>
            </w:pPr>
            <w:r>
              <w:rPr>
                <w:rFonts w:ascii="Arial" w:cs="Arial" w:eastAsia="Arial" w:hAnsi="Arial"/>
                <w:sz w:val="17"/>
                <w:szCs w:val="17"/>
                <w:color w:val="auto"/>
              </w:rPr>
              <w:t>nominees</w:t>
            </w:r>
          </w:p>
        </w:tc>
        <w:tc>
          <w:tcPr>
            <w:tcW w:w="0" w:type="dxa"/>
            <w:vAlign w:val="bottom"/>
          </w:tcPr>
          <w:p>
            <w:pPr>
              <w:spacing w:after="0"/>
              <w:rPr>
                <w:sz w:val="1"/>
                <w:szCs w:val="1"/>
                <w:color w:val="auto"/>
              </w:rPr>
            </w:pPr>
          </w:p>
        </w:tc>
      </w:tr>
      <w:tr>
        <w:trPr>
          <w:trHeight w:val="203"/>
        </w:trPr>
        <w:tc>
          <w:tcPr>
            <w:tcW w:w="820" w:type="dxa"/>
            <w:vAlign w:val="bottom"/>
            <w:tcBorders>
              <w:bottom w:val="single" w:sz="8" w:color="959595"/>
            </w:tcBorders>
          </w:tcPr>
          <w:p>
            <w:pPr>
              <w:spacing w:after="0"/>
              <w:rPr>
                <w:sz w:val="17"/>
                <w:szCs w:val="17"/>
                <w:color w:val="auto"/>
              </w:rPr>
            </w:pPr>
          </w:p>
        </w:tc>
        <w:tc>
          <w:tcPr>
            <w:tcW w:w="3320" w:type="dxa"/>
            <w:vAlign w:val="bottom"/>
            <w:tcBorders>
              <w:bottom w:val="single" w:sz="8" w:color="959595"/>
            </w:tcBorders>
          </w:tcPr>
          <w:p>
            <w:pPr>
              <w:spacing w:after="0"/>
              <w:rPr>
                <w:sz w:val="17"/>
                <w:szCs w:val="17"/>
                <w:color w:val="auto"/>
              </w:rPr>
            </w:pPr>
          </w:p>
        </w:tc>
        <w:tc>
          <w:tcPr>
            <w:tcW w:w="2060" w:type="dxa"/>
            <w:vAlign w:val="bottom"/>
            <w:tcBorders>
              <w:bottom w:val="single" w:sz="8" w:color="959595"/>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820" w:type="dxa"/>
            <w:vAlign w:val="bottom"/>
            <w:vMerge w:val="restart"/>
          </w:tcPr>
          <w:p>
            <w:pPr>
              <w:ind w:left="40"/>
              <w:spacing w:after="0"/>
              <w:rPr>
                <w:sz w:val="20"/>
                <w:szCs w:val="20"/>
                <w:color w:val="auto"/>
              </w:rPr>
            </w:pPr>
            <w:r>
              <w:rPr>
                <w:rFonts w:ascii="Arial" w:cs="Arial" w:eastAsia="Arial" w:hAnsi="Arial"/>
                <w:sz w:val="17"/>
                <w:szCs w:val="17"/>
                <w:color w:val="012E6C"/>
              </w:rPr>
              <w:t>Item 2</w:t>
            </w:r>
          </w:p>
        </w:tc>
        <w:tc>
          <w:tcPr>
            <w:tcW w:w="3320" w:type="dxa"/>
            <w:vAlign w:val="bottom"/>
          </w:tcPr>
          <w:p>
            <w:pPr>
              <w:ind w:left="20"/>
              <w:spacing w:after="0" w:line="181" w:lineRule="exact"/>
              <w:rPr>
                <w:sz w:val="20"/>
                <w:szCs w:val="20"/>
                <w:color w:val="auto"/>
              </w:rPr>
            </w:pPr>
            <w:r>
              <w:rPr>
                <w:rFonts w:ascii="Arial" w:cs="Arial" w:eastAsia="Arial" w:hAnsi="Arial"/>
                <w:sz w:val="17"/>
                <w:szCs w:val="17"/>
                <w:color w:val="auto"/>
              </w:rPr>
              <w:t>Ratification of the appointment of Ernst &amp;</w:t>
            </w:r>
          </w:p>
        </w:tc>
        <w:tc>
          <w:tcPr>
            <w:tcW w:w="2060" w:type="dxa"/>
            <w:vAlign w:val="bottom"/>
          </w:tcPr>
          <w:p>
            <w:pPr>
              <w:ind w:left="20"/>
              <w:spacing w:after="0" w:line="181" w:lineRule="exact"/>
              <w:rPr>
                <w:sz w:val="20"/>
                <w:szCs w:val="20"/>
                <w:color w:val="auto"/>
              </w:rPr>
            </w:pPr>
            <w:r>
              <w:rPr>
                <w:rFonts w:ascii="Arial" w:cs="Arial" w:eastAsia="Arial" w:hAnsi="Arial"/>
                <w:sz w:val="17"/>
                <w:szCs w:val="17"/>
                <w:color w:val="012E6C"/>
              </w:rPr>
              <w:t>FOR</w:t>
            </w:r>
          </w:p>
        </w:tc>
        <w:tc>
          <w:tcPr>
            <w:tcW w:w="0" w:type="dxa"/>
            <w:vAlign w:val="bottom"/>
          </w:tcPr>
          <w:p>
            <w:pPr>
              <w:spacing w:after="0"/>
              <w:rPr>
                <w:sz w:val="1"/>
                <w:szCs w:val="1"/>
                <w:color w:val="auto"/>
              </w:rPr>
            </w:pPr>
          </w:p>
        </w:tc>
      </w:tr>
      <w:tr>
        <w:trPr>
          <w:trHeight w:val="150"/>
        </w:trPr>
        <w:tc>
          <w:tcPr>
            <w:tcW w:w="820" w:type="dxa"/>
            <w:vAlign w:val="bottom"/>
            <w:vMerge w:val="continue"/>
          </w:tcPr>
          <w:p>
            <w:pPr>
              <w:spacing w:after="0"/>
              <w:rPr>
                <w:sz w:val="13"/>
                <w:szCs w:val="13"/>
                <w:color w:val="auto"/>
              </w:rPr>
            </w:pPr>
          </w:p>
        </w:tc>
        <w:tc>
          <w:tcPr>
            <w:tcW w:w="3320" w:type="dxa"/>
            <w:vAlign w:val="bottom"/>
            <w:vMerge w:val="restart"/>
          </w:tcPr>
          <w:p>
            <w:pPr>
              <w:ind w:left="20"/>
              <w:spacing w:after="0" w:line="189" w:lineRule="exact"/>
              <w:rPr>
                <w:sz w:val="20"/>
                <w:szCs w:val="20"/>
                <w:color w:val="auto"/>
              </w:rPr>
            </w:pPr>
            <w:r>
              <w:rPr>
                <w:rFonts w:ascii="Arial" w:cs="Arial" w:eastAsia="Arial" w:hAnsi="Arial"/>
                <w:sz w:val="17"/>
                <w:szCs w:val="17"/>
                <w:color w:val="auto"/>
              </w:rPr>
              <w:t>Young LLP as our independent auditors for</w:t>
            </w: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820" w:type="dxa"/>
            <w:vAlign w:val="bottom"/>
          </w:tcPr>
          <w:p>
            <w:pPr>
              <w:spacing w:after="0"/>
              <w:rPr>
                <w:sz w:val="3"/>
                <w:szCs w:val="3"/>
                <w:color w:val="auto"/>
              </w:rPr>
            </w:pPr>
          </w:p>
        </w:tc>
        <w:tc>
          <w:tcPr>
            <w:tcW w:w="3320" w:type="dxa"/>
            <w:vAlign w:val="bottom"/>
            <w:vMerge w:val="continue"/>
          </w:tcPr>
          <w:p>
            <w:pPr>
              <w:spacing w:after="0"/>
              <w:rPr>
                <w:sz w:val="3"/>
                <w:szCs w:val="3"/>
                <w:color w:val="auto"/>
              </w:rPr>
            </w:pPr>
          </w:p>
        </w:tc>
        <w:tc>
          <w:tcPr>
            <w:tcW w:w="2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820" w:type="dxa"/>
            <w:vAlign w:val="bottom"/>
          </w:tcPr>
          <w:p>
            <w:pPr>
              <w:spacing w:after="0"/>
              <w:rPr>
                <w:sz w:val="20"/>
                <w:szCs w:val="20"/>
                <w:color w:val="auto"/>
              </w:rPr>
            </w:pPr>
          </w:p>
        </w:tc>
        <w:tc>
          <w:tcPr>
            <w:tcW w:w="3320" w:type="dxa"/>
            <w:vAlign w:val="bottom"/>
          </w:tcPr>
          <w:p>
            <w:pPr>
              <w:ind w:left="20"/>
              <w:spacing w:after="0"/>
              <w:rPr>
                <w:sz w:val="20"/>
                <w:szCs w:val="20"/>
                <w:color w:val="auto"/>
              </w:rPr>
            </w:pPr>
            <w:r>
              <w:rPr>
                <w:rFonts w:ascii="Arial" w:cs="Arial" w:eastAsia="Arial" w:hAnsi="Arial"/>
                <w:sz w:val="17"/>
                <w:szCs w:val="17"/>
                <w:color w:val="auto"/>
              </w:rPr>
              <w:t>2019</w:t>
            </w: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20" w:type="dxa"/>
            <w:vAlign w:val="bottom"/>
            <w:tcBorders>
              <w:bottom w:val="single" w:sz="8" w:color="959595"/>
            </w:tcBorders>
          </w:tcPr>
          <w:p>
            <w:pPr>
              <w:spacing w:after="0"/>
              <w:rPr>
                <w:sz w:val="17"/>
                <w:szCs w:val="17"/>
                <w:color w:val="auto"/>
              </w:rPr>
            </w:pPr>
          </w:p>
        </w:tc>
        <w:tc>
          <w:tcPr>
            <w:tcW w:w="3320" w:type="dxa"/>
            <w:vAlign w:val="bottom"/>
            <w:tcBorders>
              <w:bottom w:val="single" w:sz="8" w:color="959595"/>
            </w:tcBorders>
          </w:tcPr>
          <w:p>
            <w:pPr>
              <w:spacing w:after="0"/>
              <w:rPr>
                <w:sz w:val="17"/>
                <w:szCs w:val="17"/>
                <w:color w:val="auto"/>
              </w:rPr>
            </w:pPr>
          </w:p>
        </w:tc>
        <w:tc>
          <w:tcPr>
            <w:tcW w:w="2060" w:type="dxa"/>
            <w:vAlign w:val="bottom"/>
            <w:tcBorders>
              <w:bottom w:val="single" w:sz="8" w:color="959595"/>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820" w:type="dxa"/>
            <w:vAlign w:val="bottom"/>
            <w:vMerge w:val="restart"/>
          </w:tcPr>
          <w:p>
            <w:pPr>
              <w:ind w:left="40"/>
              <w:spacing w:after="0"/>
              <w:rPr>
                <w:sz w:val="20"/>
                <w:szCs w:val="20"/>
                <w:color w:val="auto"/>
              </w:rPr>
            </w:pPr>
            <w:r>
              <w:rPr>
                <w:rFonts w:ascii="Arial" w:cs="Arial" w:eastAsia="Arial" w:hAnsi="Arial"/>
                <w:sz w:val="17"/>
                <w:szCs w:val="17"/>
                <w:color w:val="012E6C"/>
              </w:rPr>
              <w:t>Item 3</w:t>
            </w:r>
          </w:p>
        </w:tc>
        <w:tc>
          <w:tcPr>
            <w:tcW w:w="3320" w:type="dxa"/>
            <w:vAlign w:val="bottom"/>
          </w:tcPr>
          <w:p>
            <w:pPr>
              <w:ind w:left="20"/>
              <w:spacing w:after="0" w:line="181" w:lineRule="exact"/>
              <w:rPr>
                <w:sz w:val="20"/>
                <w:szCs w:val="20"/>
                <w:color w:val="auto"/>
              </w:rPr>
            </w:pPr>
            <w:r>
              <w:rPr>
                <w:rFonts w:ascii="Arial" w:cs="Arial" w:eastAsia="Arial" w:hAnsi="Arial"/>
                <w:sz w:val="17"/>
                <w:szCs w:val="17"/>
                <w:color w:val="auto"/>
              </w:rPr>
              <w:t>Advisory vote to approve the</w:t>
            </w:r>
          </w:p>
        </w:tc>
        <w:tc>
          <w:tcPr>
            <w:tcW w:w="2060" w:type="dxa"/>
            <w:vAlign w:val="bottom"/>
          </w:tcPr>
          <w:p>
            <w:pPr>
              <w:ind w:left="20"/>
              <w:spacing w:after="0" w:line="181" w:lineRule="exact"/>
              <w:rPr>
                <w:sz w:val="20"/>
                <w:szCs w:val="20"/>
                <w:color w:val="auto"/>
              </w:rPr>
            </w:pPr>
            <w:r>
              <w:rPr>
                <w:rFonts w:ascii="Arial" w:cs="Arial" w:eastAsia="Arial" w:hAnsi="Arial"/>
                <w:sz w:val="17"/>
                <w:szCs w:val="17"/>
                <w:color w:val="012E6C"/>
              </w:rPr>
              <w:t>FOR</w:t>
            </w:r>
          </w:p>
        </w:tc>
        <w:tc>
          <w:tcPr>
            <w:tcW w:w="0" w:type="dxa"/>
            <w:vAlign w:val="bottom"/>
          </w:tcPr>
          <w:p>
            <w:pPr>
              <w:spacing w:after="0"/>
              <w:rPr>
                <w:sz w:val="1"/>
                <w:szCs w:val="1"/>
                <w:color w:val="auto"/>
              </w:rPr>
            </w:pPr>
          </w:p>
        </w:tc>
      </w:tr>
      <w:tr>
        <w:trPr>
          <w:trHeight w:val="150"/>
        </w:trPr>
        <w:tc>
          <w:tcPr>
            <w:tcW w:w="820" w:type="dxa"/>
            <w:vAlign w:val="bottom"/>
            <w:vMerge w:val="continue"/>
          </w:tcPr>
          <w:p>
            <w:pPr>
              <w:spacing w:after="0"/>
              <w:rPr>
                <w:sz w:val="13"/>
                <w:szCs w:val="13"/>
                <w:color w:val="auto"/>
              </w:rPr>
            </w:pPr>
          </w:p>
        </w:tc>
        <w:tc>
          <w:tcPr>
            <w:tcW w:w="3320" w:type="dxa"/>
            <w:vAlign w:val="bottom"/>
            <w:vMerge w:val="restart"/>
          </w:tcPr>
          <w:p>
            <w:pPr>
              <w:ind w:left="20"/>
              <w:spacing w:after="0" w:line="189" w:lineRule="exact"/>
              <w:rPr>
                <w:sz w:val="20"/>
                <w:szCs w:val="20"/>
                <w:color w:val="auto"/>
              </w:rPr>
            </w:pPr>
            <w:r>
              <w:rPr>
                <w:rFonts w:ascii="Arial" w:cs="Arial" w:eastAsia="Arial" w:hAnsi="Arial"/>
                <w:sz w:val="17"/>
                <w:szCs w:val="17"/>
                <w:color w:val="auto"/>
              </w:rPr>
              <w:t>compensation of our named executive</w:t>
            </w: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820" w:type="dxa"/>
            <w:vAlign w:val="bottom"/>
          </w:tcPr>
          <w:p>
            <w:pPr>
              <w:spacing w:after="0"/>
              <w:rPr>
                <w:sz w:val="3"/>
                <w:szCs w:val="3"/>
                <w:color w:val="auto"/>
              </w:rPr>
            </w:pPr>
          </w:p>
        </w:tc>
        <w:tc>
          <w:tcPr>
            <w:tcW w:w="3320" w:type="dxa"/>
            <w:vAlign w:val="bottom"/>
            <w:vMerge w:val="continue"/>
          </w:tcPr>
          <w:p>
            <w:pPr>
              <w:spacing w:after="0"/>
              <w:rPr>
                <w:sz w:val="3"/>
                <w:szCs w:val="3"/>
                <w:color w:val="auto"/>
              </w:rPr>
            </w:pPr>
          </w:p>
        </w:tc>
        <w:tc>
          <w:tcPr>
            <w:tcW w:w="2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820" w:type="dxa"/>
            <w:vAlign w:val="bottom"/>
          </w:tcPr>
          <w:p>
            <w:pPr>
              <w:spacing w:after="0"/>
              <w:rPr>
                <w:sz w:val="20"/>
                <w:szCs w:val="20"/>
                <w:color w:val="auto"/>
              </w:rPr>
            </w:pPr>
          </w:p>
        </w:tc>
        <w:tc>
          <w:tcPr>
            <w:tcW w:w="3320" w:type="dxa"/>
            <w:vAlign w:val="bottom"/>
          </w:tcPr>
          <w:p>
            <w:pPr>
              <w:ind w:left="20"/>
              <w:spacing w:after="0"/>
              <w:rPr>
                <w:sz w:val="20"/>
                <w:szCs w:val="20"/>
                <w:color w:val="auto"/>
              </w:rPr>
            </w:pPr>
            <w:r>
              <w:rPr>
                <w:rFonts w:ascii="Arial" w:cs="Arial" w:eastAsia="Arial" w:hAnsi="Arial"/>
                <w:sz w:val="17"/>
                <w:szCs w:val="17"/>
                <w:color w:val="auto"/>
              </w:rPr>
              <w:t>officers (Say-on-Pay)</w:t>
            </w: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bottom w:val="single" w:sz="8" w:color="959595"/>
            </w:tcBorders>
          </w:tcPr>
          <w:p>
            <w:pPr>
              <w:spacing w:after="0"/>
              <w:rPr>
                <w:sz w:val="18"/>
                <w:szCs w:val="18"/>
                <w:color w:val="auto"/>
              </w:rPr>
            </w:pPr>
          </w:p>
        </w:tc>
        <w:tc>
          <w:tcPr>
            <w:tcW w:w="3320" w:type="dxa"/>
            <w:vAlign w:val="bottom"/>
            <w:tcBorders>
              <w:bottom w:val="single" w:sz="8" w:color="959595"/>
            </w:tcBorders>
          </w:tcPr>
          <w:p>
            <w:pPr>
              <w:spacing w:after="0"/>
              <w:rPr>
                <w:sz w:val="18"/>
                <w:szCs w:val="18"/>
                <w:color w:val="auto"/>
              </w:rPr>
            </w:pPr>
          </w:p>
        </w:tc>
        <w:tc>
          <w:tcPr>
            <w:tcW w:w="2060" w:type="dxa"/>
            <w:vAlign w:val="bottom"/>
            <w:tcBorders>
              <w:bottom w:val="single" w:sz="8" w:color="959595"/>
            </w:tcBorders>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820" w:type="dxa"/>
            <w:vAlign w:val="bottom"/>
            <w:vMerge w:val="restart"/>
          </w:tcPr>
          <w:p>
            <w:pPr>
              <w:ind w:left="40"/>
              <w:spacing w:after="0"/>
              <w:rPr>
                <w:sz w:val="20"/>
                <w:szCs w:val="20"/>
                <w:color w:val="auto"/>
              </w:rPr>
            </w:pPr>
            <w:r>
              <w:rPr>
                <w:rFonts w:ascii="Arial" w:cs="Arial" w:eastAsia="Arial" w:hAnsi="Arial"/>
                <w:sz w:val="17"/>
                <w:szCs w:val="17"/>
                <w:color w:val="012E6C"/>
              </w:rPr>
              <w:t>Item 4</w:t>
            </w:r>
          </w:p>
        </w:tc>
        <w:tc>
          <w:tcPr>
            <w:tcW w:w="3320" w:type="dxa"/>
            <w:vAlign w:val="bottom"/>
          </w:tcPr>
          <w:p>
            <w:pPr>
              <w:ind w:left="20"/>
              <w:spacing w:after="0" w:line="181" w:lineRule="exact"/>
              <w:rPr>
                <w:sz w:val="20"/>
                <w:szCs w:val="20"/>
                <w:color w:val="auto"/>
              </w:rPr>
            </w:pPr>
            <w:r>
              <w:rPr>
                <w:rFonts w:ascii="Arial" w:cs="Arial" w:eastAsia="Arial" w:hAnsi="Arial"/>
                <w:sz w:val="17"/>
                <w:szCs w:val="17"/>
                <w:color w:val="auto"/>
              </w:rPr>
              <w:t>Consideration of a stockholder proposal, if</w:t>
            </w:r>
          </w:p>
        </w:tc>
        <w:tc>
          <w:tcPr>
            <w:tcW w:w="2060" w:type="dxa"/>
            <w:vAlign w:val="bottom"/>
          </w:tcPr>
          <w:p>
            <w:pPr>
              <w:ind w:left="20"/>
              <w:spacing w:after="0" w:line="181" w:lineRule="exact"/>
              <w:rPr>
                <w:sz w:val="20"/>
                <w:szCs w:val="20"/>
                <w:color w:val="auto"/>
              </w:rPr>
            </w:pPr>
            <w:r>
              <w:rPr>
                <w:rFonts w:ascii="Arial" w:cs="Arial" w:eastAsia="Arial" w:hAnsi="Arial"/>
                <w:sz w:val="17"/>
                <w:szCs w:val="17"/>
                <w:color w:val="012E6C"/>
              </w:rPr>
              <w:t>AGAINST</w:t>
            </w:r>
          </w:p>
        </w:tc>
        <w:tc>
          <w:tcPr>
            <w:tcW w:w="0" w:type="dxa"/>
            <w:vAlign w:val="bottom"/>
          </w:tcPr>
          <w:p>
            <w:pPr>
              <w:spacing w:after="0"/>
              <w:rPr>
                <w:sz w:val="1"/>
                <w:szCs w:val="1"/>
                <w:color w:val="auto"/>
              </w:rPr>
            </w:pPr>
          </w:p>
        </w:tc>
      </w:tr>
      <w:tr>
        <w:trPr>
          <w:trHeight w:val="150"/>
        </w:trPr>
        <w:tc>
          <w:tcPr>
            <w:tcW w:w="820" w:type="dxa"/>
            <w:vAlign w:val="bottom"/>
            <w:vMerge w:val="continue"/>
          </w:tcPr>
          <w:p>
            <w:pPr>
              <w:spacing w:after="0"/>
              <w:rPr>
                <w:sz w:val="13"/>
                <w:szCs w:val="13"/>
                <w:color w:val="auto"/>
              </w:rPr>
            </w:pPr>
          </w:p>
        </w:tc>
        <w:tc>
          <w:tcPr>
            <w:tcW w:w="3320" w:type="dxa"/>
            <w:vAlign w:val="bottom"/>
            <w:vMerge w:val="restart"/>
          </w:tcPr>
          <w:p>
            <w:pPr>
              <w:ind w:left="20"/>
              <w:spacing w:after="0"/>
              <w:rPr>
                <w:sz w:val="20"/>
                <w:szCs w:val="20"/>
                <w:color w:val="auto"/>
              </w:rPr>
            </w:pPr>
            <w:r>
              <w:rPr>
                <w:rFonts w:ascii="Arial" w:cs="Arial" w:eastAsia="Arial" w:hAnsi="Arial"/>
                <w:sz w:val="17"/>
                <w:szCs w:val="17"/>
                <w:color w:val="auto"/>
              </w:rPr>
              <w:t>properly presented</w:t>
            </w: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820" w:type="dxa"/>
            <w:vAlign w:val="bottom"/>
          </w:tcPr>
          <w:p>
            <w:pPr>
              <w:spacing w:after="0"/>
              <w:rPr>
                <w:sz w:val="7"/>
                <w:szCs w:val="7"/>
                <w:color w:val="auto"/>
              </w:rPr>
            </w:pPr>
          </w:p>
        </w:tc>
        <w:tc>
          <w:tcPr>
            <w:tcW w:w="3320" w:type="dxa"/>
            <w:vAlign w:val="bottom"/>
            <w:vMerge w:val="continue"/>
          </w:tcPr>
          <w:p>
            <w:pPr>
              <w:spacing w:after="0"/>
              <w:rPr>
                <w:sz w:val="7"/>
                <w:szCs w:val="7"/>
                <w:color w:val="auto"/>
              </w:rPr>
            </w:pPr>
          </w:p>
        </w:tc>
        <w:tc>
          <w:tcPr>
            <w:tcW w:w="2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820" w:type="dxa"/>
            <w:vAlign w:val="bottom"/>
            <w:tcBorders>
              <w:bottom w:val="single" w:sz="8" w:color="959595"/>
            </w:tcBorders>
          </w:tcPr>
          <w:p>
            <w:pPr>
              <w:spacing w:after="0"/>
              <w:rPr>
                <w:sz w:val="16"/>
                <w:szCs w:val="16"/>
                <w:color w:val="auto"/>
              </w:rPr>
            </w:pPr>
          </w:p>
        </w:tc>
        <w:tc>
          <w:tcPr>
            <w:tcW w:w="3320" w:type="dxa"/>
            <w:vAlign w:val="bottom"/>
            <w:tcBorders>
              <w:bottom w:val="single" w:sz="8" w:color="828282"/>
            </w:tcBorders>
          </w:tcPr>
          <w:p>
            <w:pPr>
              <w:spacing w:after="0"/>
              <w:rPr>
                <w:sz w:val="16"/>
                <w:szCs w:val="16"/>
                <w:color w:val="auto"/>
              </w:rPr>
            </w:pPr>
          </w:p>
        </w:tc>
        <w:tc>
          <w:tcPr>
            <w:tcW w:w="2060" w:type="dxa"/>
            <w:vAlign w:val="bottom"/>
            <w:tcBorders>
              <w:bottom w:val="single" w:sz="8" w:color="959595"/>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820" w:type="dxa"/>
            <w:vAlign w:val="bottom"/>
          </w:tcPr>
          <w:p>
            <w:pPr>
              <w:spacing w:after="0"/>
              <w:rPr>
                <w:sz w:val="15"/>
                <w:szCs w:val="15"/>
                <w:color w:val="auto"/>
              </w:rPr>
            </w:pPr>
          </w:p>
        </w:tc>
        <w:tc>
          <w:tcPr>
            <w:tcW w:w="3320" w:type="dxa"/>
            <w:vAlign w:val="bottom"/>
          </w:tcPr>
          <w:p>
            <w:pPr>
              <w:ind w:left="20"/>
              <w:spacing w:after="0" w:line="181" w:lineRule="exact"/>
              <w:rPr>
                <w:sz w:val="20"/>
                <w:szCs w:val="20"/>
                <w:color w:val="auto"/>
              </w:rPr>
            </w:pPr>
            <w:r>
              <w:rPr>
                <w:rFonts w:ascii="Arial" w:cs="Arial" w:eastAsia="Arial" w:hAnsi="Arial"/>
                <w:sz w:val="17"/>
                <w:szCs w:val="17"/>
                <w:color w:val="auto"/>
              </w:rPr>
              <w:t>Consideration of any other matters that</w:t>
            </w: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820" w:type="dxa"/>
            <w:vAlign w:val="bottom"/>
          </w:tcPr>
          <w:p>
            <w:pPr>
              <w:spacing w:after="0"/>
              <w:rPr>
                <w:sz w:val="20"/>
                <w:szCs w:val="20"/>
                <w:color w:val="auto"/>
              </w:rPr>
            </w:pPr>
          </w:p>
        </w:tc>
        <w:tc>
          <w:tcPr>
            <w:tcW w:w="3320" w:type="dxa"/>
            <w:vAlign w:val="bottom"/>
          </w:tcPr>
          <w:p>
            <w:pPr>
              <w:ind w:left="20"/>
              <w:spacing w:after="0"/>
              <w:rPr>
                <w:sz w:val="20"/>
                <w:szCs w:val="20"/>
                <w:color w:val="auto"/>
              </w:rPr>
            </w:pPr>
            <w:r>
              <w:rPr>
                <w:rFonts w:ascii="Arial" w:cs="Arial" w:eastAsia="Arial" w:hAnsi="Arial"/>
                <w:sz w:val="17"/>
                <w:szCs w:val="17"/>
                <w:color w:val="auto"/>
              </w:rPr>
              <w:t>may properly come before the meeting</w:t>
            </w: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820" w:type="dxa"/>
            <w:vAlign w:val="bottom"/>
            <w:tcBorders>
              <w:bottom w:val="single" w:sz="8" w:color="959595"/>
            </w:tcBorders>
          </w:tcPr>
          <w:p>
            <w:pPr>
              <w:spacing w:after="0"/>
              <w:rPr>
                <w:sz w:val="16"/>
                <w:szCs w:val="16"/>
                <w:color w:val="auto"/>
              </w:rPr>
            </w:pPr>
          </w:p>
        </w:tc>
        <w:tc>
          <w:tcPr>
            <w:tcW w:w="3320" w:type="dxa"/>
            <w:vAlign w:val="bottom"/>
            <w:tcBorders>
              <w:bottom w:val="single" w:sz="8" w:color="959595"/>
            </w:tcBorders>
          </w:tcPr>
          <w:p>
            <w:pPr>
              <w:spacing w:after="0"/>
              <w:rPr>
                <w:sz w:val="16"/>
                <w:szCs w:val="16"/>
                <w:color w:val="auto"/>
              </w:rPr>
            </w:pPr>
          </w:p>
        </w:tc>
        <w:tc>
          <w:tcPr>
            <w:tcW w:w="2060" w:type="dxa"/>
            <w:vAlign w:val="bottom"/>
            <w:tcBorders>
              <w:bottom w:val="single" w:sz="8" w:color="959595"/>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40" w:right="100"/>
        <w:spacing w:after="0" w:line="246" w:lineRule="auto"/>
        <w:rPr>
          <w:sz w:val="20"/>
          <w:szCs w:val="20"/>
          <w:color w:val="auto"/>
        </w:rPr>
      </w:pPr>
      <w:r>
        <w:rPr>
          <w:rFonts w:ascii="Arial" w:cs="Arial" w:eastAsia="Arial" w:hAnsi="Arial"/>
          <w:sz w:val="17"/>
          <w:szCs w:val="17"/>
          <w:color w:val="auto"/>
        </w:rPr>
        <w:t>We have enclosed our 2018 Annual Report to Stockholders. The report is not part of the proxy soliciting materials for the Annual Meeting. The Proxy Materials or a Notice of Internet Availability were first sent to stockholders on or about March 15, 2019.</w:t>
      </w:r>
    </w:p>
    <w:p>
      <w:pPr>
        <w:spacing w:after="0" w:line="171" w:lineRule="exact"/>
        <w:rPr>
          <w:sz w:val="20"/>
          <w:szCs w:val="20"/>
          <w:color w:val="auto"/>
        </w:rPr>
      </w:pPr>
    </w:p>
    <w:p>
      <w:pPr>
        <w:ind w:left="40" w:right="80"/>
        <w:spacing w:after="0" w:line="242" w:lineRule="auto"/>
        <w:rPr>
          <w:sz w:val="20"/>
          <w:szCs w:val="20"/>
          <w:color w:val="auto"/>
        </w:rPr>
      </w:pPr>
      <w:r>
        <w:rPr>
          <w:rFonts w:ascii="Arial" w:cs="Arial" w:eastAsia="Arial" w:hAnsi="Arial"/>
          <w:sz w:val="17"/>
          <w:szCs w:val="17"/>
          <w:color w:val="auto"/>
        </w:rPr>
        <w:t>Please vote at your earliest convenience to ensure the presence of a quorum at the meeting. Promptly voting your shares in accordance with the instructions you receive will save the expense of additional solicitation. Submitting your proxy now will not prevent you from voting your shares at the meeting, as your proxy is revocable at your discretion.</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7"/>
          <w:szCs w:val="17"/>
          <w:color w:val="012E6C"/>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82550</wp:posOffset>
            </wp:positionV>
            <wp:extent cx="1355090" cy="3257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5509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Arial" w:cs="Arial" w:eastAsia="Arial" w:hAnsi="Arial"/>
          <w:sz w:val="17"/>
          <w:szCs w:val="17"/>
          <w:color w:val="012E6C"/>
        </w:rPr>
        <w:t>Maryanne R. Lavan</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7"/>
          <w:szCs w:val="17"/>
          <w:color w:val="auto"/>
        </w:rPr>
        <w:t>Senior Vice President, General Counsel</w:t>
      </w:r>
    </w:p>
    <w:p>
      <w:pPr>
        <w:ind w:left="40"/>
        <w:spacing w:after="0" w:line="232" w:lineRule="auto"/>
        <w:rPr>
          <w:sz w:val="20"/>
          <w:szCs w:val="20"/>
          <w:color w:val="auto"/>
        </w:rPr>
      </w:pPr>
      <w:r>
        <w:rPr>
          <w:rFonts w:ascii="Arial" w:cs="Arial" w:eastAsia="Arial" w:hAnsi="Arial"/>
          <w:sz w:val="17"/>
          <w:szCs w:val="17"/>
          <w:color w:val="auto"/>
        </w:rPr>
        <w:t>and Corporate Secretary</w:t>
      </w:r>
    </w:p>
    <w:p>
      <w:pPr>
        <w:ind w:left="40"/>
        <w:spacing w:after="0"/>
        <w:rPr>
          <w:sz w:val="20"/>
          <w:szCs w:val="20"/>
          <w:color w:val="auto"/>
        </w:rPr>
      </w:pPr>
      <w:r>
        <w:rPr>
          <w:rFonts w:ascii="Arial" w:cs="Arial" w:eastAsia="Arial" w:hAnsi="Arial"/>
          <w:sz w:val="17"/>
          <w:szCs w:val="17"/>
          <w:color w:val="auto"/>
        </w:rPr>
        <w:t>March 15, 2019</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0"/>
        <w:spacing w:after="0"/>
        <w:rPr>
          <w:sz w:val="20"/>
          <w:szCs w:val="20"/>
          <w:color w:val="auto"/>
        </w:rPr>
      </w:pPr>
      <w:r>
        <w:rPr>
          <w:rFonts w:ascii="Arial" w:cs="Arial" w:eastAsia="Arial" w:hAnsi="Arial"/>
          <w:sz w:val="17"/>
          <w:szCs w:val="17"/>
          <w:color w:val="012E6C"/>
        </w:rPr>
        <w:t>Important Notice Regarding the Availability of Proxy Materials for the 2019</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7"/>
          <w:szCs w:val="17"/>
          <w:color w:val="012E6C"/>
        </w:rPr>
        <w:t>Annual Meeting:</w:t>
      </w:r>
    </w:p>
    <w:p>
      <w:pPr>
        <w:ind w:left="40" w:right="1020"/>
        <w:spacing w:after="0" w:line="248" w:lineRule="auto"/>
        <w:rPr>
          <w:sz w:val="20"/>
          <w:szCs w:val="20"/>
          <w:color w:val="auto"/>
        </w:rPr>
      </w:pPr>
      <w:r>
        <w:rPr>
          <w:rFonts w:ascii="Arial" w:cs="Arial" w:eastAsia="Arial" w:hAnsi="Arial"/>
          <w:sz w:val="17"/>
          <w:szCs w:val="17"/>
          <w:color w:val="auto"/>
        </w:rPr>
        <w:t xml:space="preserve">The 2019 Proxy Statement and 2018 Annual Report are available at </w:t>
      </w:r>
      <w:r>
        <w:rPr>
          <w:rFonts w:ascii="Arial" w:cs="Arial" w:eastAsia="Arial" w:hAnsi="Arial"/>
          <w:sz w:val="17"/>
          <w:szCs w:val="17"/>
          <w:i w:val="1"/>
          <w:iCs w:val="1"/>
          <w:color w:val="auto"/>
        </w:rPr>
        <w:t>www.edocumentview.com/LMT</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467995</wp:posOffset>
            </wp:positionV>
            <wp:extent cx="1440815" cy="3257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40815" cy="3257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color w:val="475C90"/>
        </w:rPr>
        <w:t>Logistics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012E6C"/>
        </w:rPr>
        <w:t>When:</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Thursday, April 25, 2019, 8:00 a.m. EDT</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012E6C"/>
        </w:rPr>
        <w:t>Where:</w:t>
      </w:r>
    </w:p>
    <w:p>
      <w:pPr>
        <w:spacing w:after="0" w:line="16" w:lineRule="exact"/>
        <w:rPr>
          <w:sz w:val="20"/>
          <w:szCs w:val="20"/>
          <w:color w:val="auto"/>
        </w:rPr>
      </w:pPr>
    </w:p>
    <w:p>
      <w:pPr>
        <w:ind w:right="1760"/>
        <w:spacing w:after="0" w:line="232" w:lineRule="auto"/>
        <w:rPr>
          <w:sz w:val="20"/>
          <w:szCs w:val="20"/>
          <w:color w:val="auto"/>
        </w:rPr>
      </w:pPr>
      <w:r>
        <w:rPr>
          <w:rFonts w:ascii="Arial" w:cs="Arial" w:eastAsia="Arial" w:hAnsi="Arial"/>
          <w:sz w:val="17"/>
          <w:szCs w:val="17"/>
          <w:color w:val="auto"/>
        </w:rPr>
        <w:t>Lockheed Martin Center for Leadership Excellence Auditorium 6777 Rockledge Drive</w:t>
      </w:r>
    </w:p>
    <w:p>
      <w:pPr>
        <w:spacing w:after="0"/>
        <w:rPr>
          <w:sz w:val="20"/>
          <w:szCs w:val="20"/>
          <w:color w:val="auto"/>
        </w:rPr>
      </w:pPr>
      <w:r>
        <w:rPr>
          <w:rFonts w:ascii="Arial" w:cs="Arial" w:eastAsia="Arial" w:hAnsi="Arial"/>
          <w:sz w:val="17"/>
          <w:szCs w:val="17"/>
          <w:color w:val="auto"/>
        </w:rPr>
        <w:t>Bethesda, MD 20817</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012E6C"/>
        </w:rPr>
        <w:t>Who Can Vote:</w:t>
      </w:r>
    </w:p>
    <w:p>
      <w:pPr>
        <w:spacing w:after="0" w:line="16" w:lineRule="exact"/>
        <w:rPr>
          <w:sz w:val="20"/>
          <w:szCs w:val="20"/>
          <w:color w:val="auto"/>
        </w:rPr>
      </w:pPr>
    </w:p>
    <w:p>
      <w:pPr>
        <w:ind w:right="120"/>
        <w:spacing w:after="0" w:line="248" w:lineRule="auto"/>
        <w:rPr>
          <w:sz w:val="20"/>
          <w:szCs w:val="20"/>
          <w:color w:val="auto"/>
        </w:rPr>
      </w:pPr>
      <w:r>
        <w:rPr>
          <w:rFonts w:ascii="Arial" w:cs="Arial" w:eastAsia="Arial" w:hAnsi="Arial"/>
          <w:sz w:val="17"/>
          <w:szCs w:val="17"/>
          <w:color w:val="auto"/>
        </w:rPr>
        <w:t>You can vote if you were a stockholder of record on February 22, 2019.</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012E6C"/>
        </w:rPr>
        <w:t>How: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159385</wp:posOffset>
            </wp:positionV>
            <wp:extent cx="342900" cy="3860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0" cy="386080"/>
                    </a:xfrm>
                    <a:prstGeom prst="rect">
                      <a:avLst/>
                    </a:prstGeom>
                    <a:noFill/>
                  </pic:spPr>
                </pic:pic>
              </a:graphicData>
            </a:graphic>
          </wp:anchor>
        </w:drawing>
      </w:r>
    </w:p>
    <w:p>
      <w:pPr>
        <w:spacing w:after="0" w:line="311" w:lineRule="exact"/>
        <w:rPr>
          <w:sz w:val="20"/>
          <w:szCs w:val="20"/>
          <w:color w:val="auto"/>
        </w:rPr>
      </w:pPr>
    </w:p>
    <w:p>
      <w:pPr>
        <w:ind w:left="900"/>
        <w:spacing w:after="0"/>
        <w:rPr>
          <w:sz w:val="20"/>
          <w:szCs w:val="20"/>
          <w:color w:val="auto"/>
        </w:rPr>
      </w:pPr>
      <w:r>
        <w:rPr>
          <w:rFonts w:ascii="Arial" w:cs="Arial" w:eastAsia="Arial" w:hAnsi="Arial"/>
          <w:sz w:val="17"/>
          <w:szCs w:val="17"/>
          <w:color w:val="012E6C"/>
        </w:rPr>
        <w:t>Via the Internet:</w:t>
      </w:r>
    </w:p>
    <w:p>
      <w:pPr>
        <w:spacing w:after="0" w:line="16" w:lineRule="exact"/>
        <w:rPr>
          <w:sz w:val="20"/>
          <w:szCs w:val="20"/>
          <w:color w:val="auto"/>
        </w:rPr>
      </w:pPr>
    </w:p>
    <w:p>
      <w:pPr>
        <w:ind w:left="900"/>
        <w:spacing w:after="0"/>
        <w:rPr>
          <w:sz w:val="20"/>
          <w:szCs w:val="20"/>
          <w:color w:val="auto"/>
        </w:rPr>
      </w:pPr>
      <w:r>
        <w:rPr>
          <w:rFonts w:ascii="Arial" w:cs="Arial" w:eastAsia="Arial" w:hAnsi="Arial"/>
          <w:sz w:val="17"/>
          <w:szCs w:val="17"/>
          <w:i w:val="1"/>
          <w:iCs w:val="1"/>
          <w:color w:val="auto"/>
        </w:rPr>
        <w:t>www.investorvote.com</w:t>
      </w:r>
    </w:p>
    <w:p>
      <w:pPr>
        <w:spacing w:after="0" w:line="200" w:lineRule="exact"/>
        <w:rPr>
          <w:sz w:val="20"/>
          <w:szCs w:val="20"/>
          <w:color w:val="auto"/>
        </w:rPr>
      </w:pPr>
    </w:p>
    <w:p>
      <w:pPr>
        <w:spacing w:after="0" w:line="217" w:lineRule="exact"/>
        <w:rPr>
          <w:sz w:val="20"/>
          <w:szCs w:val="20"/>
          <w:color w:val="auto"/>
        </w:rPr>
      </w:pPr>
    </w:p>
    <w:p>
      <w:pPr>
        <w:ind w:left="900"/>
        <w:spacing w:after="0"/>
        <w:rPr>
          <w:sz w:val="20"/>
          <w:szCs w:val="20"/>
          <w:color w:val="auto"/>
        </w:rPr>
      </w:pPr>
      <w:r>
        <w:rPr>
          <w:rFonts w:ascii="Arial" w:cs="Arial" w:eastAsia="Arial" w:hAnsi="Arial"/>
          <w:sz w:val="17"/>
          <w:szCs w:val="17"/>
          <w:color w:val="012E6C"/>
        </w:rPr>
        <w:t>By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-88265</wp:posOffset>
            </wp:positionV>
            <wp:extent cx="386080" cy="4457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86080" cy="445770"/>
                    </a:xfrm>
                    <a:prstGeom prst="rect">
                      <a:avLst/>
                    </a:prstGeom>
                    <a:noFill/>
                  </pic:spPr>
                </pic:pic>
              </a:graphicData>
            </a:graphic>
          </wp:anchor>
        </w:drawing>
      </w:r>
    </w:p>
    <w:p>
      <w:pPr>
        <w:ind w:left="900"/>
        <w:spacing w:after="0"/>
        <w:rPr>
          <w:sz w:val="20"/>
          <w:szCs w:val="20"/>
          <w:color w:val="auto"/>
        </w:rPr>
      </w:pPr>
      <w:r>
        <w:rPr>
          <w:rFonts w:ascii="Arial" w:cs="Arial" w:eastAsia="Arial" w:hAnsi="Arial"/>
          <w:sz w:val="17"/>
          <w:szCs w:val="17"/>
          <w:color w:val="auto"/>
        </w:rPr>
        <w:t>In the United States, Canada and Puerto Rico, call 1-800-652-8683; other locations call 1-781-575-2300.</w:t>
      </w:r>
    </w:p>
    <w:p>
      <w:pPr>
        <w:spacing w:after="0" w:line="200" w:lineRule="exact"/>
        <w:rPr>
          <w:sz w:val="20"/>
          <w:szCs w:val="20"/>
          <w:color w:val="auto"/>
        </w:rPr>
      </w:pPr>
    </w:p>
    <w:p>
      <w:pPr>
        <w:spacing w:after="0" w:line="231" w:lineRule="exact"/>
        <w:rPr>
          <w:sz w:val="20"/>
          <w:szCs w:val="20"/>
          <w:color w:val="auto"/>
        </w:rPr>
      </w:pPr>
    </w:p>
    <w:p>
      <w:pPr>
        <w:ind w:left="900"/>
        <w:spacing w:after="0"/>
        <w:rPr>
          <w:sz w:val="20"/>
          <w:szCs w:val="20"/>
          <w:color w:val="auto"/>
        </w:rPr>
      </w:pPr>
      <w:r>
        <w:rPr>
          <w:rFonts w:ascii="Arial" w:cs="Arial" w:eastAsia="Arial" w:hAnsi="Arial"/>
          <w:sz w:val="17"/>
          <w:szCs w:val="17"/>
          <w:color w:val="012E6C"/>
        </w:rPr>
        <w:t>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-80010</wp:posOffset>
            </wp:positionV>
            <wp:extent cx="394335" cy="4286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94335" cy="428625"/>
                    </a:xfrm>
                    <a:prstGeom prst="rect">
                      <a:avLst/>
                    </a:prstGeom>
                    <a:noFill/>
                  </pic:spPr>
                </pic:pic>
              </a:graphicData>
            </a:graphic>
          </wp:anchor>
        </w:drawing>
      </w:r>
    </w:p>
    <w:p>
      <w:pPr>
        <w:ind w:left="900" w:right="80"/>
        <w:spacing w:after="0"/>
        <w:rPr>
          <w:sz w:val="20"/>
          <w:szCs w:val="20"/>
          <w:color w:val="auto"/>
        </w:rPr>
      </w:pPr>
      <w:r>
        <w:rPr>
          <w:rFonts w:ascii="Arial" w:cs="Arial" w:eastAsia="Arial" w:hAnsi="Arial"/>
          <w:sz w:val="17"/>
          <w:szCs w:val="17"/>
          <w:color w:val="auto"/>
        </w:rPr>
        <w:t>Mark, date and sign your proxy card or voting instruction form and return it in the accompanying postage prepaid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214630</wp:posOffset>
            </wp:positionV>
            <wp:extent cx="420370" cy="4718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20370" cy="47180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900"/>
        <w:spacing w:after="0"/>
        <w:rPr>
          <w:sz w:val="20"/>
          <w:szCs w:val="20"/>
          <w:color w:val="auto"/>
        </w:rPr>
      </w:pPr>
      <w:r>
        <w:rPr>
          <w:rFonts w:ascii="Arial" w:cs="Arial" w:eastAsia="Arial" w:hAnsi="Arial"/>
          <w:sz w:val="17"/>
          <w:szCs w:val="17"/>
          <w:color w:val="012E6C"/>
        </w:rPr>
        <w:t>In Person:</w:t>
      </w:r>
    </w:p>
    <w:p>
      <w:pPr>
        <w:spacing w:after="0" w:line="16" w:lineRule="exact"/>
        <w:rPr>
          <w:sz w:val="20"/>
          <w:szCs w:val="20"/>
          <w:color w:val="auto"/>
        </w:rPr>
      </w:pPr>
    </w:p>
    <w:p>
      <w:pPr>
        <w:ind w:left="900"/>
        <w:spacing w:after="0"/>
        <w:rPr>
          <w:sz w:val="20"/>
          <w:szCs w:val="20"/>
          <w:color w:val="auto"/>
        </w:rPr>
      </w:pPr>
      <w:r>
        <w:rPr>
          <w:rFonts w:ascii="Arial" w:cs="Arial" w:eastAsia="Arial" w:hAnsi="Arial"/>
          <w:sz w:val="17"/>
          <w:szCs w:val="17"/>
          <w:color w:val="auto"/>
        </w:rPr>
        <w:t>Attend the meeting to vote in person.</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color w:val="012E6C"/>
        </w:rPr>
        <w:t>Admission to Meeting and Meeting Security:</w:t>
      </w:r>
    </w:p>
    <w:p>
      <w:pPr>
        <w:spacing w:after="0" w:line="16"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To obtain an admission ticket to attend the meeting, follow the advance registration instructions on page 82 of the Proxy Statement. Valid, government-issued photo identification is required at the meeting. All hand-carried items are subject to inspection and must be screened at the door. Cameras, cell phones, electronic devices, bags and briefcases will not be permitted in the meeting.</w:t>
      </w:r>
    </w:p>
    <w:p>
      <w:pPr>
        <w:spacing w:after="0" w:line="209" w:lineRule="exact"/>
        <w:rPr>
          <w:sz w:val="20"/>
          <w:szCs w:val="20"/>
          <w:color w:val="auto"/>
        </w:rPr>
      </w:pPr>
    </w:p>
    <w:p>
      <w:pPr>
        <w:sectPr>
          <w:pgSz w:w="11900" w:h="16838" w:orient="portrait"/>
          <w:cols w:equalWidth="0" w:num="2">
            <w:col w:w="6200" w:space="360"/>
            <w:col w:w="4720"/>
          </w:cols>
          <w:pgMar w:left="240" w:top="773"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808080"/>
        </w:rPr>
        <w:t>2</w:t>
      </w:r>
    </w:p>
    <w:p>
      <w:pPr>
        <w:sectPr>
          <w:pgSz w:w="11900" w:h="16838" w:orient="portrait"/>
          <w:cols w:equalWidth="0" w:num="1">
            <w:col w:w="11280"/>
          </w:cols>
          <w:pgMar w:left="240" w:top="773" w:right="379" w:bottom="1440" w:gutter="0" w:footer="0" w:header="0"/>
          <w:type w:val="continuous"/>
        </w:sectPr>
      </w:pPr>
    </w:p>
    <w:bookmarkStart w:id="5" w:name="page6"/>
    <w:bookmarkEnd w:id="5"/>
    <w:p>
      <w:pPr>
        <w:spacing w:after="0"/>
        <w:rPr>
          <w:sz w:val="20"/>
          <w:szCs w:val="20"/>
          <w:color w:val="auto"/>
        </w:rPr>
      </w:pPr>
      <w:r>
        <w:rPr>
          <w:rFonts w:ascii="Arial" w:cs="Arial" w:eastAsia="Arial" w:hAnsi="Arial"/>
          <w:sz w:val="43"/>
          <w:szCs w:val="43"/>
          <w:color w:val="012E6C"/>
        </w:rPr>
        <w:t>Proxy Summary</w:t>
      </w:r>
    </w:p>
    <w:p>
      <w:pPr>
        <w:spacing w:after="0" w:line="37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Board of Directors (Board) of Lockheed Martin Corporation (the Corporation) located at 6801 Rockledge Drive, Bethesda, Maryland, 20817, is providing the Notice of 2019 Annual Meeting of Stockholders, this Proxy Statement and proxy card (the Proxy Materials) in connection with the Corporation's solicitation of proxies for the 2019 Annual Meeting (the Annual Meeting) to be held on April 25, 2019, at 8:00 a.m. EDT, at the Lockheed Martin Center for Leadership Excellence Auditorium, 6777 Rockledge Drive, Bethesda, Maryland 20817, and at any adjournment or postponement thereof.</w:t>
      </w:r>
    </w:p>
    <w:p>
      <w:pPr>
        <w:spacing w:after="0" w:line="173"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This proxy summary highlights information contained elsewhere in our Proxy Statement. The summary does not contain all the information that you should consider, and we encourage you to read the entire Proxy Statement carefully.</w:t>
      </w:r>
    </w:p>
    <w:p>
      <w:pPr>
        <w:spacing w:after="0" w:line="117" w:lineRule="exact"/>
        <w:rPr>
          <w:sz w:val="20"/>
          <w:szCs w:val="20"/>
          <w:color w:val="auto"/>
        </w:rPr>
      </w:pPr>
    </w:p>
    <w:p>
      <w:pPr>
        <w:spacing w:after="0"/>
        <w:rPr>
          <w:sz w:val="20"/>
          <w:szCs w:val="20"/>
          <w:color w:val="auto"/>
        </w:rPr>
      </w:pPr>
      <w:r>
        <w:rPr>
          <w:rFonts w:ascii="Arial" w:cs="Arial" w:eastAsia="Arial" w:hAnsi="Arial"/>
          <w:sz w:val="29"/>
          <w:szCs w:val="29"/>
          <w:b w:val="1"/>
          <w:bCs w:val="1"/>
          <w:color w:val="012E6C"/>
        </w:rPr>
        <w:t>Voting Matters and Board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5779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57797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ind w:right="40"/>
        <w:spacing w:after="0"/>
        <w:rPr>
          <w:sz w:val="20"/>
          <w:szCs w:val="20"/>
          <w:color w:val="auto"/>
        </w:rPr>
      </w:pPr>
      <w:r>
        <w:rPr>
          <w:rFonts w:ascii="Arial" w:cs="Arial" w:eastAsia="Arial" w:hAnsi="Arial"/>
          <w:sz w:val="19"/>
          <w:szCs w:val="19"/>
          <w:color w:val="012E6C"/>
        </w:rPr>
        <w:t>Proposal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29"/>
          <w:szCs w:val="29"/>
          <w:color w:val="012E6C"/>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9"/>
          <w:szCs w:val="29"/>
          <w:b w:val="1"/>
          <w:bCs w:val="1"/>
          <w:color w:val="012E6C"/>
        </w:rPr>
        <w:t>Election of 10 Director-Nominees</w:t>
      </w:r>
    </w:p>
    <w:p>
      <w:pPr>
        <w:spacing w:after="0" w:line="344" w:lineRule="exact"/>
        <w:rPr>
          <w:sz w:val="20"/>
          <w:szCs w:val="20"/>
          <w:color w:val="auto"/>
        </w:rPr>
      </w:pPr>
    </w:p>
    <w:p>
      <w:pPr>
        <w:spacing w:after="0"/>
        <w:rPr>
          <w:sz w:val="20"/>
          <w:szCs w:val="20"/>
          <w:color w:val="auto"/>
        </w:rPr>
      </w:pPr>
      <w:r>
        <w:rPr>
          <w:rFonts w:ascii="Arial" w:cs="Arial" w:eastAsia="Arial" w:hAnsi="Arial"/>
          <w:sz w:val="17"/>
          <w:szCs w:val="17"/>
          <w:color w:val="012E6C"/>
        </w:rPr>
        <w:t>The Board recommends a vote FOR each of the director-nominees.</w:t>
      </w:r>
    </w:p>
    <w:p>
      <w:pPr>
        <w:spacing w:after="0" w:line="48" w:lineRule="exact"/>
        <w:rPr>
          <w:sz w:val="20"/>
          <w:szCs w:val="20"/>
          <w:color w:val="auto"/>
        </w:rPr>
      </w:pPr>
    </w:p>
    <w:p>
      <w:pPr>
        <w:ind w:left="260" w:hanging="258"/>
        <w:spacing w:after="0"/>
        <w:tabs>
          <w:tab w:leader="none" w:pos="260" w:val="left"/>
        </w:tabs>
        <w:numPr>
          <w:ilvl w:val="0"/>
          <w:numId w:val="6"/>
        </w:numPr>
        <w:rPr>
          <w:rFonts w:ascii="Arial" w:cs="Arial" w:eastAsia="Arial" w:hAnsi="Arial"/>
          <w:sz w:val="17"/>
          <w:szCs w:val="17"/>
          <w:color w:val="012E6C"/>
        </w:rPr>
      </w:pPr>
      <w:r>
        <w:rPr>
          <w:rFonts w:ascii="Arial" w:cs="Arial" w:eastAsia="Arial" w:hAnsi="Arial"/>
          <w:sz w:val="17"/>
          <w:szCs w:val="17"/>
          <w:color w:val="012E6C"/>
        </w:rPr>
        <w:t>Diverse slate of directors with broad leadership and customer experience.</w:t>
      </w:r>
    </w:p>
    <w:p>
      <w:pPr>
        <w:spacing w:after="0" w:line="101" w:lineRule="exact"/>
        <w:rPr>
          <w:rFonts w:ascii="Arial" w:cs="Arial" w:eastAsia="Arial" w:hAnsi="Arial"/>
          <w:sz w:val="17"/>
          <w:szCs w:val="17"/>
          <w:color w:val="012E6C"/>
        </w:rPr>
      </w:pPr>
    </w:p>
    <w:p>
      <w:pPr>
        <w:ind w:left="240" w:hanging="238"/>
        <w:spacing w:after="0"/>
        <w:tabs>
          <w:tab w:leader="none" w:pos="240" w:val="left"/>
        </w:tabs>
        <w:numPr>
          <w:ilvl w:val="0"/>
          <w:numId w:val="6"/>
        </w:numPr>
        <w:rPr>
          <w:rFonts w:ascii="Arial" w:cs="Arial" w:eastAsia="Arial" w:hAnsi="Arial"/>
          <w:sz w:val="17"/>
          <w:szCs w:val="17"/>
          <w:color w:val="012E6C"/>
        </w:rPr>
      </w:pPr>
      <w:r>
        <w:rPr>
          <w:rFonts w:ascii="Arial" w:cs="Arial" w:eastAsia="Arial" w:hAnsi="Arial"/>
          <w:sz w:val="17"/>
          <w:szCs w:val="17"/>
          <w:color w:val="012E6C"/>
        </w:rPr>
        <w:t>All nominees are independent, except the Chairman.</w:t>
      </w:r>
    </w:p>
    <w:p>
      <w:pPr>
        <w:spacing w:after="0" w:line="101" w:lineRule="exact"/>
        <w:rPr>
          <w:rFonts w:ascii="Arial" w:cs="Arial" w:eastAsia="Arial" w:hAnsi="Arial"/>
          <w:sz w:val="17"/>
          <w:szCs w:val="17"/>
          <w:color w:val="012E6C"/>
        </w:rPr>
      </w:pPr>
    </w:p>
    <w:p>
      <w:pPr>
        <w:ind w:left="240" w:hanging="238"/>
        <w:spacing w:after="0"/>
        <w:tabs>
          <w:tab w:leader="none" w:pos="240" w:val="left"/>
        </w:tabs>
        <w:numPr>
          <w:ilvl w:val="0"/>
          <w:numId w:val="6"/>
        </w:numPr>
        <w:rPr>
          <w:rFonts w:ascii="Arial" w:cs="Arial" w:eastAsia="Arial" w:hAnsi="Arial"/>
          <w:sz w:val="17"/>
          <w:szCs w:val="17"/>
          <w:color w:val="012E6C"/>
        </w:rPr>
      </w:pPr>
      <w:r>
        <w:rPr>
          <w:rFonts w:ascii="Arial" w:cs="Arial" w:eastAsia="Arial" w:hAnsi="Arial"/>
          <w:sz w:val="17"/>
          <w:szCs w:val="17"/>
          <w:color w:val="012E6C"/>
        </w:rPr>
        <w:t>Average director tenure is six years with six new directors in five years.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012E6C"/>
        </w:rPr>
        <w:t>See pages 9-13 for further</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012E6C"/>
        </w:rPr>
        <w:t>information.</w:t>
      </w:r>
    </w:p>
    <w:p>
      <w:pPr>
        <w:spacing w:after="0" w:line="637" w:lineRule="exact"/>
        <w:rPr>
          <w:sz w:val="20"/>
          <w:szCs w:val="20"/>
          <w:color w:val="auto"/>
        </w:rPr>
      </w:pPr>
    </w:p>
    <w:p>
      <w:pPr>
        <w:sectPr>
          <w:pgSz w:w="11900" w:h="16838" w:orient="portrait"/>
          <w:cols w:equalWidth="0" w:num="3">
            <w:col w:w="1460" w:space="140"/>
            <w:col w:w="7020" w:space="720"/>
            <w:col w:w="2080"/>
          </w:cols>
          <w:pgMar w:left="240" w:top="341" w:right="239"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6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580" w:type="dxa"/>
            <w:vAlign w:val="bottom"/>
            <w:shd w:val="clear" w:color="auto" w:fill="E6E7EF"/>
          </w:tcPr>
          <w:p>
            <w:pPr>
              <w:spacing w:after="0"/>
              <w:rPr>
                <w:sz w:val="22"/>
                <w:szCs w:val="22"/>
                <w:color w:val="auto"/>
              </w:rPr>
            </w:pPr>
          </w:p>
        </w:tc>
        <w:tc>
          <w:tcPr>
            <w:tcW w:w="1720" w:type="dxa"/>
            <w:vAlign w:val="bottom"/>
            <w:gridSpan w:val="3"/>
            <w:shd w:val="clear" w:color="auto" w:fill="E6E7EF"/>
          </w:tcPr>
          <w:p>
            <w:pPr>
              <w:jc w:val="center"/>
              <w:spacing w:after="0"/>
              <w:rPr>
                <w:sz w:val="20"/>
                <w:szCs w:val="20"/>
                <w:color w:val="auto"/>
              </w:rPr>
            </w:pPr>
            <w:r>
              <w:rPr>
                <w:rFonts w:ascii="Arial" w:cs="Arial" w:eastAsia="Arial" w:hAnsi="Arial"/>
                <w:sz w:val="13"/>
                <w:szCs w:val="13"/>
                <w:color w:val="auto"/>
                <w:w w:val="95"/>
              </w:rPr>
              <w:t>Current Committees *</w:t>
            </w:r>
          </w:p>
        </w:tc>
        <w:tc>
          <w:tcPr>
            <w:tcW w:w="540" w:type="dxa"/>
            <w:vAlign w:val="bottom"/>
            <w:shd w:val="clear" w:color="auto" w:fill="E6E7EF"/>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660" w:type="dxa"/>
            <w:vAlign w:val="bottom"/>
            <w:tcBorders>
              <w:bottom w:val="single" w:sz="8" w:color="959595"/>
            </w:tcBorders>
          </w:tcPr>
          <w:p>
            <w:pPr>
              <w:ind w:left="540"/>
              <w:spacing w:after="0"/>
              <w:rPr>
                <w:sz w:val="20"/>
                <w:szCs w:val="20"/>
                <w:color w:val="auto"/>
              </w:rPr>
            </w:pPr>
            <w:r>
              <w:rPr>
                <w:rFonts w:ascii="Arial" w:cs="Arial" w:eastAsia="Arial" w:hAnsi="Arial"/>
                <w:sz w:val="13"/>
                <w:szCs w:val="13"/>
                <w:color w:val="auto"/>
              </w:rPr>
              <w:t>Name, Age, Independence and Position</w:t>
            </w:r>
          </w:p>
        </w:tc>
        <w:tc>
          <w:tcPr>
            <w:tcW w:w="1240" w:type="dxa"/>
            <w:vAlign w:val="bottom"/>
            <w:tcBorders>
              <w:bottom w:val="single" w:sz="8" w:color="959595"/>
            </w:tcBorders>
          </w:tcPr>
          <w:p>
            <w:pPr>
              <w:ind w:left="660"/>
              <w:spacing w:after="0"/>
              <w:rPr>
                <w:sz w:val="20"/>
                <w:szCs w:val="20"/>
                <w:color w:val="auto"/>
              </w:rPr>
            </w:pPr>
            <w:r>
              <w:rPr>
                <w:rFonts w:ascii="Arial" w:cs="Arial" w:eastAsia="Arial" w:hAnsi="Arial"/>
                <w:sz w:val="13"/>
                <w:szCs w:val="13"/>
                <w:color w:val="auto"/>
              </w:rPr>
              <w:t>Tenure</w:t>
            </w:r>
          </w:p>
        </w:tc>
        <w:tc>
          <w:tcPr>
            <w:tcW w:w="2680" w:type="dxa"/>
            <w:vAlign w:val="bottom"/>
            <w:tcBorders>
              <w:bottom w:val="single" w:sz="8" w:color="959595"/>
            </w:tcBorders>
          </w:tcPr>
          <w:p>
            <w:pPr>
              <w:ind w:left="220"/>
              <w:spacing w:after="0"/>
              <w:rPr>
                <w:sz w:val="20"/>
                <w:szCs w:val="20"/>
                <w:color w:val="auto"/>
              </w:rPr>
            </w:pPr>
            <w:r>
              <w:rPr>
                <w:rFonts w:ascii="Arial" w:cs="Arial" w:eastAsia="Arial" w:hAnsi="Arial"/>
                <w:sz w:val="13"/>
                <w:szCs w:val="13"/>
                <w:color w:val="auto"/>
              </w:rPr>
              <w:t>Current Public Boards</w:t>
            </w:r>
          </w:p>
        </w:tc>
        <w:tc>
          <w:tcPr>
            <w:tcW w:w="580" w:type="dxa"/>
            <w:vAlign w:val="bottom"/>
            <w:tcBorders>
              <w:bottom w:val="single" w:sz="8" w:color="959595"/>
            </w:tcBorders>
            <w:shd w:val="clear" w:color="auto" w:fill="E6E7EF"/>
          </w:tcPr>
          <w:p>
            <w:pPr>
              <w:jc w:val="center"/>
              <w:spacing w:after="0"/>
              <w:rPr>
                <w:sz w:val="20"/>
                <w:szCs w:val="20"/>
                <w:color w:val="auto"/>
              </w:rPr>
            </w:pPr>
            <w:r>
              <w:rPr>
                <w:rFonts w:ascii="Arial" w:cs="Arial" w:eastAsia="Arial" w:hAnsi="Arial"/>
                <w:sz w:val="13"/>
                <w:szCs w:val="13"/>
                <w:color w:val="auto"/>
                <w:w w:val="91"/>
              </w:rPr>
              <w:t>A</w:t>
            </w:r>
          </w:p>
        </w:tc>
        <w:tc>
          <w:tcPr>
            <w:tcW w:w="560" w:type="dxa"/>
            <w:vAlign w:val="bottom"/>
            <w:tcBorders>
              <w:bottom w:val="single" w:sz="8" w:color="959595"/>
            </w:tcBorders>
            <w:shd w:val="clear" w:color="auto" w:fill="E6E7EF"/>
          </w:tcPr>
          <w:p>
            <w:pPr>
              <w:jc w:val="center"/>
              <w:spacing w:after="0"/>
              <w:rPr>
                <w:sz w:val="20"/>
                <w:szCs w:val="20"/>
                <w:color w:val="auto"/>
              </w:rPr>
            </w:pPr>
            <w:r>
              <w:rPr>
                <w:rFonts w:ascii="Arial" w:cs="Arial" w:eastAsia="Arial" w:hAnsi="Arial"/>
                <w:sz w:val="13"/>
                <w:szCs w:val="13"/>
                <w:color w:val="auto"/>
                <w:w w:val="97"/>
              </w:rPr>
              <w:t>CBS</w:t>
            </w:r>
          </w:p>
        </w:tc>
        <w:tc>
          <w:tcPr>
            <w:tcW w:w="560" w:type="dxa"/>
            <w:vAlign w:val="bottom"/>
            <w:tcBorders>
              <w:bottom w:val="single" w:sz="8" w:color="959595"/>
            </w:tcBorders>
            <w:shd w:val="clear" w:color="auto" w:fill="E6E7EF"/>
          </w:tcPr>
          <w:p>
            <w:pPr>
              <w:jc w:val="center"/>
              <w:spacing w:after="0"/>
              <w:rPr>
                <w:sz w:val="20"/>
                <w:szCs w:val="20"/>
                <w:color w:val="auto"/>
              </w:rPr>
            </w:pPr>
            <w:r>
              <w:rPr>
                <w:rFonts w:ascii="Arial" w:cs="Arial" w:eastAsia="Arial" w:hAnsi="Arial"/>
                <w:sz w:val="13"/>
                <w:szCs w:val="13"/>
                <w:color w:val="auto"/>
                <w:w w:val="94"/>
              </w:rPr>
              <w:t>MDC</w:t>
            </w:r>
          </w:p>
        </w:tc>
        <w:tc>
          <w:tcPr>
            <w:tcW w:w="600" w:type="dxa"/>
            <w:vAlign w:val="bottom"/>
            <w:tcBorders>
              <w:bottom w:val="single" w:sz="8" w:color="959595"/>
            </w:tcBorders>
            <w:shd w:val="clear" w:color="auto" w:fill="E6E7EF"/>
          </w:tcPr>
          <w:p>
            <w:pPr>
              <w:jc w:val="center"/>
              <w:spacing w:after="0"/>
              <w:rPr>
                <w:sz w:val="20"/>
                <w:szCs w:val="20"/>
                <w:color w:val="auto"/>
              </w:rPr>
            </w:pPr>
            <w:r>
              <w:rPr>
                <w:rFonts w:ascii="Arial" w:cs="Arial" w:eastAsia="Arial" w:hAnsi="Arial"/>
                <w:sz w:val="13"/>
                <w:szCs w:val="13"/>
                <w:color w:val="auto"/>
                <w:w w:val="96"/>
              </w:rPr>
              <w:t>NCG</w:t>
            </w:r>
          </w:p>
        </w:tc>
        <w:tc>
          <w:tcPr>
            <w:tcW w:w="540" w:type="dxa"/>
            <w:vAlign w:val="bottom"/>
            <w:tcBorders>
              <w:bottom w:val="single" w:sz="8" w:color="959595"/>
            </w:tcBorders>
            <w:shd w:val="clear" w:color="auto" w:fill="E6E7EF"/>
          </w:tcPr>
          <w:p>
            <w:pPr>
              <w:ind w:left="180"/>
              <w:spacing w:after="0"/>
              <w:rPr>
                <w:sz w:val="20"/>
                <w:szCs w:val="20"/>
                <w:color w:val="auto"/>
              </w:rPr>
            </w:pPr>
            <w:r>
              <w:rPr>
                <w:rFonts w:ascii="Arial" w:cs="Arial" w:eastAsia="Arial" w:hAnsi="Arial"/>
                <w:sz w:val="13"/>
                <w:szCs w:val="13"/>
                <w:color w:val="auto"/>
              </w:rPr>
              <w:t>SA</w:t>
            </w:r>
          </w:p>
        </w:tc>
        <w:tc>
          <w:tcPr>
            <w:tcW w:w="0" w:type="dxa"/>
            <w:vAlign w:val="bottom"/>
          </w:tcPr>
          <w:p>
            <w:pPr>
              <w:spacing w:after="0"/>
              <w:rPr>
                <w:sz w:val="1"/>
                <w:szCs w:val="1"/>
                <w:color w:val="auto"/>
              </w:rPr>
            </w:pPr>
          </w:p>
        </w:tc>
      </w:tr>
      <w:tr>
        <w:trPr>
          <w:trHeight w:val="176"/>
        </w:trPr>
        <w:tc>
          <w:tcPr>
            <w:tcW w:w="4660" w:type="dxa"/>
            <w:vAlign w:val="bottom"/>
          </w:tcPr>
          <w:p>
            <w:pPr>
              <w:ind w:left="540"/>
              <w:spacing w:after="0"/>
              <w:rPr>
                <w:sz w:val="20"/>
                <w:szCs w:val="20"/>
                <w:color w:val="auto"/>
              </w:rPr>
            </w:pPr>
            <w:r>
              <w:rPr>
                <w:rFonts w:ascii="Arial" w:cs="Arial" w:eastAsia="Arial" w:hAnsi="Arial"/>
                <w:sz w:val="14"/>
                <w:szCs w:val="14"/>
                <w:color w:val="auto"/>
              </w:rPr>
              <w:t xml:space="preserve">Daniel F. Akerson, 70, </w:t>
            </w:r>
            <w:r>
              <w:rPr>
                <w:rFonts w:ascii="Arial" w:cs="Arial" w:eastAsia="Arial" w:hAnsi="Arial"/>
                <w:sz w:val="14"/>
                <w:szCs w:val="14"/>
                <w:b w:val="1"/>
                <w:bCs w:val="1"/>
                <w:color w:val="auto"/>
              </w:rPr>
              <w:t>Independent Lead Director*</w:t>
            </w:r>
          </w:p>
        </w:tc>
        <w:tc>
          <w:tcPr>
            <w:tcW w:w="12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580" w:type="dxa"/>
            <w:vAlign w:val="bottom"/>
            <w:vMerge w:val="restart"/>
          </w:tcPr>
          <w:p>
            <w:pPr>
              <w:jc w:val="center"/>
              <w:spacing w:after="0"/>
              <w:rPr>
                <w:sz w:val="20"/>
                <w:szCs w:val="20"/>
                <w:color w:val="auto"/>
              </w:rPr>
            </w:pPr>
            <w:r>
              <w:rPr>
                <w:rFonts w:ascii="Arial" w:cs="Arial" w:eastAsia="Arial" w:hAnsi="Arial"/>
                <w:sz w:val="25"/>
                <w:szCs w:val="25"/>
                <w:color w:val="003478"/>
                <w:w w:val="92"/>
              </w:rPr>
              <w:t>●</w:t>
            </w:r>
          </w:p>
        </w:tc>
        <w:tc>
          <w:tcPr>
            <w:tcW w:w="560" w:type="dxa"/>
            <w:vAlign w:val="bottom"/>
            <w:vMerge w:val="restart"/>
            <w:shd w:val="clear" w:color="auto" w:fill="E6E7EF"/>
          </w:tcPr>
          <w:p>
            <w:pPr>
              <w:jc w:val="center"/>
              <w:spacing w:after="0"/>
              <w:rPr>
                <w:sz w:val="20"/>
                <w:szCs w:val="20"/>
                <w:color w:val="auto"/>
              </w:rPr>
            </w:pPr>
            <w:r>
              <w:rPr>
                <w:rFonts w:ascii="Arial" w:cs="Arial" w:eastAsia="Arial" w:hAnsi="Arial"/>
                <w:sz w:val="25"/>
                <w:szCs w:val="25"/>
                <w:color w:val="003478"/>
              </w:rPr>
              <w:t>●</w:t>
            </w:r>
          </w:p>
        </w:tc>
        <w:tc>
          <w:tcPr>
            <w:tcW w:w="560" w:type="dxa"/>
            <w:vAlign w:val="bottom"/>
            <w:vMerge w:val="restart"/>
            <w:shd w:val="clear" w:color="auto" w:fill="E6E7EF"/>
          </w:tcPr>
          <w:p>
            <w:pPr>
              <w:jc w:val="center"/>
              <w:spacing w:after="0"/>
              <w:rPr>
                <w:sz w:val="20"/>
                <w:szCs w:val="20"/>
                <w:color w:val="auto"/>
              </w:rPr>
            </w:pPr>
            <w:r>
              <w:rPr>
                <w:rFonts w:ascii="Arial" w:cs="Arial" w:eastAsia="Arial" w:hAnsi="Arial"/>
                <w:sz w:val="25"/>
                <w:szCs w:val="25"/>
                <w:color w:val="003478"/>
              </w:rPr>
              <w:t>○</w:t>
            </w:r>
          </w:p>
        </w:tc>
        <w:tc>
          <w:tcPr>
            <w:tcW w:w="600" w:type="dxa"/>
            <w:vAlign w:val="bottom"/>
            <w:shd w:val="clear" w:color="auto" w:fill="E6E7EF"/>
          </w:tcPr>
          <w:p>
            <w:pPr>
              <w:spacing w:after="0"/>
              <w:rPr>
                <w:sz w:val="15"/>
                <w:szCs w:val="15"/>
                <w:color w:val="auto"/>
              </w:rPr>
            </w:pPr>
          </w:p>
        </w:tc>
        <w:tc>
          <w:tcPr>
            <w:tcW w:w="540" w:type="dxa"/>
            <w:vAlign w:val="bottom"/>
            <w:shd w:val="clear" w:color="auto" w:fill="E6E7E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60" w:type="dxa"/>
            <w:vAlign w:val="bottom"/>
          </w:tcPr>
          <w:p>
            <w:pPr>
              <w:ind w:left="540"/>
              <w:spacing w:after="0"/>
              <w:rPr>
                <w:sz w:val="20"/>
                <w:szCs w:val="20"/>
                <w:color w:val="auto"/>
              </w:rPr>
            </w:pPr>
            <w:r>
              <w:rPr>
                <w:rFonts w:ascii="Arial" w:cs="Arial" w:eastAsia="Arial" w:hAnsi="Arial"/>
                <w:sz w:val="14"/>
                <w:szCs w:val="14"/>
                <w:color w:val="auto"/>
              </w:rPr>
              <w:t>Retired, Chairman and</w:t>
            </w:r>
          </w:p>
        </w:tc>
        <w:tc>
          <w:tcPr>
            <w:tcW w:w="1240" w:type="dxa"/>
            <w:vAlign w:val="bottom"/>
          </w:tcPr>
          <w:p>
            <w:pPr>
              <w:ind w:left="660"/>
              <w:spacing w:after="0"/>
              <w:rPr>
                <w:sz w:val="20"/>
                <w:szCs w:val="20"/>
                <w:color w:val="auto"/>
              </w:rPr>
            </w:pPr>
            <w:r>
              <w:rPr>
                <w:rFonts w:ascii="Arial" w:cs="Arial" w:eastAsia="Arial" w:hAnsi="Arial"/>
                <w:sz w:val="14"/>
                <w:szCs w:val="14"/>
                <w:color w:val="auto"/>
              </w:rPr>
              <w:t>2014</w:t>
            </w:r>
          </w:p>
        </w:tc>
        <w:tc>
          <w:tcPr>
            <w:tcW w:w="2680" w:type="dxa"/>
            <w:vAlign w:val="bottom"/>
          </w:tcPr>
          <w:p>
            <w:pPr>
              <w:ind w:left="220"/>
              <w:spacing w:after="0"/>
              <w:rPr>
                <w:sz w:val="20"/>
                <w:szCs w:val="20"/>
                <w:color w:val="auto"/>
              </w:rPr>
            </w:pPr>
            <w:r>
              <w:rPr>
                <w:rFonts w:ascii="Arial" w:cs="Arial" w:eastAsia="Arial" w:hAnsi="Arial"/>
                <w:sz w:val="14"/>
                <w:szCs w:val="14"/>
                <w:color w:val="auto"/>
              </w:rPr>
              <w:t>None</w:t>
            </w:r>
          </w:p>
        </w:tc>
        <w:tc>
          <w:tcPr>
            <w:tcW w:w="580" w:type="dxa"/>
            <w:vAlign w:val="bottom"/>
            <w:vMerge w:val="continue"/>
          </w:tcPr>
          <w:p>
            <w:pPr>
              <w:spacing w:after="0"/>
              <w:rPr>
                <w:sz w:val="15"/>
                <w:szCs w:val="15"/>
                <w:color w:val="auto"/>
              </w:rPr>
            </w:pPr>
          </w:p>
        </w:tc>
        <w:tc>
          <w:tcPr>
            <w:tcW w:w="560" w:type="dxa"/>
            <w:vAlign w:val="bottom"/>
            <w:vMerge w:val="continue"/>
            <w:shd w:val="clear" w:color="auto" w:fill="E6E7EF"/>
          </w:tcPr>
          <w:p>
            <w:pPr>
              <w:spacing w:after="0"/>
              <w:rPr>
                <w:sz w:val="15"/>
                <w:szCs w:val="15"/>
                <w:color w:val="auto"/>
              </w:rPr>
            </w:pPr>
          </w:p>
        </w:tc>
        <w:tc>
          <w:tcPr>
            <w:tcW w:w="560" w:type="dxa"/>
            <w:vAlign w:val="bottom"/>
            <w:vMerge w:val="continue"/>
            <w:shd w:val="clear" w:color="auto" w:fill="E6E7EF"/>
          </w:tcPr>
          <w:p>
            <w:pPr>
              <w:spacing w:after="0"/>
              <w:rPr>
                <w:sz w:val="15"/>
                <w:szCs w:val="15"/>
                <w:color w:val="auto"/>
              </w:rPr>
            </w:pPr>
          </w:p>
        </w:tc>
        <w:tc>
          <w:tcPr>
            <w:tcW w:w="600" w:type="dxa"/>
            <w:vAlign w:val="bottom"/>
            <w:shd w:val="clear" w:color="auto" w:fill="E6E7EF"/>
          </w:tcPr>
          <w:p>
            <w:pPr>
              <w:spacing w:after="0"/>
              <w:rPr>
                <w:sz w:val="15"/>
                <w:szCs w:val="15"/>
                <w:color w:val="auto"/>
              </w:rPr>
            </w:pPr>
          </w:p>
        </w:tc>
        <w:tc>
          <w:tcPr>
            <w:tcW w:w="540" w:type="dxa"/>
            <w:vAlign w:val="bottom"/>
            <w:shd w:val="clear" w:color="auto" w:fill="E6E7E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60" w:type="dxa"/>
            <w:vAlign w:val="bottom"/>
            <w:tcBorders>
              <w:bottom w:val="single" w:sz="8" w:color="959595"/>
            </w:tcBorders>
          </w:tcPr>
          <w:p>
            <w:pPr>
              <w:ind w:left="540"/>
              <w:spacing w:after="0"/>
              <w:rPr>
                <w:sz w:val="20"/>
                <w:szCs w:val="20"/>
                <w:color w:val="auto"/>
              </w:rPr>
            </w:pPr>
            <w:r>
              <w:rPr>
                <w:rFonts w:ascii="Arial" w:cs="Arial" w:eastAsia="Arial" w:hAnsi="Arial"/>
                <w:sz w:val="14"/>
                <w:szCs w:val="14"/>
                <w:color w:val="auto"/>
              </w:rPr>
              <w:t>Chief Executive Officer of General Motors Company</w:t>
            </w:r>
          </w:p>
        </w:tc>
        <w:tc>
          <w:tcPr>
            <w:tcW w:w="1240" w:type="dxa"/>
            <w:vAlign w:val="bottom"/>
            <w:tcBorders>
              <w:bottom w:val="single" w:sz="8" w:color="959595"/>
            </w:tcBorders>
          </w:tcPr>
          <w:p>
            <w:pPr>
              <w:spacing w:after="0"/>
              <w:rPr>
                <w:sz w:val="16"/>
                <w:szCs w:val="16"/>
                <w:color w:val="auto"/>
              </w:rPr>
            </w:pPr>
          </w:p>
        </w:tc>
        <w:tc>
          <w:tcPr>
            <w:tcW w:w="2680" w:type="dxa"/>
            <w:vAlign w:val="bottom"/>
            <w:tcBorders>
              <w:bottom w:val="single" w:sz="8" w:color="959595"/>
            </w:tcBorders>
          </w:tcPr>
          <w:p>
            <w:pPr>
              <w:spacing w:after="0"/>
              <w:rPr>
                <w:sz w:val="16"/>
                <w:szCs w:val="16"/>
                <w:color w:val="auto"/>
              </w:rPr>
            </w:pPr>
          </w:p>
        </w:tc>
        <w:tc>
          <w:tcPr>
            <w:tcW w:w="580" w:type="dxa"/>
            <w:vAlign w:val="bottom"/>
            <w:tcBorders>
              <w:bottom w:val="single" w:sz="8" w:color="959595"/>
            </w:tcBorders>
          </w:tcPr>
          <w:p>
            <w:pPr>
              <w:spacing w:after="0"/>
              <w:rPr>
                <w:sz w:val="16"/>
                <w:szCs w:val="16"/>
                <w:color w:val="auto"/>
              </w:rPr>
            </w:pPr>
          </w:p>
        </w:tc>
        <w:tc>
          <w:tcPr>
            <w:tcW w:w="560" w:type="dxa"/>
            <w:vAlign w:val="bottom"/>
            <w:tcBorders>
              <w:bottom w:val="single" w:sz="8" w:color="959595"/>
            </w:tcBorders>
            <w:shd w:val="clear" w:color="auto" w:fill="E6E7EF"/>
          </w:tcPr>
          <w:p>
            <w:pPr>
              <w:spacing w:after="0"/>
              <w:rPr>
                <w:sz w:val="16"/>
                <w:szCs w:val="16"/>
                <w:color w:val="auto"/>
              </w:rPr>
            </w:pPr>
          </w:p>
        </w:tc>
        <w:tc>
          <w:tcPr>
            <w:tcW w:w="560" w:type="dxa"/>
            <w:vAlign w:val="bottom"/>
            <w:tcBorders>
              <w:bottom w:val="single" w:sz="8" w:color="959595"/>
            </w:tcBorders>
            <w:shd w:val="clear" w:color="auto" w:fill="E6E7EF"/>
          </w:tcPr>
          <w:p>
            <w:pPr>
              <w:spacing w:after="0"/>
              <w:rPr>
                <w:sz w:val="16"/>
                <w:szCs w:val="16"/>
                <w:color w:val="auto"/>
              </w:rPr>
            </w:pPr>
          </w:p>
        </w:tc>
        <w:tc>
          <w:tcPr>
            <w:tcW w:w="600" w:type="dxa"/>
            <w:vAlign w:val="bottom"/>
            <w:tcBorders>
              <w:bottom w:val="single" w:sz="8" w:color="959595"/>
            </w:tcBorders>
            <w:shd w:val="clear" w:color="auto" w:fill="E6E7EF"/>
          </w:tcPr>
          <w:p>
            <w:pPr>
              <w:spacing w:after="0"/>
              <w:rPr>
                <w:sz w:val="16"/>
                <w:szCs w:val="16"/>
                <w:color w:val="auto"/>
              </w:rPr>
            </w:pPr>
          </w:p>
        </w:tc>
        <w:tc>
          <w:tcPr>
            <w:tcW w:w="540" w:type="dxa"/>
            <w:vAlign w:val="bottom"/>
            <w:tcBorders>
              <w:bottom w:val="single" w:sz="8" w:color="959595"/>
            </w:tcBorders>
            <w:shd w:val="clear" w:color="auto" w:fill="E6E7E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660" w:type="dxa"/>
            <w:vAlign w:val="bottom"/>
          </w:tcPr>
          <w:p>
            <w:pPr>
              <w:ind w:left="540"/>
              <w:spacing w:after="0"/>
              <w:rPr>
                <w:sz w:val="20"/>
                <w:szCs w:val="20"/>
                <w:color w:val="auto"/>
              </w:rPr>
            </w:pPr>
            <w:r>
              <w:rPr>
                <w:rFonts w:ascii="Arial" w:cs="Arial" w:eastAsia="Arial" w:hAnsi="Arial"/>
                <w:sz w:val="14"/>
                <w:szCs w:val="14"/>
                <w:color w:val="auto"/>
              </w:rPr>
              <w:t xml:space="preserve">David B. Burritt, 63, </w:t>
            </w:r>
            <w:r>
              <w:rPr>
                <w:rFonts w:ascii="Arial" w:cs="Arial" w:eastAsia="Arial" w:hAnsi="Arial"/>
                <w:sz w:val="14"/>
                <w:szCs w:val="14"/>
                <w:b w:val="1"/>
                <w:bCs w:val="1"/>
                <w:color w:val="auto"/>
              </w:rPr>
              <w:t>Independent</w:t>
            </w:r>
          </w:p>
        </w:tc>
        <w:tc>
          <w:tcPr>
            <w:tcW w:w="12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580" w:type="dxa"/>
            <w:vAlign w:val="bottom"/>
            <w:vMerge w:val="restart"/>
          </w:tcPr>
          <w:p>
            <w:pPr>
              <w:jc w:val="center"/>
              <w:spacing w:after="0"/>
              <w:rPr>
                <w:sz w:val="20"/>
                <w:szCs w:val="20"/>
                <w:color w:val="auto"/>
              </w:rPr>
            </w:pPr>
            <w:r>
              <w:rPr>
                <w:rFonts w:ascii="Arial" w:cs="Arial" w:eastAsia="Arial" w:hAnsi="Arial"/>
                <w:sz w:val="25"/>
                <w:szCs w:val="25"/>
                <w:color w:val="003478"/>
                <w:w w:val="92"/>
              </w:rPr>
              <w:t>●</w:t>
            </w:r>
          </w:p>
        </w:tc>
        <w:tc>
          <w:tcPr>
            <w:tcW w:w="560" w:type="dxa"/>
            <w:vAlign w:val="bottom"/>
          </w:tcPr>
          <w:p>
            <w:pPr>
              <w:spacing w:after="0"/>
              <w:rPr>
                <w:sz w:val="14"/>
                <w:szCs w:val="14"/>
                <w:color w:val="auto"/>
              </w:rPr>
            </w:pPr>
          </w:p>
        </w:tc>
        <w:tc>
          <w:tcPr>
            <w:tcW w:w="560" w:type="dxa"/>
            <w:vAlign w:val="bottom"/>
            <w:shd w:val="clear" w:color="auto" w:fill="E6E7EF"/>
          </w:tcPr>
          <w:p>
            <w:pPr>
              <w:spacing w:after="0"/>
              <w:rPr>
                <w:sz w:val="14"/>
                <w:szCs w:val="14"/>
                <w:color w:val="auto"/>
              </w:rPr>
            </w:pPr>
          </w:p>
        </w:tc>
        <w:tc>
          <w:tcPr>
            <w:tcW w:w="600" w:type="dxa"/>
            <w:vAlign w:val="bottom"/>
            <w:shd w:val="clear" w:color="auto" w:fill="E6E7EF"/>
          </w:tcPr>
          <w:p>
            <w:pPr>
              <w:spacing w:after="0"/>
              <w:rPr>
                <w:sz w:val="14"/>
                <w:szCs w:val="14"/>
                <w:color w:val="auto"/>
              </w:rPr>
            </w:pPr>
          </w:p>
        </w:tc>
        <w:tc>
          <w:tcPr>
            <w:tcW w:w="540" w:type="dxa"/>
            <w:vAlign w:val="bottom"/>
            <w:vMerge w:val="restart"/>
            <w:shd w:val="clear" w:color="auto" w:fill="E6E7EF"/>
          </w:tcPr>
          <w:p>
            <w:pPr>
              <w:ind w:left="180"/>
              <w:spacing w:after="0"/>
              <w:rPr>
                <w:sz w:val="20"/>
                <w:szCs w:val="20"/>
                <w:color w:val="auto"/>
              </w:rPr>
            </w:pPr>
            <w:r>
              <w:rPr>
                <w:rFonts w:ascii="Arial" w:cs="Arial" w:eastAsia="Arial" w:hAnsi="Arial"/>
                <w:sz w:val="25"/>
                <w:szCs w:val="25"/>
                <w:color w:val="003478"/>
              </w:rPr>
              <w:t>●</w:t>
            </w:r>
          </w:p>
        </w:tc>
        <w:tc>
          <w:tcPr>
            <w:tcW w:w="0" w:type="dxa"/>
            <w:vAlign w:val="bottom"/>
          </w:tcPr>
          <w:p>
            <w:pPr>
              <w:spacing w:after="0"/>
              <w:rPr>
                <w:sz w:val="1"/>
                <w:szCs w:val="1"/>
                <w:color w:val="auto"/>
              </w:rPr>
            </w:pPr>
          </w:p>
        </w:tc>
      </w:tr>
      <w:tr>
        <w:trPr>
          <w:trHeight w:val="175"/>
        </w:trPr>
        <w:tc>
          <w:tcPr>
            <w:tcW w:w="4660" w:type="dxa"/>
            <w:vAlign w:val="bottom"/>
          </w:tcPr>
          <w:p>
            <w:pPr>
              <w:ind w:left="540"/>
              <w:spacing w:after="0"/>
              <w:rPr>
                <w:sz w:val="20"/>
                <w:szCs w:val="20"/>
                <w:color w:val="auto"/>
              </w:rPr>
            </w:pPr>
            <w:r>
              <w:rPr>
                <w:rFonts w:ascii="Arial" w:cs="Arial" w:eastAsia="Arial" w:hAnsi="Arial"/>
                <w:sz w:val="14"/>
                <w:szCs w:val="14"/>
                <w:color w:val="auto"/>
              </w:rPr>
              <w:t>President and Chief Executive Officer of</w:t>
            </w:r>
          </w:p>
        </w:tc>
        <w:tc>
          <w:tcPr>
            <w:tcW w:w="1240" w:type="dxa"/>
            <w:vAlign w:val="bottom"/>
          </w:tcPr>
          <w:p>
            <w:pPr>
              <w:ind w:left="660"/>
              <w:spacing w:after="0"/>
              <w:rPr>
                <w:sz w:val="20"/>
                <w:szCs w:val="20"/>
                <w:color w:val="auto"/>
              </w:rPr>
            </w:pPr>
            <w:r>
              <w:rPr>
                <w:rFonts w:ascii="Arial" w:cs="Arial" w:eastAsia="Arial" w:hAnsi="Arial"/>
                <w:sz w:val="14"/>
                <w:szCs w:val="14"/>
                <w:color w:val="auto"/>
              </w:rPr>
              <w:t>2008</w:t>
            </w:r>
          </w:p>
        </w:tc>
        <w:tc>
          <w:tcPr>
            <w:tcW w:w="2680" w:type="dxa"/>
            <w:vAlign w:val="bottom"/>
          </w:tcPr>
          <w:p>
            <w:pPr>
              <w:ind w:left="220"/>
              <w:spacing w:after="0"/>
              <w:rPr>
                <w:sz w:val="20"/>
                <w:szCs w:val="20"/>
                <w:color w:val="auto"/>
              </w:rPr>
            </w:pPr>
            <w:r>
              <w:rPr>
                <w:rFonts w:ascii="Arial" w:cs="Arial" w:eastAsia="Arial" w:hAnsi="Arial"/>
                <w:sz w:val="14"/>
                <w:szCs w:val="14"/>
                <w:color w:val="auto"/>
              </w:rPr>
              <w:t>United States Steel Corporation</w:t>
            </w:r>
          </w:p>
        </w:tc>
        <w:tc>
          <w:tcPr>
            <w:tcW w:w="58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shd w:val="clear" w:color="auto" w:fill="E6E7EF"/>
          </w:tcPr>
          <w:p>
            <w:pPr>
              <w:spacing w:after="0"/>
              <w:rPr>
                <w:sz w:val="15"/>
                <w:szCs w:val="15"/>
                <w:color w:val="auto"/>
              </w:rPr>
            </w:pPr>
          </w:p>
        </w:tc>
        <w:tc>
          <w:tcPr>
            <w:tcW w:w="600" w:type="dxa"/>
            <w:vAlign w:val="bottom"/>
            <w:shd w:val="clear" w:color="auto" w:fill="E6E7EF"/>
          </w:tcPr>
          <w:p>
            <w:pPr>
              <w:spacing w:after="0"/>
              <w:rPr>
                <w:sz w:val="15"/>
                <w:szCs w:val="15"/>
                <w:color w:val="auto"/>
              </w:rPr>
            </w:pPr>
          </w:p>
        </w:tc>
        <w:tc>
          <w:tcPr>
            <w:tcW w:w="540" w:type="dxa"/>
            <w:vAlign w:val="bottom"/>
            <w:vMerge w:val="continue"/>
            <w:shd w:val="clear" w:color="auto" w:fill="E6E7E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60" w:type="dxa"/>
            <w:vAlign w:val="bottom"/>
            <w:tcBorders>
              <w:bottom w:val="single" w:sz="8" w:color="959595"/>
            </w:tcBorders>
          </w:tcPr>
          <w:p>
            <w:pPr>
              <w:ind w:left="540"/>
              <w:spacing w:after="0"/>
              <w:rPr>
                <w:sz w:val="20"/>
                <w:szCs w:val="20"/>
                <w:color w:val="auto"/>
              </w:rPr>
            </w:pPr>
            <w:r>
              <w:rPr>
                <w:rFonts w:ascii="Arial" w:cs="Arial" w:eastAsia="Arial" w:hAnsi="Arial"/>
                <w:sz w:val="14"/>
                <w:szCs w:val="14"/>
                <w:color w:val="auto"/>
              </w:rPr>
              <w:t>United States Steel Corporation</w:t>
            </w:r>
          </w:p>
        </w:tc>
        <w:tc>
          <w:tcPr>
            <w:tcW w:w="1240" w:type="dxa"/>
            <w:vAlign w:val="bottom"/>
            <w:tcBorders>
              <w:bottom w:val="single" w:sz="8" w:color="959595"/>
            </w:tcBorders>
          </w:tcPr>
          <w:p>
            <w:pPr>
              <w:spacing w:after="0"/>
              <w:rPr>
                <w:sz w:val="16"/>
                <w:szCs w:val="16"/>
                <w:color w:val="auto"/>
              </w:rPr>
            </w:pPr>
          </w:p>
        </w:tc>
        <w:tc>
          <w:tcPr>
            <w:tcW w:w="2680" w:type="dxa"/>
            <w:vAlign w:val="bottom"/>
            <w:tcBorders>
              <w:bottom w:val="single" w:sz="8" w:color="959595"/>
            </w:tcBorders>
          </w:tcPr>
          <w:p>
            <w:pPr>
              <w:spacing w:after="0"/>
              <w:rPr>
                <w:sz w:val="16"/>
                <w:szCs w:val="16"/>
                <w:color w:val="auto"/>
              </w:rPr>
            </w:pPr>
          </w:p>
        </w:tc>
        <w:tc>
          <w:tcPr>
            <w:tcW w:w="580" w:type="dxa"/>
            <w:vAlign w:val="bottom"/>
            <w:tcBorders>
              <w:bottom w:val="single" w:sz="8" w:color="959595"/>
            </w:tcBorders>
          </w:tcPr>
          <w:p>
            <w:pPr>
              <w:spacing w:after="0"/>
              <w:rPr>
                <w:sz w:val="16"/>
                <w:szCs w:val="16"/>
                <w:color w:val="auto"/>
              </w:rPr>
            </w:pPr>
          </w:p>
        </w:tc>
        <w:tc>
          <w:tcPr>
            <w:tcW w:w="560" w:type="dxa"/>
            <w:vAlign w:val="bottom"/>
            <w:tcBorders>
              <w:bottom w:val="single" w:sz="8" w:color="959595"/>
            </w:tcBorders>
          </w:tcPr>
          <w:p>
            <w:pPr>
              <w:spacing w:after="0"/>
              <w:rPr>
                <w:sz w:val="16"/>
                <w:szCs w:val="16"/>
                <w:color w:val="auto"/>
              </w:rPr>
            </w:pPr>
          </w:p>
        </w:tc>
        <w:tc>
          <w:tcPr>
            <w:tcW w:w="560" w:type="dxa"/>
            <w:vAlign w:val="bottom"/>
            <w:tcBorders>
              <w:bottom w:val="single" w:sz="8" w:color="959595"/>
            </w:tcBorders>
            <w:shd w:val="clear" w:color="auto" w:fill="E6E7EF"/>
          </w:tcPr>
          <w:p>
            <w:pPr>
              <w:spacing w:after="0"/>
              <w:rPr>
                <w:sz w:val="16"/>
                <w:szCs w:val="16"/>
                <w:color w:val="auto"/>
              </w:rPr>
            </w:pPr>
          </w:p>
        </w:tc>
        <w:tc>
          <w:tcPr>
            <w:tcW w:w="600" w:type="dxa"/>
            <w:vAlign w:val="bottom"/>
            <w:tcBorders>
              <w:bottom w:val="single" w:sz="8" w:color="959595"/>
            </w:tcBorders>
            <w:shd w:val="clear" w:color="auto" w:fill="E6E7EF"/>
          </w:tcPr>
          <w:p>
            <w:pPr>
              <w:spacing w:after="0"/>
              <w:rPr>
                <w:sz w:val="16"/>
                <w:szCs w:val="16"/>
                <w:color w:val="auto"/>
              </w:rPr>
            </w:pPr>
          </w:p>
        </w:tc>
        <w:tc>
          <w:tcPr>
            <w:tcW w:w="540" w:type="dxa"/>
            <w:vAlign w:val="bottom"/>
            <w:tcBorders>
              <w:bottom w:val="single" w:sz="8" w:color="959595"/>
            </w:tcBorders>
            <w:shd w:val="clear" w:color="auto" w:fill="E6E7E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660" w:type="dxa"/>
            <w:vAlign w:val="bottom"/>
          </w:tcPr>
          <w:p>
            <w:pPr>
              <w:ind w:left="540"/>
              <w:spacing w:after="0"/>
              <w:rPr>
                <w:sz w:val="20"/>
                <w:szCs w:val="20"/>
                <w:color w:val="auto"/>
              </w:rPr>
            </w:pPr>
            <w:r>
              <w:rPr>
                <w:rFonts w:ascii="Arial" w:cs="Arial" w:eastAsia="Arial" w:hAnsi="Arial"/>
                <w:sz w:val="14"/>
                <w:szCs w:val="14"/>
                <w:color w:val="auto"/>
              </w:rPr>
              <w:t xml:space="preserve">Bruce A. Carlson, 69, </w:t>
            </w:r>
            <w:r>
              <w:rPr>
                <w:rFonts w:ascii="Arial" w:cs="Arial" w:eastAsia="Arial" w:hAnsi="Arial"/>
                <w:sz w:val="14"/>
                <w:szCs w:val="14"/>
                <w:b w:val="1"/>
                <w:bCs w:val="1"/>
                <w:color w:val="auto"/>
              </w:rPr>
              <w:t>Independent</w:t>
            </w:r>
          </w:p>
        </w:tc>
        <w:tc>
          <w:tcPr>
            <w:tcW w:w="1240" w:type="dxa"/>
            <w:vAlign w:val="bottom"/>
            <w:vMerge w:val="restart"/>
          </w:tcPr>
          <w:p>
            <w:pPr>
              <w:ind w:left="660"/>
              <w:spacing w:after="0"/>
              <w:rPr>
                <w:sz w:val="20"/>
                <w:szCs w:val="20"/>
                <w:color w:val="auto"/>
              </w:rPr>
            </w:pPr>
            <w:r>
              <w:rPr>
                <w:rFonts w:ascii="Arial" w:cs="Arial" w:eastAsia="Arial" w:hAnsi="Arial"/>
                <w:sz w:val="14"/>
                <w:szCs w:val="14"/>
                <w:color w:val="auto"/>
              </w:rPr>
              <w:t>2015</w:t>
            </w:r>
          </w:p>
        </w:tc>
        <w:tc>
          <w:tcPr>
            <w:tcW w:w="2680" w:type="dxa"/>
            <w:vAlign w:val="bottom"/>
            <w:vMerge w:val="restart"/>
          </w:tcPr>
          <w:p>
            <w:pPr>
              <w:ind w:left="220"/>
              <w:spacing w:after="0"/>
              <w:rPr>
                <w:sz w:val="20"/>
                <w:szCs w:val="20"/>
                <w:color w:val="auto"/>
              </w:rPr>
            </w:pPr>
            <w:r>
              <w:rPr>
                <w:rFonts w:ascii="Arial" w:cs="Arial" w:eastAsia="Arial" w:hAnsi="Arial"/>
                <w:sz w:val="14"/>
                <w:szCs w:val="14"/>
                <w:color w:val="auto"/>
              </w:rPr>
              <w:t>Benchmark Electronics Inc.</w:t>
            </w:r>
          </w:p>
        </w:tc>
        <w:tc>
          <w:tcPr>
            <w:tcW w:w="580" w:type="dxa"/>
            <w:vAlign w:val="bottom"/>
          </w:tcPr>
          <w:p>
            <w:pPr>
              <w:spacing w:after="0"/>
              <w:rPr>
                <w:sz w:val="14"/>
                <w:szCs w:val="14"/>
                <w:color w:val="auto"/>
              </w:rPr>
            </w:pPr>
          </w:p>
        </w:tc>
        <w:tc>
          <w:tcPr>
            <w:tcW w:w="560" w:type="dxa"/>
            <w:vAlign w:val="bottom"/>
            <w:vMerge w:val="restart"/>
          </w:tcPr>
          <w:p>
            <w:pPr>
              <w:jc w:val="center"/>
              <w:spacing w:after="0"/>
              <w:rPr>
                <w:sz w:val="20"/>
                <w:szCs w:val="20"/>
                <w:color w:val="auto"/>
              </w:rPr>
            </w:pPr>
            <w:r>
              <w:rPr>
                <w:rFonts w:ascii="Arial" w:cs="Arial" w:eastAsia="Arial" w:hAnsi="Arial"/>
                <w:sz w:val="25"/>
                <w:szCs w:val="25"/>
                <w:color w:val="003478"/>
              </w:rPr>
              <w:t>●</w:t>
            </w:r>
          </w:p>
        </w:tc>
        <w:tc>
          <w:tcPr>
            <w:tcW w:w="560" w:type="dxa"/>
            <w:vAlign w:val="bottom"/>
          </w:tcPr>
          <w:p>
            <w:pPr>
              <w:spacing w:after="0"/>
              <w:rPr>
                <w:sz w:val="14"/>
                <w:szCs w:val="14"/>
                <w:color w:val="auto"/>
              </w:rPr>
            </w:pPr>
          </w:p>
        </w:tc>
        <w:tc>
          <w:tcPr>
            <w:tcW w:w="600" w:type="dxa"/>
            <w:vAlign w:val="bottom"/>
            <w:vMerge w:val="restart"/>
            <w:shd w:val="clear" w:color="auto" w:fill="E6E7EF"/>
          </w:tcPr>
          <w:p>
            <w:pPr>
              <w:jc w:val="center"/>
              <w:spacing w:after="0"/>
              <w:rPr>
                <w:sz w:val="20"/>
                <w:szCs w:val="20"/>
                <w:color w:val="auto"/>
              </w:rPr>
            </w:pPr>
            <w:r>
              <w:rPr>
                <w:rFonts w:ascii="Arial" w:cs="Arial" w:eastAsia="Arial" w:hAnsi="Arial"/>
                <w:sz w:val="25"/>
                <w:szCs w:val="25"/>
                <w:color w:val="003478"/>
                <w:w w:val="92"/>
              </w:rPr>
              <w:t>●</w:t>
            </w:r>
          </w:p>
        </w:tc>
        <w:tc>
          <w:tcPr>
            <w:tcW w:w="540" w:type="dxa"/>
            <w:vAlign w:val="bottom"/>
            <w:shd w:val="clear" w:color="auto" w:fill="E6E7EF"/>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4660" w:type="dxa"/>
            <w:vAlign w:val="bottom"/>
          </w:tcPr>
          <w:p>
            <w:pPr>
              <w:ind w:left="540"/>
              <w:spacing w:after="0"/>
              <w:rPr>
                <w:sz w:val="20"/>
                <w:szCs w:val="20"/>
                <w:color w:val="auto"/>
              </w:rPr>
            </w:pPr>
            <w:r>
              <w:rPr>
                <w:rFonts w:ascii="Arial" w:cs="Arial" w:eastAsia="Arial" w:hAnsi="Arial"/>
                <w:sz w:val="14"/>
                <w:szCs w:val="14"/>
                <w:color w:val="auto"/>
              </w:rPr>
              <w:t>Retired United States Air Force General</w:t>
            </w:r>
          </w:p>
        </w:tc>
        <w:tc>
          <w:tcPr>
            <w:tcW w:w="1240" w:type="dxa"/>
            <w:vAlign w:val="bottom"/>
            <w:vMerge w:val="continue"/>
          </w:tcPr>
          <w:p>
            <w:pPr>
              <w:spacing w:after="0"/>
              <w:rPr>
                <w:sz w:val="19"/>
                <w:szCs w:val="19"/>
                <w:color w:val="auto"/>
              </w:rPr>
            </w:pPr>
          </w:p>
        </w:tc>
        <w:tc>
          <w:tcPr>
            <w:tcW w:w="268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vMerge w:val="continue"/>
            <w:shd w:val="clear" w:color="auto" w:fill="E6E7EF"/>
          </w:tcPr>
          <w:p>
            <w:pPr>
              <w:spacing w:after="0"/>
              <w:rPr>
                <w:sz w:val="19"/>
                <w:szCs w:val="19"/>
                <w:color w:val="auto"/>
              </w:rPr>
            </w:pPr>
          </w:p>
        </w:tc>
        <w:tc>
          <w:tcPr>
            <w:tcW w:w="540" w:type="dxa"/>
            <w:vAlign w:val="bottom"/>
            <w:shd w:val="clear" w:color="auto" w:fill="E6E7EF"/>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4660" w:type="dxa"/>
            <w:vAlign w:val="bottom"/>
            <w:tcBorders>
              <w:bottom w:val="single" w:sz="8" w:color="959595"/>
            </w:tcBorders>
          </w:tcPr>
          <w:p>
            <w:pPr>
              <w:spacing w:after="0"/>
              <w:rPr>
                <w:sz w:val="8"/>
                <w:szCs w:val="8"/>
                <w:color w:val="auto"/>
              </w:rPr>
            </w:pPr>
          </w:p>
        </w:tc>
        <w:tc>
          <w:tcPr>
            <w:tcW w:w="1240" w:type="dxa"/>
            <w:vAlign w:val="bottom"/>
            <w:tcBorders>
              <w:bottom w:val="single" w:sz="8" w:color="959595"/>
            </w:tcBorders>
          </w:tcPr>
          <w:p>
            <w:pPr>
              <w:spacing w:after="0"/>
              <w:rPr>
                <w:sz w:val="8"/>
                <w:szCs w:val="8"/>
                <w:color w:val="auto"/>
              </w:rPr>
            </w:pPr>
          </w:p>
        </w:tc>
        <w:tc>
          <w:tcPr>
            <w:tcW w:w="2680" w:type="dxa"/>
            <w:vAlign w:val="bottom"/>
            <w:tcBorders>
              <w:bottom w:val="single" w:sz="8" w:color="959595"/>
            </w:tcBorders>
          </w:tcPr>
          <w:p>
            <w:pPr>
              <w:spacing w:after="0"/>
              <w:rPr>
                <w:sz w:val="8"/>
                <w:szCs w:val="8"/>
                <w:color w:val="auto"/>
              </w:rPr>
            </w:pPr>
          </w:p>
        </w:tc>
        <w:tc>
          <w:tcPr>
            <w:tcW w:w="580" w:type="dxa"/>
            <w:vAlign w:val="bottom"/>
            <w:tcBorders>
              <w:bottom w:val="single" w:sz="8" w:color="959595"/>
            </w:tcBorders>
          </w:tcPr>
          <w:p>
            <w:pPr>
              <w:spacing w:after="0"/>
              <w:rPr>
                <w:sz w:val="8"/>
                <w:szCs w:val="8"/>
                <w:color w:val="auto"/>
              </w:rPr>
            </w:pPr>
          </w:p>
        </w:tc>
        <w:tc>
          <w:tcPr>
            <w:tcW w:w="560" w:type="dxa"/>
            <w:vAlign w:val="bottom"/>
            <w:tcBorders>
              <w:bottom w:val="single" w:sz="8" w:color="959595"/>
            </w:tcBorders>
          </w:tcPr>
          <w:p>
            <w:pPr>
              <w:spacing w:after="0"/>
              <w:rPr>
                <w:sz w:val="8"/>
                <w:szCs w:val="8"/>
                <w:color w:val="auto"/>
              </w:rPr>
            </w:pPr>
          </w:p>
        </w:tc>
        <w:tc>
          <w:tcPr>
            <w:tcW w:w="560" w:type="dxa"/>
            <w:vAlign w:val="bottom"/>
            <w:tcBorders>
              <w:bottom w:val="single" w:sz="8" w:color="959595"/>
            </w:tcBorders>
          </w:tcPr>
          <w:p>
            <w:pPr>
              <w:spacing w:after="0"/>
              <w:rPr>
                <w:sz w:val="8"/>
                <w:szCs w:val="8"/>
                <w:color w:val="auto"/>
              </w:rPr>
            </w:pPr>
          </w:p>
        </w:tc>
        <w:tc>
          <w:tcPr>
            <w:tcW w:w="600" w:type="dxa"/>
            <w:vAlign w:val="bottom"/>
            <w:tcBorders>
              <w:bottom w:val="single" w:sz="8" w:color="959595"/>
            </w:tcBorders>
            <w:shd w:val="clear" w:color="auto" w:fill="E6E7EF"/>
          </w:tcPr>
          <w:p>
            <w:pPr>
              <w:spacing w:after="0"/>
              <w:rPr>
                <w:sz w:val="8"/>
                <w:szCs w:val="8"/>
                <w:color w:val="auto"/>
              </w:rPr>
            </w:pPr>
          </w:p>
        </w:tc>
        <w:tc>
          <w:tcPr>
            <w:tcW w:w="540" w:type="dxa"/>
            <w:vAlign w:val="bottom"/>
            <w:tcBorders>
              <w:bottom w:val="single" w:sz="8" w:color="959595"/>
            </w:tcBorders>
            <w:shd w:val="clear" w:color="auto" w:fill="E6E7EF"/>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4660" w:type="dxa"/>
            <w:vAlign w:val="bottom"/>
          </w:tcPr>
          <w:p>
            <w:pPr>
              <w:ind w:left="540"/>
              <w:spacing w:after="0"/>
              <w:rPr>
                <w:sz w:val="20"/>
                <w:szCs w:val="20"/>
                <w:color w:val="auto"/>
              </w:rPr>
            </w:pPr>
            <w:r>
              <w:rPr>
                <w:rFonts w:ascii="Arial" w:cs="Arial" w:eastAsia="Arial" w:hAnsi="Arial"/>
                <w:sz w:val="14"/>
                <w:szCs w:val="14"/>
                <w:color w:val="auto"/>
              </w:rPr>
              <w:t xml:space="preserve">James O. Ellis, Jr., 71, </w:t>
            </w:r>
            <w:r>
              <w:rPr>
                <w:rFonts w:ascii="Arial" w:cs="Arial" w:eastAsia="Arial" w:hAnsi="Arial"/>
                <w:sz w:val="14"/>
                <w:szCs w:val="14"/>
                <w:b w:val="1"/>
                <w:bCs w:val="1"/>
                <w:color w:val="auto"/>
              </w:rPr>
              <w:t>Independent</w:t>
            </w:r>
          </w:p>
        </w:tc>
        <w:tc>
          <w:tcPr>
            <w:tcW w:w="12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vMerge w:val="restart"/>
          </w:tcPr>
          <w:p>
            <w:pPr>
              <w:jc w:val="center"/>
              <w:spacing w:after="0"/>
              <w:rPr>
                <w:sz w:val="20"/>
                <w:szCs w:val="20"/>
                <w:color w:val="auto"/>
              </w:rPr>
            </w:pPr>
            <w:r>
              <w:rPr>
                <w:rFonts w:ascii="Arial" w:cs="Arial" w:eastAsia="Arial" w:hAnsi="Arial"/>
                <w:sz w:val="25"/>
                <w:szCs w:val="25"/>
                <w:color w:val="003478"/>
              </w:rPr>
              <w:t>●</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vMerge w:val="restart"/>
          </w:tcPr>
          <w:p>
            <w:pPr>
              <w:ind w:left="180"/>
              <w:spacing w:after="0"/>
              <w:rPr>
                <w:sz w:val="20"/>
                <w:szCs w:val="20"/>
                <w:color w:val="auto"/>
              </w:rPr>
            </w:pPr>
            <w:r>
              <w:rPr>
                <w:rFonts w:ascii="Arial" w:cs="Arial" w:eastAsia="Arial" w:hAnsi="Arial"/>
                <w:sz w:val="25"/>
                <w:szCs w:val="25"/>
                <w:color w:val="003478"/>
              </w:rPr>
              <w:t>○</w:t>
            </w:r>
          </w:p>
        </w:tc>
        <w:tc>
          <w:tcPr>
            <w:tcW w:w="0" w:type="dxa"/>
            <w:vAlign w:val="bottom"/>
          </w:tcPr>
          <w:p>
            <w:pPr>
              <w:spacing w:after="0"/>
              <w:rPr>
                <w:sz w:val="1"/>
                <w:szCs w:val="1"/>
                <w:color w:val="auto"/>
              </w:rPr>
            </w:pPr>
          </w:p>
        </w:tc>
      </w:tr>
      <w:tr>
        <w:trPr>
          <w:trHeight w:val="175"/>
        </w:trPr>
        <w:tc>
          <w:tcPr>
            <w:tcW w:w="4660" w:type="dxa"/>
            <w:vAlign w:val="bottom"/>
          </w:tcPr>
          <w:p>
            <w:pPr>
              <w:ind w:left="540"/>
              <w:spacing w:after="0"/>
              <w:rPr>
                <w:sz w:val="20"/>
                <w:szCs w:val="20"/>
                <w:color w:val="auto"/>
              </w:rPr>
            </w:pPr>
            <w:r>
              <w:rPr>
                <w:rFonts w:ascii="Arial" w:cs="Arial" w:eastAsia="Arial" w:hAnsi="Arial"/>
                <w:sz w:val="14"/>
                <w:szCs w:val="14"/>
                <w:color w:val="auto"/>
              </w:rPr>
              <w:t>Retired, President and Chief Executive Officer of</w:t>
            </w:r>
          </w:p>
        </w:tc>
        <w:tc>
          <w:tcPr>
            <w:tcW w:w="1240" w:type="dxa"/>
            <w:vAlign w:val="bottom"/>
          </w:tcPr>
          <w:p>
            <w:pPr>
              <w:ind w:left="660"/>
              <w:spacing w:after="0"/>
              <w:rPr>
                <w:sz w:val="20"/>
                <w:szCs w:val="20"/>
                <w:color w:val="auto"/>
              </w:rPr>
            </w:pPr>
            <w:r>
              <w:rPr>
                <w:rFonts w:ascii="Arial" w:cs="Arial" w:eastAsia="Arial" w:hAnsi="Arial"/>
                <w:sz w:val="14"/>
                <w:szCs w:val="14"/>
                <w:color w:val="auto"/>
              </w:rPr>
              <w:t>2004</w:t>
            </w:r>
          </w:p>
        </w:tc>
        <w:tc>
          <w:tcPr>
            <w:tcW w:w="2680" w:type="dxa"/>
            <w:vAlign w:val="bottom"/>
          </w:tcPr>
          <w:p>
            <w:pPr>
              <w:ind w:left="220"/>
              <w:spacing w:after="0"/>
              <w:rPr>
                <w:sz w:val="20"/>
                <w:szCs w:val="20"/>
                <w:color w:val="auto"/>
              </w:rPr>
            </w:pPr>
            <w:r>
              <w:rPr>
                <w:rFonts w:ascii="Arial" w:cs="Arial" w:eastAsia="Arial" w:hAnsi="Arial"/>
                <w:sz w:val="14"/>
                <w:szCs w:val="14"/>
                <w:color w:val="auto"/>
              </w:rPr>
              <w:t>Dominion Energy, Inc.</w:t>
            </w:r>
          </w:p>
        </w:tc>
        <w:tc>
          <w:tcPr>
            <w:tcW w:w="5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60" w:type="dxa"/>
            <w:vAlign w:val="bottom"/>
            <w:tcBorders>
              <w:bottom w:val="single" w:sz="8" w:color="959595"/>
            </w:tcBorders>
          </w:tcPr>
          <w:p>
            <w:pPr>
              <w:ind w:left="540"/>
              <w:spacing w:after="0"/>
              <w:rPr>
                <w:sz w:val="20"/>
                <w:szCs w:val="20"/>
                <w:color w:val="auto"/>
              </w:rPr>
            </w:pPr>
            <w:r>
              <w:rPr>
                <w:rFonts w:ascii="Arial" w:cs="Arial" w:eastAsia="Arial" w:hAnsi="Arial"/>
                <w:sz w:val="14"/>
                <w:szCs w:val="14"/>
                <w:color w:val="auto"/>
              </w:rPr>
              <w:t>Institute of Nuclear Power Operations</w:t>
            </w:r>
          </w:p>
        </w:tc>
        <w:tc>
          <w:tcPr>
            <w:tcW w:w="1240" w:type="dxa"/>
            <w:vAlign w:val="bottom"/>
            <w:tcBorders>
              <w:bottom w:val="single" w:sz="8" w:color="959595"/>
            </w:tcBorders>
          </w:tcPr>
          <w:p>
            <w:pPr>
              <w:spacing w:after="0"/>
              <w:rPr>
                <w:sz w:val="16"/>
                <w:szCs w:val="16"/>
                <w:color w:val="auto"/>
              </w:rPr>
            </w:pPr>
          </w:p>
        </w:tc>
        <w:tc>
          <w:tcPr>
            <w:tcW w:w="2680" w:type="dxa"/>
            <w:vAlign w:val="bottom"/>
            <w:tcBorders>
              <w:bottom w:val="single" w:sz="8" w:color="959595"/>
            </w:tcBorders>
          </w:tcPr>
          <w:p>
            <w:pPr>
              <w:spacing w:after="0"/>
              <w:rPr>
                <w:sz w:val="16"/>
                <w:szCs w:val="16"/>
                <w:color w:val="auto"/>
              </w:rPr>
            </w:pPr>
          </w:p>
        </w:tc>
        <w:tc>
          <w:tcPr>
            <w:tcW w:w="580" w:type="dxa"/>
            <w:vAlign w:val="bottom"/>
            <w:tcBorders>
              <w:bottom w:val="single" w:sz="8" w:color="959595"/>
            </w:tcBorders>
          </w:tcPr>
          <w:p>
            <w:pPr>
              <w:spacing w:after="0"/>
              <w:rPr>
                <w:sz w:val="16"/>
                <w:szCs w:val="16"/>
                <w:color w:val="auto"/>
              </w:rPr>
            </w:pPr>
          </w:p>
        </w:tc>
        <w:tc>
          <w:tcPr>
            <w:tcW w:w="560" w:type="dxa"/>
            <w:vAlign w:val="bottom"/>
            <w:tcBorders>
              <w:bottom w:val="single" w:sz="8" w:color="959595"/>
            </w:tcBorders>
          </w:tcPr>
          <w:p>
            <w:pPr>
              <w:spacing w:after="0"/>
              <w:rPr>
                <w:sz w:val="16"/>
                <w:szCs w:val="16"/>
                <w:color w:val="auto"/>
              </w:rPr>
            </w:pPr>
          </w:p>
        </w:tc>
        <w:tc>
          <w:tcPr>
            <w:tcW w:w="560" w:type="dxa"/>
            <w:vAlign w:val="bottom"/>
            <w:tcBorders>
              <w:bottom w:val="single" w:sz="8" w:color="959595"/>
            </w:tcBorders>
          </w:tcPr>
          <w:p>
            <w:pPr>
              <w:spacing w:after="0"/>
              <w:rPr>
                <w:sz w:val="16"/>
                <w:szCs w:val="16"/>
                <w:color w:val="auto"/>
              </w:rPr>
            </w:pPr>
          </w:p>
        </w:tc>
        <w:tc>
          <w:tcPr>
            <w:tcW w:w="600" w:type="dxa"/>
            <w:vAlign w:val="bottom"/>
            <w:tcBorders>
              <w:bottom w:val="single" w:sz="8" w:color="959595"/>
            </w:tcBorders>
          </w:tcPr>
          <w:p>
            <w:pPr>
              <w:spacing w:after="0"/>
              <w:rPr>
                <w:sz w:val="16"/>
                <w:szCs w:val="16"/>
                <w:color w:val="auto"/>
              </w:rPr>
            </w:pPr>
          </w:p>
        </w:tc>
        <w:tc>
          <w:tcPr>
            <w:tcW w:w="540" w:type="dxa"/>
            <w:vAlign w:val="bottom"/>
            <w:tcBorders>
              <w:bottom w:val="single" w:sz="8" w:color="959595"/>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660" w:type="dxa"/>
            <w:vAlign w:val="bottom"/>
          </w:tcPr>
          <w:p>
            <w:pPr>
              <w:ind w:left="540"/>
              <w:spacing w:after="0"/>
              <w:rPr>
                <w:sz w:val="20"/>
                <w:szCs w:val="20"/>
                <w:color w:val="auto"/>
              </w:rPr>
            </w:pPr>
            <w:r>
              <w:rPr>
                <w:rFonts w:ascii="Arial" w:cs="Arial" w:eastAsia="Arial" w:hAnsi="Arial"/>
                <w:sz w:val="14"/>
                <w:szCs w:val="14"/>
                <w:color w:val="auto"/>
              </w:rPr>
              <w:t xml:space="preserve">Thomas J. Falk, 60, </w:t>
            </w:r>
            <w:r>
              <w:rPr>
                <w:rFonts w:ascii="Arial" w:cs="Arial" w:eastAsia="Arial" w:hAnsi="Arial"/>
                <w:sz w:val="14"/>
                <w:szCs w:val="14"/>
                <w:b w:val="1"/>
                <w:bCs w:val="1"/>
                <w:color w:val="auto"/>
              </w:rPr>
              <w:t>Independent</w:t>
            </w:r>
          </w:p>
        </w:tc>
        <w:tc>
          <w:tcPr>
            <w:tcW w:w="12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580" w:type="dxa"/>
            <w:vAlign w:val="bottom"/>
            <w:vMerge w:val="restart"/>
          </w:tcPr>
          <w:p>
            <w:pPr>
              <w:jc w:val="center"/>
              <w:spacing w:after="0"/>
              <w:rPr>
                <w:sz w:val="20"/>
                <w:szCs w:val="20"/>
                <w:color w:val="auto"/>
              </w:rPr>
            </w:pPr>
            <w:r>
              <w:rPr>
                <w:rFonts w:ascii="Arial" w:cs="Arial" w:eastAsia="Arial" w:hAnsi="Arial"/>
                <w:sz w:val="25"/>
                <w:szCs w:val="25"/>
                <w:color w:val="003478"/>
                <w:w w:val="92"/>
              </w:rPr>
              <w:t>○</w:t>
            </w:r>
          </w:p>
        </w:tc>
        <w:tc>
          <w:tcPr>
            <w:tcW w:w="560" w:type="dxa"/>
            <w:vAlign w:val="bottom"/>
          </w:tcPr>
          <w:p>
            <w:pPr>
              <w:spacing w:after="0"/>
              <w:rPr>
                <w:sz w:val="14"/>
                <w:szCs w:val="14"/>
                <w:color w:val="auto"/>
              </w:rPr>
            </w:pPr>
          </w:p>
        </w:tc>
        <w:tc>
          <w:tcPr>
            <w:tcW w:w="560" w:type="dxa"/>
            <w:vAlign w:val="bottom"/>
            <w:vMerge w:val="restart"/>
          </w:tcPr>
          <w:p>
            <w:pPr>
              <w:jc w:val="center"/>
              <w:spacing w:after="0"/>
              <w:rPr>
                <w:sz w:val="20"/>
                <w:szCs w:val="20"/>
                <w:color w:val="auto"/>
              </w:rPr>
            </w:pPr>
            <w:r>
              <w:rPr>
                <w:rFonts w:ascii="Arial" w:cs="Arial" w:eastAsia="Arial" w:hAnsi="Arial"/>
                <w:sz w:val="25"/>
                <w:szCs w:val="25"/>
                <w:color w:val="003478"/>
              </w:rPr>
              <w:t>●</w:t>
            </w: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60" w:type="dxa"/>
            <w:vAlign w:val="bottom"/>
          </w:tcPr>
          <w:p>
            <w:pPr>
              <w:ind w:left="540"/>
              <w:spacing w:after="0"/>
              <w:rPr>
                <w:sz w:val="20"/>
                <w:szCs w:val="20"/>
                <w:color w:val="auto"/>
              </w:rPr>
            </w:pPr>
            <w:r>
              <w:rPr>
                <w:rFonts w:ascii="Arial" w:cs="Arial" w:eastAsia="Arial" w:hAnsi="Arial"/>
                <w:sz w:val="14"/>
                <w:szCs w:val="14"/>
                <w:color w:val="auto"/>
              </w:rPr>
              <w:t>Executive Chairman of</w:t>
            </w:r>
          </w:p>
        </w:tc>
        <w:tc>
          <w:tcPr>
            <w:tcW w:w="1240" w:type="dxa"/>
            <w:vAlign w:val="bottom"/>
          </w:tcPr>
          <w:p>
            <w:pPr>
              <w:ind w:left="660"/>
              <w:spacing w:after="0"/>
              <w:rPr>
                <w:sz w:val="20"/>
                <w:szCs w:val="20"/>
                <w:color w:val="auto"/>
              </w:rPr>
            </w:pPr>
            <w:r>
              <w:rPr>
                <w:rFonts w:ascii="Arial" w:cs="Arial" w:eastAsia="Arial" w:hAnsi="Arial"/>
                <w:sz w:val="14"/>
                <w:szCs w:val="14"/>
                <w:color w:val="auto"/>
              </w:rPr>
              <w:t>2010</w:t>
            </w:r>
          </w:p>
        </w:tc>
        <w:tc>
          <w:tcPr>
            <w:tcW w:w="2680" w:type="dxa"/>
            <w:vAlign w:val="bottom"/>
          </w:tcPr>
          <w:p>
            <w:pPr>
              <w:ind w:left="220"/>
              <w:spacing w:after="0"/>
              <w:rPr>
                <w:sz w:val="20"/>
                <w:szCs w:val="20"/>
                <w:color w:val="auto"/>
              </w:rPr>
            </w:pPr>
            <w:r>
              <w:rPr>
                <w:rFonts w:ascii="Arial" w:cs="Arial" w:eastAsia="Arial" w:hAnsi="Arial"/>
                <w:sz w:val="14"/>
                <w:szCs w:val="14"/>
                <w:color w:val="auto"/>
              </w:rPr>
              <w:t>Kimberly-Clark Corporation</w:t>
            </w:r>
          </w:p>
        </w:tc>
        <w:tc>
          <w:tcPr>
            <w:tcW w:w="58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60" w:type="dxa"/>
            <w:vAlign w:val="bottom"/>
            <w:tcBorders>
              <w:bottom w:val="single" w:sz="8" w:color="959595"/>
            </w:tcBorders>
          </w:tcPr>
          <w:p>
            <w:pPr>
              <w:ind w:left="540"/>
              <w:spacing w:after="0"/>
              <w:rPr>
                <w:sz w:val="20"/>
                <w:szCs w:val="20"/>
                <w:color w:val="auto"/>
              </w:rPr>
            </w:pPr>
            <w:r>
              <w:rPr>
                <w:rFonts w:ascii="Arial" w:cs="Arial" w:eastAsia="Arial" w:hAnsi="Arial"/>
                <w:sz w:val="14"/>
                <w:szCs w:val="14"/>
                <w:color w:val="auto"/>
              </w:rPr>
              <w:t>Kimberly-Clark Corporation</w:t>
            </w:r>
          </w:p>
        </w:tc>
        <w:tc>
          <w:tcPr>
            <w:tcW w:w="1240" w:type="dxa"/>
            <w:vAlign w:val="bottom"/>
            <w:tcBorders>
              <w:bottom w:val="single" w:sz="8" w:color="959595"/>
            </w:tcBorders>
          </w:tcPr>
          <w:p>
            <w:pPr>
              <w:spacing w:after="0"/>
              <w:rPr>
                <w:sz w:val="16"/>
                <w:szCs w:val="16"/>
                <w:color w:val="auto"/>
              </w:rPr>
            </w:pPr>
          </w:p>
        </w:tc>
        <w:tc>
          <w:tcPr>
            <w:tcW w:w="2680" w:type="dxa"/>
            <w:vAlign w:val="bottom"/>
            <w:tcBorders>
              <w:bottom w:val="single" w:sz="8" w:color="959595"/>
            </w:tcBorders>
          </w:tcPr>
          <w:p>
            <w:pPr>
              <w:spacing w:after="0"/>
              <w:rPr>
                <w:sz w:val="16"/>
                <w:szCs w:val="16"/>
                <w:color w:val="auto"/>
              </w:rPr>
            </w:pPr>
          </w:p>
        </w:tc>
        <w:tc>
          <w:tcPr>
            <w:tcW w:w="580" w:type="dxa"/>
            <w:vAlign w:val="bottom"/>
            <w:tcBorders>
              <w:bottom w:val="single" w:sz="8" w:color="959595"/>
            </w:tcBorders>
          </w:tcPr>
          <w:p>
            <w:pPr>
              <w:spacing w:after="0"/>
              <w:rPr>
                <w:sz w:val="16"/>
                <w:szCs w:val="16"/>
                <w:color w:val="auto"/>
              </w:rPr>
            </w:pPr>
          </w:p>
        </w:tc>
        <w:tc>
          <w:tcPr>
            <w:tcW w:w="560" w:type="dxa"/>
            <w:vAlign w:val="bottom"/>
            <w:tcBorders>
              <w:bottom w:val="single" w:sz="8" w:color="959595"/>
            </w:tcBorders>
          </w:tcPr>
          <w:p>
            <w:pPr>
              <w:spacing w:after="0"/>
              <w:rPr>
                <w:sz w:val="16"/>
                <w:szCs w:val="16"/>
                <w:color w:val="auto"/>
              </w:rPr>
            </w:pPr>
          </w:p>
        </w:tc>
        <w:tc>
          <w:tcPr>
            <w:tcW w:w="560" w:type="dxa"/>
            <w:vAlign w:val="bottom"/>
            <w:tcBorders>
              <w:bottom w:val="single" w:sz="8" w:color="959595"/>
            </w:tcBorders>
          </w:tcPr>
          <w:p>
            <w:pPr>
              <w:spacing w:after="0"/>
              <w:rPr>
                <w:sz w:val="16"/>
                <w:szCs w:val="16"/>
                <w:color w:val="auto"/>
              </w:rPr>
            </w:pPr>
          </w:p>
        </w:tc>
        <w:tc>
          <w:tcPr>
            <w:tcW w:w="600" w:type="dxa"/>
            <w:vAlign w:val="bottom"/>
            <w:tcBorders>
              <w:bottom w:val="single" w:sz="8" w:color="959595"/>
            </w:tcBorders>
          </w:tcPr>
          <w:p>
            <w:pPr>
              <w:spacing w:after="0"/>
              <w:rPr>
                <w:sz w:val="16"/>
                <w:szCs w:val="16"/>
                <w:color w:val="auto"/>
              </w:rPr>
            </w:pPr>
          </w:p>
        </w:tc>
        <w:tc>
          <w:tcPr>
            <w:tcW w:w="540" w:type="dxa"/>
            <w:vAlign w:val="bottom"/>
            <w:tcBorders>
              <w:bottom w:val="single" w:sz="8" w:color="959595"/>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660" w:type="dxa"/>
            <w:vAlign w:val="bottom"/>
          </w:tcPr>
          <w:p>
            <w:pPr>
              <w:ind w:left="540"/>
              <w:spacing w:after="0"/>
              <w:rPr>
                <w:sz w:val="20"/>
                <w:szCs w:val="20"/>
                <w:color w:val="auto"/>
              </w:rPr>
            </w:pPr>
            <w:r>
              <w:rPr>
                <w:rFonts w:ascii="Arial" w:cs="Arial" w:eastAsia="Arial" w:hAnsi="Arial"/>
                <w:sz w:val="14"/>
                <w:szCs w:val="14"/>
                <w:color w:val="auto"/>
              </w:rPr>
              <w:t xml:space="preserve">Ilene S. Gordon, 65, </w:t>
            </w:r>
            <w:r>
              <w:rPr>
                <w:rFonts w:ascii="Arial" w:cs="Arial" w:eastAsia="Arial" w:hAnsi="Arial"/>
                <w:sz w:val="14"/>
                <w:szCs w:val="14"/>
                <w:b w:val="1"/>
                <w:bCs w:val="1"/>
                <w:color w:val="auto"/>
              </w:rPr>
              <w:t>Independent</w:t>
            </w:r>
          </w:p>
        </w:tc>
        <w:tc>
          <w:tcPr>
            <w:tcW w:w="12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580" w:type="dxa"/>
            <w:vAlign w:val="bottom"/>
            <w:vMerge w:val="restart"/>
          </w:tcPr>
          <w:p>
            <w:pPr>
              <w:jc w:val="center"/>
              <w:spacing w:after="0"/>
              <w:rPr>
                <w:sz w:val="20"/>
                <w:szCs w:val="20"/>
                <w:color w:val="auto"/>
              </w:rPr>
            </w:pPr>
            <w:r>
              <w:rPr>
                <w:rFonts w:ascii="Arial" w:cs="Arial" w:eastAsia="Arial" w:hAnsi="Arial"/>
                <w:sz w:val="25"/>
                <w:szCs w:val="25"/>
                <w:color w:val="003478"/>
                <w:w w:val="92"/>
              </w:rPr>
              <w:t>●</w:t>
            </w:r>
          </w:p>
        </w:tc>
        <w:tc>
          <w:tcPr>
            <w:tcW w:w="560" w:type="dxa"/>
            <w:vAlign w:val="bottom"/>
          </w:tcPr>
          <w:p>
            <w:pPr>
              <w:spacing w:after="0"/>
              <w:rPr>
                <w:sz w:val="14"/>
                <w:szCs w:val="14"/>
                <w:color w:val="auto"/>
              </w:rPr>
            </w:pPr>
          </w:p>
        </w:tc>
        <w:tc>
          <w:tcPr>
            <w:tcW w:w="560" w:type="dxa"/>
            <w:vAlign w:val="bottom"/>
            <w:vMerge w:val="restart"/>
          </w:tcPr>
          <w:p>
            <w:pPr>
              <w:jc w:val="center"/>
              <w:spacing w:after="0"/>
              <w:rPr>
                <w:sz w:val="20"/>
                <w:szCs w:val="20"/>
                <w:color w:val="auto"/>
              </w:rPr>
            </w:pPr>
            <w:r>
              <w:rPr>
                <w:rFonts w:ascii="Arial" w:cs="Arial" w:eastAsia="Arial" w:hAnsi="Arial"/>
                <w:sz w:val="25"/>
                <w:szCs w:val="25"/>
                <w:color w:val="003478"/>
              </w:rPr>
              <w:t>●</w:t>
            </w: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60" w:type="dxa"/>
            <w:vAlign w:val="bottom"/>
          </w:tcPr>
          <w:p>
            <w:pPr>
              <w:ind w:left="540"/>
              <w:spacing w:after="0"/>
              <w:rPr>
                <w:sz w:val="20"/>
                <w:szCs w:val="20"/>
                <w:color w:val="auto"/>
              </w:rPr>
            </w:pPr>
            <w:r>
              <w:rPr>
                <w:rFonts w:ascii="Arial" w:cs="Arial" w:eastAsia="Arial" w:hAnsi="Arial"/>
                <w:sz w:val="14"/>
                <w:szCs w:val="14"/>
                <w:color w:val="auto"/>
              </w:rPr>
              <w:t>Retired Chairman and Chief Executive Officer of</w:t>
            </w:r>
          </w:p>
        </w:tc>
        <w:tc>
          <w:tcPr>
            <w:tcW w:w="1240" w:type="dxa"/>
            <w:vAlign w:val="bottom"/>
          </w:tcPr>
          <w:p>
            <w:pPr>
              <w:ind w:left="660"/>
              <w:spacing w:after="0"/>
              <w:rPr>
                <w:sz w:val="20"/>
                <w:szCs w:val="20"/>
                <w:color w:val="auto"/>
              </w:rPr>
            </w:pPr>
            <w:r>
              <w:rPr>
                <w:rFonts w:ascii="Arial" w:cs="Arial" w:eastAsia="Arial" w:hAnsi="Arial"/>
                <w:sz w:val="14"/>
                <w:szCs w:val="14"/>
                <w:color w:val="auto"/>
              </w:rPr>
              <w:t>2016</w:t>
            </w:r>
          </w:p>
        </w:tc>
        <w:tc>
          <w:tcPr>
            <w:tcW w:w="2680" w:type="dxa"/>
            <w:vAlign w:val="bottom"/>
          </w:tcPr>
          <w:p>
            <w:pPr>
              <w:ind w:left="220"/>
              <w:spacing w:after="0"/>
              <w:rPr>
                <w:sz w:val="20"/>
                <w:szCs w:val="20"/>
                <w:color w:val="auto"/>
              </w:rPr>
            </w:pPr>
            <w:r>
              <w:rPr>
                <w:rFonts w:ascii="Arial" w:cs="Arial" w:eastAsia="Arial" w:hAnsi="Arial"/>
                <w:sz w:val="14"/>
                <w:szCs w:val="14"/>
                <w:color w:val="auto"/>
              </w:rPr>
              <w:t>International Paper Company</w:t>
            </w:r>
          </w:p>
        </w:tc>
        <w:tc>
          <w:tcPr>
            <w:tcW w:w="58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60" w:type="dxa"/>
            <w:vAlign w:val="bottom"/>
            <w:tcBorders>
              <w:bottom w:val="single" w:sz="8" w:color="959595"/>
            </w:tcBorders>
          </w:tcPr>
          <w:p>
            <w:pPr>
              <w:ind w:left="540"/>
              <w:spacing w:after="0"/>
              <w:rPr>
                <w:sz w:val="20"/>
                <w:szCs w:val="20"/>
                <w:color w:val="auto"/>
              </w:rPr>
            </w:pPr>
            <w:r>
              <w:rPr>
                <w:rFonts w:ascii="Arial" w:cs="Arial" w:eastAsia="Arial" w:hAnsi="Arial"/>
                <w:sz w:val="14"/>
                <w:szCs w:val="14"/>
                <w:color w:val="auto"/>
              </w:rPr>
              <w:t>Ingredion Incorporated</w:t>
            </w:r>
          </w:p>
        </w:tc>
        <w:tc>
          <w:tcPr>
            <w:tcW w:w="1240" w:type="dxa"/>
            <w:vAlign w:val="bottom"/>
            <w:tcBorders>
              <w:bottom w:val="single" w:sz="8" w:color="959595"/>
            </w:tcBorders>
          </w:tcPr>
          <w:p>
            <w:pPr>
              <w:spacing w:after="0"/>
              <w:rPr>
                <w:sz w:val="16"/>
                <w:szCs w:val="16"/>
                <w:color w:val="auto"/>
              </w:rPr>
            </w:pPr>
          </w:p>
        </w:tc>
        <w:tc>
          <w:tcPr>
            <w:tcW w:w="2680" w:type="dxa"/>
            <w:vAlign w:val="bottom"/>
            <w:tcBorders>
              <w:bottom w:val="single" w:sz="8" w:color="959595"/>
            </w:tcBorders>
          </w:tcPr>
          <w:p>
            <w:pPr>
              <w:spacing w:after="0"/>
              <w:rPr>
                <w:sz w:val="16"/>
                <w:szCs w:val="16"/>
                <w:color w:val="auto"/>
              </w:rPr>
            </w:pPr>
          </w:p>
        </w:tc>
        <w:tc>
          <w:tcPr>
            <w:tcW w:w="580" w:type="dxa"/>
            <w:vAlign w:val="bottom"/>
            <w:tcBorders>
              <w:bottom w:val="single" w:sz="8" w:color="959595"/>
            </w:tcBorders>
          </w:tcPr>
          <w:p>
            <w:pPr>
              <w:spacing w:after="0"/>
              <w:rPr>
                <w:sz w:val="16"/>
                <w:szCs w:val="16"/>
                <w:color w:val="auto"/>
              </w:rPr>
            </w:pPr>
          </w:p>
        </w:tc>
        <w:tc>
          <w:tcPr>
            <w:tcW w:w="560" w:type="dxa"/>
            <w:vAlign w:val="bottom"/>
            <w:tcBorders>
              <w:bottom w:val="single" w:sz="8" w:color="959595"/>
            </w:tcBorders>
          </w:tcPr>
          <w:p>
            <w:pPr>
              <w:spacing w:after="0"/>
              <w:rPr>
                <w:sz w:val="16"/>
                <w:szCs w:val="16"/>
                <w:color w:val="auto"/>
              </w:rPr>
            </w:pPr>
          </w:p>
        </w:tc>
        <w:tc>
          <w:tcPr>
            <w:tcW w:w="560" w:type="dxa"/>
            <w:vAlign w:val="bottom"/>
            <w:tcBorders>
              <w:bottom w:val="single" w:sz="8" w:color="959595"/>
            </w:tcBorders>
          </w:tcPr>
          <w:p>
            <w:pPr>
              <w:spacing w:after="0"/>
              <w:rPr>
                <w:sz w:val="16"/>
                <w:szCs w:val="16"/>
                <w:color w:val="auto"/>
              </w:rPr>
            </w:pPr>
          </w:p>
        </w:tc>
        <w:tc>
          <w:tcPr>
            <w:tcW w:w="600" w:type="dxa"/>
            <w:vAlign w:val="bottom"/>
            <w:tcBorders>
              <w:bottom w:val="single" w:sz="8" w:color="959595"/>
            </w:tcBorders>
          </w:tcPr>
          <w:p>
            <w:pPr>
              <w:spacing w:after="0"/>
              <w:rPr>
                <w:sz w:val="16"/>
                <w:szCs w:val="16"/>
                <w:color w:val="auto"/>
              </w:rPr>
            </w:pPr>
          </w:p>
        </w:tc>
        <w:tc>
          <w:tcPr>
            <w:tcW w:w="540" w:type="dxa"/>
            <w:vAlign w:val="bottom"/>
            <w:tcBorders>
              <w:bottom w:val="single" w:sz="8" w:color="959595"/>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660" w:type="dxa"/>
            <w:vAlign w:val="bottom"/>
          </w:tcPr>
          <w:p>
            <w:pPr>
              <w:ind w:left="540"/>
              <w:spacing w:after="0"/>
              <w:rPr>
                <w:sz w:val="20"/>
                <w:szCs w:val="20"/>
                <w:color w:val="auto"/>
              </w:rPr>
            </w:pPr>
            <w:r>
              <w:rPr>
                <w:rFonts w:ascii="Arial" w:cs="Arial" w:eastAsia="Arial" w:hAnsi="Arial"/>
                <w:sz w:val="14"/>
                <w:szCs w:val="14"/>
                <w:color w:val="auto"/>
              </w:rPr>
              <w:t>Marillyn A. Hewson, 65</w:t>
            </w:r>
          </w:p>
        </w:tc>
        <w:tc>
          <w:tcPr>
            <w:tcW w:w="1240" w:type="dxa"/>
            <w:vAlign w:val="bottom"/>
          </w:tcPr>
          <w:p>
            <w:pPr>
              <w:spacing w:after="0"/>
              <w:rPr>
                <w:sz w:val="14"/>
                <w:szCs w:val="14"/>
                <w:color w:val="auto"/>
              </w:rPr>
            </w:pPr>
          </w:p>
        </w:tc>
        <w:tc>
          <w:tcPr>
            <w:tcW w:w="2680" w:type="dxa"/>
            <w:vAlign w:val="bottom"/>
            <w:vMerge w:val="restart"/>
          </w:tcPr>
          <w:p>
            <w:pPr>
              <w:ind w:left="220"/>
              <w:spacing w:after="0"/>
              <w:rPr>
                <w:sz w:val="20"/>
                <w:szCs w:val="20"/>
                <w:color w:val="auto"/>
              </w:rPr>
            </w:pPr>
            <w:r>
              <w:rPr>
                <w:rFonts w:ascii="Arial" w:cs="Arial" w:eastAsia="Arial" w:hAnsi="Arial"/>
                <w:sz w:val="14"/>
                <w:szCs w:val="14"/>
                <w:color w:val="auto"/>
              </w:rPr>
              <w:t>DowDuPont Inc. (until March 31,</w:t>
            </w: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4660" w:type="dxa"/>
            <w:vAlign w:val="bottom"/>
            <w:vMerge w:val="restart"/>
          </w:tcPr>
          <w:p>
            <w:pPr>
              <w:ind w:left="540"/>
              <w:spacing w:after="0"/>
              <w:rPr>
                <w:sz w:val="20"/>
                <w:szCs w:val="20"/>
                <w:color w:val="auto"/>
              </w:rPr>
            </w:pPr>
            <w:r>
              <w:rPr>
                <w:rFonts w:ascii="Arial" w:cs="Arial" w:eastAsia="Arial" w:hAnsi="Arial"/>
                <w:sz w:val="14"/>
                <w:szCs w:val="14"/>
                <w:color w:val="auto"/>
              </w:rPr>
              <w:t>Chairman, President and Chief Executive Officer of</w:t>
            </w:r>
          </w:p>
        </w:tc>
        <w:tc>
          <w:tcPr>
            <w:tcW w:w="1240" w:type="dxa"/>
            <w:vAlign w:val="bottom"/>
            <w:vMerge w:val="restart"/>
          </w:tcPr>
          <w:p>
            <w:pPr>
              <w:ind w:left="660"/>
              <w:spacing w:after="0"/>
              <w:rPr>
                <w:sz w:val="20"/>
                <w:szCs w:val="20"/>
                <w:color w:val="auto"/>
              </w:rPr>
            </w:pPr>
            <w:r>
              <w:rPr>
                <w:rFonts w:ascii="Arial" w:cs="Arial" w:eastAsia="Arial" w:hAnsi="Arial"/>
                <w:sz w:val="14"/>
                <w:szCs w:val="14"/>
                <w:color w:val="auto"/>
              </w:rPr>
              <w:t>2012</w:t>
            </w:r>
          </w:p>
        </w:tc>
        <w:tc>
          <w:tcPr>
            <w:tcW w:w="268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4660" w:type="dxa"/>
            <w:vAlign w:val="bottom"/>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2680" w:type="dxa"/>
            <w:vAlign w:val="bottom"/>
            <w:vMerge w:val="restart"/>
          </w:tcPr>
          <w:p>
            <w:pPr>
              <w:ind w:left="220"/>
              <w:spacing w:after="0"/>
              <w:rPr>
                <w:sz w:val="20"/>
                <w:szCs w:val="20"/>
                <w:color w:val="auto"/>
              </w:rPr>
            </w:pPr>
            <w:r>
              <w:rPr>
                <w:rFonts w:ascii="Arial" w:cs="Arial" w:eastAsia="Arial" w:hAnsi="Arial"/>
                <w:sz w:val="14"/>
                <w:szCs w:val="14"/>
                <w:color w:val="auto"/>
              </w:rPr>
              <w:t>2019)</w:t>
            </w: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4660" w:type="dxa"/>
            <w:vAlign w:val="bottom"/>
            <w:vMerge w:val="restart"/>
          </w:tcPr>
          <w:p>
            <w:pPr>
              <w:ind w:left="540"/>
              <w:spacing w:after="0"/>
              <w:rPr>
                <w:sz w:val="20"/>
                <w:szCs w:val="20"/>
                <w:color w:val="auto"/>
              </w:rPr>
            </w:pPr>
            <w:r>
              <w:rPr>
                <w:rFonts w:ascii="Arial" w:cs="Arial" w:eastAsia="Arial" w:hAnsi="Arial"/>
                <w:sz w:val="14"/>
                <w:szCs w:val="14"/>
                <w:color w:val="auto"/>
              </w:rPr>
              <w:t>Lockheed Martin Corporation</w:t>
            </w:r>
          </w:p>
        </w:tc>
        <w:tc>
          <w:tcPr>
            <w:tcW w:w="1240" w:type="dxa"/>
            <w:vAlign w:val="bottom"/>
          </w:tcPr>
          <w:p>
            <w:pPr>
              <w:spacing w:after="0"/>
              <w:rPr>
                <w:sz w:val="9"/>
                <w:szCs w:val="9"/>
                <w:color w:val="auto"/>
              </w:rPr>
            </w:pPr>
          </w:p>
        </w:tc>
        <w:tc>
          <w:tcPr>
            <w:tcW w:w="268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4660" w:type="dxa"/>
            <w:vAlign w:val="bottom"/>
            <w:tcBorders>
              <w:bottom w:val="single" w:sz="8" w:color="959595"/>
            </w:tcBorders>
            <w:vMerge w:val="continue"/>
          </w:tcPr>
          <w:p>
            <w:pPr>
              <w:spacing w:after="0"/>
              <w:rPr>
                <w:sz w:val="7"/>
                <w:szCs w:val="7"/>
                <w:color w:val="auto"/>
              </w:rPr>
            </w:pPr>
          </w:p>
        </w:tc>
        <w:tc>
          <w:tcPr>
            <w:tcW w:w="1240" w:type="dxa"/>
            <w:vAlign w:val="bottom"/>
            <w:tcBorders>
              <w:bottom w:val="single" w:sz="8" w:color="959595"/>
            </w:tcBorders>
          </w:tcPr>
          <w:p>
            <w:pPr>
              <w:spacing w:after="0"/>
              <w:rPr>
                <w:sz w:val="7"/>
                <w:szCs w:val="7"/>
                <w:color w:val="auto"/>
              </w:rPr>
            </w:pPr>
          </w:p>
        </w:tc>
        <w:tc>
          <w:tcPr>
            <w:tcW w:w="2680" w:type="dxa"/>
            <w:vAlign w:val="bottom"/>
            <w:tcBorders>
              <w:bottom w:val="single" w:sz="8" w:color="959595"/>
            </w:tcBorders>
          </w:tcPr>
          <w:p>
            <w:pPr>
              <w:spacing w:after="0"/>
              <w:rPr>
                <w:sz w:val="7"/>
                <w:szCs w:val="7"/>
                <w:color w:val="auto"/>
              </w:rPr>
            </w:pPr>
          </w:p>
        </w:tc>
        <w:tc>
          <w:tcPr>
            <w:tcW w:w="580" w:type="dxa"/>
            <w:vAlign w:val="bottom"/>
            <w:tcBorders>
              <w:bottom w:val="single" w:sz="8" w:color="959595"/>
            </w:tcBorders>
          </w:tcPr>
          <w:p>
            <w:pPr>
              <w:spacing w:after="0"/>
              <w:rPr>
                <w:sz w:val="7"/>
                <w:szCs w:val="7"/>
                <w:color w:val="auto"/>
              </w:rPr>
            </w:pPr>
          </w:p>
        </w:tc>
        <w:tc>
          <w:tcPr>
            <w:tcW w:w="560" w:type="dxa"/>
            <w:vAlign w:val="bottom"/>
            <w:tcBorders>
              <w:bottom w:val="single" w:sz="8" w:color="959595"/>
            </w:tcBorders>
          </w:tcPr>
          <w:p>
            <w:pPr>
              <w:spacing w:after="0"/>
              <w:rPr>
                <w:sz w:val="7"/>
                <w:szCs w:val="7"/>
                <w:color w:val="auto"/>
              </w:rPr>
            </w:pPr>
          </w:p>
        </w:tc>
        <w:tc>
          <w:tcPr>
            <w:tcW w:w="560" w:type="dxa"/>
            <w:vAlign w:val="bottom"/>
            <w:tcBorders>
              <w:bottom w:val="single" w:sz="8" w:color="959595"/>
            </w:tcBorders>
          </w:tcPr>
          <w:p>
            <w:pPr>
              <w:spacing w:after="0"/>
              <w:rPr>
                <w:sz w:val="7"/>
                <w:szCs w:val="7"/>
                <w:color w:val="auto"/>
              </w:rPr>
            </w:pPr>
          </w:p>
        </w:tc>
        <w:tc>
          <w:tcPr>
            <w:tcW w:w="600" w:type="dxa"/>
            <w:vAlign w:val="bottom"/>
            <w:tcBorders>
              <w:bottom w:val="single" w:sz="8" w:color="959595"/>
            </w:tcBorders>
          </w:tcPr>
          <w:p>
            <w:pPr>
              <w:spacing w:after="0"/>
              <w:rPr>
                <w:sz w:val="7"/>
                <w:szCs w:val="7"/>
                <w:color w:val="auto"/>
              </w:rPr>
            </w:pPr>
          </w:p>
        </w:tc>
        <w:tc>
          <w:tcPr>
            <w:tcW w:w="540" w:type="dxa"/>
            <w:vAlign w:val="bottom"/>
            <w:tcBorders>
              <w:bottom w:val="single" w:sz="8" w:color="959595"/>
            </w:tcBorders>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4660" w:type="dxa"/>
            <w:vAlign w:val="bottom"/>
          </w:tcPr>
          <w:p>
            <w:pPr>
              <w:ind w:left="540"/>
              <w:spacing w:after="0"/>
              <w:rPr>
                <w:sz w:val="20"/>
                <w:szCs w:val="20"/>
                <w:color w:val="auto"/>
              </w:rPr>
            </w:pPr>
            <w:r>
              <w:rPr>
                <w:rFonts w:ascii="Arial" w:cs="Arial" w:eastAsia="Arial" w:hAnsi="Arial"/>
                <w:sz w:val="14"/>
                <w:szCs w:val="14"/>
                <w:color w:val="auto"/>
              </w:rPr>
              <w:t xml:space="preserve">Vicki A. Hollub, 59, </w:t>
            </w:r>
            <w:r>
              <w:rPr>
                <w:rFonts w:ascii="Arial" w:cs="Arial" w:eastAsia="Arial" w:hAnsi="Arial"/>
                <w:sz w:val="14"/>
                <w:szCs w:val="14"/>
                <w:b w:val="1"/>
                <w:bCs w:val="1"/>
                <w:color w:val="auto"/>
              </w:rPr>
              <w:t>Independent</w:t>
            </w:r>
          </w:p>
        </w:tc>
        <w:tc>
          <w:tcPr>
            <w:tcW w:w="12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vMerge w:val="restart"/>
          </w:tcPr>
          <w:p>
            <w:pPr>
              <w:jc w:val="center"/>
              <w:spacing w:after="0"/>
              <w:rPr>
                <w:sz w:val="20"/>
                <w:szCs w:val="20"/>
                <w:color w:val="auto"/>
              </w:rPr>
            </w:pPr>
            <w:r>
              <w:rPr>
                <w:rFonts w:ascii="Arial" w:cs="Arial" w:eastAsia="Arial" w:hAnsi="Arial"/>
                <w:sz w:val="25"/>
                <w:szCs w:val="25"/>
                <w:color w:val="003478"/>
              </w:rPr>
              <w:t>●</w:t>
            </w:r>
          </w:p>
        </w:tc>
        <w:tc>
          <w:tcPr>
            <w:tcW w:w="600" w:type="dxa"/>
            <w:vAlign w:val="bottom"/>
            <w:vMerge w:val="restart"/>
          </w:tcPr>
          <w:p>
            <w:pPr>
              <w:jc w:val="center"/>
              <w:spacing w:after="0"/>
              <w:rPr>
                <w:sz w:val="20"/>
                <w:szCs w:val="20"/>
                <w:color w:val="auto"/>
              </w:rPr>
            </w:pPr>
            <w:r>
              <w:rPr>
                <w:rFonts w:ascii="Arial" w:cs="Arial" w:eastAsia="Arial" w:hAnsi="Arial"/>
                <w:sz w:val="25"/>
                <w:szCs w:val="25"/>
                <w:color w:val="003478"/>
                <w:w w:val="92"/>
              </w:rPr>
              <w:t>●</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60" w:type="dxa"/>
            <w:vAlign w:val="bottom"/>
          </w:tcPr>
          <w:p>
            <w:pPr>
              <w:ind w:left="540"/>
              <w:spacing w:after="0"/>
              <w:rPr>
                <w:sz w:val="20"/>
                <w:szCs w:val="20"/>
                <w:color w:val="auto"/>
              </w:rPr>
            </w:pPr>
            <w:r>
              <w:rPr>
                <w:rFonts w:ascii="Arial" w:cs="Arial" w:eastAsia="Arial" w:hAnsi="Arial"/>
                <w:sz w:val="14"/>
                <w:szCs w:val="14"/>
                <w:color w:val="auto"/>
              </w:rPr>
              <w:t>President and Chief Executive Officer of</w:t>
            </w:r>
          </w:p>
        </w:tc>
        <w:tc>
          <w:tcPr>
            <w:tcW w:w="1240" w:type="dxa"/>
            <w:vAlign w:val="bottom"/>
          </w:tcPr>
          <w:p>
            <w:pPr>
              <w:ind w:left="660"/>
              <w:spacing w:after="0"/>
              <w:rPr>
                <w:sz w:val="20"/>
                <w:szCs w:val="20"/>
                <w:color w:val="auto"/>
              </w:rPr>
            </w:pPr>
            <w:r>
              <w:rPr>
                <w:rFonts w:ascii="Arial" w:cs="Arial" w:eastAsia="Arial" w:hAnsi="Arial"/>
                <w:sz w:val="14"/>
                <w:szCs w:val="14"/>
                <w:color w:val="auto"/>
              </w:rPr>
              <w:t>2018</w:t>
            </w:r>
          </w:p>
        </w:tc>
        <w:tc>
          <w:tcPr>
            <w:tcW w:w="2680" w:type="dxa"/>
            <w:vAlign w:val="bottom"/>
          </w:tcPr>
          <w:p>
            <w:pPr>
              <w:ind w:left="220"/>
              <w:spacing w:after="0"/>
              <w:rPr>
                <w:sz w:val="20"/>
                <w:szCs w:val="20"/>
                <w:color w:val="auto"/>
              </w:rPr>
            </w:pPr>
            <w:r>
              <w:rPr>
                <w:rFonts w:ascii="Arial" w:cs="Arial" w:eastAsia="Arial" w:hAnsi="Arial"/>
                <w:sz w:val="14"/>
                <w:szCs w:val="14"/>
                <w:color w:val="auto"/>
              </w:rPr>
              <w:t>Occidental Petroleum Corporation</w:t>
            </w: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60" w:type="dxa"/>
            <w:vAlign w:val="bottom"/>
            <w:tcBorders>
              <w:bottom w:val="single" w:sz="8" w:color="959595"/>
            </w:tcBorders>
          </w:tcPr>
          <w:p>
            <w:pPr>
              <w:ind w:left="540"/>
              <w:spacing w:after="0"/>
              <w:rPr>
                <w:sz w:val="20"/>
                <w:szCs w:val="20"/>
                <w:color w:val="auto"/>
              </w:rPr>
            </w:pPr>
            <w:r>
              <w:rPr>
                <w:rFonts w:ascii="Arial" w:cs="Arial" w:eastAsia="Arial" w:hAnsi="Arial"/>
                <w:sz w:val="14"/>
                <w:szCs w:val="14"/>
                <w:color w:val="auto"/>
              </w:rPr>
              <w:t>Occidental Petroleum Corporation</w:t>
            </w:r>
          </w:p>
        </w:tc>
        <w:tc>
          <w:tcPr>
            <w:tcW w:w="1240" w:type="dxa"/>
            <w:vAlign w:val="bottom"/>
            <w:tcBorders>
              <w:bottom w:val="single" w:sz="8" w:color="959595"/>
            </w:tcBorders>
          </w:tcPr>
          <w:p>
            <w:pPr>
              <w:spacing w:after="0"/>
              <w:rPr>
                <w:sz w:val="16"/>
                <w:szCs w:val="16"/>
                <w:color w:val="auto"/>
              </w:rPr>
            </w:pPr>
          </w:p>
        </w:tc>
        <w:tc>
          <w:tcPr>
            <w:tcW w:w="2680" w:type="dxa"/>
            <w:vAlign w:val="bottom"/>
            <w:tcBorders>
              <w:bottom w:val="single" w:sz="8" w:color="959595"/>
            </w:tcBorders>
          </w:tcPr>
          <w:p>
            <w:pPr>
              <w:spacing w:after="0"/>
              <w:rPr>
                <w:sz w:val="16"/>
                <w:szCs w:val="16"/>
                <w:color w:val="auto"/>
              </w:rPr>
            </w:pPr>
          </w:p>
        </w:tc>
        <w:tc>
          <w:tcPr>
            <w:tcW w:w="580" w:type="dxa"/>
            <w:vAlign w:val="bottom"/>
            <w:tcBorders>
              <w:bottom w:val="single" w:sz="8" w:color="959595"/>
            </w:tcBorders>
          </w:tcPr>
          <w:p>
            <w:pPr>
              <w:spacing w:after="0"/>
              <w:rPr>
                <w:sz w:val="16"/>
                <w:szCs w:val="16"/>
                <w:color w:val="auto"/>
              </w:rPr>
            </w:pPr>
          </w:p>
        </w:tc>
        <w:tc>
          <w:tcPr>
            <w:tcW w:w="560" w:type="dxa"/>
            <w:vAlign w:val="bottom"/>
            <w:tcBorders>
              <w:bottom w:val="single" w:sz="8" w:color="959595"/>
            </w:tcBorders>
          </w:tcPr>
          <w:p>
            <w:pPr>
              <w:spacing w:after="0"/>
              <w:rPr>
                <w:sz w:val="16"/>
                <w:szCs w:val="16"/>
                <w:color w:val="auto"/>
              </w:rPr>
            </w:pPr>
          </w:p>
        </w:tc>
        <w:tc>
          <w:tcPr>
            <w:tcW w:w="560" w:type="dxa"/>
            <w:vAlign w:val="bottom"/>
            <w:tcBorders>
              <w:bottom w:val="single" w:sz="8" w:color="959595"/>
            </w:tcBorders>
          </w:tcPr>
          <w:p>
            <w:pPr>
              <w:spacing w:after="0"/>
              <w:rPr>
                <w:sz w:val="16"/>
                <w:szCs w:val="16"/>
                <w:color w:val="auto"/>
              </w:rPr>
            </w:pPr>
          </w:p>
        </w:tc>
        <w:tc>
          <w:tcPr>
            <w:tcW w:w="600" w:type="dxa"/>
            <w:vAlign w:val="bottom"/>
            <w:tcBorders>
              <w:bottom w:val="single" w:sz="8" w:color="959595"/>
            </w:tcBorders>
          </w:tcPr>
          <w:p>
            <w:pPr>
              <w:spacing w:after="0"/>
              <w:rPr>
                <w:sz w:val="16"/>
                <w:szCs w:val="16"/>
                <w:color w:val="auto"/>
              </w:rPr>
            </w:pPr>
          </w:p>
        </w:tc>
        <w:tc>
          <w:tcPr>
            <w:tcW w:w="540" w:type="dxa"/>
            <w:vAlign w:val="bottom"/>
            <w:tcBorders>
              <w:bottom w:val="single" w:sz="8" w:color="959595"/>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660" w:type="dxa"/>
            <w:vAlign w:val="bottom"/>
          </w:tcPr>
          <w:p>
            <w:pPr>
              <w:ind w:left="540"/>
              <w:spacing w:after="0"/>
              <w:rPr>
                <w:sz w:val="20"/>
                <w:szCs w:val="20"/>
                <w:color w:val="auto"/>
              </w:rPr>
            </w:pPr>
            <w:r>
              <w:rPr>
                <w:rFonts w:ascii="Arial" w:cs="Arial" w:eastAsia="Arial" w:hAnsi="Arial"/>
                <w:sz w:val="14"/>
                <w:szCs w:val="14"/>
                <w:color w:val="auto"/>
              </w:rPr>
              <w:t xml:space="preserve">Jeh C. Johnson, 61, </w:t>
            </w:r>
            <w:r>
              <w:rPr>
                <w:rFonts w:ascii="Arial" w:cs="Arial" w:eastAsia="Arial" w:hAnsi="Arial"/>
                <w:sz w:val="14"/>
                <w:szCs w:val="14"/>
                <w:b w:val="1"/>
                <w:bCs w:val="1"/>
                <w:color w:val="auto"/>
              </w:rPr>
              <w:t>Independent</w:t>
            </w:r>
          </w:p>
        </w:tc>
        <w:tc>
          <w:tcPr>
            <w:tcW w:w="12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vMerge w:val="restart"/>
          </w:tcPr>
          <w:p>
            <w:pPr>
              <w:jc w:val="center"/>
              <w:spacing w:after="0"/>
              <w:rPr>
                <w:sz w:val="20"/>
                <w:szCs w:val="20"/>
                <w:color w:val="auto"/>
              </w:rPr>
            </w:pPr>
            <w:r>
              <w:rPr>
                <w:rFonts w:ascii="Arial" w:cs="Arial" w:eastAsia="Arial" w:hAnsi="Arial"/>
                <w:sz w:val="25"/>
                <w:szCs w:val="25"/>
                <w:color w:val="003478"/>
              </w:rPr>
              <w:t>●</w:t>
            </w:r>
          </w:p>
        </w:tc>
        <w:tc>
          <w:tcPr>
            <w:tcW w:w="560" w:type="dxa"/>
            <w:vAlign w:val="bottom"/>
          </w:tcPr>
          <w:p>
            <w:pPr>
              <w:spacing w:after="0"/>
              <w:rPr>
                <w:sz w:val="14"/>
                <w:szCs w:val="14"/>
                <w:color w:val="auto"/>
              </w:rPr>
            </w:pPr>
          </w:p>
        </w:tc>
        <w:tc>
          <w:tcPr>
            <w:tcW w:w="600" w:type="dxa"/>
            <w:vAlign w:val="bottom"/>
            <w:vMerge w:val="restart"/>
          </w:tcPr>
          <w:p>
            <w:pPr>
              <w:jc w:val="center"/>
              <w:spacing w:after="0"/>
              <w:rPr>
                <w:sz w:val="20"/>
                <w:szCs w:val="20"/>
                <w:color w:val="auto"/>
              </w:rPr>
            </w:pPr>
            <w:r>
              <w:rPr>
                <w:rFonts w:ascii="Arial" w:cs="Arial" w:eastAsia="Arial" w:hAnsi="Arial"/>
                <w:sz w:val="25"/>
                <w:szCs w:val="25"/>
                <w:color w:val="003478"/>
                <w:w w:val="92"/>
              </w:rPr>
              <w:t>●</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60" w:type="dxa"/>
            <w:vAlign w:val="bottom"/>
          </w:tcPr>
          <w:p>
            <w:pPr>
              <w:ind w:left="540"/>
              <w:spacing w:after="0"/>
              <w:rPr>
                <w:sz w:val="20"/>
                <w:szCs w:val="20"/>
                <w:color w:val="auto"/>
              </w:rPr>
            </w:pPr>
            <w:r>
              <w:rPr>
                <w:rFonts w:ascii="Arial" w:cs="Arial" w:eastAsia="Arial" w:hAnsi="Arial"/>
                <w:sz w:val="14"/>
                <w:szCs w:val="14"/>
                <w:color w:val="auto"/>
              </w:rPr>
              <w:t>Partner, Paul, Weiss, Rifkind, Wharton &amp; Garrison LLP</w:t>
            </w:r>
          </w:p>
        </w:tc>
        <w:tc>
          <w:tcPr>
            <w:tcW w:w="1240" w:type="dxa"/>
            <w:vAlign w:val="bottom"/>
          </w:tcPr>
          <w:p>
            <w:pPr>
              <w:ind w:left="660"/>
              <w:spacing w:after="0"/>
              <w:rPr>
                <w:sz w:val="20"/>
                <w:szCs w:val="20"/>
                <w:color w:val="auto"/>
              </w:rPr>
            </w:pPr>
            <w:r>
              <w:rPr>
                <w:rFonts w:ascii="Arial" w:cs="Arial" w:eastAsia="Arial" w:hAnsi="Arial"/>
                <w:sz w:val="14"/>
                <w:szCs w:val="14"/>
                <w:color w:val="auto"/>
              </w:rPr>
              <w:t>2018</w:t>
            </w:r>
          </w:p>
        </w:tc>
        <w:tc>
          <w:tcPr>
            <w:tcW w:w="2680" w:type="dxa"/>
            <w:vAlign w:val="bottom"/>
          </w:tcPr>
          <w:p>
            <w:pPr>
              <w:ind w:left="220"/>
              <w:spacing w:after="0"/>
              <w:rPr>
                <w:sz w:val="20"/>
                <w:szCs w:val="20"/>
                <w:color w:val="auto"/>
              </w:rPr>
            </w:pPr>
            <w:r>
              <w:rPr>
                <w:rFonts w:ascii="Arial" w:cs="Arial" w:eastAsia="Arial" w:hAnsi="Arial"/>
                <w:sz w:val="14"/>
                <w:szCs w:val="14"/>
                <w:color w:val="auto"/>
              </w:rPr>
              <w:t>None</w:t>
            </w:r>
          </w:p>
        </w:tc>
        <w:tc>
          <w:tcPr>
            <w:tcW w:w="5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60" w:type="dxa"/>
            <w:vAlign w:val="bottom"/>
            <w:tcBorders>
              <w:bottom w:val="single" w:sz="8" w:color="959595"/>
            </w:tcBorders>
          </w:tcPr>
          <w:p>
            <w:pPr>
              <w:ind w:left="540"/>
              <w:spacing w:after="0"/>
              <w:rPr>
                <w:sz w:val="20"/>
                <w:szCs w:val="20"/>
                <w:color w:val="auto"/>
              </w:rPr>
            </w:pPr>
            <w:r>
              <w:rPr>
                <w:rFonts w:ascii="Arial" w:cs="Arial" w:eastAsia="Arial" w:hAnsi="Arial"/>
                <w:sz w:val="14"/>
                <w:szCs w:val="14"/>
                <w:color w:val="auto"/>
              </w:rPr>
              <w:t>Former Secretary of Homeland Security</w:t>
            </w:r>
          </w:p>
        </w:tc>
        <w:tc>
          <w:tcPr>
            <w:tcW w:w="1240" w:type="dxa"/>
            <w:vAlign w:val="bottom"/>
            <w:tcBorders>
              <w:bottom w:val="single" w:sz="8" w:color="959595"/>
            </w:tcBorders>
          </w:tcPr>
          <w:p>
            <w:pPr>
              <w:spacing w:after="0"/>
              <w:rPr>
                <w:sz w:val="16"/>
                <w:szCs w:val="16"/>
                <w:color w:val="auto"/>
              </w:rPr>
            </w:pPr>
          </w:p>
        </w:tc>
        <w:tc>
          <w:tcPr>
            <w:tcW w:w="2680" w:type="dxa"/>
            <w:vAlign w:val="bottom"/>
            <w:tcBorders>
              <w:bottom w:val="single" w:sz="8" w:color="959595"/>
            </w:tcBorders>
          </w:tcPr>
          <w:p>
            <w:pPr>
              <w:spacing w:after="0"/>
              <w:rPr>
                <w:sz w:val="16"/>
                <w:szCs w:val="16"/>
                <w:color w:val="auto"/>
              </w:rPr>
            </w:pPr>
          </w:p>
        </w:tc>
        <w:tc>
          <w:tcPr>
            <w:tcW w:w="580" w:type="dxa"/>
            <w:vAlign w:val="bottom"/>
            <w:tcBorders>
              <w:bottom w:val="single" w:sz="8" w:color="959595"/>
            </w:tcBorders>
          </w:tcPr>
          <w:p>
            <w:pPr>
              <w:spacing w:after="0"/>
              <w:rPr>
                <w:sz w:val="16"/>
                <w:szCs w:val="16"/>
                <w:color w:val="auto"/>
              </w:rPr>
            </w:pPr>
          </w:p>
        </w:tc>
        <w:tc>
          <w:tcPr>
            <w:tcW w:w="560" w:type="dxa"/>
            <w:vAlign w:val="bottom"/>
            <w:tcBorders>
              <w:bottom w:val="single" w:sz="8" w:color="959595"/>
            </w:tcBorders>
          </w:tcPr>
          <w:p>
            <w:pPr>
              <w:spacing w:after="0"/>
              <w:rPr>
                <w:sz w:val="16"/>
                <w:szCs w:val="16"/>
                <w:color w:val="auto"/>
              </w:rPr>
            </w:pPr>
          </w:p>
        </w:tc>
        <w:tc>
          <w:tcPr>
            <w:tcW w:w="560" w:type="dxa"/>
            <w:vAlign w:val="bottom"/>
            <w:tcBorders>
              <w:bottom w:val="single" w:sz="8" w:color="959595"/>
            </w:tcBorders>
          </w:tcPr>
          <w:p>
            <w:pPr>
              <w:spacing w:after="0"/>
              <w:rPr>
                <w:sz w:val="16"/>
                <w:szCs w:val="16"/>
                <w:color w:val="auto"/>
              </w:rPr>
            </w:pPr>
          </w:p>
        </w:tc>
        <w:tc>
          <w:tcPr>
            <w:tcW w:w="600" w:type="dxa"/>
            <w:vAlign w:val="bottom"/>
            <w:tcBorders>
              <w:bottom w:val="single" w:sz="8" w:color="959595"/>
            </w:tcBorders>
          </w:tcPr>
          <w:p>
            <w:pPr>
              <w:spacing w:after="0"/>
              <w:rPr>
                <w:sz w:val="16"/>
                <w:szCs w:val="16"/>
                <w:color w:val="auto"/>
              </w:rPr>
            </w:pPr>
          </w:p>
        </w:tc>
        <w:tc>
          <w:tcPr>
            <w:tcW w:w="540" w:type="dxa"/>
            <w:vAlign w:val="bottom"/>
            <w:tcBorders>
              <w:bottom w:val="single" w:sz="8" w:color="959595"/>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660" w:type="dxa"/>
            <w:vAlign w:val="bottom"/>
          </w:tcPr>
          <w:p>
            <w:pPr>
              <w:ind w:left="540"/>
              <w:spacing w:after="0"/>
              <w:rPr>
                <w:sz w:val="20"/>
                <w:szCs w:val="20"/>
                <w:color w:val="auto"/>
              </w:rPr>
            </w:pPr>
            <w:r>
              <w:rPr>
                <w:rFonts w:ascii="Arial" w:cs="Arial" w:eastAsia="Arial" w:hAnsi="Arial"/>
                <w:sz w:val="14"/>
                <w:szCs w:val="14"/>
                <w:color w:val="auto"/>
              </w:rPr>
              <w:t xml:space="preserve">James D. Taiclet, Jr., 58, </w:t>
            </w:r>
            <w:r>
              <w:rPr>
                <w:rFonts w:ascii="Arial" w:cs="Arial" w:eastAsia="Arial" w:hAnsi="Arial"/>
                <w:sz w:val="14"/>
                <w:szCs w:val="14"/>
                <w:b w:val="1"/>
                <w:bCs w:val="1"/>
                <w:color w:val="auto"/>
              </w:rPr>
              <w:t>Independent</w:t>
            </w:r>
          </w:p>
        </w:tc>
        <w:tc>
          <w:tcPr>
            <w:tcW w:w="12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vMerge w:val="restart"/>
          </w:tcPr>
          <w:p>
            <w:pPr>
              <w:jc w:val="center"/>
              <w:spacing w:after="0"/>
              <w:rPr>
                <w:sz w:val="20"/>
                <w:szCs w:val="20"/>
                <w:color w:val="auto"/>
              </w:rPr>
            </w:pPr>
            <w:r>
              <w:rPr>
                <w:rFonts w:ascii="Arial" w:cs="Arial" w:eastAsia="Arial" w:hAnsi="Arial"/>
                <w:sz w:val="25"/>
                <w:szCs w:val="25"/>
                <w:color w:val="003478"/>
                <w:w w:val="92"/>
              </w:rPr>
              <w:t>●</w:t>
            </w:r>
          </w:p>
        </w:tc>
        <w:tc>
          <w:tcPr>
            <w:tcW w:w="540" w:type="dxa"/>
            <w:vAlign w:val="bottom"/>
            <w:vMerge w:val="restart"/>
          </w:tcPr>
          <w:p>
            <w:pPr>
              <w:ind w:left="180"/>
              <w:spacing w:after="0"/>
              <w:rPr>
                <w:sz w:val="20"/>
                <w:szCs w:val="20"/>
                <w:color w:val="auto"/>
              </w:rPr>
            </w:pPr>
            <w:r>
              <w:rPr>
                <w:rFonts w:ascii="Arial" w:cs="Arial" w:eastAsia="Arial" w:hAnsi="Arial"/>
                <w:sz w:val="25"/>
                <w:szCs w:val="25"/>
                <w:color w:val="003478"/>
              </w:rPr>
              <w:t>●</w:t>
            </w:r>
          </w:p>
        </w:tc>
        <w:tc>
          <w:tcPr>
            <w:tcW w:w="0" w:type="dxa"/>
            <w:vAlign w:val="bottom"/>
          </w:tcPr>
          <w:p>
            <w:pPr>
              <w:spacing w:after="0"/>
              <w:rPr>
                <w:sz w:val="1"/>
                <w:szCs w:val="1"/>
                <w:color w:val="auto"/>
              </w:rPr>
            </w:pPr>
          </w:p>
        </w:tc>
      </w:tr>
      <w:tr>
        <w:trPr>
          <w:trHeight w:val="180"/>
        </w:trPr>
        <w:tc>
          <w:tcPr>
            <w:tcW w:w="4660" w:type="dxa"/>
            <w:vAlign w:val="bottom"/>
          </w:tcPr>
          <w:p>
            <w:pPr>
              <w:ind w:left="540"/>
              <w:spacing w:after="0"/>
              <w:rPr>
                <w:sz w:val="20"/>
                <w:szCs w:val="20"/>
                <w:color w:val="auto"/>
              </w:rPr>
            </w:pPr>
            <w:r>
              <w:rPr>
                <w:rFonts w:ascii="Arial" w:cs="Arial" w:eastAsia="Arial" w:hAnsi="Arial"/>
                <w:sz w:val="14"/>
                <w:szCs w:val="14"/>
                <w:color w:val="auto"/>
              </w:rPr>
              <w:t>Chairman, President and Chief Executive Officer of</w:t>
            </w:r>
          </w:p>
        </w:tc>
        <w:tc>
          <w:tcPr>
            <w:tcW w:w="1240" w:type="dxa"/>
            <w:vAlign w:val="bottom"/>
          </w:tcPr>
          <w:p>
            <w:pPr>
              <w:ind w:left="660"/>
              <w:spacing w:after="0"/>
              <w:rPr>
                <w:sz w:val="20"/>
                <w:szCs w:val="20"/>
                <w:color w:val="auto"/>
              </w:rPr>
            </w:pPr>
            <w:r>
              <w:rPr>
                <w:rFonts w:ascii="Arial" w:cs="Arial" w:eastAsia="Arial" w:hAnsi="Arial"/>
                <w:sz w:val="14"/>
                <w:szCs w:val="14"/>
                <w:color w:val="auto"/>
              </w:rPr>
              <w:t>2018</w:t>
            </w:r>
          </w:p>
        </w:tc>
        <w:tc>
          <w:tcPr>
            <w:tcW w:w="2680" w:type="dxa"/>
            <w:vAlign w:val="bottom"/>
          </w:tcPr>
          <w:p>
            <w:pPr>
              <w:ind w:left="220"/>
              <w:spacing w:after="0"/>
              <w:rPr>
                <w:sz w:val="20"/>
                <w:szCs w:val="20"/>
                <w:color w:val="auto"/>
              </w:rPr>
            </w:pPr>
            <w:r>
              <w:rPr>
                <w:rFonts w:ascii="Arial" w:cs="Arial" w:eastAsia="Arial" w:hAnsi="Arial"/>
                <w:sz w:val="14"/>
                <w:szCs w:val="14"/>
                <w:color w:val="auto"/>
              </w:rPr>
              <w:t>American Tower Corporation</w:t>
            </w: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-3543935</wp:posOffset>
            </wp:positionV>
            <wp:extent cx="1800860" cy="36620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00860" cy="36620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-3338195</wp:posOffset>
            </wp:positionV>
            <wp:extent cx="283210" cy="2832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3210" cy="28321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-2987040</wp:posOffset>
            </wp:positionV>
            <wp:extent cx="283210" cy="2832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3210" cy="28321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-2643505</wp:posOffset>
            </wp:positionV>
            <wp:extent cx="283210" cy="27273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3210" cy="272732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4"/>
          <w:szCs w:val="14"/>
          <w:color w:val="auto"/>
        </w:rPr>
        <w:t>American Tower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Member: </w:t>
      </w:r>
      <w:r>
        <w:rPr>
          <w:rFonts w:ascii="Arial" w:cs="Arial" w:eastAsia="Arial" w:hAnsi="Arial"/>
          <w:sz w:val="21"/>
          <w:szCs w:val="21"/>
          <w:color w:val="003478"/>
        </w:rPr>
        <w:t>●</w:t>
      </w:r>
      <w:r>
        <w:rPr>
          <w:rFonts w:ascii="Arial" w:cs="Arial" w:eastAsia="Arial" w:hAnsi="Arial"/>
          <w:sz w:val="17"/>
          <w:szCs w:val="17"/>
          <w:color w:val="auto"/>
        </w:rPr>
        <w:t xml:space="preserve"> Chair: </w:t>
      </w:r>
      <w:r>
        <w:rPr>
          <w:rFonts w:ascii="Arial" w:cs="Arial" w:eastAsia="Arial" w:hAnsi="Arial"/>
          <w:sz w:val="21"/>
          <w:szCs w:val="21"/>
          <w:color w:val="003478"/>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0"/>
          <w:szCs w:val="20"/>
          <w:color w:val="auto"/>
        </w:rPr>
      </w:pPr>
    </w:p>
    <w:p>
      <w:pPr>
        <w:ind w:left="180" w:right="40" w:hanging="172"/>
        <w:spacing w:after="0" w:line="311" w:lineRule="auto"/>
        <w:tabs>
          <w:tab w:leader="none" w:pos="180" w:val="left"/>
        </w:tabs>
        <w:numPr>
          <w:ilvl w:val="0"/>
          <w:numId w:val="7"/>
        </w:numPr>
        <w:rPr>
          <w:rFonts w:ascii="Arial" w:cs="Arial" w:eastAsia="Arial" w:hAnsi="Arial"/>
          <w:sz w:val="14"/>
          <w:szCs w:val="14"/>
          <w:color w:val="auto"/>
        </w:rPr>
      </w:pPr>
      <w:r>
        <w:rPr>
          <w:rFonts w:ascii="Arial" w:cs="Arial" w:eastAsia="Arial" w:hAnsi="Arial"/>
          <w:sz w:val="14"/>
          <w:szCs w:val="14"/>
          <w:color w:val="auto"/>
        </w:rPr>
        <w:t>Effective after the Annual Meeting and assuming their re-election, Mr. Akerson will serve as the Lead Director and chair of the NCG Committee and Mr. Ellis and Ms. Gordon will chair the CBS and MDC Committee, respectively.</w:t>
      </w:r>
    </w:p>
    <w:p>
      <w:pPr>
        <w:sectPr>
          <w:pgSz w:w="11900" w:h="16838" w:orient="portrait"/>
          <w:cols w:equalWidth="0" w:num="1">
            <w:col w:w="11420"/>
          </w:cols>
          <w:pgMar w:left="240" w:top="341" w:right="239" w:bottom="1440" w:gutter="0" w:footer="0" w:header="0"/>
          <w:type w:val="continuous"/>
        </w:sectPr>
      </w:pPr>
    </w:p>
    <w:p>
      <w:pPr>
        <w:spacing w:after="0" w:line="383" w:lineRule="exact"/>
        <w:rPr>
          <w:sz w:val="20"/>
          <w:szCs w:val="20"/>
          <w:color w:val="auto"/>
        </w:rPr>
      </w:pPr>
    </w:p>
    <w:p>
      <w:pPr>
        <w:ind w:left="40"/>
        <w:spacing w:after="0"/>
        <w:tabs>
          <w:tab w:leader="none" w:pos="9420" w:val="left"/>
          <w:tab w:leader="none" w:pos="1130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2019 Proxy Statement</w:t>
      </w:r>
      <w:r>
        <w:rPr>
          <w:sz w:val="20"/>
          <w:szCs w:val="20"/>
          <w:color w:val="auto"/>
        </w:rPr>
        <w:tab/>
      </w:r>
      <w:r>
        <w:rPr>
          <w:rFonts w:ascii="Arial" w:cs="Arial" w:eastAsia="Arial" w:hAnsi="Arial"/>
          <w:sz w:val="14"/>
          <w:szCs w:val="14"/>
          <w:b w:val="1"/>
          <w:bCs w:val="1"/>
          <w:color w:val="808080"/>
        </w:rPr>
        <w:t>3</w:t>
      </w:r>
    </w:p>
    <w:p>
      <w:pPr>
        <w:sectPr>
          <w:pgSz w:w="11900" w:h="16838" w:orient="portrait"/>
          <w:cols w:equalWidth="0" w:num="1">
            <w:col w:w="11420"/>
          </w:cols>
          <w:pgMar w:left="240" w:top="341" w:right="2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5"/>
          <w:szCs w:val="15"/>
          <w:color w:val="003478"/>
        </w:rPr>
        <w:t>Proxy Summary</w:t>
      </w:r>
    </w:p>
    <w:p>
      <w:pPr>
        <w:spacing w:after="0" w:line="334" w:lineRule="exact"/>
        <w:rPr>
          <w:sz w:val="20"/>
          <w:szCs w:val="20"/>
          <w:color w:val="auto"/>
        </w:rPr>
      </w:pPr>
    </w:p>
    <w:p>
      <w:pPr>
        <w:spacing w:after="0"/>
        <w:rPr>
          <w:sz w:val="20"/>
          <w:szCs w:val="20"/>
          <w:color w:val="auto"/>
        </w:rPr>
      </w:pPr>
      <w:r>
        <w:rPr>
          <w:rFonts w:ascii="Arial" w:cs="Arial" w:eastAsia="Arial" w:hAnsi="Arial"/>
          <w:sz w:val="29"/>
          <w:szCs w:val="29"/>
          <w:b w:val="1"/>
          <w:bCs w:val="1"/>
          <w:color w:val="012E6C"/>
        </w:rPr>
        <w:t>Board Composition, Skills and Qualifications (10 Director-Nominees)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246620" cy="36360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363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140"/>
        <w:spacing w:after="0"/>
        <w:rPr>
          <w:sz w:val="20"/>
          <w:szCs w:val="20"/>
          <w:color w:val="auto"/>
        </w:rPr>
      </w:pPr>
      <w:r>
        <w:rPr>
          <w:rFonts w:ascii="Arial" w:cs="Arial" w:eastAsia="Arial" w:hAnsi="Arial"/>
          <w:sz w:val="17"/>
          <w:szCs w:val="17"/>
          <w:color w:val="012E6C"/>
        </w:rPr>
        <w:t>CEO Leadership Experience</w:t>
      </w:r>
    </w:p>
    <w:p>
      <w:pPr>
        <w:spacing w:after="0" w:line="115"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 xml:space="preserve">Directors </w:t>
      </w:r>
      <w:r>
        <w:rPr>
          <w:rFonts w:ascii="Arial" w:cs="Arial" w:eastAsia="Arial" w:hAnsi="Arial"/>
          <w:sz w:val="15"/>
          <w:szCs w:val="15"/>
          <w:color w:val="auto"/>
        </w:rPr>
        <w:t>are current or former public company CEOs who add to the effectiveness of</w:t>
      </w:r>
    </w:p>
    <w:p>
      <w:pPr>
        <w:spacing w:after="0" w:line="35" w:lineRule="exact"/>
        <w:rPr>
          <w:sz w:val="20"/>
          <w:szCs w:val="20"/>
          <w:color w:val="auto"/>
        </w:rPr>
      </w:pPr>
    </w:p>
    <w:p>
      <w:pPr>
        <w:ind w:left="5520" w:right="600" w:hanging="380"/>
        <w:spacing w:after="0" w:line="183" w:lineRule="auto"/>
        <w:tabs>
          <w:tab w:leader="none" w:pos="5520" w:val="left"/>
        </w:tabs>
        <w:numPr>
          <w:ilvl w:val="0"/>
          <w:numId w:val="8"/>
        </w:numPr>
        <w:rPr>
          <w:rFonts w:ascii="Arial" w:cs="Arial" w:eastAsia="Arial" w:hAnsi="Arial"/>
          <w:sz w:val="27"/>
          <w:szCs w:val="27"/>
          <w:color w:val="012E6C"/>
        </w:rPr>
      </w:pPr>
      <w:r>
        <w:rPr>
          <w:rFonts w:ascii="Arial" w:cs="Arial" w:eastAsia="Arial" w:hAnsi="Arial"/>
          <w:sz w:val="15"/>
          <w:szCs w:val="15"/>
          <w:color w:val="auto"/>
        </w:rPr>
        <w:t>the Board through leadership experience in large, complex organizations and expertise in corporate governance, strategic planning and risk management.</w:t>
      </w:r>
    </w:p>
    <w:p>
      <w:pPr>
        <w:spacing w:after="0" w:line="181" w:lineRule="exact"/>
        <w:rPr>
          <w:sz w:val="20"/>
          <w:szCs w:val="20"/>
          <w:color w:val="auto"/>
        </w:rPr>
      </w:pPr>
    </w:p>
    <w:p>
      <w:pPr>
        <w:ind w:left="5140"/>
        <w:spacing w:after="0"/>
        <w:rPr>
          <w:sz w:val="20"/>
          <w:szCs w:val="20"/>
          <w:color w:val="auto"/>
        </w:rPr>
      </w:pPr>
      <w:r>
        <w:rPr>
          <w:rFonts w:ascii="Arial" w:cs="Arial" w:eastAsia="Arial" w:hAnsi="Arial"/>
          <w:sz w:val="17"/>
          <w:szCs w:val="17"/>
          <w:color w:val="012E6C"/>
        </w:rPr>
        <w:t>Global Experience</w:t>
      </w:r>
    </w:p>
    <w:p>
      <w:pPr>
        <w:spacing w:after="0" w:line="115" w:lineRule="exact"/>
        <w:rPr>
          <w:sz w:val="20"/>
          <w:szCs w:val="20"/>
          <w:color w:val="auto"/>
        </w:rPr>
      </w:pPr>
    </w:p>
    <w:p>
      <w:pPr>
        <w:jc w:val="center"/>
        <w:ind w:left="4820"/>
        <w:spacing w:after="0"/>
        <w:rPr>
          <w:sz w:val="20"/>
          <w:szCs w:val="20"/>
          <w:color w:val="auto"/>
        </w:rPr>
      </w:pPr>
      <w:r>
        <w:rPr>
          <w:rFonts w:ascii="Arial" w:cs="Arial" w:eastAsia="Arial" w:hAnsi="Arial"/>
          <w:sz w:val="15"/>
          <w:szCs w:val="15"/>
          <w:b w:val="1"/>
          <w:bCs w:val="1"/>
          <w:color w:val="auto"/>
        </w:rPr>
        <w:t xml:space="preserve">Directors </w:t>
      </w:r>
      <w:r>
        <w:rPr>
          <w:rFonts w:ascii="Arial" w:cs="Arial" w:eastAsia="Arial" w:hAnsi="Arial"/>
          <w:sz w:val="15"/>
          <w:szCs w:val="15"/>
          <w:color w:val="auto"/>
        </w:rPr>
        <w:t>have board leadership experience with multinational companies or</w:t>
      </w:r>
    </w:p>
    <w:p>
      <w:pPr>
        <w:ind w:left="5520" w:hanging="380"/>
        <w:spacing w:after="0" w:line="186" w:lineRule="auto"/>
        <w:tabs>
          <w:tab w:leader="none" w:pos="5520" w:val="left"/>
        </w:tabs>
        <w:numPr>
          <w:ilvl w:val="0"/>
          <w:numId w:val="9"/>
        </w:numPr>
        <w:rPr>
          <w:rFonts w:ascii="Arial" w:cs="Arial" w:eastAsia="Arial" w:hAnsi="Arial"/>
          <w:sz w:val="27"/>
          <w:szCs w:val="27"/>
          <w:color w:val="012E6C"/>
        </w:rPr>
      </w:pPr>
      <w:r>
        <w:rPr>
          <w:rFonts w:ascii="Arial" w:cs="Arial" w:eastAsia="Arial" w:hAnsi="Arial"/>
          <w:sz w:val="15"/>
          <w:szCs w:val="15"/>
          <w:color w:val="auto"/>
        </w:rPr>
        <w:t>internationally.</w:t>
      </w:r>
    </w:p>
    <w:p>
      <w:pPr>
        <w:spacing w:after="0" w:line="343" w:lineRule="exact"/>
        <w:rPr>
          <w:sz w:val="20"/>
          <w:szCs w:val="20"/>
          <w:color w:val="auto"/>
        </w:rPr>
      </w:pPr>
    </w:p>
    <w:p>
      <w:pPr>
        <w:ind w:left="5140"/>
        <w:spacing w:after="0"/>
        <w:rPr>
          <w:sz w:val="20"/>
          <w:szCs w:val="20"/>
          <w:color w:val="auto"/>
        </w:rPr>
      </w:pPr>
      <w:r>
        <w:rPr>
          <w:rFonts w:ascii="Arial" w:cs="Arial" w:eastAsia="Arial" w:hAnsi="Arial"/>
          <w:sz w:val="17"/>
          <w:szCs w:val="17"/>
          <w:color w:val="012E6C"/>
        </w:rPr>
        <w:t>Financial Experts</w:t>
      </w:r>
    </w:p>
    <w:p>
      <w:pPr>
        <w:spacing w:after="0" w:line="115"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 xml:space="preserve">Directors </w:t>
      </w:r>
      <w:r>
        <w:rPr>
          <w:rFonts w:ascii="Arial" w:cs="Arial" w:eastAsia="Arial" w:hAnsi="Arial"/>
          <w:sz w:val="15"/>
          <w:szCs w:val="15"/>
          <w:color w:val="auto"/>
        </w:rPr>
        <w:t>meet the Securities and Exchange Commission’s (SEC) criteria as “audit</w:t>
      </w:r>
    </w:p>
    <w:p>
      <w:pPr>
        <w:ind w:left="5520" w:hanging="380"/>
        <w:spacing w:after="0" w:line="186" w:lineRule="auto"/>
        <w:tabs>
          <w:tab w:leader="none" w:pos="5520" w:val="left"/>
        </w:tabs>
        <w:numPr>
          <w:ilvl w:val="0"/>
          <w:numId w:val="10"/>
        </w:numPr>
        <w:rPr>
          <w:rFonts w:ascii="Arial" w:cs="Arial" w:eastAsia="Arial" w:hAnsi="Arial"/>
          <w:sz w:val="27"/>
          <w:szCs w:val="27"/>
          <w:color w:val="012E6C"/>
        </w:rPr>
      </w:pPr>
      <w:r>
        <w:rPr>
          <w:rFonts w:ascii="Arial" w:cs="Arial" w:eastAsia="Arial" w:hAnsi="Arial"/>
          <w:sz w:val="15"/>
          <w:szCs w:val="15"/>
          <w:color w:val="auto"/>
        </w:rPr>
        <w:t>committee financial experts.”</w:t>
      </w:r>
    </w:p>
    <w:p>
      <w:pPr>
        <w:spacing w:after="0" w:line="343" w:lineRule="exact"/>
        <w:rPr>
          <w:sz w:val="20"/>
          <w:szCs w:val="20"/>
          <w:color w:val="auto"/>
        </w:rPr>
      </w:pPr>
    </w:p>
    <w:p>
      <w:pPr>
        <w:ind w:left="5140"/>
        <w:spacing w:after="0"/>
        <w:rPr>
          <w:sz w:val="20"/>
          <w:szCs w:val="20"/>
          <w:color w:val="auto"/>
        </w:rPr>
      </w:pPr>
      <w:r>
        <w:rPr>
          <w:rFonts w:ascii="Arial" w:cs="Arial" w:eastAsia="Arial" w:hAnsi="Arial"/>
          <w:sz w:val="17"/>
          <w:szCs w:val="17"/>
          <w:color w:val="012E6C"/>
        </w:rPr>
        <w:t>Government Experience</w:t>
      </w:r>
    </w:p>
    <w:p>
      <w:pPr>
        <w:spacing w:after="0" w:line="115"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 xml:space="preserve">Directors </w:t>
      </w:r>
      <w:r>
        <w:rPr>
          <w:rFonts w:ascii="Arial" w:cs="Arial" w:eastAsia="Arial" w:hAnsi="Arial"/>
          <w:sz w:val="15"/>
          <w:szCs w:val="15"/>
          <w:color w:val="auto"/>
        </w:rPr>
        <w:t>have served in senior government or military positions and provide industry</w:t>
      </w:r>
    </w:p>
    <w:p>
      <w:pPr>
        <w:ind w:left="5520" w:hanging="380"/>
        <w:spacing w:after="0" w:line="186" w:lineRule="auto"/>
        <w:tabs>
          <w:tab w:leader="none" w:pos="5520" w:val="left"/>
        </w:tabs>
        <w:numPr>
          <w:ilvl w:val="0"/>
          <w:numId w:val="11"/>
        </w:numPr>
        <w:rPr>
          <w:rFonts w:ascii="Arial" w:cs="Arial" w:eastAsia="Arial" w:hAnsi="Arial"/>
          <w:sz w:val="27"/>
          <w:szCs w:val="27"/>
          <w:color w:val="012E6C"/>
        </w:rPr>
      </w:pPr>
      <w:r>
        <w:rPr>
          <w:rFonts w:ascii="Arial" w:cs="Arial" w:eastAsia="Arial" w:hAnsi="Arial"/>
          <w:sz w:val="15"/>
          <w:szCs w:val="15"/>
          <w:color w:val="auto"/>
        </w:rPr>
        <w:t>experience and insight into our core customers and governments around the world.</w:t>
      </w:r>
    </w:p>
    <w:p>
      <w:pPr>
        <w:spacing w:after="0" w:line="343" w:lineRule="exact"/>
        <w:rPr>
          <w:sz w:val="20"/>
          <w:szCs w:val="20"/>
          <w:color w:val="auto"/>
        </w:rPr>
      </w:pPr>
    </w:p>
    <w:p>
      <w:pPr>
        <w:ind w:left="5140"/>
        <w:spacing w:after="0"/>
        <w:rPr>
          <w:sz w:val="20"/>
          <w:szCs w:val="20"/>
          <w:color w:val="auto"/>
        </w:rPr>
      </w:pPr>
      <w:r>
        <w:rPr>
          <w:rFonts w:ascii="Arial" w:cs="Arial" w:eastAsia="Arial" w:hAnsi="Arial"/>
          <w:sz w:val="17"/>
          <w:szCs w:val="17"/>
          <w:color w:val="012E6C"/>
        </w:rPr>
        <w:t>Veterans of the U.S. Armed Forces</w:t>
      </w:r>
    </w:p>
    <w:p>
      <w:pPr>
        <w:ind w:left="5520" w:hanging="380"/>
        <w:spacing w:after="0" w:line="181" w:lineRule="auto"/>
        <w:tabs>
          <w:tab w:leader="none" w:pos="5520" w:val="left"/>
        </w:tabs>
        <w:numPr>
          <w:ilvl w:val="0"/>
          <w:numId w:val="12"/>
        </w:numPr>
        <w:rPr>
          <w:rFonts w:ascii="Arial" w:cs="Arial" w:eastAsia="Arial" w:hAnsi="Arial"/>
          <w:sz w:val="43"/>
          <w:szCs w:val="43"/>
          <w:color w:val="012E6C"/>
          <w:vertAlign w:val="subscript"/>
        </w:rPr>
      </w:pPr>
      <w:r>
        <w:rPr>
          <w:rFonts w:ascii="Arial" w:cs="Arial" w:eastAsia="Arial" w:hAnsi="Arial"/>
          <w:sz w:val="14"/>
          <w:szCs w:val="14"/>
          <w:b w:val="1"/>
          <w:bCs w:val="1"/>
          <w:color w:val="auto"/>
        </w:rPr>
        <w:t xml:space="preserve">Directors </w:t>
      </w:r>
      <w:r>
        <w:rPr>
          <w:rFonts w:ascii="Arial" w:cs="Arial" w:eastAsia="Arial" w:hAnsi="Arial"/>
          <w:sz w:val="14"/>
          <w:szCs w:val="14"/>
          <w:color w:val="auto"/>
        </w:rPr>
        <w:t>are military veterans.</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29"/>
          <w:szCs w:val="29"/>
          <w:b w:val="1"/>
          <w:bCs w:val="1"/>
          <w:color w:val="012E6C"/>
        </w:rPr>
        <w:t>Board Effectiveness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Our Board takes a multi-faceted approach to continually assess Board composition and evaluate effectiveness.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292" w:right="31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Arial" w:cs="Arial" w:eastAsia="Arial" w:hAnsi="Arial"/>
          <w:sz w:val="16"/>
          <w:szCs w:val="16"/>
          <w:color w:val="003478"/>
        </w:rPr>
        <w:t>Practices Contributing to Board Effectiveness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4073525" cy="26416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073525" cy="2641600"/>
                    </a:xfrm>
                    <a:prstGeom prst="rect">
                      <a:avLst/>
                    </a:prstGeom>
                    <a:noFill/>
                  </pic:spPr>
                </pic:pic>
              </a:graphicData>
            </a:graphic>
          </wp:anchor>
        </w:drawing>
      </w:r>
    </w:p>
    <w:p>
      <w:pPr>
        <w:spacing w:after="0" w:line="340" w:lineRule="exact"/>
        <w:rPr>
          <w:sz w:val="20"/>
          <w:szCs w:val="20"/>
          <w:color w:val="auto"/>
        </w:rPr>
      </w:pPr>
    </w:p>
    <w:p>
      <w:pPr>
        <w:ind w:left="1620"/>
        <w:spacing w:after="0"/>
        <w:rPr>
          <w:sz w:val="20"/>
          <w:szCs w:val="20"/>
          <w:color w:val="auto"/>
        </w:rPr>
      </w:pPr>
      <w:r>
        <w:rPr>
          <w:rFonts w:ascii="Arial" w:cs="Arial" w:eastAsia="Arial" w:hAnsi="Arial"/>
          <w:sz w:val="17"/>
          <w:szCs w:val="17"/>
          <w:color w:val="012E6C"/>
        </w:rPr>
        <w:t>Identification of Diverse Board Candidates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600"/>
        <w:spacing w:after="0"/>
        <w:rPr>
          <w:sz w:val="20"/>
          <w:szCs w:val="20"/>
          <w:color w:val="auto"/>
        </w:rPr>
      </w:pPr>
      <w:r>
        <w:rPr>
          <w:rFonts w:ascii="Arial" w:cs="Arial" w:eastAsia="Arial" w:hAnsi="Arial"/>
          <w:sz w:val="17"/>
          <w:szCs w:val="17"/>
          <w:color w:val="012E6C"/>
        </w:rPr>
        <w:t>Rotation of Board Committee Assignments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940"/>
        <w:spacing w:after="0"/>
        <w:rPr>
          <w:sz w:val="20"/>
          <w:szCs w:val="20"/>
          <w:color w:val="auto"/>
        </w:rPr>
      </w:pPr>
      <w:r>
        <w:rPr>
          <w:rFonts w:ascii="Arial" w:cs="Arial" w:eastAsia="Arial" w:hAnsi="Arial"/>
          <w:sz w:val="17"/>
          <w:szCs w:val="17"/>
          <w:color w:val="012E6C"/>
        </w:rPr>
        <w:t>Annual Performance Assessment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ind w:right="1180"/>
        <w:spacing w:after="0"/>
        <w:rPr>
          <w:sz w:val="20"/>
          <w:szCs w:val="20"/>
          <w:color w:val="auto"/>
        </w:rPr>
      </w:pPr>
      <w:r>
        <w:rPr>
          <w:rFonts w:ascii="Arial" w:cs="Arial" w:eastAsia="Arial" w:hAnsi="Arial"/>
          <w:sz w:val="17"/>
          <w:szCs w:val="17"/>
          <w:color w:val="012E6C"/>
        </w:rPr>
        <w:t>Robust Onboarding and Continuing Education</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820"/>
        <w:spacing w:after="0"/>
        <w:rPr>
          <w:sz w:val="20"/>
          <w:szCs w:val="20"/>
          <w:color w:val="auto"/>
        </w:rPr>
      </w:pPr>
      <w:r>
        <w:rPr>
          <w:rFonts w:ascii="Arial" w:cs="Arial" w:eastAsia="Arial" w:hAnsi="Arial"/>
          <w:sz w:val="17"/>
          <w:szCs w:val="17"/>
          <w:color w:val="012E6C"/>
        </w:rPr>
        <w:t>Tenure and Overboarding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537210</wp:posOffset>
            </wp:positionV>
            <wp:extent cx="1440815" cy="3257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40815" cy="3257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25"/>
          <w:szCs w:val="25"/>
          <w:color w:val="475C90"/>
        </w:rPr>
        <w:t>Meaningful Refreshment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-428625</wp:posOffset>
            </wp:positionV>
            <wp:extent cx="2967355" cy="26327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967355" cy="2632710"/>
                    </a:xfrm>
                    <a:prstGeom prst="rect">
                      <a:avLst/>
                    </a:prstGeom>
                    <a:noFill/>
                  </pic:spPr>
                </pic:pic>
              </a:graphicData>
            </a:graphic>
          </wp:anchor>
        </w:drawing>
      </w:r>
    </w:p>
    <w:p>
      <w:pPr>
        <w:spacing w:after="0" w:line="208" w:lineRule="exact"/>
        <w:rPr>
          <w:sz w:val="20"/>
          <w:szCs w:val="20"/>
          <w:color w:val="auto"/>
        </w:rPr>
      </w:pPr>
    </w:p>
    <w:p>
      <w:pPr>
        <w:jc w:val="both"/>
        <w:ind w:right="360"/>
        <w:spacing w:after="0" w:line="253" w:lineRule="auto"/>
        <w:rPr>
          <w:sz w:val="20"/>
          <w:szCs w:val="20"/>
          <w:color w:val="auto"/>
        </w:rPr>
      </w:pPr>
      <w:r>
        <w:rPr>
          <w:rFonts w:ascii="Arial" w:cs="Arial" w:eastAsia="Arial" w:hAnsi="Arial"/>
          <w:sz w:val="17"/>
          <w:szCs w:val="17"/>
          <w:color w:val="auto"/>
        </w:rPr>
        <w:t>The Board has added six new directors in the past five years. Messrs. Archibald and Ralston will retire in April 2019, providing further opportunity for refreshment.</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012E6C"/>
        </w:rPr>
        <w:t>Skills added in past 5 years:</w:t>
      </w:r>
    </w:p>
    <w:p>
      <w:pPr>
        <w:spacing w:after="0" w:line="210" w:lineRule="exact"/>
        <w:rPr>
          <w:sz w:val="20"/>
          <w:szCs w:val="20"/>
          <w:color w:val="auto"/>
        </w:rPr>
      </w:pPr>
    </w:p>
    <w:p>
      <w:pPr>
        <w:ind w:left="180" w:hanging="104"/>
        <w:spacing w:after="0"/>
        <w:tabs>
          <w:tab w:leader="none" w:pos="180" w:val="left"/>
        </w:tabs>
        <w:numPr>
          <w:ilvl w:val="0"/>
          <w:numId w:val="13"/>
        </w:numPr>
        <w:rPr>
          <w:rFonts w:ascii="Arial" w:cs="Arial" w:eastAsia="Arial" w:hAnsi="Arial"/>
          <w:sz w:val="17"/>
          <w:szCs w:val="17"/>
          <w:color w:val="012E6C"/>
        </w:rPr>
      </w:pPr>
      <w:r>
        <w:rPr>
          <w:rFonts w:ascii="Arial" w:cs="Arial" w:eastAsia="Arial" w:hAnsi="Arial"/>
          <w:sz w:val="17"/>
          <w:szCs w:val="17"/>
          <w:color w:val="auto"/>
        </w:rPr>
        <w:t>Enterprise risk management</w:t>
      </w:r>
    </w:p>
    <w:p>
      <w:pPr>
        <w:spacing w:after="0" w:line="209" w:lineRule="exact"/>
        <w:rPr>
          <w:rFonts w:ascii="Arial" w:cs="Arial" w:eastAsia="Arial" w:hAnsi="Arial"/>
          <w:sz w:val="17"/>
          <w:szCs w:val="17"/>
          <w:color w:val="012E6C"/>
        </w:rPr>
      </w:pPr>
    </w:p>
    <w:p>
      <w:pPr>
        <w:ind w:left="240" w:right="580" w:hanging="164"/>
        <w:spacing w:after="0" w:line="275" w:lineRule="auto"/>
        <w:tabs>
          <w:tab w:leader="none" w:pos="185" w:val="left"/>
        </w:tabs>
        <w:numPr>
          <w:ilvl w:val="0"/>
          <w:numId w:val="13"/>
        </w:numPr>
        <w:rPr>
          <w:rFonts w:ascii="Arial" w:cs="Arial" w:eastAsia="Arial" w:hAnsi="Arial"/>
          <w:sz w:val="17"/>
          <w:szCs w:val="17"/>
          <w:color w:val="012E6C"/>
        </w:rPr>
      </w:pPr>
      <w:r>
        <w:rPr>
          <w:rFonts w:ascii="Arial" w:cs="Arial" w:eastAsia="Arial" w:hAnsi="Arial"/>
          <w:sz w:val="17"/>
          <w:szCs w:val="17"/>
          <w:color w:val="auto"/>
        </w:rPr>
        <w:t>Environment, safety and health and sustainability expertise</w:t>
      </w:r>
    </w:p>
    <w:p>
      <w:pPr>
        <w:spacing w:after="0" w:line="146" w:lineRule="exact"/>
        <w:rPr>
          <w:rFonts w:ascii="Arial" w:cs="Arial" w:eastAsia="Arial" w:hAnsi="Arial"/>
          <w:sz w:val="17"/>
          <w:szCs w:val="17"/>
          <w:color w:val="012E6C"/>
        </w:rPr>
      </w:pPr>
    </w:p>
    <w:p>
      <w:pPr>
        <w:ind w:left="180" w:hanging="104"/>
        <w:spacing w:after="0"/>
        <w:tabs>
          <w:tab w:leader="none" w:pos="180" w:val="left"/>
        </w:tabs>
        <w:numPr>
          <w:ilvl w:val="0"/>
          <w:numId w:val="13"/>
        </w:numPr>
        <w:rPr>
          <w:rFonts w:ascii="Arial" w:cs="Arial" w:eastAsia="Arial" w:hAnsi="Arial"/>
          <w:sz w:val="17"/>
          <w:szCs w:val="17"/>
          <w:color w:val="012E6C"/>
        </w:rPr>
      </w:pPr>
      <w:r>
        <w:rPr>
          <w:rFonts w:ascii="Arial" w:cs="Arial" w:eastAsia="Arial" w:hAnsi="Arial"/>
          <w:sz w:val="17"/>
          <w:szCs w:val="17"/>
          <w:color w:val="auto"/>
        </w:rPr>
        <w:t>Global organization experience</w:t>
      </w:r>
    </w:p>
    <w:p>
      <w:pPr>
        <w:spacing w:after="0" w:line="209" w:lineRule="exact"/>
        <w:rPr>
          <w:rFonts w:ascii="Arial" w:cs="Arial" w:eastAsia="Arial" w:hAnsi="Arial"/>
          <w:sz w:val="17"/>
          <w:szCs w:val="17"/>
          <w:color w:val="012E6C"/>
        </w:rPr>
      </w:pPr>
    </w:p>
    <w:p>
      <w:pPr>
        <w:ind w:left="180" w:hanging="104"/>
        <w:spacing w:after="0"/>
        <w:tabs>
          <w:tab w:leader="none" w:pos="180" w:val="left"/>
        </w:tabs>
        <w:numPr>
          <w:ilvl w:val="0"/>
          <w:numId w:val="13"/>
        </w:numPr>
        <w:rPr>
          <w:rFonts w:ascii="Arial" w:cs="Arial" w:eastAsia="Arial" w:hAnsi="Arial"/>
          <w:sz w:val="17"/>
          <w:szCs w:val="17"/>
          <w:color w:val="012E6C"/>
        </w:rPr>
      </w:pPr>
      <w:r>
        <w:rPr>
          <w:rFonts w:ascii="Arial" w:cs="Arial" w:eastAsia="Arial" w:hAnsi="Arial"/>
          <w:sz w:val="17"/>
          <w:szCs w:val="17"/>
          <w:color w:val="auto"/>
        </w:rPr>
        <w:t>Information technology and cybersecurity</w:t>
      </w:r>
    </w:p>
    <w:p>
      <w:pPr>
        <w:spacing w:after="0" w:line="443" w:lineRule="exact"/>
        <w:rPr>
          <w:sz w:val="20"/>
          <w:szCs w:val="20"/>
          <w:color w:val="auto"/>
        </w:rPr>
      </w:pPr>
    </w:p>
    <w:p>
      <w:pPr>
        <w:sectPr>
          <w:pgSz w:w="11900" w:h="16838" w:orient="portrait"/>
          <w:cols w:equalWidth="0" w:num="2">
            <w:col w:w="6140" w:space="720"/>
            <w:col w:w="4480"/>
          </w:cols>
          <w:pgMar w:left="240" w:top="292"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808080"/>
        </w:rPr>
        <w:t>4</w:t>
      </w:r>
    </w:p>
    <w:p>
      <w:pPr>
        <w:sectPr>
          <w:pgSz w:w="11900" w:h="16838" w:orient="portrait"/>
          <w:cols w:equalWidth="0" w:num="1">
            <w:col w:w="11340"/>
          </w:cols>
          <w:pgMar w:left="240" w:top="292" w:right="319" w:bottom="1440" w:gutter="0" w:footer="0" w:header="0"/>
          <w:type w:val="continuous"/>
        </w:sectPr>
      </w:pPr>
    </w:p>
    <w:bookmarkStart w:id="7" w:name="page8"/>
    <w:bookmarkEnd w:id="7"/>
    <w:p>
      <w:pPr>
        <w:jc w:val="right"/>
        <w:spacing w:after="0"/>
        <w:rPr>
          <w:sz w:val="20"/>
          <w:szCs w:val="20"/>
          <w:color w:val="auto"/>
        </w:rPr>
      </w:pPr>
      <w:r>
        <w:rPr>
          <w:rFonts w:ascii="Arial" w:cs="Arial" w:eastAsia="Arial" w:hAnsi="Arial"/>
          <w:sz w:val="15"/>
          <w:szCs w:val="15"/>
          <w:color w:val="003478"/>
        </w:rPr>
        <w:t>Proxy Summary</w:t>
      </w:r>
    </w:p>
    <w:p>
      <w:pPr>
        <w:spacing w:after="0" w:line="347" w:lineRule="exact"/>
        <w:rPr>
          <w:sz w:val="20"/>
          <w:szCs w:val="20"/>
          <w:color w:val="auto"/>
        </w:rPr>
      </w:pPr>
    </w:p>
    <w:p>
      <w:pPr>
        <w:spacing w:after="0"/>
        <w:rPr>
          <w:sz w:val="20"/>
          <w:szCs w:val="20"/>
          <w:color w:val="auto"/>
        </w:rPr>
      </w:pPr>
      <w:r>
        <w:rPr>
          <w:rFonts w:ascii="Arial" w:cs="Arial" w:eastAsia="Arial" w:hAnsi="Arial"/>
          <w:sz w:val="25"/>
          <w:szCs w:val="25"/>
          <w:color w:val="475C90"/>
        </w:rPr>
        <w:t>Board Leadership and Effectiveness</w:t>
      </w:r>
    </w:p>
    <w:p>
      <w:pPr>
        <w:spacing w:after="0" w:line="24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On February 21, 2019 the independent members of the Board of Directors elected Daniel F. Akerson to serve as the Lead Director effective immediately following the Annual Meeting. Mr. Akerson succeeded Nolan D. Archibald who, along with Joseph W. Ralston, reached our mandatory retirement age for directors of 75. In addition, based upon the recommendation of the Nominating and Corporate Governance Committee (Governance Committee), the Board has approved the consolidation of the Strategic Affairs Committee into the Audit Committee following the Annual Meeting. This is in addition to the consolidation of the Governance Committee and the Ethics and Sustainability Committee effective April 2018. These actions streamline our committee structure, making meetings more efficient and providing more time for Board discussion. In light of these changes, the Board also made changes to the Committee memberships and elected new chairs of the Governance Committee (Mr. Akerson), Management Development and Compensation Committee (Compensation Committee) (Ilene S. Gordon) and Classified Business and Security (CBS) Committee (James O. Ellis) effective following the Annual Meeting.</w:t>
      </w:r>
    </w:p>
    <w:p>
      <w:pPr>
        <w:spacing w:after="0" w:line="152" w:lineRule="exact"/>
        <w:rPr>
          <w:sz w:val="20"/>
          <w:szCs w:val="20"/>
          <w:color w:val="auto"/>
        </w:rPr>
      </w:pPr>
    </w:p>
    <w:p>
      <w:pPr>
        <w:spacing w:after="0"/>
        <w:rPr>
          <w:sz w:val="20"/>
          <w:szCs w:val="20"/>
          <w:color w:val="auto"/>
        </w:rPr>
      </w:pPr>
      <w:r>
        <w:rPr>
          <w:rFonts w:ascii="Arial" w:cs="Arial" w:eastAsia="Arial" w:hAnsi="Arial"/>
          <w:sz w:val="29"/>
          <w:szCs w:val="29"/>
          <w:b w:val="1"/>
          <w:bCs w:val="1"/>
          <w:color w:val="012E6C"/>
        </w:rPr>
        <w:t>Stockholder Engagement</w:t>
      </w:r>
    </w:p>
    <w:p>
      <w:pPr>
        <w:spacing w:after="0" w:line="234" w:lineRule="exact"/>
        <w:rPr>
          <w:sz w:val="20"/>
          <w:szCs w:val="20"/>
          <w:color w:val="auto"/>
        </w:rPr>
      </w:pPr>
    </w:p>
    <w:p>
      <w:pPr>
        <w:spacing w:after="0"/>
        <w:rPr>
          <w:sz w:val="20"/>
          <w:szCs w:val="20"/>
          <w:color w:val="auto"/>
        </w:rPr>
      </w:pPr>
      <w:r>
        <w:rPr>
          <w:rFonts w:ascii="Arial" w:cs="Arial" w:eastAsia="Arial" w:hAnsi="Arial"/>
          <w:sz w:val="25"/>
          <w:szCs w:val="25"/>
          <w:color w:val="475C90"/>
        </w:rPr>
        <w:t>Board’s Responsiveness to Stockholder Feedback</w:t>
      </w:r>
    </w:p>
    <w:p>
      <w:pPr>
        <w:spacing w:after="0" w:line="242"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During 2018, as a part of our active stockholder engagement program, we invited many of our largest stockholders to engage with us and we had 18 engagements by telephone conference or written correspondence. Topics discussed as part of our 2018 engagement included board composition and diversity, human capital management, executive and director compensation and environmental, social and governance (ESG) matters. At the 2018 annual meeting, an advisory, non-binding stockholder proposal to adopt stockholder action by written consent received 40.9 percent of the votes cast. While the majority of our voting stockholders rejected the proposal, we strive to understand the issues that are important to our stockholders to ensure that we address their interests in a meaningful and effective way. The Board reviewed the voting results and investor feedback collected during our outreach, and assessed public company market practices and the effectiveness of the Corporation's existing avenues for responding to stockholder input and direct feedback from investors. The Board continues to believe that stockholders have an effective suite of rights to express their views and ensure Board accountability, including the rights to call a special meeting, to nominate director candidates in the Corporation's proxy materials (proxy access), and to amend the bylaws.</w:t>
      </w:r>
    </w:p>
    <w:p>
      <w:pPr>
        <w:spacing w:after="0" w:line="148" w:lineRule="exact"/>
        <w:rPr>
          <w:sz w:val="20"/>
          <w:szCs w:val="20"/>
          <w:color w:val="auto"/>
        </w:rPr>
      </w:pPr>
    </w:p>
    <w:p>
      <w:pPr>
        <w:spacing w:after="0"/>
        <w:rPr>
          <w:sz w:val="20"/>
          <w:szCs w:val="20"/>
          <w:color w:val="auto"/>
        </w:rPr>
      </w:pPr>
      <w:r>
        <w:rPr>
          <w:rFonts w:ascii="Arial" w:cs="Arial" w:eastAsia="Arial" w:hAnsi="Arial"/>
          <w:sz w:val="29"/>
          <w:szCs w:val="29"/>
          <w:b w:val="1"/>
          <w:bCs w:val="1"/>
          <w:color w:val="012E6C"/>
        </w:rPr>
        <w:t>Corporate Governance Highlights</w:t>
      </w:r>
    </w:p>
    <w:p>
      <w:pPr>
        <w:spacing w:after="0" w:line="250"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We believe that good governance is integral to achieving long-term stockholder value, and our Board has a history of thoughtful consideration and adoption of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126605" cy="25730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26605" cy="257302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20"/>
        <w:spacing w:after="0"/>
        <w:rPr>
          <w:sz w:val="20"/>
          <w:szCs w:val="20"/>
          <w:color w:val="auto"/>
        </w:rPr>
      </w:pPr>
      <w:r>
        <w:rPr>
          <w:rFonts w:ascii="Arial" w:cs="Arial" w:eastAsia="Arial" w:hAnsi="Arial"/>
          <w:sz w:val="17"/>
          <w:szCs w:val="17"/>
          <w:color w:val="012E6C"/>
        </w:rPr>
        <w:t>Accountability to Stockholders</w:t>
      </w:r>
    </w:p>
    <w:p>
      <w:pPr>
        <w:spacing w:after="0" w:line="35" w:lineRule="exact"/>
        <w:rPr>
          <w:sz w:val="20"/>
          <w:szCs w:val="20"/>
          <w:color w:val="auto"/>
        </w:rPr>
      </w:pPr>
    </w:p>
    <w:p>
      <w:pPr>
        <w:ind w:left="400" w:hanging="243"/>
        <w:spacing w:after="0"/>
        <w:tabs>
          <w:tab w:leader="none" w:pos="400" w:val="left"/>
        </w:tabs>
        <w:numPr>
          <w:ilvl w:val="0"/>
          <w:numId w:val="14"/>
        </w:numPr>
        <w:rPr>
          <w:rFonts w:ascii="Arial" w:cs="Arial" w:eastAsia="Arial" w:hAnsi="Arial"/>
          <w:sz w:val="17"/>
          <w:szCs w:val="17"/>
          <w:color w:val="012E6C"/>
        </w:rPr>
      </w:pPr>
      <w:r>
        <w:rPr>
          <w:rFonts w:ascii="Arial" w:cs="Arial" w:eastAsia="Arial" w:hAnsi="Arial"/>
          <w:sz w:val="17"/>
          <w:szCs w:val="17"/>
          <w:color w:val="auto"/>
        </w:rPr>
        <w:t>Annual election of directors</w:t>
      </w:r>
    </w:p>
    <w:p>
      <w:pPr>
        <w:spacing w:after="0" w:line="20" w:lineRule="exact"/>
        <w:rPr>
          <w:rFonts w:ascii="Arial" w:cs="Arial" w:eastAsia="Arial" w:hAnsi="Arial"/>
          <w:sz w:val="17"/>
          <w:szCs w:val="17"/>
          <w:color w:val="012E6C"/>
        </w:rPr>
      </w:pPr>
    </w:p>
    <w:p>
      <w:pPr>
        <w:ind w:left="400" w:hanging="243"/>
        <w:spacing w:after="0"/>
        <w:tabs>
          <w:tab w:leader="none" w:pos="400" w:val="left"/>
        </w:tabs>
        <w:numPr>
          <w:ilvl w:val="0"/>
          <w:numId w:val="14"/>
        </w:numPr>
        <w:rPr>
          <w:rFonts w:ascii="Arial" w:cs="Arial" w:eastAsia="Arial" w:hAnsi="Arial"/>
          <w:sz w:val="17"/>
          <w:szCs w:val="17"/>
          <w:color w:val="012E6C"/>
        </w:rPr>
      </w:pPr>
      <w:r>
        <w:rPr>
          <w:rFonts w:ascii="Arial" w:cs="Arial" w:eastAsia="Arial" w:hAnsi="Arial"/>
          <w:sz w:val="17"/>
          <w:szCs w:val="17"/>
          <w:color w:val="auto"/>
        </w:rPr>
        <w:t>Majority voting for directors with resignation policy</w:t>
      </w:r>
    </w:p>
    <w:p>
      <w:pPr>
        <w:spacing w:after="0" w:line="20" w:lineRule="exact"/>
        <w:rPr>
          <w:rFonts w:ascii="Arial" w:cs="Arial" w:eastAsia="Arial" w:hAnsi="Arial"/>
          <w:sz w:val="17"/>
          <w:szCs w:val="17"/>
          <w:color w:val="012E6C"/>
        </w:rPr>
      </w:pPr>
    </w:p>
    <w:p>
      <w:pPr>
        <w:ind w:left="400" w:hanging="243"/>
        <w:spacing w:after="0"/>
        <w:tabs>
          <w:tab w:leader="none" w:pos="400" w:val="left"/>
        </w:tabs>
        <w:numPr>
          <w:ilvl w:val="0"/>
          <w:numId w:val="14"/>
        </w:numPr>
        <w:rPr>
          <w:rFonts w:ascii="Arial" w:cs="Arial" w:eastAsia="Arial" w:hAnsi="Arial"/>
          <w:sz w:val="17"/>
          <w:szCs w:val="17"/>
          <w:color w:val="012E6C"/>
        </w:rPr>
      </w:pPr>
      <w:r>
        <w:rPr>
          <w:rFonts w:ascii="Arial" w:cs="Arial" w:eastAsia="Arial" w:hAnsi="Arial"/>
          <w:sz w:val="17"/>
          <w:szCs w:val="17"/>
          <w:color w:val="auto"/>
        </w:rPr>
        <w:t>Proxy access with market standard provisions</w:t>
      </w:r>
    </w:p>
    <w:p>
      <w:pPr>
        <w:spacing w:after="0" w:line="20" w:lineRule="exact"/>
        <w:rPr>
          <w:rFonts w:ascii="Arial" w:cs="Arial" w:eastAsia="Arial" w:hAnsi="Arial"/>
          <w:sz w:val="17"/>
          <w:szCs w:val="17"/>
          <w:color w:val="012E6C"/>
        </w:rPr>
      </w:pPr>
    </w:p>
    <w:p>
      <w:pPr>
        <w:ind w:left="400" w:hanging="243"/>
        <w:spacing w:after="0"/>
        <w:tabs>
          <w:tab w:leader="none" w:pos="400" w:val="left"/>
        </w:tabs>
        <w:numPr>
          <w:ilvl w:val="0"/>
          <w:numId w:val="14"/>
        </w:numPr>
        <w:rPr>
          <w:rFonts w:ascii="Arial" w:cs="Arial" w:eastAsia="Arial" w:hAnsi="Arial"/>
          <w:sz w:val="17"/>
          <w:szCs w:val="17"/>
          <w:color w:val="012E6C"/>
        </w:rPr>
      </w:pPr>
      <w:r>
        <w:rPr>
          <w:rFonts w:ascii="Arial" w:cs="Arial" w:eastAsia="Arial" w:hAnsi="Arial"/>
          <w:sz w:val="17"/>
          <w:szCs w:val="17"/>
          <w:color w:val="auto"/>
        </w:rPr>
        <w:t>Stockholder right to call special meeting</w:t>
      </w:r>
    </w:p>
    <w:p>
      <w:pPr>
        <w:spacing w:after="0" w:line="20" w:lineRule="exact"/>
        <w:rPr>
          <w:rFonts w:ascii="Arial" w:cs="Arial" w:eastAsia="Arial" w:hAnsi="Arial"/>
          <w:sz w:val="17"/>
          <w:szCs w:val="17"/>
          <w:color w:val="012E6C"/>
        </w:rPr>
      </w:pPr>
    </w:p>
    <w:p>
      <w:pPr>
        <w:ind w:left="300" w:right="160" w:hanging="143"/>
        <w:spacing w:after="0" w:line="257" w:lineRule="auto"/>
        <w:tabs>
          <w:tab w:leader="none" w:pos="415" w:val="left"/>
        </w:tabs>
        <w:numPr>
          <w:ilvl w:val="0"/>
          <w:numId w:val="14"/>
        </w:numPr>
        <w:rPr>
          <w:rFonts w:ascii="Arial" w:cs="Arial" w:eastAsia="Arial" w:hAnsi="Arial"/>
          <w:sz w:val="17"/>
          <w:szCs w:val="17"/>
          <w:color w:val="012E6C"/>
        </w:rPr>
      </w:pPr>
      <w:r>
        <w:rPr>
          <w:rFonts w:ascii="Arial" w:cs="Arial" w:eastAsia="Arial" w:hAnsi="Arial"/>
          <w:sz w:val="17"/>
          <w:szCs w:val="17"/>
          <w:color w:val="auto"/>
        </w:rPr>
        <w:t>No poison pill and commitment to seek stockholder vote within one year if poison pill adopted</w:t>
      </w:r>
    </w:p>
    <w:p>
      <w:pPr>
        <w:spacing w:after="0" w:line="391" w:lineRule="exact"/>
        <w:rPr>
          <w:sz w:val="20"/>
          <w:szCs w:val="20"/>
          <w:color w:val="auto"/>
        </w:rPr>
      </w:pPr>
    </w:p>
    <w:p>
      <w:pPr>
        <w:ind w:left="120"/>
        <w:spacing w:after="0"/>
        <w:rPr>
          <w:sz w:val="20"/>
          <w:szCs w:val="20"/>
          <w:color w:val="auto"/>
        </w:rPr>
      </w:pPr>
      <w:r>
        <w:rPr>
          <w:rFonts w:ascii="Arial" w:cs="Arial" w:eastAsia="Arial" w:hAnsi="Arial"/>
          <w:sz w:val="17"/>
          <w:szCs w:val="17"/>
          <w:color w:val="012E6C"/>
        </w:rPr>
        <w:t>Effective Board Structure</w:t>
      </w:r>
    </w:p>
    <w:p>
      <w:pPr>
        <w:spacing w:after="0" w:line="35" w:lineRule="exact"/>
        <w:rPr>
          <w:sz w:val="20"/>
          <w:szCs w:val="20"/>
          <w:color w:val="auto"/>
        </w:rPr>
      </w:pPr>
    </w:p>
    <w:p>
      <w:pPr>
        <w:ind w:left="400" w:hanging="243"/>
        <w:spacing w:after="0"/>
        <w:tabs>
          <w:tab w:leader="none" w:pos="400" w:val="left"/>
        </w:tabs>
        <w:numPr>
          <w:ilvl w:val="0"/>
          <w:numId w:val="15"/>
        </w:numPr>
        <w:rPr>
          <w:rFonts w:ascii="Arial" w:cs="Arial" w:eastAsia="Arial" w:hAnsi="Arial"/>
          <w:sz w:val="17"/>
          <w:szCs w:val="17"/>
          <w:color w:val="012E6C"/>
        </w:rPr>
      </w:pPr>
      <w:r>
        <w:rPr>
          <w:rFonts w:ascii="Arial" w:cs="Arial" w:eastAsia="Arial" w:hAnsi="Arial"/>
          <w:sz w:val="17"/>
          <w:szCs w:val="17"/>
          <w:color w:val="auto"/>
        </w:rPr>
        <w:t>Refreshment ongoing – six new directors in five years</w:t>
      </w:r>
    </w:p>
    <w:p>
      <w:pPr>
        <w:spacing w:after="0" w:line="20" w:lineRule="exact"/>
        <w:rPr>
          <w:rFonts w:ascii="Arial" w:cs="Arial" w:eastAsia="Arial" w:hAnsi="Arial"/>
          <w:sz w:val="17"/>
          <w:szCs w:val="17"/>
          <w:color w:val="012E6C"/>
        </w:rPr>
      </w:pPr>
    </w:p>
    <w:p>
      <w:pPr>
        <w:ind w:left="300" w:right="380" w:hanging="143"/>
        <w:spacing w:after="0" w:line="248" w:lineRule="auto"/>
        <w:tabs>
          <w:tab w:leader="none" w:pos="415" w:val="left"/>
        </w:tabs>
        <w:numPr>
          <w:ilvl w:val="0"/>
          <w:numId w:val="15"/>
        </w:numPr>
        <w:rPr>
          <w:rFonts w:ascii="Arial" w:cs="Arial" w:eastAsia="Arial" w:hAnsi="Arial"/>
          <w:sz w:val="17"/>
          <w:szCs w:val="17"/>
          <w:color w:val="012E6C"/>
        </w:rPr>
      </w:pPr>
      <w:r>
        <w:rPr>
          <w:rFonts w:ascii="Arial" w:cs="Arial" w:eastAsia="Arial" w:hAnsi="Arial"/>
          <w:sz w:val="17"/>
          <w:szCs w:val="17"/>
          <w:color w:val="auto"/>
        </w:rPr>
        <w:t>Board composition balances government/customer/industry experience with public company experience</w:t>
      </w:r>
    </w:p>
    <w:p>
      <w:pPr>
        <w:spacing w:after="0" w:line="1" w:lineRule="exact"/>
        <w:rPr>
          <w:rFonts w:ascii="Arial" w:cs="Arial" w:eastAsia="Arial" w:hAnsi="Arial"/>
          <w:sz w:val="17"/>
          <w:szCs w:val="17"/>
          <w:color w:val="012E6C"/>
        </w:rPr>
      </w:pPr>
    </w:p>
    <w:p>
      <w:pPr>
        <w:ind w:left="300" w:hanging="143"/>
        <w:spacing w:after="0" w:line="248" w:lineRule="auto"/>
        <w:tabs>
          <w:tab w:leader="none" w:pos="415" w:val="left"/>
        </w:tabs>
        <w:numPr>
          <w:ilvl w:val="0"/>
          <w:numId w:val="15"/>
        </w:numPr>
        <w:rPr>
          <w:rFonts w:ascii="Arial" w:cs="Arial" w:eastAsia="Arial" w:hAnsi="Arial"/>
          <w:sz w:val="17"/>
          <w:szCs w:val="17"/>
          <w:color w:val="012E6C"/>
        </w:rPr>
      </w:pPr>
      <w:r>
        <w:rPr>
          <w:rFonts w:ascii="Arial" w:cs="Arial" w:eastAsia="Arial" w:hAnsi="Arial"/>
          <w:sz w:val="17"/>
          <w:szCs w:val="17"/>
          <w:color w:val="auto"/>
        </w:rPr>
        <w:t>NYSE-mandated committees (governance, compensation, audit) comprised of independent directors</w:t>
      </w:r>
    </w:p>
    <w:p>
      <w:pPr>
        <w:spacing w:after="0" w:line="1" w:lineRule="exact"/>
        <w:rPr>
          <w:rFonts w:ascii="Arial" w:cs="Arial" w:eastAsia="Arial" w:hAnsi="Arial"/>
          <w:sz w:val="17"/>
          <w:szCs w:val="17"/>
          <w:color w:val="012E6C"/>
        </w:rPr>
      </w:pPr>
    </w:p>
    <w:p>
      <w:pPr>
        <w:ind w:left="400" w:hanging="243"/>
        <w:spacing w:after="0"/>
        <w:tabs>
          <w:tab w:leader="none" w:pos="400" w:val="left"/>
        </w:tabs>
        <w:numPr>
          <w:ilvl w:val="0"/>
          <w:numId w:val="15"/>
        </w:numPr>
        <w:rPr>
          <w:rFonts w:ascii="Arial" w:cs="Arial" w:eastAsia="Arial" w:hAnsi="Arial"/>
          <w:sz w:val="17"/>
          <w:szCs w:val="17"/>
          <w:color w:val="012E6C"/>
        </w:rPr>
      </w:pPr>
      <w:r>
        <w:rPr>
          <w:rFonts w:ascii="Arial" w:cs="Arial" w:eastAsia="Arial" w:hAnsi="Arial"/>
          <w:sz w:val="17"/>
          <w:szCs w:val="17"/>
          <w:color w:val="auto"/>
        </w:rPr>
        <w:t>Overboarding policy</w:t>
      </w:r>
    </w:p>
    <w:p>
      <w:pPr>
        <w:spacing w:after="0" w:line="20" w:lineRule="exact"/>
        <w:rPr>
          <w:rFonts w:ascii="Arial" w:cs="Arial" w:eastAsia="Arial" w:hAnsi="Arial"/>
          <w:sz w:val="17"/>
          <w:szCs w:val="17"/>
          <w:color w:val="012E6C"/>
        </w:rPr>
      </w:pPr>
    </w:p>
    <w:p>
      <w:pPr>
        <w:ind w:left="400" w:hanging="243"/>
        <w:spacing w:after="0"/>
        <w:tabs>
          <w:tab w:leader="none" w:pos="400" w:val="left"/>
        </w:tabs>
        <w:numPr>
          <w:ilvl w:val="0"/>
          <w:numId w:val="15"/>
        </w:numPr>
        <w:rPr>
          <w:rFonts w:ascii="Arial" w:cs="Arial" w:eastAsia="Arial" w:hAnsi="Arial"/>
          <w:sz w:val="17"/>
          <w:szCs w:val="17"/>
          <w:color w:val="012E6C"/>
        </w:rPr>
      </w:pPr>
      <w:r>
        <w:rPr>
          <w:rFonts w:ascii="Arial" w:cs="Arial" w:eastAsia="Arial" w:hAnsi="Arial"/>
          <w:sz w:val="17"/>
          <w:szCs w:val="17"/>
          <w:color w:val="auto"/>
        </w:rPr>
        <w:t>Annual board self-assessment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color w:val="012E6C"/>
        </w:rPr>
        <w:t>Responsiveness to Stockholders</w:t>
      </w:r>
    </w:p>
    <w:p>
      <w:pPr>
        <w:spacing w:after="0" w:line="35" w:lineRule="exact"/>
        <w:rPr>
          <w:sz w:val="20"/>
          <w:szCs w:val="20"/>
          <w:color w:val="auto"/>
        </w:rPr>
      </w:pPr>
    </w:p>
    <w:p>
      <w:pPr>
        <w:ind w:left="280" w:hanging="255"/>
        <w:spacing w:after="0"/>
        <w:tabs>
          <w:tab w:leader="none" w:pos="280" w:val="left"/>
        </w:tabs>
        <w:numPr>
          <w:ilvl w:val="0"/>
          <w:numId w:val="16"/>
        </w:numPr>
        <w:rPr>
          <w:rFonts w:ascii="Arial" w:cs="Arial" w:eastAsia="Arial" w:hAnsi="Arial"/>
          <w:sz w:val="17"/>
          <w:szCs w:val="17"/>
          <w:color w:val="012E6C"/>
        </w:rPr>
      </w:pPr>
      <w:r>
        <w:rPr>
          <w:rFonts w:ascii="Arial" w:cs="Arial" w:eastAsia="Arial" w:hAnsi="Arial"/>
          <w:sz w:val="17"/>
          <w:szCs w:val="17"/>
          <w:color w:val="auto"/>
        </w:rPr>
        <w:t>Effective, year-round engagement with stockholders</w:t>
      </w:r>
    </w:p>
    <w:p>
      <w:pPr>
        <w:spacing w:after="0" w:line="20" w:lineRule="exact"/>
        <w:rPr>
          <w:rFonts w:ascii="Arial" w:cs="Arial" w:eastAsia="Arial" w:hAnsi="Arial"/>
          <w:sz w:val="17"/>
          <w:szCs w:val="17"/>
          <w:color w:val="012E6C"/>
        </w:rPr>
      </w:pPr>
    </w:p>
    <w:p>
      <w:pPr>
        <w:ind w:left="280" w:hanging="255"/>
        <w:spacing w:after="0"/>
        <w:tabs>
          <w:tab w:leader="none" w:pos="280" w:val="left"/>
        </w:tabs>
        <w:numPr>
          <w:ilvl w:val="0"/>
          <w:numId w:val="16"/>
        </w:numPr>
        <w:rPr>
          <w:rFonts w:ascii="Arial" w:cs="Arial" w:eastAsia="Arial" w:hAnsi="Arial"/>
          <w:sz w:val="17"/>
          <w:szCs w:val="17"/>
          <w:color w:val="012E6C"/>
        </w:rPr>
      </w:pPr>
      <w:r>
        <w:rPr>
          <w:rFonts w:ascii="Arial" w:cs="Arial" w:eastAsia="Arial" w:hAnsi="Arial"/>
          <w:sz w:val="17"/>
          <w:szCs w:val="17"/>
          <w:color w:val="auto"/>
        </w:rPr>
        <w:t>Recent adoption of stockholder right to amend the Bylaws</w:t>
      </w:r>
    </w:p>
    <w:p>
      <w:pPr>
        <w:spacing w:after="0" w:line="20" w:lineRule="exact"/>
        <w:rPr>
          <w:rFonts w:ascii="Arial" w:cs="Arial" w:eastAsia="Arial" w:hAnsi="Arial"/>
          <w:sz w:val="17"/>
          <w:szCs w:val="17"/>
          <w:color w:val="012E6C"/>
        </w:rPr>
      </w:pPr>
    </w:p>
    <w:p>
      <w:pPr>
        <w:ind w:left="260" w:hanging="235"/>
        <w:spacing w:after="0"/>
        <w:tabs>
          <w:tab w:leader="none" w:pos="260" w:val="left"/>
        </w:tabs>
        <w:numPr>
          <w:ilvl w:val="0"/>
          <w:numId w:val="16"/>
        </w:numPr>
        <w:rPr>
          <w:rFonts w:ascii="Arial" w:cs="Arial" w:eastAsia="Arial" w:hAnsi="Arial"/>
          <w:sz w:val="17"/>
          <w:szCs w:val="17"/>
          <w:color w:val="012E6C"/>
        </w:rPr>
      </w:pPr>
      <w:r>
        <w:rPr>
          <w:rFonts w:ascii="Arial" w:cs="Arial" w:eastAsia="Arial" w:hAnsi="Arial"/>
          <w:sz w:val="17"/>
          <w:szCs w:val="17"/>
          <w:color w:val="auto"/>
        </w:rPr>
        <w:t>Annual Say-on-Pay advisory vote</w:t>
      </w:r>
    </w:p>
    <w:p>
      <w:pPr>
        <w:spacing w:after="0" w:line="20" w:lineRule="exact"/>
        <w:rPr>
          <w:rFonts w:ascii="Arial" w:cs="Arial" w:eastAsia="Arial" w:hAnsi="Arial"/>
          <w:sz w:val="17"/>
          <w:szCs w:val="17"/>
          <w:color w:val="012E6C"/>
        </w:rPr>
      </w:pPr>
    </w:p>
    <w:p>
      <w:pPr>
        <w:ind w:left="160" w:right="300" w:hanging="135"/>
        <w:spacing w:after="0" w:line="248" w:lineRule="auto"/>
        <w:tabs>
          <w:tab w:leader="none" w:pos="275" w:val="left"/>
        </w:tabs>
        <w:numPr>
          <w:ilvl w:val="0"/>
          <w:numId w:val="16"/>
        </w:numPr>
        <w:rPr>
          <w:rFonts w:ascii="Arial" w:cs="Arial" w:eastAsia="Arial" w:hAnsi="Arial"/>
          <w:sz w:val="17"/>
          <w:szCs w:val="17"/>
          <w:color w:val="012E6C"/>
        </w:rPr>
      </w:pPr>
      <w:r>
        <w:rPr>
          <w:rFonts w:ascii="Arial" w:cs="Arial" w:eastAsia="Arial" w:hAnsi="Arial"/>
          <w:sz w:val="17"/>
          <w:szCs w:val="17"/>
          <w:color w:val="auto"/>
        </w:rPr>
        <w:t>Policy prohibiting hedging and pledging of company stock by directors, officers and employees</w:t>
      </w:r>
    </w:p>
    <w:p>
      <w:pPr>
        <w:spacing w:after="0" w:line="1" w:lineRule="exact"/>
        <w:rPr>
          <w:rFonts w:ascii="Arial" w:cs="Arial" w:eastAsia="Arial" w:hAnsi="Arial"/>
          <w:sz w:val="17"/>
          <w:szCs w:val="17"/>
          <w:color w:val="012E6C"/>
        </w:rPr>
      </w:pPr>
    </w:p>
    <w:p>
      <w:pPr>
        <w:ind w:left="120" w:hanging="95"/>
        <w:spacing w:after="0"/>
        <w:tabs>
          <w:tab w:leader="none" w:pos="120" w:val="left"/>
        </w:tabs>
        <w:numPr>
          <w:ilvl w:val="0"/>
          <w:numId w:val="16"/>
        </w:numPr>
        <w:rPr>
          <w:rFonts w:ascii="Arial" w:cs="Arial" w:eastAsia="Arial" w:hAnsi="Arial"/>
          <w:sz w:val="17"/>
          <w:szCs w:val="17"/>
          <w:color w:val="012E6C"/>
        </w:rPr>
      </w:pPr>
      <w:r>
        <w:rPr>
          <w:rFonts w:ascii="Arial" w:cs="Arial" w:eastAsia="Arial" w:hAnsi="Arial"/>
          <w:sz w:val="17"/>
          <w:szCs w:val="17"/>
          <w:color w:val="auto"/>
        </w:rPr>
        <w:t>Adopted the Commonsense Principles 2.0</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012E6C"/>
        </w:rPr>
        <w:t>Strong, Independent Board Leadership</w:t>
      </w:r>
    </w:p>
    <w:p>
      <w:pPr>
        <w:spacing w:after="0" w:line="35" w:lineRule="exact"/>
        <w:rPr>
          <w:sz w:val="20"/>
          <w:szCs w:val="20"/>
          <w:color w:val="auto"/>
        </w:rPr>
      </w:pPr>
    </w:p>
    <w:p>
      <w:pPr>
        <w:ind w:left="240" w:hanging="215"/>
        <w:spacing w:after="0"/>
        <w:tabs>
          <w:tab w:leader="none" w:pos="240" w:val="left"/>
        </w:tabs>
        <w:numPr>
          <w:ilvl w:val="0"/>
          <w:numId w:val="17"/>
        </w:numPr>
        <w:rPr>
          <w:rFonts w:ascii="Arial" w:cs="Arial" w:eastAsia="Arial" w:hAnsi="Arial"/>
          <w:sz w:val="17"/>
          <w:szCs w:val="17"/>
          <w:color w:val="012E6C"/>
        </w:rPr>
      </w:pPr>
      <w:r>
        <w:rPr>
          <w:rFonts w:ascii="Arial" w:cs="Arial" w:eastAsia="Arial" w:hAnsi="Arial"/>
          <w:sz w:val="17"/>
          <w:szCs w:val="17"/>
          <w:color w:val="auto"/>
        </w:rPr>
        <w:t>Independent Lead Director with defined duties</w:t>
      </w:r>
    </w:p>
    <w:p>
      <w:pPr>
        <w:spacing w:after="0" w:line="20" w:lineRule="exact"/>
        <w:rPr>
          <w:rFonts w:ascii="Arial" w:cs="Arial" w:eastAsia="Arial" w:hAnsi="Arial"/>
          <w:sz w:val="17"/>
          <w:szCs w:val="17"/>
          <w:color w:val="012E6C"/>
        </w:rPr>
      </w:pPr>
    </w:p>
    <w:p>
      <w:pPr>
        <w:ind w:left="240" w:hanging="215"/>
        <w:spacing w:after="0"/>
        <w:tabs>
          <w:tab w:leader="none" w:pos="240" w:val="left"/>
        </w:tabs>
        <w:numPr>
          <w:ilvl w:val="0"/>
          <w:numId w:val="17"/>
        </w:numPr>
        <w:rPr>
          <w:rFonts w:ascii="Arial" w:cs="Arial" w:eastAsia="Arial" w:hAnsi="Arial"/>
          <w:sz w:val="17"/>
          <w:szCs w:val="17"/>
          <w:color w:val="012E6C"/>
        </w:rPr>
      </w:pPr>
      <w:r>
        <w:rPr>
          <w:rFonts w:ascii="Arial" w:cs="Arial" w:eastAsia="Arial" w:hAnsi="Arial"/>
          <w:sz w:val="17"/>
          <w:szCs w:val="17"/>
          <w:color w:val="auto"/>
        </w:rPr>
        <w:t>All directors are independent except the Chairman</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012E6C"/>
        </w:rPr>
        <w:t>Incentive Compensation Structures Align With Strategy</w:t>
      </w:r>
    </w:p>
    <w:p>
      <w:pPr>
        <w:spacing w:after="0" w:line="35" w:lineRule="exact"/>
        <w:rPr>
          <w:sz w:val="20"/>
          <w:szCs w:val="20"/>
          <w:color w:val="auto"/>
        </w:rPr>
      </w:pPr>
    </w:p>
    <w:p>
      <w:pPr>
        <w:ind w:left="160" w:right="560" w:hanging="135"/>
        <w:spacing w:after="0" w:line="257" w:lineRule="auto"/>
        <w:tabs>
          <w:tab w:leader="none" w:pos="275" w:val="left"/>
        </w:tabs>
        <w:numPr>
          <w:ilvl w:val="0"/>
          <w:numId w:val="18"/>
        </w:numPr>
        <w:rPr>
          <w:rFonts w:ascii="Arial" w:cs="Arial" w:eastAsia="Arial" w:hAnsi="Arial"/>
          <w:sz w:val="17"/>
          <w:szCs w:val="17"/>
          <w:color w:val="012E6C"/>
        </w:rPr>
      </w:pPr>
      <w:r>
        <w:rPr>
          <w:rFonts w:ascii="Arial" w:cs="Arial" w:eastAsia="Arial" w:hAnsi="Arial"/>
          <w:sz w:val="17"/>
          <w:szCs w:val="17"/>
          <w:color w:val="auto"/>
        </w:rPr>
        <w:t>Short-term and long-term incentive targets derived from long-range plan</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012E6C"/>
        </w:rPr>
        <w:t>Voting Rights are Proportional to Economic Interests</w:t>
      </w:r>
    </w:p>
    <w:p>
      <w:pPr>
        <w:spacing w:after="0" w:line="35" w:lineRule="exact"/>
        <w:rPr>
          <w:sz w:val="20"/>
          <w:szCs w:val="20"/>
          <w:color w:val="auto"/>
        </w:rPr>
      </w:pPr>
    </w:p>
    <w:p>
      <w:pPr>
        <w:ind w:left="280" w:hanging="255"/>
        <w:spacing w:after="0"/>
        <w:tabs>
          <w:tab w:leader="none" w:pos="280" w:val="left"/>
        </w:tabs>
        <w:numPr>
          <w:ilvl w:val="0"/>
          <w:numId w:val="19"/>
        </w:numPr>
        <w:rPr>
          <w:rFonts w:ascii="Arial" w:cs="Arial" w:eastAsia="Arial" w:hAnsi="Arial"/>
          <w:sz w:val="17"/>
          <w:szCs w:val="17"/>
          <w:color w:val="012E6C"/>
        </w:rPr>
      </w:pPr>
      <w:r>
        <w:rPr>
          <w:rFonts w:ascii="Arial" w:cs="Arial" w:eastAsia="Arial" w:hAnsi="Arial"/>
          <w:sz w:val="17"/>
          <w:szCs w:val="17"/>
          <w:color w:val="auto"/>
        </w:rPr>
        <w:t>One class of stock</w:t>
      </w:r>
    </w:p>
    <w:p>
      <w:pPr>
        <w:spacing w:after="0" w:line="20" w:lineRule="exact"/>
        <w:rPr>
          <w:rFonts w:ascii="Arial" w:cs="Arial" w:eastAsia="Arial" w:hAnsi="Arial"/>
          <w:sz w:val="17"/>
          <w:szCs w:val="17"/>
          <w:color w:val="012E6C"/>
        </w:rPr>
      </w:pPr>
    </w:p>
    <w:p>
      <w:pPr>
        <w:ind w:left="280" w:hanging="255"/>
        <w:spacing w:after="0"/>
        <w:tabs>
          <w:tab w:leader="none" w:pos="280" w:val="left"/>
        </w:tabs>
        <w:numPr>
          <w:ilvl w:val="0"/>
          <w:numId w:val="19"/>
        </w:numPr>
        <w:rPr>
          <w:rFonts w:ascii="Arial" w:cs="Arial" w:eastAsia="Arial" w:hAnsi="Arial"/>
          <w:sz w:val="17"/>
          <w:szCs w:val="17"/>
          <w:color w:val="012E6C"/>
        </w:rPr>
      </w:pPr>
      <w:r>
        <w:rPr>
          <w:rFonts w:ascii="Arial" w:cs="Arial" w:eastAsia="Arial" w:hAnsi="Arial"/>
          <w:sz w:val="17"/>
          <w:szCs w:val="17"/>
          <w:color w:val="auto"/>
        </w:rPr>
        <w:t>One share, one vote</w:t>
      </w:r>
    </w:p>
    <w:p>
      <w:pPr>
        <w:spacing w:after="0" w:line="200" w:lineRule="exact"/>
        <w:rPr>
          <w:sz w:val="20"/>
          <w:szCs w:val="20"/>
          <w:color w:val="auto"/>
        </w:rPr>
      </w:pPr>
    </w:p>
    <w:p>
      <w:pPr>
        <w:sectPr>
          <w:pgSz w:w="11900" w:h="16838" w:orient="portrait"/>
          <w:cols w:equalWidth="0" w:num="2">
            <w:col w:w="5280" w:space="240"/>
            <w:col w:w="5900"/>
          </w:cols>
          <w:pgMar w:left="240" w:top="292" w:right="239" w:bottom="1440" w:gutter="0" w:footer="0" w:header="0"/>
          <w:type w:val="continuous"/>
        </w:sectPr>
      </w:pPr>
    </w:p>
    <w:p>
      <w:pPr>
        <w:spacing w:after="0" w:line="200" w:lineRule="exact"/>
        <w:rPr>
          <w:sz w:val="20"/>
          <w:szCs w:val="20"/>
          <w:color w:val="auto"/>
        </w:rPr>
      </w:pPr>
    </w:p>
    <w:p>
      <w:pPr>
        <w:spacing w:after="0" w:line="381" w:lineRule="exact"/>
        <w:rPr>
          <w:sz w:val="20"/>
          <w:szCs w:val="20"/>
          <w:color w:val="auto"/>
        </w:rPr>
      </w:pPr>
    </w:p>
    <w:p>
      <w:pPr>
        <w:ind w:left="40"/>
        <w:spacing w:after="0"/>
        <w:tabs>
          <w:tab w:leader="none" w:pos="9420" w:val="left"/>
          <w:tab w:leader="none" w:pos="1130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2019 Proxy Statement</w:t>
      </w:r>
      <w:r>
        <w:rPr>
          <w:sz w:val="20"/>
          <w:szCs w:val="20"/>
          <w:color w:val="auto"/>
        </w:rPr>
        <w:tab/>
      </w:r>
      <w:r>
        <w:rPr>
          <w:rFonts w:ascii="Arial" w:cs="Arial" w:eastAsia="Arial" w:hAnsi="Arial"/>
          <w:sz w:val="14"/>
          <w:szCs w:val="14"/>
          <w:b w:val="1"/>
          <w:bCs w:val="1"/>
          <w:color w:val="808080"/>
        </w:rPr>
        <w:t>5</w:t>
      </w:r>
    </w:p>
    <w:p>
      <w:pPr>
        <w:sectPr>
          <w:pgSz w:w="11900" w:h="16838" w:orient="portrait"/>
          <w:cols w:equalWidth="0" w:num="1">
            <w:col w:w="11420"/>
          </w:cols>
          <w:pgMar w:left="240" w:top="292" w:right="2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5"/>
          <w:szCs w:val="15"/>
          <w:color w:val="003478"/>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246620" cy="1912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912620"/>
                    </a:xfrm>
                    <a:prstGeom prst="rect">
                      <a:avLst/>
                    </a:prstGeom>
                    <a:noFill/>
                  </pic:spPr>
                </pic:pic>
              </a:graphicData>
            </a:graphic>
          </wp:anchor>
        </w:drawing>
      </w:r>
    </w:p>
    <w:p>
      <w:pPr>
        <w:sectPr>
          <w:pgSz w:w="11900" w:h="16838" w:orient="portrait"/>
          <w:cols w:equalWidth="0" w:num="1">
            <w:col w:w="11340"/>
          </w:cols>
          <w:pgMar w:left="240" w:top="292"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right"/>
        <w:ind w:right="40"/>
        <w:spacing w:after="0"/>
        <w:rPr>
          <w:sz w:val="20"/>
          <w:szCs w:val="20"/>
          <w:color w:val="auto"/>
        </w:rPr>
      </w:pPr>
      <w:r>
        <w:rPr>
          <w:rFonts w:ascii="Arial" w:cs="Arial" w:eastAsia="Arial" w:hAnsi="Arial"/>
          <w:sz w:val="19"/>
          <w:szCs w:val="19"/>
          <w:color w:val="003478"/>
        </w:rPr>
        <w:t>Proposal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29"/>
          <w:szCs w:val="29"/>
          <w:color w:val="003478"/>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line="297" w:lineRule="auto"/>
        <w:rPr>
          <w:sz w:val="20"/>
          <w:szCs w:val="20"/>
          <w:color w:val="auto"/>
        </w:rPr>
      </w:pPr>
      <w:r>
        <w:rPr>
          <w:rFonts w:ascii="Arial" w:cs="Arial" w:eastAsia="Arial" w:hAnsi="Arial"/>
          <w:sz w:val="29"/>
          <w:szCs w:val="29"/>
          <w:b w:val="1"/>
          <w:bCs w:val="1"/>
          <w:color w:val="012E6C"/>
        </w:rPr>
        <w:t>Ratification of Ernst &amp; Young LLP as the Independent Auditors for 2019</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012E6C"/>
        </w:rPr>
        <w:t>The Board recommends a vote FOR ratification of Ernst &amp; Young LLP for 2019.</w:t>
      </w:r>
    </w:p>
    <w:p>
      <w:pPr>
        <w:spacing w:after="0" w:line="48" w:lineRule="exact"/>
        <w:rPr>
          <w:sz w:val="20"/>
          <w:szCs w:val="20"/>
          <w:color w:val="auto"/>
        </w:rPr>
      </w:pPr>
    </w:p>
    <w:p>
      <w:pPr>
        <w:ind w:left="160" w:right="420" w:hanging="158"/>
        <w:spacing w:after="0" w:line="275" w:lineRule="auto"/>
        <w:tabs>
          <w:tab w:leader="none" w:pos="248" w:val="left"/>
        </w:tabs>
        <w:numPr>
          <w:ilvl w:val="0"/>
          <w:numId w:val="20"/>
        </w:numPr>
        <w:rPr>
          <w:rFonts w:ascii="Arial" w:cs="Arial" w:eastAsia="Arial" w:hAnsi="Arial"/>
          <w:sz w:val="17"/>
          <w:szCs w:val="17"/>
          <w:color w:val="012E6C"/>
        </w:rPr>
      </w:pPr>
      <w:r>
        <w:rPr>
          <w:rFonts w:ascii="Arial" w:cs="Arial" w:eastAsia="Arial" w:hAnsi="Arial"/>
          <w:sz w:val="17"/>
          <w:szCs w:val="17"/>
          <w:color w:val="012E6C"/>
        </w:rPr>
        <w:t>Independent accounting firm with the breadth of knowledge, support and expertise of its national office.</w:t>
      </w:r>
    </w:p>
    <w:p>
      <w:pPr>
        <w:spacing w:after="0" w:line="38" w:lineRule="exact"/>
        <w:rPr>
          <w:rFonts w:ascii="Arial" w:cs="Arial" w:eastAsia="Arial" w:hAnsi="Arial"/>
          <w:sz w:val="17"/>
          <w:szCs w:val="17"/>
          <w:color w:val="012E6C"/>
        </w:rPr>
      </w:pPr>
    </w:p>
    <w:p>
      <w:pPr>
        <w:ind w:left="260" w:hanging="258"/>
        <w:spacing w:after="0"/>
        <w:tabs>
          <w:tab w:leader="none" w:pos="260" w:val="left"/>
        </w:tabs>
        <w:numPr>
          <w:ilvl w:val="0"/>
          <w:numId w:val="20"/>
        </w:numPr>
        <w:rPr>
          <w:rFonts w:ascii="Arial" w:cs="Arial" w:eastAsia="Arial" w:hAnsi="Arial"/>
          <w:sz w:val="17"/>
          <w:szCs w:val="17"/>
          <w:color w:val="012E6C"/>
        </w:rPr>
      </w:pPr>
      <w:r>
        <w:rPr>
          <w:rFonts w:ascii="Arial" w:cs="Arial" w:eastAsia="Arial" w:hAnsi="Arial"/>
          <w:sz w:val="17"/>
          <w:szCs w:val="17"/>
          <w:color w:val="012E6C"/>
        </w:rPr>
        <w:t>Significant industry and government contracting expertise.</w:t>
      </w:r>
    </w:p>
    <w:p>
      <w:pPr>
        <w:spacing w:after="0" w:line="101" w:lineRule="exact"/>
        <w:rPr>
          <w:rFonts w:ascii="Arial" w:cs="Arial" w:eastAsia="Arial" w:hAnsi="Arial"/>
          <w:sz w:val="17"/>
          <w:szCs w:val="17"/>
          <w:color w:val="012E6C"/>
        </w:rPr>
      </w:pPr>
    </w:p>
    <w:p>
      <w:pPr>
        <w:ind w:left="260" w:hanging="258"/>
        <w:spacing w:after="0"/>
        <w:tabs>
          <w:tab w:leader="none" w:pos="260" w:val="left"/>
        </w:tabs>
        <w:numPr>
          <w:ilvl w:val="0"/>
          <w:numId w:val="20"/>
        </w:numPr>
        <w:rPr>
          <w:rFonts w:ascii="Arial" w:cs="Arial" w:eastAsia="Arial" w:hAnsi="Arial"/>
          <w:sz w:val="17"/>
          <w:szCs w:val="17"/>
          <w:color w:val="012E6C"/>
        </w:rPr>
      </w:pPr>
      <w:r>
        <w:rPr>
          <w:rFonts w:ascii="Arial" w:cs="Arial" w:eastAsia="Arial" w:hAnsi="Arial"/>
          <w:sz w:val="17"/>
          <w:szCs w:val="17"/>
          <w:color w:val="012E6C"/>
        </w:rPr>
        <w:t>Periodic mandated rotation of the audit firm’s lead engagement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-1010285</wp:posOffset>
            </wp:positionH>
            <wp:positionV relativeFrom="paragraph">
              <wp:posOffset>554355</wp:posOffset>
            </wp:positionV>
            <wp:extent cx="7246620" cy="20326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20326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460"/>
        <w:spacing w:after="0" w:line="307" w:lineRule="auto"/>
        <w:rPr>
          <w:sz w:val="20"/>
          <w:szCs w:val="20"/>
          <w:color w:val="auto"/>
        </w:rPr>
      </w:pPr>
      <w:r>
        <w:rPr>
          <w:rFonts w:ascii="Arial" w:cs="Arial" w:eastAsia="Arial" w:hAnsi="Arial"/>
          <w:sz w:val="16"/>
          <w:szCs w:val="16"/>
          <w:color w:val="012E6C"/>
        </w:rPr>
        <w:t>See pages 30-31 for further information.</w:t>
      </w:r>
    </w:p>
    <w:p>
      <w:pPr>
        <w:spacing w:after="0" w:line="843" w:lineRule="exact"/>
        <w:rPr>
          <w:sz w:val="20"/>
          <w:szCs w:val="20"/>
          <w:color w:val="auto"/>
        </w:rPr>
      </w:pPr>
    </w:p>
    <w:p>
      <w:pPr>
        <w:sectPr>
          <w:pgSz w:w="11900" w:h="16838" w:orient="portrait"/>
          <w:cols w:equalWidth="0" w:num="3">
            <w:col w:w="1460" w:space="140"/>
            <w:col w:w="7300" w:space="440"/>
            <w:col w:w="2000"/>
          </w:cols>
          <w:pgMar w:left="240" w:top="292"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ind w:right="40"/>
        <w:spacing w:after="0"/>
        <w:rPr>
          <w:sz w:val="20"/>
          <w:szCs w:val="20"/>
          <w:color w:val="auto"/>
        </w:rPr>
      </w:pPr>
      <w:r>
        <w:rPr>
          <w:rFonts w:ascii="Arial" w:cs="Arial" w:eastAsia="Arial" w:hAnsi="Arial"/>
          <w:sz w:val="19"/>
          <w:szCs w:val="19"/>
          <w:color w:val="003478"/>
        </w:rPr>
        <w:t>Proposal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29"/>
          <w:szCs w:val="29"/>
          <w:color w:val="003478"/>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420"/>
        <w:spacing w:after="0" w:line="297" w:lineRule="auto"/>
        <w:rPr>
          <w:sz w:val="20"/>
          <w:szCs w:val="20"/>
          <w:color w:val="auto"/>
        </w:rPr>
      </w:pPr>
      <w:r>
        <w:rPr>
          <w:rFonts w:ascii="Arial" w:cs="Arial" w:eastAsia="Arial" w:hAnsi="Arial"/>
          <w:sz w:val="29"/>
          <w:szCs w:val="29"/>
          <w:b w:val="1"/>
          <w:bCs w:val="1"/>
          <w:color w:val="012E6C"/>
        </w:rPr>
        <w:t>Advisory Vote on the Compensation of the Named Executive Officers (Say-on-Pay)</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012E6C"/>
        </w:rPr>
        <w:t>The Board recommends a vote FOR our Say-on-Pay proposal.</w:t>
      </w:r>
    </w:p>
    <w:p>
      <w:pPr>
        <w:spacing w:after="0" w:line="48" w:lineRule="exact"/>
        <w:rPr>
          <w:sz w:val="20"/>
          <w:szCs w:val="20"/>
          <w:color w:val="auto"/>
        </w:rPr>
      </w:pPr>
    </w:p>
    <w:p>
      <w:pPr>
        <w:ind w:left="160" w:hanging="158"/>
        <w:spacing w:after="0" w:line="275" w:lineRule="auto"/>
        <w:tabs>
          <w:tab w:leader="none" w:pos="248" w:val="left"/>
        </w:tabs>
        <w:numPr>
          <w:ilvl w:val="0"/>
          <w:numId w:val="21"/>
        </w:numPr>
        <w:rPr>
          <w:rFonts w:ascii="Arial" w:cs="Arial" w:eastAsia="Arial" w:hAnsi="Arial"/>
          <w:sz w:val="17"/>
          <w:szCs w:val="17"/>
          <w:color w:val="012E6C"/>
        </w:rPr>
      </w:pPr>
      <w:r>
        <w:rPr>
          <w:rFonts w:ascii="Arial" w:cs="Arial" w:eastAsia="Arial" w:hAnsi="Arial"/>
          <w:sz w:val="17"/>
          <w:szCs w:val="17"/>
          <w:color w:val="012E6C"/>
        </w:rPr>
        <w:t>Independent oversight by Management Development and Compensation Committee with the assistance of an independent consultant.</w:t>
      </w:r>
    </w:p>
    <w:p>
      <w:pPr>
        <w:spacing w:after="0" w:line="38" w:lineRule="exact"/>
        <w:rPr>
          <w:rFonts w:ascii="Arial" w:cs="Arial" w:eastAsia="Arial" w:hAnsi="Arial"/>
          <w:sz w:val="17"/>
          <w:szCs w:val="17"/>
          <w:color w:val="012E6C"/>
        </w:rPr>
      </w:pPr>
    </w:p>
    <w:p>
      <w:pPr>
        <w:ind w:left="160" w:right="140" w:hanging="158"/>
        <w:spacing w:after="0" w:line="275" w:lineRule="auto"/>
        <w:tabs>
          <w:tab w:leader="none" w:pos="248" w:val="left"/>
        </w:tabs>
        <w:numPr>
          <w:ilvl w:val="0"/>
          <w:numId w:val="21"/>
        </w:numPr>
        <w:rPr>
          <w:rFonts w:ascii="Arial" w:cs="Arial" w:eastAsia="Arial" w:hAnsi="Arial"/>
          <w:sz w:val="17"/>
          <w:szCs w:val="17"/>
          <w:color w:val="012E6C"/>
        </w:rPr>
      </w:pPr>
      <w:r>
        <w:rPr>
          <w:rFonts w:ascii="Arial" w:cs="Arial" w:eastAsia="Arial" w:hAnsi="Arial"/>
          <w:sz w:val="17"/>
          <w:szCs w:val="17"/>
          <w:color w:val="012E6C"/>
        </w:rPr>
        <w:t>Executive compensation targets are set by reference to 50th percentile of peers with actual payouts dependent on performance.</w:t>
      </w:r>
    </w:p>
    <w:p>
      <w:pPr>
        <w:spacing w:after="0" w:line="38" w:lineRule="exact"/>
        <w:rPr>
          <w:rFonts w:ascii="Arial" w:cs="Arial" w:eastAsia="Arial" w:hAnsi="Arial"/>
          <w:sz w:val="17"/>
          <w:szCs w:val="17"/>
          <w:color w:val="012E6C"/>
        </w:rPr>
      </w:pPr>
    </w:p>
    <w:p>
      <w:pPr>
        <w:ind w:left="260" w:hanging="258"/>
        <w:spacing w:after="0"/>
        <w:tabs>
          <w:tab w:leader="none" w:pos="260" w:val="left"/>
        </w:tabs>
        <w:numPr>
          <w:ilvl w:val="0"/>
          <w:numId w:val="21"/>
        </w:numPr>
        <w:rPr>
          <w:rFonts w:ascii="Arial" w:cs="Arial" w:eastAsia="Arial" w:hAnsi="Arial"/>
          <w:sz w:val="17"/>
          <w:szCs w:val="17"/>
          <w:color w:val="012E6C"/>
        </w:rPr>
      </w:pPr>
      <w:r>
        <w:rPr>
          <w:rFonts w:ascii="Arial" w:cs="Arial" w:eastAsia="Arial" w:hAnsi="Arial"/>
          <w:sz w:val="17"/>
          <w:szCs w:val="17"/>
          <w:color w:val="012E6C"/>
        </w:rPr>
        <w:t>More than 93% of votes cast at the 2018 annual meeting approved Say-on-Pay.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-1010285</wp:posOffset>
            </wp:positionH>
            <wp:positionV relativeFrom="paragraph">
              <wp:posOffset>554355</wp:posOffset>
            </wp:positionV>
            <wp:extent cx="7246620" cy="19812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9812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012E6C"/>
        </w:rPr>
        <w:t>See page 33 for further information.</w:t>
      </w:r>
    </w:p>
    <w:p>
      <w:pPr>
        <w:spacing w:after="0" w:line="960" w:lineRule="exact"/>
        <w:rPr>
          <w:sz w:val="20"/>
          <w:szCs w:val="20"/>
          <w:color w:val="auto"/>
        </w:rPr>
      </w:pPr>
    </w:p>
    <w:p>
      <w:pPr>
        <w:sectPr>
          <w:pgSz w:w="11900" w:h="16838" w:orient="portrait"/>
          <w:cols w:equalWidth="0" w:num="3">
            <w:col w:w="1460" w:space="140"/>
            <w:col w:w="7260" w:space="480"/>
            <w:col w:w="2000"/>
          </w:cols>
          <w:pgMar w:left="240" w:top="292"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ind w:right="40"/>
        <w:spacing w:after="0"/>
        <w:rPr>
          <w:sz w:val="20"/>
          <w:szCs w:val="20"/>
          <w:color w:val="auto"/>
        </w:rPr>
      </w:pPr>
      <w:r>
        <w:rPr>
          <w:rFonts w:ascii="Arial" w:cs="Arial" w:eastAsia="Arial" w:hAnsi="Arial"/>
          <w:sz w:val="19"/>
          <w:szCs w:val="19"/>
          <w:color w:val="003478"/>
        </w:rPr>
        <w:t>Proposal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29"/>
          <w:szCs w:val="29"/>
          <w:color w:val="003478"/>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160"/>
        <w:spacing w:after="0" w:line="297" w:lineRule="auto"/>
        <w:rPr>
          <w:sz w:val="20"/>
          <w:szCs w:val="20"/>
          <w:color w:val="auto"/>
        </w:rPr>
      </w:pPr>
      <w:r>
        <w:rPr>
          <w:rFonts w:ascii="Arial" w:cs="Arial" w:eastAsia="Arial" w:hAnsi="Arial"/>
          <w:sz w:val="29"/>
          <w:szCs w:val="29"/>
          <w:b w:val="1"/>
          <w:bCs w:val="1"/>
          <w:color w:val="012E6C"/>
        </w:rPr>
        <w:t>Stockholder Proposal to Amend the Proxy Access Bylaw</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012E6C"/>
        </w:rPr>
        <w:t>The Board recommends a vote AGAINST proposal 4.</w:t>
      </w:r>
    </w:p>
    <w:p>
      <w:pPr>
        <w:spacing w:after="0" w:line="48" w:lineRule="exact"/>
        <w:rPr>
          <w:sz w:val="20"/>
          <w:szCs w:val="20"/>
          <w:color w:val="auto"/>
        </w:rPr>
      </w:pPr>
    </w:p>
    <w:p>
      <w:pPr>
        <w:ind w:left="260" w:hanging="258"/>
        <w:spacing w:after="0"/>
        <w:tabs>
          <w:tab w:leader="none" w:pos="260" w:val="left"/>
        </w:tabs>
        <w:numPr>
          <w:ilvl w:val="0"/>
          <w:numId w:val="22"/>
        </w:numPr>
        <w:rPr>
          <w:rFonts w:ascii="Arial" w:cs="Arial" w:eastAsia="Arial" w:hAnsi="Arial"/>
          <w:sz w:val="17"/>
          <w:szCs w:val="17"/>
          <w:color w:val="012E6C"/>
        </w:rPr>
      </w:pPr>
      <w:r>
        <w:rPr>
          <w:rFonts w:ascii="Arial" w:cs="Arial" w:eastAsia="Arial" w:hAnsi="Arial"/>
          <w:sz w:val="17"/>
          <w:szCs w:val="17"/>
          <w:color w:val="012E6C"/>
        </w:rPr>
        <w:t>Existing proxy access bylaw adopted following extensive stockholder engagement.</w:t>
      </w:r>
    </w:p>
    <w:p>
      <w:pPr>
        <w:spacing w:after="0" w:line="101" w:lineRule="exact"/>
        <w:rPr>
          <w:rFonts w:ascii="Arial" w:cs="Arial" w:eastAsia="Arial" w:hAnsi="Arial"/>
          <w:sz w:val="17"/>
          <w:szCs w:val="17"/>
          <w:color w:val="012E6C"/>
        </w:rPr>
      </w:pPr>
    </w:p>
    <w:p>
      <w:pPr>
        <w:ind w:left="260" w:hanging="258"/>
        <w:spacing w:after="0"/>
        <w:tabs>
          <w:tab w:leader="none" w:pos="260" w:val="left"/>
        </w:tabs>
        <w:numPr>
          <w:ilvl w:val="0"/>
          <w:numId w:val="22"/>
        </w:numPr>
        <w:rPr>
          <w:rFonts w:ascii="Arial" w:cs="Arial" w:eastAsia="Arial" w:hAnsi="Arial"/>
          <w:sz w:val="17"/>
          <w:szCs w:val="17"/>
          <w:color w:val="012E6C"/>
        </w:rPr>
      </w:pPr>
      <w:r>
        <w:rPr>
          <w:rFonts w:ascii="Arial" w:cs="Arial" w:eastAsia="Arial" w:hAnsi="Arial"/>
          <w:sz w:val="17"/>
          <w:szCs w:val="17"/>
          <w:color w:val="012E6C"/>
        </w:rPr>
        <w:t>Proxy access bylaw provision provides stockholders with meaningful proxy access.</w:t>
      </w:r>
    </w:p>
    <w:p>
      <w:pPr>
        <w:spacing w:after="0" w:line="101" w:lineRule="exact"/>
        <w:rPr>
          <w:rFonts w:ascii="Arial" w:cs="Arial" w:eastAsia="Arial" w:hAnsi="Arial"/>
          <w:sz w:val="17"/>
          <w:szCs w:val="17"/>
          <w:color w:val="012E6C"/>
        </w:rPr>
      </w:pPr>
    </w:p>
    <w:p>
      <w:pPr>
        <w:ind w:left="260" w:hanging="258"/>
        <w:spacing w:after="0"/>
        <w:tabs>
          <w:tab w:leader="none" w:pos="260" w:val="left"/>
        </w:tabs>
        <w:numPr>
          <w:ilvl w:val="0"/>
          <w:numId w:val="22"/>
        </w:numPr>
        <w:rPr>
          <w:rFonts w:ascii="Arial" w:cs="Arial" w:eastAsia="Arial" w:hAnsi="Arial"/>
          <w:sz w:val="17"/>
          <w:szCs w:val="17"/>
          <w:color w:val="012E6C"/>
        </w:rPr>
      </w:pPr>
      <w:r>
        <w:rPr>
          <w:rFonts w:ascii="Arial" w:cs="Arial" w:eastAsia="Arial" w:hAnsi="Arial"/>
          <w:sz w:val="17"/>
          <w:szCs w:val="17"/>
          <w:color w:val="012E6C"/>
        </w:rPr>
        <w:t>Proxy access bylaw reflects current best practices.</w:t>
      </w:r>
    </w:p>
    <w:p>
      <w:pPr>
        <w:spacing w:after="0" w:line="101" w:lineRule="exact"/>
        <w:rPr>
          <w:rFonts w:ascii="Arial" w:cs="Arial" w:eastAsia="Arial" w:hAnsi="Arial"/>
          <w:sz w:val="17"/>
          <w:szCs w:val="17"/>
          <w:color w:val="012E6C"/>
        </w:rPr>
      </w:pPr>
    </w:p>
    <w:p>
      <w:pPr>
        <w:ind w:left="260" w:hanging="258"/>
        <w:spacing w:after="0"/>
        <w:tabs>
          <w:tab w:leader="none" w:pos="260" w:val="left"/>
        </w:tabs>
        <w:numPr>
          <w:ilvl w:val="0"/>
          <w:numId w:val="22"/>
        </w:numPr>
        <w:rPr>
          <w:rFonts w:ascii="Arial" w:cs="Arial" w:eastAsia="Arial" w:hAnsi="Arial"/>
          <w:sz w:val="17"/>
          <w:szCs w:val="17"/>
          <w:color w:val="012E6C"/>
        </w:rPr>
      </w:pPr>
      <w:r>
        <w:rPr>
          <w:rFonts w:ascii="Arial" w:cs="Arial" w:eastAsia="Arial" w:hAnsi="Arial"/>
          <w:sz w:val="17"/>
          <w:szCs w:val="17"/>
          <w:color w:val="012E6C"/>
        </w:rPr>
        <w:t>Stockholder aggregation limit is consistent with market practice and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-701675</wp:posOffset>
            </wp:positionH>
            <wp:positionV relativeFrom="paragraph">
              <wp:posOffset>725805</wp:posOffset>
            </wp:positionV>
            <wp:extent cx="1440815" cy="3257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40815" cy="3257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275" w:lineRule="auto"/>
        <w:rPr>
          <w:sz w:val="20"/>
          <w:szCs w:val="20"/>
          <w:color w:val="auto"/>
        </w:rPr>
      </w:pPr>
      <w:r>
        <w:rPr>
          <w:rFonts w:ascii="Arial" w:cs="Arial" w:eastAsia="Arial" w:hAnsi="Arial"/>
          <w:sz w:val="17"/>
          <w:szCs w:val="17"/>
          <w:color w:val="012E6C"/>
        </w:rPr>
        <w:t>See page 74-75 for further information.</w:t>
      </w:r>
    </w:p>
    <w:p>
      <w:pPr>
        <w:spacing w:after="0" w:line="919" w:lineRule="exact"/>
        <w:rPr>
          <w:sz w:val="20"/>
          <w:szCs w:val="20"/>
          <w:color w:val="auto"/>
        </w:rPr>
      </w:pPr>
    </w:p>
    <w:p>
      <w:pPr>
        <w:sectPr>
          <w:pgSz w:w="11900" w:h="16838" w:orient="portrait"/>
          <w:cols w:equalWidth="0" w:num="3">
            <w:col w:w="1460" w:space="140"/>
            <w:col w:w="7020" w:space="720"/>
            <w:col w:w="2000"/>
          </w:cols>
          <w:pgMar w:left="240" w:top="292"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808080"/>
        </w:rPr>
        <w:t>6</w:t>
      </w:r>
    </w:p>
    <w:p>
      <w:pPr>
        <w:sectPr>
          <w:pgSz w:w="11900" w:h="16838" w:orient="portrait"/>
          <w:cols w:equalWidth="0" w:num="1">
            <w:col w:w="11340"/>
          </w:cols>
          <w:pgMar w:left="240" w:top="292" w:right="319" w:bottom="1440" w:gutter="0" w:footer="0" w:header="0"/>
          <w:type w:val="continuous"/>
        </w:sectPr>
      </w:pPr>
    </w:p>
    <w:bookmarkStart w:id="9" w:name="page10"/>
    <w:bookmarkEnd w:id="9"/>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9"/>
          <w:szCs w:val="29"/>
          <w:b w:val="1"/>
          <w:bCs w:val="1"/>
          <w:color w:val="012E6C"/>
        </w:rPr>
        <w:t>Compensation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3559175" cy="6946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59175"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960"/>
        <w:spacing w:after="0"/>
        <w:rPr>
          <w:sz w:val="20"/>
          <w:szCs w:val="20"/>
          <w:color w:val="auto"/>
        </w:rPr>
      </w:pPr>
      <w:r>
        <w:rPr>
          <w:rFonts w:ascii="Arial" w:cs="Arial" w:eastAsia="Arial" w:hAnsi="Arial"/>
          <w:sz w:val="16"/>
          <w:szCs w:val="16"/>
          <w:color w:val="012E6C"/>
        </w:rPr>
        <w:t>Best Practices in Our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3559175" cy="14922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59175" cy="1492250"/>
                    </a:xfrm>
                    <a:prstGeom prst="rect">
                      <a:avLst/>
                    </a:prstGeom>
                    <a:noFill/>
                  </pic:spPr>
                </pic:pic>
              </a:graphicData>
            </a:graphic>
          </wp:anchor>
        </w:drawing>
      </w:r>
    </w:p>
    <w:p>
      <w:pPr>
        <w:spacing w:after="0" w:line="326" w:lineRule="exact"/>
        <w:rPr>
          <w:sz w:val="20"/>
          <w:szCs w:val="20"/>
          <w:color w:val="auto"/>
        </w:rPr>
      </w:pPr>
    </w:p>
    <w:p>
      <w:pPr>
        <w:ind w:left="360" w:hanging="244"/>
        <w:spacing w:after="0"/>
        <w:tabs>
          <w:tab w:leader="none" w:pos="360" w:val="left"/>
        </w:tabs>
        <w:numPr>
          <w:ilvl w:val="0"/>
          <w:numId w:val="23"/>
        </w:numPr>
        <w:rPr>
          <w:rFonts w:ascii="Arial" w:cs="Arial" w:eastAsia="Arial" w:hAnsi="Arial"/>
          <w:sz w:val="17"/>
          <w:szCs w:val="17"/>
          <w:color w:val="012E6C"/>
        </w:rPr>
      </w:pPr>
      <w:r>
        <w:rPr>
          <w:rFonts w:ascii="Arial" w:cs="Arial" w:eastAsia="Arial" w:hAnsi="Arial"/>
          <w:sz w:val="17"/>
          <w:szCs w:val="17"/>
          <w:color w:val="auto"/>
        </w:rPr>
        <w:t>Pay aligns with performance</w:t>
      </w:r>
    </w:p>
    <w:p>
      <w:pPr>
        <w:spacing w:after="0" w:line="35" w:lineRule="exact"/>
        <w:rPr>
          <w:rFonts w:ascii="Arial" w:cs="Arial" w:eastAsia="Arial" w:hAnsi="Arial"/>
          <w:sz w:val="17"/>
          <w:szCs w:val="17"/>
          <w:color w:val="012E6C"/>
        </w:rPr>
      </w:pPr>
    </w:p>
    <w:p>
      <w:pPr>
        <w:ind w:left="280" w:hanging="164"/>
        <w:spacing w:after="0" w:line="248" w:lineRule="auto"/>
        <w:tabs>
          <w:tab w:leader="none" w:pos="368" w:val="left"/>
        </w:tabs>
        <w:numPr>
          <w:ilvl w:val="0"/>
          <w:numId w:val="23"/>
        </w:numPr>
        <w:rPr>
          <w:rFonts w:ascii="Arial" w:cs="Arial" w:eastAsia="Arial" w:hAnsi="Arial"/>
          <w:sz w:val="17"/>
          <w:szCs w:val="17"/>
          <w:color w:val="012E6C"/>
        </w:rPr>
      </w:pPr>
      <w:r>
        <w:rPr>
          <w:rFonts w:ascii="Arial" w:cs="Arial" w:eastAsia="Arial" w:hAnsi="Arial"/>
          <w:sz w:val="17"/>
          <w:szCs w:val="17"/>
          <w:color w:val="auto"/>
        </w:rPr>
        <w:t>Market-based (50</w:t>
      </w:r>
      <w:r>
        <w:rPr>
          <w:rFonts w:ascii="Arial" w:cs="Arial" w:eastAsia="Arial" w:hAnsi="Arial"/>
          <w:sz w:val="14"/>
          <w:szCs w:val="14"/>
          <w:color w:val="auto"/>
        </w:rPr>
        <w:t>th</w:t>
      </w:r>
      <w:r>
        <w:rPr>
          <w:rFonts w:ascii="Arial" w:cs="Arial" w:eastAsia="Arial" w:hAnsi="Arial"/>
          <w:sz w:val="17"/>
          <w:szCs w:val="17"/>
          <w:color w:val="auto"/>
        </w:rPr>
        <w:t xml:space="preserve"> percentile) approach for determining NEO target pay levels</w:t>
      </w:r>
    </w:p>
    <w:p>
      <w:pPr>
        <w:spacing w:after="0" w:line="1" w:lineRule="exact"/>
        <w:rPr>
          <w:rFonts w:ascii="Arial" w:cs="Arial" w:eastAsia="Arial" w:hAnsi="Arial"/>
          <w:sz w:val="17"/>
          <w:szCs w:val="17"/>
          <w:color w:val="012E6C"/>
        </w:rPr>
      </w:pPr>
    </w:p>
    <w:p>
      <w:pPr>
        <w:ind w:left="280" w:right="420" w:hanging="164"/>
        <w:spacing w:after="0" w:line="248" w:lineRule="auto"/>
        <w:tabs>
          <w:tab w:leader="none" w:pos="368" w:val="left"/>
        </w:tabs>
        <w:numPr>
          <w:ilvl w:val="0"/>
          <w:numId w:val="23"/>
        </w:numPr>
        <w:rPr>
          <w:rFonts w:ascii="Arial" w:cs="Arial" w:eastAsia="Arial" w:hAnsi="Arial"/>
          <w:sz w:val="17"/>
          <w:szCs w:val="17"/>
          <w:color w:val="012E6C"/>
        </w:rPr>
      </w:pPr>
      <w:r>
        <w:rPr>
          <w:rFonts w:ascii="Arial" w:cs="Arial" w:eastAsia="Arial" w:hAnsi="Arial"/>
          <w:sz w:val="17"/>
          <w:szCs w:val="17"/>
          <w:color w:val="auto"/>
        </w:rPr>
        <w:t>Caps on annual and long-term incentives, including when Total Stockholder Return (TSR) is negative</w:t>
      </w:r>
    </w:p>
    <w:p>
      <w:pPr>
        <w:spacing w:after="0" w:line="1" w:lineRule="exact"/>
        <w:rPr>
          <w:rFonts w:ascii="Arial" w:cs="Arial" w:eastAsia="Arial" w:hAnsi="Arial"/>
          <w:sz w:val="17"/>
          <w:szCs w:val="17"/>
          <w:color w:val="012E6C"/>
        </w:rPr>
      </w:pPr>
    </w:p>
    <w:p>
      <w:pPr>
        <w:ind w:left="360" w:hanging="244"/>
        <w:spacing w:after="0"/>
        <w:tabs>
          <w:tab w:leader="none" w:pos="360" w:val="left"/>
        </w:tabs>
        <w:numPr>
          <w:ilvl w:val="0"/>
          <w:numId w:val="23"/>
        </w:numPr>
        <w:rPr>
          <w:rFonts w:ascii="Arial" w:cs="Arial" w:eastAsia="Arial" w:hAnsi="Arial"/>
          <w:sz w:val="17"/>
          <w:szCs w:val="17"/>
          <w:color w:val="012E6C"/>
        </w:rPr>
      </w:pPr>
      <w:r>
        <w:rPr>
          <w:rFonts w:ascii="Arial" w:cs="Arial" w:eastAsia="Arial" w:hAnsi="Arial"/>
          <w:sz w:val="17"/>
          <w:szCs w:val="17"/>
          <w:color w:val="auto"/>
        </w:rPr>
        <w:t>Enhanced clawback policy on variable pay</w:t>
      </w:r>
    </w:p>
    <w:p>
      <w:pPr>
        <w:spacing w:after="0" w:line="20" w:lineRule="exact"/>
        <w:rPr>
          <w:rFonts w:ascii="Arial" w:cs="Arial" w:eastAsia="Arial" w:hAnsi="Arial"/>
          <w:sz w:val="17"/>
          <w:szCs w:val="17"/>
          <w:color w:val="012E6C"/>
        </w:rPr>
      </w:pPr>
    </w:p>
    <w:p>
      <w:pPr>
        <w:ind w:left="360" w:hanging="244"/>
        <w:spacing w:after="0"/>
        <w:tabs>
          <w:tab w:leader="none" w:pos="360" w:val="left"/>
        </w:tabs>
        <w:numPr>
          <w:ilvl w:val="0"/>
          <w:numId w:val="23"/>
        </w:numPr>
        <w:rPr>
          <w:rFonts w:ascii="Arial" w:cs="Arial" w:eastAsia="Arial" w:hAnsi="Arial"/>
          <w:sz w:val="17"/>
          <w:szCs w:val="17"/>
          <w:color w:val="012E6C"/>
        </w:rPr>
      </w:pPr>
      <w:r>
        <w:rPr>
          <w:rFonts w:ascii="Arial" w:cs="Arial" w:eastAsia="Arial" w:hAnsi="Arial"/>
          <w:sz w:val="17"/>
          <w:szCs w:val="17"/>
          <w:color w:val="auto"/>
        </w:rPr>
        <w:t>Double-trigger provisions for change in control</w:t>
      </w:r>
    </w:p>
    <w:p>
      <w:pPr>
        <w:spacing w:after="0" w:line="20" w:lineRule="exact"/>
        <w:rPr>
          <w:rFonts w:ascii="Arial" w:cs="Arial" w:eastAsia="Arial" w:hAnsi="Arial"/>
          <w:sz w:val="17"/>
          <w:szCs w:val="17"/>
          <w:color w:val="012E6C"/>
        </w:rPr>
      </w:pPr>
    </w:p>
    <w:p>
      <w:pPr>
        <w:ind w:left="360" w:hanging="244"/>
        <w:spacing w:after="0"/>
        <w:tabs>
          <w:tab w:leader="none" w:pos="360" w:val="left"/>
        </w:tabs>
        <w:numPr>
          <w:ilvl w:val="0"/>
          <w:numId w:val="23"/>
        </w:numPr>
        <w:rPr>
          <w:rFonts w:ascii="Arial" w:cs="Arial" w:eastAsia="Arial" w:hAnsi="Arial"/>
          <w:sz w:val="17"/>
          <w:szCs w:val="17"/>
          <w:color w:val="012E6C"/>
        </w:rPr>
      </w:pPr>
      <w:r>
        <w:rPr>
          <w:rFonts w:ascii="Arial" w:cs="Arial" w:eastAsia="Arial" w:hAnsi="Arial"/>
          <w:sz w:val="17"/>
          <w:szCs w:val="17"/>
          <w:color w:val="auto"/>
        </w:rPr>
        <w:t>Robust stock ownership requirements</w:t>
      </w:r>
    </w:p>
    <w:p>
      <w:pPr>
        <w:spacing w:after="0" w:line="20" w:lineRule="exact"/>
        <w:rPr>
          <w:rFonts w:ascii="Arial" w:cs="Arial" w:eastAsia="Arial" w:hAnsi="Arial"/>
          <w:sz w:val="17"/>
          <w:szCs w:val="17"/>
          <w:color w:val="012E6C"/>
        </w:rPr>
      </w:pPr>
    </w:p>
    <w:p>
      <w:pPr>
        <w:ind w:left="360" w:hanging="244"/>
        <w:spacing w:after="0"/>
        <w:tabs>
          <w:tab w:leader="none" w:pos="360" w:val="left"/>
        </w:tabs>
        <w:numPr>
          <w:ilvl w:val="0"/>
          <w:numId w:val="23"/>
        </w:numPr>
        <w:rPr>
          <w:rFonts w:ascii="Arial" w:cs="Arial" w:eastAsia="Arial" w:hAnsi="Arial"/>
          <w:sz w:val="17"/>
          <w:szCs w:val="17"/>
          <w:color w:val="012E6C"/>
        </w:rPr>
      </w:pPr>
      <w:r>
        <w:rPr>
          <w:rFonts w:ascii="Arial" w:cs="Arial" w:eastAsia="Arial" w:hAnsi="Arial"/>
          <w:sz w:val="17"/>
          <w:szCs w:val="17"/>
          <w:color w:val="auto"/>
        </w:rPr>
        <w:t>Low burn rate</w:t>
      </w:r>
    </w:p>
    <w:p>
      <w:pPr>
        <w:spacing w:after="0" w:line="20" w:lineRule="exact"/>
        <w:rPr>
          <w:rFonts w:ascii="Arial" w:cs="Arial" w:eastAsia="Arial" w:hAnsi="Arial"/>
          <w:sz w:val="17"/>
          <w:szCs w:val="17"/>
          <w:color w:val="012E6C"/>
        </w:rPr>
      </w:pPr>
    </w:p>
    <w:p>
      <w:pPr>
        <w:ind w:left="280" w:right="200" w:hanging="164"/>
        <w:spacing w:after="0" w:line="257" w:lineRule="auto"/>
        <w:tabs>
          <w:tab w:leader="none" w:pos="368" w:val="left"/>
        </w:tabs>
        <w:numPr>
          <w:ilvl w:val="0"/>
          <w:numId w:val="23"/>
        </w:numPr>
        <w:rPr>
          <w:rFonts w:ascii="Arial" w:cs="Arial" w:eastAsia="Arial" w:hAnsi="Arial"/>
          <w:sz w:val="17"/>
          <w:szCs w:val="17"/>
          <w:color w:val="012E6C"/>
        </w:rPr>
      </w:pPr>
      <w:r>
        <w:rPr>
          <w:rFonts w:ascii="Arial" w:cs="Arial" w:eastAsia="Arial" w:hAnsi="Arial"/>
          <w:sz w:val="17"/>
          <w:szCs w:val="17"/>
          <w:color w:val="auto"/>
        </w:rPr>
        <w:t>Incentive payouts deteriorate more rapidly between minimum and target as compared to target and maximum</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5"/>
          <w:szCs w:val="15"/>
          <w:color w:val="003478"/>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608330</wp:posOffset>
            </wp:positionV>
            <wp:extent cx="3542030" cy="6946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42030"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830"/>
        <w:spacing w:after="0"/>
        <w:rPr>
          <w:sz w:val="20"/>
          <w:szCs w:val="20"/>
          <w:color w:val="auto"/>
        </w:rPr>
      </w:pPr>
      <w:r>
        <w:rPr>
          <w:rFonts w:ascii="Arial" w:cs="Arial" w:eastAsia="Arial" w:hAnsi="Arial"/>
          <w:sz w:val="16"/>
          <w:szCs w:val="16"/>
          <w:color w:val="auto"/>
        </w:rPr>
        <w:t>Practices We Do Not Engage In or Allow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212090</wp:posOffset>
            </wp:positionV>
            <wp:extent cx="3542030" cy="14922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42030" cy="1492250"/>
                    </a:xfrm>
                    <a:prstGeom prst="rect">
                      <a:avLst/>
                    </a:prstGeom>
                    <a:noFill/>
                  </pic:spPr>
                </pic:pic>
              </a:graphicData>
            </a:graphic>
          </wp:anchor>
        </w:drawing>
      </w:r>
    </w:p>
    <w:p>
      <w:pPr>
        <w:spacing w:after="0" w:line="326" w:lineRule="exact"/>
        <w:rPr>
          <w:sz w:val="20"/>
          <w:szCs w:val="20"/>
          <w:color w:val="auto"/>
        </w:rPr>
      </w:pPr>
    </w:p>
    <w:p>
      <w:pPr>
        <w:ind w:left="250" w:hanging="250"/>
        <w:spacing w:after="0"/>
        <w:tabs>
          <w:tab w:leader="none" w:pos="250" w:val="left"/>
        </w:tabs>
        <w:numPr>
          <w:ilvl w:val="0"/>
          <w:numId w:val="24"/>
        </w:numPr>
        <w:rPr>
          <w:rFonts w:ascii="Arial" w:cs="Arial" w:eastAsia="Arial" w:hAnsi="Arial"/>
          <w:sz w:val="17"/>
          <w:szCs w:val="17"/>
          <w:color w:val="auto"/>
        </w:rPr>
      </w:pPr>
      <w:r>
        <w:rPr>
          <w:rFonts w:ascii="Arial" w:cs="Arial" w:eastAsia="Arial" w:hAnsi="Arial"/>
          <w:sz w:val="17"/>
          <w:szCs w:val="17"/>
          <w:color w:val="auto"/>
        </w:rPr>
        <w:t>No employment agreements</w:t>
      </w:r>
    </w:p>
    <w:p>
      <w:pPr>
        <w:spacing w:after="0" w:line="35" w:lineRule="exact"/>
        <w:rPr>
          <w:rFonts w:ascii="Arial" w:cs="Arial" w:eastAsia="Arial" w:hAnsi="Arial"/>
          <w:sz w:val="17"/>
          <w:szCs w:val="17"/>
          <w:color w:val="auto"/>
        </w:rPr>
      </w:pPr>
    </w:p>
    <w:p>
      <w:pPr>
        <w:ind w:left="250" w:hanging="250"/>
        <w:spacing w:after="0"/>
        <w:tabs>
          <w:tab w:leader="none" w:pos="250" w:val="left"/>
        </w:tabs>
        <w:numPr>
          <w:ilvl w:val="0"/>
          <w:numId w:val="24"/>
        </w:numPr>
        <w:rPr>
          <w:rFonts w:ascii="Arial" w:cs="Arial" w:eastAsia="Arial" w:hAnsi="Arial"/>
          <w:sz w:val="17"/>
          <w:szCs w:val="17"/>
          <w:color w:val="auto"/>
        </w:rPr>
      </w:pPr>
      <w:r>
        <w:rPr>
          <w:rFonts w:ascii="Arial" w:cs="Arial" w:eastAsia="Arial" w:hAnsi="Arial"/>
          <w:sz w:val="17"/>
          <w:szCs w:val="17"/>
          <w:color w:val="auto"/>
        </w:rPr>
        <w:t>No option backdating, cash out of underwater options or repricing</w:t>
      </w:r>
    </w:p>
    <w:p>
      <w:pPr>
        <w:spacing w:after="0" w:line="20" w:lineRule="exact"/>
        <w:rPr>
          <w:rFonts w:ascii="Arial" w:cs="Arial" w:eastAsia="Arial" w:hAnsi="Arial"/>
          <w:sz w:val="17"/>
          <w:szCs w:val="17"/>
          <w:color w:val="auto"/>
        </w:rPr>
      </w:pPr>
    </w:p>
    <w:p>
      <w:pPr>
        <w:ind w:left="250" w:hanging="250"/>
        <w:spacing w:after="0"/>
        <w:tabs>
          <w:tab w:leader="none" w:pos="250" w:val="left"/>
        </w:tabs>
        <w:numPr>
          <w:ilvl w:val="0"/>
          <w:numId w:val="24"/>
        </w:numPr>
        <w:rPr>
          <w:rFonts w:ascii="Arial" w:cs="Arial" w:eastAsia="Arial" w:hAnsi="Arial"/>
          <w:sz w:val="17"/>
          <w:szCs w:val="17"/>
          <w:color w:val="auto"/>
        </w:rPr>
      </w:pPr>
      <w:r>
        <w:rPr>
          <w:rFonts w:ascii="Arial" w:cs="Arial" w:eastAsia="Arial" w:hAnsi="Arial"/>
          <w:sz w:val="17"/>
          <w:szCs w:val="17"/>
          <w:color w:val="auto"/>
        </w:rPr>
        <w:t>No excise tax assistance upon a change in control</w:t>
      </w:r>
    </w:p>
    <w:p>
      <w:pPr>
        <w:spacing w:after="0" w:line="20" w:lineRule="exact"/>
        <w:rPr>
          <w:rFonts w:ascii="Arial" w:cs="Arial" w:eastAsia="Arial" w:hAnsi="Arial"/>
          <w:sz w:val="17"/>
          <w:szCs w:val="17"/>
          <w:color w:val="auto"/>
        </w:rPr>
      </w:pPr>
    </w:p>
    <w:p>
      <w:pPr>
        <w:ind w:left="250" w:hanging="250"/>
        <w:spacing w:after="0"/>
        <w:tabs>
          <w:tab w:leader="none" w:pos="250" w:val="left"/>
        </w:tabs>
        <w:numPr>
          <w:ilvl w:val="0"/>
          <w:numId w:val="24"/>
        </w:numPr>
        <w:rPr>
          <w:rFonts w:ascii="Arial" w:cs="Arial" w:eastAsia="Arial" w:hAnsi="Arial"/>
          <w:sz w:val="17"/>
          <w:szCs w:val="17"/>
          <w:color w:val="auto"/>
        </w:rPr>
      </w:pPr>
      <w:r>
        <w:rPr>
          <w:rFonts w:ascii="Arial" w:cs="Arial" w:eastAsia="Arial" w:hAnsi="Arial"/>
          <w:sz w:val="17"/>
          <w:szCs w:val="17"/>
          <w:color w:val="auto"/>
        </w:rPr>
        <w:t>No individual change in control agreements</w:t>
      </w:r>
    </w:p>
    <w:p>
      <w:pPr>
        <w:spacing w:after="0" w:line="20" w:lineRule="exact"/>
        <w:rPr>
          <w:rFonts w:ascii="Arial" w:cs="Arial" w:eastAsia="Arial" w:hAnsi="Arial"/>
          <w:sz w:val="17"/>
          <w:szCs w:val="17"/>
          <w:color w:val="auto"/>
        </w:rPr>
      </w:pPr>
    </w:p>
    <w:p>
      <w:pPr>
        <w:ind w:left="170" w:right="60" w:hanging="170"/>
        <w:spacing w:after="0" w:line="248" w:lineRule="auto"/>
        <w:tabs>
          <w:tab w:leader="none" w:pos="257" w:val="left"/>
        </w:tabs>
        <w:numPr>
          <w:ilvl w:val="0"/>
          <w:numId w:val="24"/>
        </w:numPr>
        <w:rPr>
          <w:rFonts w:ascii="Arial" w:cs="Arial" w:eastAsia="Arial" w:hAnsi="Arial"/>
          <w:sz w:val="17"/>
          <w:szCs w:val="17"/>
          <w:color w:val="auto"/>
        </w:rPr>
      </w:pPr>
      <w:r>
        <w:rPr>
          <w:rFonts w:ascii="Arial" w:cs="Arial" w:eastAsia="Arial" w:hAnsi="Arial"/>
          <w:sz w:val="17"/>
          <w:szCs w:val="17"/>
          <w:color w:val="auto"/>
        </w:rPr>
        <w:t>No automatic acceleration of unvested incentive awards in the event of termination</w:t>
      </w:r>
    </w:p>
    <w:p>
      <w:pPr>
        <w:spacing w:after="0" w:line="1" w:lineRule="exact"/>
        <w:rPr>
          <w:rFonts w:ascii="Arial" w:cs="Arial" w:eastAsia="Arial" w:hAnsi="Arial"/>
          <w:sz w:val="17"/>
          <w:szCs w:val="17"/>
          <w:color w:val="auto"/>
        </w:rPr>
      </w:pPr>
    </w:p>
    <w:p>
      <w:pPr>
        <w:ind w:left="170" w:right="80" w:hanging="170"/>
        <w:spacing w:after="0" w:line="248" w:lineRule="auto"/>
        <w:tabs>
          <w:tab w:leader="none" w:pos="257" w:val="left"/>
        </w:tabs>
        <w:numPr>
          <w:ilvl w:val="0"/>
          <w:numId w:val="24"/>
        </w:numPr>
        <w:rPr>
          <w:rFonts w:ascii="Arial" w:cs="Arial" w:eastAsia="Arial" w:hAnsi="Arial"/>
          <w:sz w:val="17"/>
          <w:szCs w:val="17"/>
          <w:color w:val="auto"/>
        </w:rPr>
      </w:pPr>
      <w:r>
        <w:rPr>
          <w:rFonts w:ascii="Arial" w:cs="Arial" w:eastAsia="Arial" w:hAnsi="Arial"/>
          <w:sz w:val="17"/>
          <w:szCs w:val="17"/>
          <w:color w:val="auto"/>
        </w:rPr>
        <w:t>No enhanced retirement formula or inclusion of long-term incentives in pensions</w:t>
      </w:r>
    </w:p>
    <w:p>
      <w:pPr>
        <w:spacing w:after="0" w:line="1" w:lineRule="exact"/>
        <w:rPr>
          <w:rFonts w:ascii="Arial" w:cs="Arial" w:eastAsia="Arial" w:hAnsi="Arial"/>
          <w:sz w:val="17"/>
          <w:szCs w:val="17"/>
          <w:color w:val="auto"/>
        </w:rPr>
      </w:pPr>
    </w:p>
    <w:p>
      <w:pPr>
        <w:ind w:left="250" w:hanging="250"/>
        <w:spacing w:after="0"/>
        <w:tabs>
          <w:tab w:leader="none" w:pos="250" w:val="left"/>
        </w:tabs>
        <w:numPr>
          <w:ilvl w:val="0"/>
          <w:numId w:val="24"/>
        </w:numPr>
        <w:rPr>
          <w:rFonts w:ascii="Arial" w:cs="Arial" w:eastAsia="Arial" w:hAnsi="Arial"/>
          <w:sz w:val="17"/>
          <w:szCs w:val="17"/>
          <w:color w:val="auto"/>
        </w:rPr>
      </w:pPr>
      <w:r>
        <w:rPr>
          <w:rFonts w:ascii="Arial" w:cs="Arial" w:eastAsia="Arial" w:hAnsi="Arial"/>
          <w:sz w:val="17"/>
          <w:szCs w:val="17"/>
          <w:color w:val="auto"/>
        </w:rPr>
        <w:t>No enhanced death benefits for executives</w:t>
      </w:r>
    </w:p>
    <w:p>
      <w:pPr>
        <w:spacing w:after="0" w:line="584" w:lineRule="exact"/>
        <w:rPr>
          <w:sz w:val="20"/>
          <w:szCs w:val="20"/>
          <w:color w:val="auto"/>
        </w:rPr>
      </w:pPr>
    </w:p>
    <w:p>
      <w:pPr>
        <w:sectPr>
          <w:pgSz w:w="11900" w:h="16838" w:orient="portrait"/>
          <w:cols w:equalWidth="0" w:num="2">
            <w:col w:w="5520" w:space="430"/>
            <w:col w:w="5470"/>
          </w:cols>
          <w:pgMar w:left="240" w:top="292" w:right="239" w:bottom="1440" w:gutter="0" w:footer="0" w:header="0"/>
        </w:sectPr>
      </w:pPr>
    </w:p>
    <w:p>
      <w:pPr>
        <w:spacing w:after="0"/>
        <w:rPr>
          <w:sz w:val="20"/>
          <w:szCs w:val="20"/>
          <w:color w:val="auto"/>
        </w:rPr>
      </w:pPr>
      <w:r>
        <w:rPr>
          <w:rFonts w:ascii="Arial" w:cs="Arial" w:eastAsia="Arial" w:hAnsi="Arial"/>
          <w:sz w:val="25"/>
          <w:szCs w:val="25"/>
          <w:color w:val="475C90"/>
        </w:rPr>
        <w:t>2018 Pay and Performance</w:t>
      </w:r>
    </w:p>
    <w:p>
      <w:pPr>
        <w:spacing w:after="0" w:line="24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 substantial portion of compensation paid to our named executive officers (NEOs) is performance-based. We use the 50th percentile of our comparator group to set target compensation but allow for payments to exceed or fall below the target level based upon actual performance. This outcome is consistent with our pay-for-performance philosophy to set pay and targets at market levels, but pay incentive compensation to reflect actual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4114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both"/>
        <w:ind w:left="120" w:right="700"/>
        <w:spacing w:after="0" w:line="304" w:lineRule="auto"/>
        <w:rPr>
          <w:sz w:val="20"/>
          <w:szCs w:val="20"/>
          <w:color w:val="auto"/>
        </w:rPr>
      </w:pPr>
      <w:r>
        <w:rPr>
          <w:rFonts w:ascii="Arial" w:cs="Arial" w:eastAsia="Arial" w:hAnsi="Arial"/>
          <w:sz w:val="16"/>
          <w:szCs w:val="16"/>
          <w:b w:val="1"/>
          <w:bCs w:val="1"/>
          <w:color w:val="auto"/>
        </w:rPr>
        <w:t>Based on our strong short- and long-term financial and operational performance, as manifested in record sales, orders, backlog, segment operating profit, and earnings per share for the year, our 2018 annual and 2016-2018 long-term incentive plans paid out above the targets.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5969000" cy="32670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69000" cy="326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80" w:right="220" w:hanging="172"/>
        <w:spacing w:after="0" w:line="311" w:lineRule="auto"/>
        <w:tabs>
          <w:tab w:leader="none" w:pos="1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See Non-GAAP terms in Appendix A for an explanation of “Segment Operating Profit,” “Return on Invested Capital (ROIC),” and “Performance Cash” and our forward-looking statements concerning future performance or goals for future performance.</w:t>
      </w:r>
    </w:p>
    <w:p>
      <w:pPr>
        <w:sectPr>
          <w:pgSz w:w="11900" w:h="16838" w:orient="portrait"/>
          <w:cols w:equalWidth="0" w:num="1">
            <w:col w:w="11420"/>
          </w:cols>
          <w:pgMar w:left="240" w:top="292" w:right="239" w:bottom="1440" w:gutter="0" w:footer="0" w:header="0"/>
          <w:type w:val="continuous"/>
        </w:sectPr>
      </w:pPr>
    </w:p>
    <w:p>
      <w:pPr>
        <w:spacing w:after="0" w:line="383" w:lineRule="exact"/>
        <w:rPr>
          <w:sz w:val="20"/>
          <w:szCs w:val="20"/>
          <w:color w:val="auto"/>
        </w:rPr>
      </w:pPr>
    </w:p>
    <w:p>
      <w:pPr>
        <w:ind w:left="40"/>
        <w:spacing w:after="0"/>
        <w:tabs>
          <w:tab w:leader="none" w:pos="9420" w:val="left"/>
          <w:tab w:leader="none" w:pos="1130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2019 Proxy Statement</w:t>
      </w:r>
      <w:r>
        <w:rPr>
          <w:sz w:val="20"/>
          <w:szCs w:val="20"/>
          <w:color w:val="auto"/>
        </w:rPr>
        <w:tab/>
      </w:r>
      <w:r>
        <w:rPr>
          <w:rFonts w:ascii="Arial" w:cs="Arial" w:eastAsia="Arial" w:hAnsi="Arial"/>
          <w:sz w:val="14"/>
          <w:szCs w:val="14"/>
          <w:b w:val="1"/>
          <w:bCs w:val="1"/>
          <w:color w:val="808080"/>
        </w:rPr>
        <w:t>7</w:t>
      </w:r>
    </w:p>
    <w:p>
      <w:pPr>
        <w:sectPr>
          <w:pgSz w:w="11900" w:h="16838" w:orient="portrait"/>
          <w:cols w:equalWidth="0" w:num="1">
            <w:col w:w="11420"/>
          </w:cols>
          <w:pgMar w:left="240" w:top="292" w:right="2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43"/>
          <w:szCs w:val="43"/>
          <w:color w:val="012E6C"/>
        </w:rPr>
        <w:t>Table of Contents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460" w:type="dxa"/>
            <w:vAlign w:val="bottom"/>
            <w:tcBorders>
              <w:bottom w:val="single" w:sz="8" w:color="012E6C"/>
            </w:tcBorders>
          </w:tcPr>
          <w:p>
            <w:pPr>
              <w:ind w:left="40"/>
              <w:spacing w:after="0"/>
              <w:rPr>
                <w:rFonts w:ascii="Arial" w:cs="Arial" w:eastAsia="Arial" w:hAnsi="Arial"/>
                <w:sz w:val="16"/>
                <w:szCs w:val="16"/>
                <w:b w:val="1"/>
                <w:bCs w:val="1"/>
                <w:color w:val="012E6C"/>
              </w:rPr>
            </w:pPr>
            <w:hyperlink w:anchor="page12">
              <w:r>
                <w:rPr>
                  <w:rFonts w:ascii="Arial" w:cs="Arial" w:eastAsia="Arial" w:hAnsi="Arial"/>
                  <w:sz w:val="16"/>
                  <w:szCs w:val="16"/>
                  <w:b w:val="1"/>
                  <w:bCs w:val="1"/>
                  <w:color w:val="012E6C"/>
                </w:rPr>
                <w:t>PROPOSAL 1: ELECTION OF DIRECTORS</w:t>
              </w:r>
            </w:hyperlink>
          </w:p>
        </w:tc>
        <w:tc>
          <w:tcPr>
            <w:tcW w:w="3960" w:type="dxa"/>
            <w:vAlign w:val="bottom"/>
            <w:tcBorders>
              <w:bottom w:val="single" w:sz="8" w:color="012E6C"/>
            </w:tcBorders>
          </w:tcPr>
          <w:p>
            <w:pPr>
              <w:jc w:val="right"/>
              <w:spacing w:after="0"/>
              <w:rPr>
                <w:rFonts w:ascii="Arial" w:cs="Arial" w:eastAsia="Arial" w:hAnsi="Arial"/>
                <w:sz w:val="16"/>
                <w:szCs w:val="16"/>
                <w:b w:val="1"/>
                <w:bCs w:val="1"/>
                <w:color w:val="012E6C"/>
              </w:rPr>
            </w:pPr>
            <w:hyperlink w:anchor="page12">
              <w:r>
                <w:rPr>
                  <w:rFonts w:ascii="Arial" w:cs="Arial" w:eastAsia="Arial" w:hAnsi="Arial"/>
                  <w:sz w:val="16"/>
                  <w:szCs w:val="16"/>
                  <w:b w:val="1"/>
                  <w:bCs w:val="1"/>
                  <w:color w:val="012E6C"/>
                </w:rPr>
                <w:t>9</w:t>
              </w:r>
            </w:hyperlink>
          </w:p>
        </w:tc>
      </w:tr>
      <w:tr>
        <w:trPr>
          <w:trHeight w:val="279"/>
        </w:trPr>
        <w:tc>
          <w:tcPr>
            <w:tcW w:w="7460" w:type="dxa"/>
            <w:vAlign w:val="bottom"/>
          </w:tcPr>
          <w:p>
            <w:pPr>
              <w:ind w:left="40"/>
              <w:spacing w:after="0"/>
              <w:rPr>
                <w:rFonts w:ascii="Arial" w:cs="Arial" w:eastAsia="Arial" w:hAnsi="Arial"/>
                <w:sz w:val="16"/>
                <w:szCs w:val="16"/>
                <w:color w:val="auto"/>
              </w:rPr>
            </w:pPr>
            <w:hyperlink w:anchor="page12">
              <w:r>
                <w:rPr>
                  <w:rFonts w:ascii="Arial" w:cs="Arial" w:eastAsia="Arial" w:hAnsi="Arial"/>
                  <w:sz w:val="16"/>
                  <w:szCs w:val="16"/>
                  <w:color w:val="auto"/>
                </w:rPr>
                <w:t>Board Composition, Qualifications and Diversity</w:t>
              </w:r>
            </w:hyperlink>
          </w:p>
        </w:tc>
        <w:tc>
          <w:tcPr>
            <w:tcW w:w="3960" w:type="dxa"/>
            <w:vAlign w:val="bottom"/>
          </w:tcPr>
          <w:p>
            <w:pPr>
              <w:jc w:val="right"/>
              <w:spacing w:after="0"/>
              <w:rPr>
                <w:rFonts w:ascii="Arial" w:cs="Arial" w:eastAsia="Arial" w:hAnsi="Arial"/>
                <w:sz w:val="16"/>
                <w:szCs w:val="16"/>
                <w:color w:val="auto"/>
              </w:rPr>
            </w:pPr>
            <w:hyperlink w:anchor="page12">
              <w:r>
                <w:rPr>
                  <w:rFonts w:ascii="Arial" w:cs="Arial" w:eastAsia="Arial" w:hAnsi="Arial"/>
                  <w:sz w:val="16"/>
                  <w:szCs w:val="16"/>
                  <w:color w:val="auto"/>
                </w:rPr>
                <w:t>9</w:t>
              </w:r>
            </w:hyperlink>
          </w:p>
        </w:tc>
      </w:tr>
      <w:tr>
        <w:trPr>
          <w:trHeight w:val="351"/>
        </w:trPr>
        <w:tc>
          <w:tcPr>
            <w:tcW w:w="7460" w:type="dxa"/>
            <w:vAlign w:val="bottom"/>
          </w:tcPr>
          <w:p>
            <w:pPr>
              <w:ind w:left="40"/>
              <w:spacing w:after="0"/>
              <w:rPr>
                <w:rFonts w:ascii="Arial" w:cs="Arial" w:eastAsia="Arial" w:hAnsi="Arial"/>
                <w:sz w:val="16"/>
                <w:szCs w:val="16"/>
                <w:color w:val="auto"/>
              </w:rPr>
            </w:pPr>
            <w:hyperlink w:anchor="page12">
              <w:r>
                <w:rPr>
                  <w:rFonts w:ascii="Arial" w:cs="Arial" w:eastAsia="Arial" w:hAnsi="Arial"/>
                  <w:sz w:val="16"/>
                  <w:szCs w:val="16"/>
                  <w:color w:val="auto"/>
                </w:rPr>
                <w:t>Board Attendance</w:t>
              </w:r>
            </w:hyperlink>
          </w:p>
        </w:tc>
        <w:tc>
          <w:tcPr>
            <w:tcW w:w="3960" w:type="dxa"/>
            <w:vAlign w:val="bottom"/>
          </w:tcPr>
          <w:p>
            <w:pPr>
              <w:jc w:val="right"/>
              <w:spacing w:after="0"/>
              <w:rPr>
                <w:rFonts w:ascii="Arial" w:cs="Arial" w:eastAsia="Arial" w:hAnsi="Arial"/>
                <w:sz w:val="16"/>
                <w:szCs w:val="16"/>
                <w:color w:val="auto"/>
              </w:rPr>
            </w:pPr>
            <w:hyperlink w:anchor="page12">
              <w:r>
                <w:rPr>
                  <w:rFonts w:ascii="Arial" w:cs="Arial" w:eastAsia="Arial" w:hAnsi="Arial"/>
                  <w:sz w:val="16"/>
                  <w:szCs w:val="16"/>
                  <w:color w:val="auto"/>
                </w:rPr>
                <w:t>9</w:t>
              </w:r>
            </w:hyperlink>
          </w:p>
        </w:tc>
      </w:tr>
      <w:tr>
        <w:trPr>
          <w:trHeight w:val="351"/>
        </w:trPr>
        <w:tc>
          <w:tcPr>
            <w:tcW w:w="7460" w:type="dxa"/>
            <w:vAlign w:val="bottom"/>
          </w:tcPr>
          <w:p>
            <w:pPr>
              <w:ind w:left="40"/>
              <w:spacing w:after="0"/>
              <w:rPr>
                <w:rFonts w:ascii="Arial" w:cs="Arial" w:eastAsia="Arial" w:hAnsi="Arial"/>
                <w:sz w:val="16"/>
                <w:szCs w:val="16"/>
                <w:color w:val="auto"/>
              </w:rPr>
            </w:pPr>
            <w:hyperlink w:anchor="page13">
              <w:r>
                <w:rPr>
                  <w:rFonts w:ascii="Arial" w:cs="Arial" w:eastAsia="Arial" w:hAnsi="Arial"/>
                  <w:sz w:val="16"/>
                  <w:szCs w:val="16"/>
                  <w:color w:val="auto"/>
                </w:rPr>
                <w:t>Director-Nominees</w:t>
              </w:r>
            </w:hyperlink>
          </w:p>
        </w:tc>
        <w:tc>
          <w:tcPr>
            <w:tcW w:w="3960" w:type="dxa"/>
            <w:vAlign w:val="bottom"/>
          </w:tcPr>
          <w:p>
            <w:pPr>
              <w:jc w:val="right"/>
              <w:spacing w:after="0"/>
              <w:rPr>
                <w:rFonts w:ascii="Arial" w:cs="Arial" w:eastAsia="Arial" w:hAnsi="Arial"/>
                <w:sz w:val="16"/>
                <w:szCs w:val="16"/>
                <w:color w:val="auto"/>
              </w:rPr>
            </w:pPr>
            <w:hyperlink w:anchor="page13">
              <w:r>
                <w:rPr>
                  <w:rFonts w:ascii="Arial" w:cs="Arial" w:eastAsia="Arial" w:hAnsi="Arial"/>
                  <w:sz w:val="16"/>
                  <w:szCs w:val="16"/>
                  <w:color w:val="auto"/>
                </w:rPr>
                <w:t>10</w:t>
              </w:r>
            </w:hyperlink>
          </w:p>
        </w:tc>
      </w:tr>
      <w:tr>
        <w:trPr>
          <w:trHeight w:val="351"/>
        </w:trPr>
        <w:tc>
          <w:tcPr>
            <w:tcW w:w="7460" w:type="dxa"/>
            <w:vAlign w:val="bottom"/>
          </w:tcPr>
          <w:p>
            <w:pPr>
              <w:ind w:left="40"/>
              <w:spacing w:after="0"/>
              <w:rPr>
                <w:rFonts w:ascii="Arial" w:cs="Arial" w:eastAsia="Arial" w:hAnsi="Arial"/>
                <w:sz w:val="16"/>
                <w:szCs w:val="16"/>
                <w:color w:val="auto"/>
              </w:rPr>
            </w:pPr>
            <w:hyperlink w:anchor="page17">
              <w:r>
                <w:rPr>
                  <w:rFonts w:ascii="Arial" w:cs="Arial" w:eastAsia="Arial" w:hAnsi="Arial"/>
                  <w:sz w:val="16"/>
                  <w:szCs w:val="16"/>
                  <w:color w:val="auto"/>
                </w:rPr>
                <w:t>Board Effectiveness, Evaluations and Refreshment</w:t>
              </w:r>
            </w:hyperlink>
          </w:p>
        </w:tc>
        <w:tc>
          <w:tcPr>
            <w:tcW w:w="3960" w:type="dxa"/>
            <w:vAlign w:val="bottom"/>
          </w:tcPr>
          <w:p>
            <w:pPr>
              <w:jc w:val="right"/>
              <w:spacing w:after="0"/>
              <w:rPr>
                <w:rFonts w:ascii="Arial" w:cs="Arial" w:eastAsia="Arial" w:hAnsi="Arial"/>
                <w:sz w:val="16"/>
                <w:szCs w:val="16"/>
                <w:color w:val="auto"/>
              </w:rPr>
            </w:pPr>
            <w:hyperlink w:anchor="page17">
              <w:r>
                <w:rPr>
                  <w:rFonts w:ascii="Arial" w:cs="Arial" w:eastAsia="Arial" w:hAnsi="Arial"/>
                  <w:sz w:val="16"/>
                  <w:szCs w:val="16"/>
                  <w:color w:val="auto"/>
                </w:rPr>
                <w:t>14</w:t>
              </w:r>
            </w:hyperlink>
          </w:p>
        </w:tc>
      </w:tr>
    </w:tbl>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960" w:type="dxa"/>
            <w:vAlign w:val="bottom"/>
            <w:tcBorders>
              <w:bottom w:val="single" w:sz="8" w:color="012E6C"/>
            </w:tcBorders>
          </w:tcPr>
          <w:p>
            <w:pPr>
              <w:ind w:left="40"/>
              <w:spacing w:after="0"/>
              <w:rPr>
                <w:rFonts w:ascii="Arial" w:cs="Arial" w:eastAsia="Arial" w:hAnsi="Arial"/>
                <w:sz w:val="16"/>
                <w:szCs w:val="16"/>
                <w:b w:val="1"/>
                <w:bCs w:val="1"/>
                <w:color w:val="012E6C"/>
              </w:rPr>
            </w:pPr>
            <w:hyperlink w:anchor="page19">
              <w:r>
                <w:rPr>
                  <w:rFonts w:ascii="Arial" w:cs="Arial" w:eastAsia="Arial" w:hAnsi="Arial"/>
                  <w:sz w:val="16"/>
                  <w:szCs w:val="16"/>
                  <w:b w:val="1"/>
                  <w:bCs w:val="1"/>
                  <w:color w:val="012E6C"/>
                </w:rPr>
                <w:t>CORPORATE GOVERNANCE</w:t>
              </w:r>
            </w:hyperlink>
          </w:p>
        </w:tc>
        <w:tc>
          <w:tcPr>
            <w:tcW w:w="4460" w:type="dxa"/>
            <w:vAlign w:val="bottom"/>
            <w:tcBorders>
              <w:bottom w:val="single" w:sz="8" w:color="012E6C"/>
            </w:tcBorders>
          </w:tcPr>
          <w:p>
            <w:pPr>
              <w:jc w:val="right"/>
              <w:spacing w:after="0"/>
              <w:rPr>
                <w:rFonts w:ascii="Arial" w:cs="Arial" w:eastAsia="Arial" w:hAnsi="Arial"/>
                <w:sz w:val="16"/>
                <w:szCs w:val="16"/>
                <w:b w:val="1"/>
                <w:bCs w:val="1"/>
                <w:color w:val="012E6C"/>
              </w:rPr>
            </w:pPr>
            <w:hyperlink w:anchor="page19">
              <w:r>
                <w:rPr>
                  <w:rFonts w:ascii="Arial" w:cs="Arial" w:eastAsia="Arial" w:hAnsi="Arial"/>
                  <w:sz w:val="16"/>
                  <w:szCs w:val="16"/>
                  <w:b w:val="1"/>
                  <w:bCs w:val="1"/>
                  <w:color w:val="012E6C"/>
                </w:rPr>
                <w:t>16</w:t>
              </w:r>
            </w:hyperlink>
          </w:p>
        </w:tc>
      </w:tr>
      <w:tr>
        <w:trPr>
          <w:trHeight w:val="279"/>
        </w:trPr>
        <w:tc>
          <w:tcPr>
            <w:tcW w:w="6960" w:type="dxa"/>
            <w:vAlign w:val="bottom"/>
          </w:tcPr>
          <w:p>
            <w:pPr>
              <w:ind w:left="40"/>
              <w:spacing w:after="0"/>
              <w:rPr>
                <w:rFonts w:ascii="Arial" w:cs="Arial" w:eastAsia="Arial" w:hAnsi="Arial"/>
                <w:sz w:val="16"/>
                <w:szCs w:val="16"/>
                <w:color w:val="auto"/>
              </w:rPr>
            </w:pPr>
            <w:hyperlink w:anchor="page19">
              <w:r>
                <w:rPr>
                  <w:rFonts w:ascii="Arial" w:cs="Arial" w:eastAsia="Arial" w:hAnsi="Arial"/>
                  <w:sz w:val="16"/>
                  <w:szCs w:val="16"/>
                  <w:color w:val="auto"/>
                </w:rPr>
                <w:t>Board Structure</w:t>
              </w:r>
            </w:hyperlink>
          </w:p>
        </w:tc>
        <w:tc>
          <w:tcPr>
            <w:tcW w:w="4460" w:type="dxa"/>
            <w:vAlign w:val="bottom"/>
          </w:tcPr>
          <w:p>
            <w:pPr>
              <w:jc w:val="right"/>
              <w:spacing w:after="0"/>
              <w:rPr>
                <w:rFonts w:ascii="Arial" w:cs="Arial" w:eastAsia="Arial" w:hAnsi="Arial"/>
                <w:sz w:val="16"/>
                <w:szCs w:val="16"/>
                <w:color w:val="auto"/>
              </w:rPr>
            </w:pPr>
            <w:hyperlink w:anchor="page19">
              <w:r>
                <w:rPr>
                  <w:rFonts w:ascii="Arial" w:cs="Arial" w:eastAsia="Arial" w:hAnsi="Arial"/>
                  <w:sz w:val="16"/>
                  <w:szCs w:val="16"/>
                  <w:color w:val="auto"/>
                </w:rPr>
                <w:t>16</w:t>
              </w:r>
            </w:hyperlink>
          </w:p>
        </w:tc>
      </w:tr>
      <w:tr>
        <w:trPr>
          <w:trHeight w:val="351"/>
        </w:trPr>
        <w:tc>
          <w:tcPr>
            <w:tcW w:w="6960" w:type="dxa"/>
            <w:vAlign w:val="bottom"/>
          </w:tcPr>
          <w:p>
            <w:pPr>
              <w:ind w:left="40"/>
              <w:spacing w:after="0"/>
              <w:rPr>
                <w:rFonts w:ascii="Arial" w:cs="Arial" w:eastAsia="Arial" w:hAnsi="Arial"/>
                <w:sz w:val="16"/>
                <w:szCs w:val="16"/>
                <w:color w:val="auto"/>
              </w:rPr>
            </w:pPr>
            <w:hyperlink w:anchor="page20">
              <w:r>
                <w:rPr>
                  <w:rFonts w:ascii="Arial" w:cs="Arial" w:eastAsia="Arial" w:hAnsi="Arial"/>
                  <w:sz w:val="16"/>
                  <w:szCs w:val="16"/>
                  <w:color w:val="auto"/>
                </w:rPr>
                <w:t>Executive Sessions</w:t>
              </w:r>
            </w:hyperlink>
          </w:p>
        </w:tc>
        <w:tc>
          <w:tcPr>
            <w:tcW w:w="4460" w:type="dxa"/>
            <w:vAlign w:val="bottom"/>
          </w:tcPr>
          <w:p>
            <w:pPr>
              <w:jc w:val="right"/>
              <w:spacing w:after="0"/>
              <w:rPr>
                <w:rFonts w:ascii="Arial" w:cs="Arial" w:eastAsia="Arial" w:hAnsi="Arial"/>
                <w:sz w:val="16"/>
                <w:szCs w:val="16"/>
                <w:color w:val="auto"/>
              </w:rPr>
            </w:pPr>
            <w:hyperlink w:anchor="page20">
              <w:r>
                <w:rPr>
                  <w:rFonts w:ascii="Arial" w:cs="Arial" w:eastAsia="Arial" w:hAnsi="Arial"/>
                  <w:sz w:val="16"/>
                  <w:szCs w:val="16"/>
                  <w:color w:val="auto"/>
                </w:rPr>
                <w:t>17</w:t>
              </w:r>
            </w:hyperlink>
          </w:p>
        </w:tc>
      </w:tr>
      <w:tr>
        <w:trPr>
          <w:trHeight w:val="351"/>
        </w:trPr>
        <w:tc>
          <w:tcPr>
            <w:tcW w:w="6960" w:type="dxa"/>
            <w:vAlign w:val="bottom"/>
          </w:tcPr>
          <w:p>
            <w:pPr>
              <w:ind w:left="40"/>
              <w:spacing w:after="0"/>
              <w:rPr>
                <w:rFonts w:ascii="Arial" w:cs="Arial" w:eastAsia="Arial" w:hAnsi="Arial"/>
                <w:sz w:val="16"/>
                <w:szCs w:val="16"/>
                <w:color w:val="auto"/>
              </w:rPr>
            </w:pPr>
            <w:hyperlink w:anchor="page20">
              <w:r>
                <w:rPr>
                  <w:rFonts w:ascii="Arial" w:cs="Arial" w:eastAsia="Arial" w:hAnsi="Arial"/>
                  <w:sz w:val="16"/>
                  <w:szCs w:val="16"/>
                  <w:color w:val="auto"/>
                </w:rPr>
                <w:t>Committees of the Board of Directors</w:t>
              </w:r>
            </w:hyperlink>
          </w:p>
        </w:tc>
        <w:tc>
          <w:tcPr>
            <w:tcW w:w="4460" w:type="dxa"/>
            <w:vAlign w:val="bottom"/>
          </w:tcPr>
          <w:p>
            <w:pPr>
              <w:jc w:val="right"/>
              <w:spacing w:after="0"/>
              <w:rPr>
                <w:rFonts w:ascii="Arial" w:cs="Arial" w:eastAsia="Arial" w:hAnsi="Arial"/>
                <w:sz w:val="16"/>
                <w:szCs w:val="16"/>
                <w:color w:val="auto"/>
              </w:rPr>
            </w:pPr>
            <w:hyperlink w:anchor="page20">
              <w:r>
                <w:rPr>
                  <w:rFonts w:ascii="Arial" w:cs="Arial" w:eastAsia="Arial" w:hAnsi="Arial"/>
                  <w:sz w:val="16"/>
                  <w:szCs w:val="16"/>
                  <w:color w:val="auto"/>
                </w:rPr>
                <w:t>17</w:t>
              </w:r>
            </w:hyperlink>
          </w:p>
        </w:tc>
      </w:tr>
      <w:tr>
        <w:trPr>
          <w:trHeight w:val="351"/>
        </w:trPr>
        <w:tc>
          <w:tcPr>
            <w:tcW w:w="6960" w:type="dxa"/>
            <w:vAlign w:val="bottom"/>
          </w:tcPr>
          <w:p>
            <w:pPr>
              <w:ind w:left="40"/>
              <w:spacing w:after="0"/>
              <w:rPr>
                <w:rFonts w:ascii="Arial" w:cs="Arial" w:eastAsia="Arial" w:hAnsi="Arial"/>
                <w:sz w:val="16"/>
                <w:szCs w:val="16"/>
                <w:color w:val="auto"/>
              </w:rPr>
            </w:pPr>
            <w:hyperlink w:anchor="page24">
              <w:r>
                <w:rPr>
                  <w:rFonts w:ascii="Arial" w:cs="Arial" w:eastAsia="Arial" w:hAnsi="Arial"/>
                  <w:sz w:val="16"/>
                  <w:szCs w:val="16"/>
                  <w:color w:val="auto"/>
                </w:rPr>
                <w:t>Board Role and Responsibilities</w:t>
              </w:r>
            </w:hyperlink>
          </w:p>
        </w:tc>
        <w:tc>
          <w:tcPr>
            <w:tcW w:w="4460" w:type="dxa"/>
            <w:vAlign w:val="bottom"/>
          </w:tcPr>
          <w:p>
            <w:pPr>
              <w:jc w:val="right"/>
              <w:spacing w:after="0"/>
              <w:rPr>
                <w:rFonts w:ascii="Arial" w:cs="Arial" w:eastAsia="Arial" w:hAnsi="Arial"/>
                <w:sz w:val="16"/>
                <w:szCs w:val="16"/>
                <w:color w:val="auto"/>
              </w:rPr>
            </w:pPr>
            <w:hyperlink w:anchor="page24">
              <w:r>
                <w:rPr>
                  <w:rFonts w:ascii="Arial" w:cs="Arial" w:eastAsia="Arial" w:hAnsi="Arial"/>
                  <w:sz w:val="16"/>
                  <w:szCs w:val="16"/>
                  <w:color w:val="auto"/>
                </w:rPr>
                <w:t>21</w:t>
              </w:r>
            </w:hyperlink>
          </w:p>
        </w:tc>
      </w:tr>
      <w:tr>
        <w:trPr>
          <w:trHeight w:val="351"/>
        </w:trPr>
        <w:tc>
          <w:tcPr>
            <w:tcW w:w="6960" w:type="dxa"/>
            <w:vAlign w:val="bottom"/>
          </w:tcPr>
          <w:p>
            <w:pPr>
              <w:ind w:left="40"/>
              <w:spacing w:after="0"/>
              <w:rPr>
                <w:rFonts w:ascii="Arial" w:cs="Arial" w:eastAsia="Arial" w:hAnsi="Arial"/>
                <w:sz w:val="16"/>
                <w:szCs w:val="16"/>
                <w:color w:val="auto"/>
              </w:rPr>
            </w:pPr>
            <w:hyperlink w:anchor="page25">
              <w:r>
                <w:rPr>
                  <w:rFonts w:ascii="Arial" w:cs="Arial" w:eastAsia="Arial" w:hAnsi="Arial"/>
                  <w:sz w:val="16"/>
                  <w:szCs w:val="16"/>
                  <w:color w:val="auto"/>
                </w:rPr>
                <w:t>Board Policies and Processes</w:t>
              </w:r>
            </w:hyperlink>
          </w:p>
        </w:tc>
        <w:tc>
          <w:tcPr>
            <w:tcW w:w="4460" w:type="dxa"/>
            <w:vAlign w:val="bottom"/>
          </w:tcPr>
          <w:p>
            <w:pPr>
              <w:jc w:val="right"/>
              <w:spacing w:after="0"/>
              <w:rPr>
                <w:rFonts w:ascii="Arial" w:cs="Arial" w:eastAsia="Arial" w:hAnsi="Arial"/>
                <w:sz w:val="16"/>
                <w:szCs w:val="16"/>
                <w:color w:val="auto"/>
              </w:rPr>
            </w:pPr>
            <w:hyperlink w:anchor="page25">
              <w:r>
                <w:rPr>
                  <w:rFonts w:ascii="Arial" w:cs="Arial" w:eastAsia="Arial" w:hAnsi="Arial"/>
                  <w:sz w:val="16"/>
                  <w:szCs w:val="16"/>
                  <w:color w:val="auto"/>
                </w:rPr>
                <w:t>22</w:t>
              </w:r>
            </w:hyperlink>
          </w:p>
        </w:tc>
      </w:tr>
      <w:tr>
        <w:trPr>
          <w:trHeight w:val="351"/>
        </w:trPr>
        <w:tc>
          <w:tcPr>
            <w:tcW w:w="6960" w:type="dxa"/>
            <w:vAlign w:val="bottom"/>
          </w:tcPr>
          <w:p>
            <w:pPr>
              <w:ind w:left="40"/>
              <w:spacing w:after="0"/>
              <w:rPr>
                <w:rFonts w:ascii="Arial" w:cs="Arial" w:eastAsia="Arial" w:hAnsi="Arial"/>
                <w:sz w:val="16"/>
                <w:szCs w:val="16"/>
                <w:color w:val="auto"/>
              </w:rPr>
            </w:pPr>
            <w:hyperlink w:anchor="page26">
              <w:r>
                <w:rPr>
                  <w:rFonts w:ascii="Arial" w:cs="Arial" w:eastAsia="Arial" w:hAnsi="Arial"/>
                  <w:sz w:val="16"/>
                  <w:szCs w:val="16"/>
                  <w:color w:val="auto"/>
                </w:rPr>
                <w:t>Director Independence</w:t>
              </w:r>
            </w:hyperlink>
          </w:p>
        </w:tc>
        <w:tc>
          <w:tcPr>
            <w:tcW w:w="4460" w:type="dxa"/>
            <w:vAlign w:val="bottom"/>
          </w:tcPr>
          <w:p>
            <w:pPr>
              <w:jc w:val="right"/>
              <w:spacing w:after="0"/>
              <w:rPr>
                <w:rFonts w:ascii="Arial" w:cs="Arial" w:eastAsia="Arial" w:hAnsi="Arial"/>
                <w:sz w:val="16"/>
                <w:szCs w:val="16"/>
                <w:color w:val="auto"/>
              </w:rPr>
            </w:pPr>
            <w:hyperlink w:anchor="page26">
              <w:r>
                <w:rPr>
                  <w:rFonts w:ascii="Arial" w:cs="Arial" w:eastAsia="Arial" w:hAnsi="Arial"/>
                  <w:sz w:val="16"/>
                  <w:szCs w:val="16"/>
                  <w:color w:val="auto"/>
                </w:rPr>
                <w:t>23</w:t>
              </w:r>
            </w:hyperlink>
          </w:p>
        </w:tc>
      </w:tr>
    </w:tbl>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420" w:type="dxa"/>
            <w:vAlign w:val="bottom"/>
          </w:tcPr>
          <w:p>
            <w:pPr>
              <w:ind w:left="40"/>
              <w:spacing w:after="0"/>
              <w:rPr>
                <w:rFonts w:ascii="Arial" w:cs="Arial" w:eastAsia="Arial" w:hAnsi="Arial"/>
                <w:sz w:val="16"/>
                <w:szCs w:val="16"/>
                <w:b w:val="1"/>
                <w:bCs w:val="1"/>
                <w:color w:val="012E6C"/>
              </w:rPr>
            </w:pPr>
            <w:hyperlink w:anchor="page30">
              <w:r>
                <w:rPr>
                  <w:rFonts w:ascii="Arial" w:cs="Arial" w:eastAsia="Arial" w:hAnsi="Arial"/>
                  <w:sz w:val="16"/>
                  <w:szCs w:val="16"/>
                  <w:b w:val="1"/>
                  <w:bCs w:val="1"/>
                  <w:color w:val="012E6C"/>
                </w:rPr>
                <w:t>ENTERPRISE RISK AND SUSTAINABILITY</w:t>
              </w:r>
            </w:hyperlink>
          </w:p>
        </w:tc>
        <w:tc>
          <w:tcPr>
            <w:tcW w:w="2000" w:type="dxa"/>
            <w:vAlign w:val="bottom"/>
          </w:tcPr>
          <w:p>
            <w:pPr>
              <w:jc w:val="right"/>
              <w:spacing w:after="0"/>
              <w:rPr>
                <w:rFonts w:ascii="Arial" w:cs="Arial" w:eastAsia="Arial" w:hAnsi="Arial"/>
                <w:sz w:val="16"/>
                <w:szCs w:val="16"/>
                <w:b w:val="1"/>
                <w:bCs w:val="1"/>
                <w:color w:val="012E6C"/>
              </w:rPr>
            </w:pPr>
            <w:hyperlink w:anchor="page30">
              <w:r>
                <w:rPr>
                  <w:rFonts w:ascii="Arial" w:cs="Arial" w:eastAsia="Arial" w:hAnsi="Arial"/>
                  <w:sz w:val="16"/>
                  <w:szCs w:val="16"/>
                  <w:b w:val="1"/>
                  <w:bCs w:val="1"/>
                  <w:color w:val="012E6C"/>
                </w:rPr>
                <w:t>27</w:t>
              </w:r>
            </w:hyperlink>
          </w:p>
        </w:tc>
      </w:tr>
      <w:tr>
        <w:trPr>
          <w:trHeight w:val="62"/>
        </w:trPr>
        <w:tc>
          <w:tcPr>
            <w:tcW w:w="9420" w:type="dxa"/>
            <w:vAlign w:val="bottom"/>
            <w:tcBorders>
              <w:bottom w:val="single" w:sz="8" w:color="012E6C"/>
            </w:tcBorders>
          </w:tcPr>
          <w:p>
            <w:pPr>
              <w:spacing w:after="0"/>
              <w:rPr>
                <w:sz w:val="5"/>
                <w:szCs w:val="5"/>
                <w:color w:val="auto"/>
              </w:rPr>
            </w:pPr>
          </w:p>
        </w:tc>
        <w:tc>
          <w:tcPr>
            <w:tcW w:w="2000" w:type="dxa"/>
            <w:vAlign w:val="bottom"/>
            <w:tcBorders>
              <w:bottom w:val="single" w:sz="8" w:color="012E6C"/>
            </w:tcBorders>
          </w:tcPr>
          <w:p>
            <w:pPr>
              <w:spacing w:after="0"/>
              <w:rPr>
                <w:sz w:val="5"/>
                <w:szCs w:val="5"/>
                <w:color w:val="auto"/>
              </w:rPr>
            </w:pPr>
          </w:p>
        </w:tc>
      </w:tr>
      <w:tr>
        <w:trPr>
          <w:trHeight w:val="283"/>
        </w:trPr>
        <w:tc>
          <w:tcPr>
            <w:tcW w:w="9420" w:type="dxa"/>
            <w:vAlign w:val="bottom"/>
          </w:tcPr>
          <w:p>
            <w:pPr>
              <w:ind w:left="40"/>
              <w:spacing w:after="0"/>
              <w:rPr>
                <w:rFonts w:ascii="Arial" w:cs="Arial" w:eastAsia="Arial" w:hAnsi="Arial"/>
                <w:sz w:val="16"/>
                <w:szCs w:val="16"/>
                <w:b w:val="1"/>
                <w:bCs w:val="1"/>
                <w:color w:val="012E6C"/>
              </w:rPr>
            </w:pPr>
            <w:hyperlink w:anchor="page33">
              <w:r>
                <w:rPr>
                  <w:rFonts w:ascii="Arial" w:cs="Arial" w:eastAsia="Arial" w:hAnsi="Arial"/>
                  <w:sz w:val="16"/>
                  <w:szCs w:val="16"/>
                  <w:b w:val="1"/>
                  <w:bCs w:val="1"/>
                  <w:color w:val="012E6C"/>
                </w:rPr>
                <w:t>AUDIT MATTERS</w:t>
              </w:r>
            </w:hyperlink>
          </w:p>
        </w:tc>
        <w:tc>
          <w:tcPr>
            <w:tcW w:w="2000" w:type="dxa"/>
            <w:vAlign w:val="bottom"/>
          </w:tcPr>
          <w:p>
            <w:pPr>
              <w:jc w:val="right"/>
              <w:spacing w:after="0"/>
              <w:rPr>
                <w:rFonts w:ascii="Arial" w:cs="Arial" w:eastAsia="Arial" w:hAnsi="Arial"/>
                <w:sz w:val="16"/>
                <w:szCs w:val="16"/>
                <w:b w:val="1"/>
                <w:bCs w:val="1"/>
                <w:color w:val="012E6C"/>
              </w:rPr>
            </w:pPr>
            <w:hyperlink w:anchor="page33">
              <w:r>
                <w:rPr>
                  <w:rFonts w:ascii="Arial" w:cs="Arial" w:eastAsia="Arial" w:hAnsi="Arial"/>
                  <w:sz w:val="16"/>
                  <w:szCs w:val="16"/>
                  <w:b w:val="1"/>
                  <w:bCs w:val="1"/>
                  <w:color w:val="012E6C"/>
                </w:rPr>
                <w:t>30</w:t>
              </w:r>
            </w:hyperlink>
          </w:p>
        </w:tc>
      </w:tr>
      <w:tr>
        <w:trPr>
          <w:trHeight w:val="62"/>
        </w:trPr>
        <w:tc>
          <w:tcPr>
            <w:tcW w:w="9420" w:type="dxa"/>
            <w:vAlign w:val="bottom"/>
            <w:tcBorders>
              <w:bottom w:val="single" w:sz="8" w:color="012E6C"/>
            </w:tcBorders>
          </w:tcPr>
          <w:p>
            <w:pPr>
              <w:spacing w:after="0"/>
              <w:rPr>
                <w:sz w:val="5"/>
                <w:szCs w:val="5"/>
                <w:color w:val="auto"/>
              </w:rPr>
            </w:pPr>
          </w:p>
        </w:tc>
        <w:tc>
          <w:tcPr>
            <w:tcW w:w="2000" w:type="dxa"/>
            <w:vAlign w:val="bottom"/>
            <w:tcBorders>
              <w:bottom w:val="single" w:sz="8" w:color="012E6C"/>
            </w:tcBorders>
          </w:tcPr>
          <w:p>
            <w:pPr>
              <w:spacing w:after="0"/>
              <w:rPr>
                <w:sz w:val="5"/>
                <w:szCs w:val="5"/>
                <w:color w:val="auto"/>
              </w:rPr>
            </w:pPr>
          </w:p>
        </w:tc>
      </w:tr>
      <w:tr>
        <w:trPr>
          <w:trHeight w:val="283"/>
        </w:trPr>
        <w:tc>
          <w:tcPr>
            <w:tcW w:w="9420" w:type="dxa"/>
            <w:vAlign w:val="bottom"/>
          </w:tcPr>
          <w:p>
            <w:pPr>
              <w:ind w:left="40"/>
              <w:spacing w:after="0"/>
              <w:rPr>
                <w:rFonts w:ascii="Arial" w:cs="Arial" w:eastAsia="Arial" w:hAnsi="Arial"/>
                <w:sz w:val="16"/>
                <w:szCs w:val="16"/>
                <w:b w:val="1"/>
                <w:bCs w:val="1"/>
                <w:color w:val="012E6C"/>
              </w:rPr>
            </w:pPr>
            <w:hyperlink w:anchor="page33">
              <w:r>
                <w:rPr>
                  <w:rFonts w:ascii="Arial" w:cs="Arial" w:eastAsia="Arial" w:hAnsi="Arial"/>
                  <w:sz w:val="16"/>
                  <w:szCs w:val="16"/>
                  <w:b w:val="1"/>
                  <w:bCs w:val="1"/>
                  <w:color w:val="012E6C"/>
                </w:rPr>
                <w:t>PROPOSAL 2: RATIFICATION OF APPOINTMENT OF INDEPENDENT AUDITORS</w:t>
              </w:r>
            </w:hyperlink>
          </w:p>
        </w:tc>
        <w:tc>
          <w:tcPr>
            <w:tcW w:w="2000" w:type="dxa"/>
            <w:vAlign w:val="bottom"/>
          </w:tcPr>
          <w:p>
            <w:pPr>
              <w:jc w:val="right"/>
              <w:spacing w:after="0"/>
              <w:rPr>
                <w:rFonts w:ascii="Arial" w:cs="Arial" w:eastAsia="Arial" w:hAnsi="Arial"/>
                <w:sz w:val="16"/>
                <w:szCs w:val="16"/>
                <w:b w:val="1"/>
                <w:bCs w:val="1"/>
                <w:color w:val="012E6C"/>
              </w:rPr>
            </w:pPr>
            <w:hyperlink w:anchor="page33">
              <w:r>
                <w:rPr>
                  <w:rFonts w:ascii="Arial" w:cs="Arial" w:eastAsia="Arial" w:hAnsi="Arial"/>
                  <w:sz w:val="16"/>
                  <w:szCs w:val="16"/>
                  <w:b w:val="1"/>
                  <w:bCs w:val="1"/>
                  <w:color w:val="012E6C"/>
                </w:rPr>
                <w:t>30</w:t>
              </w:r>
            </w:hyperlink>
          </w:p>
        </w:tc>
      </w:tr>
      <w:tr>
        <w:trPr>
          <w:trHeight w:val="62"/>
        </w:trPr>
        <w:tc>
          <w:tcPr>
            <w:tcW w:w="9420" w:type="dxa"/>
            <w:vAlign w:val="bottom"/>
            <w:tcBorders>
              <w:bottom w:val="single" w:sz="8" w:color="012E6C"/>
            </w:tcBorders>
          </w:tcPr>
          <w:p>
            <w:pPr>
              <w:spacing w:after="0"/>
              <w:rPr>
                <w:sz w:val="5"/>
                <w:szCs w:val="5"/>
                <w:color w:val="auto"/>
              </w:rPr>
            </w:pPr>
          </w:p>
        </w:tc>
        <w:tc>
          <w:tcPr>
            <w:tcW w:w="2000" w:type="dxa"/>
            <w:vAlign w:val="bottom"/>
            <w:tcBorders>
              <w:bottom w:val="single" w:sz="8" w:color="012E6C"/>
            </w:tcBorders>
          </w:tcPr>
          <w:p>
            <w:pPr>
              <w:spacing w:after="0"/>
              <w:rPr>
                <w:sz w:val="5"/>
                <w:szCs w:val="5"/>
                <w:color w:val="auto"/>
              </w:rPr>
            </w:pPr>
          </w:p>
        </w:tc>
      </w:tr>
      <w:tr>
        <w:trPr>
          <w:trHeight w:val="275"/>
        </w:trPr>
        <w:tc>
          <w:tcPr>
            <w:tcW w:w="9420" w:type="dxa"/>
            <w:vAlign w:val="bottom"/>
          </w:tcPr>
          <w:p>
            <w:pPr>
              <w:ind w:left="40"/>
              <w:spacing w:after="0"/>
              <w:rPr>
                <w:rFonts w:ascii="Arial" w:cs="Arial" w:eastAsia="Arial" w:hAnsi="Arial"/>
                <w:sz w:val="16"/>
                <w:szCs w:val="16"/>
                <w:color w:val="auto"/>
              </w:rPr>
            </w:pPr>
            <w:hyperlink w:anchor="page35">
              <w:r>
                <w:rPr>
                  <w:rFonts w:ascii="Arial" w:cs="Arial" w:eastAsia="Arial" w:hAnsi="Arial"/>
                  <w:sz w:val="16"/>
                  <w:szCs w:val="16"/>
                  <w:color w:val="auto"/>
                </w:rPr>
                <w:t>Audit Committee Report</w:t>
              </w:r>
            </w:hyperlink>
          </w:p>
        </w:tc>
        <w:tc>
          <w:tcPr>
            <w:tcW w:w="2000" w:type="dxa"/>
            <w:vAlign w:val="bottom"/>
          </w:tcPr>
          <w:p>
            <w:pPr>
              <w:jc w:val="right"/>
              <w:spacing w:after="0"/>
              <w:rPr>
                <w:rFonts w:ascii="Arial" w:cs="Arial" w:eastAsia="Arial" w:hAnsi="Arial"/>
                <w:sz w:val="16"/>
                <w:szCs w:val="16"/>
                <w:color w:val="auto"/>
              </w:rPr>
            </w:pPr>
            <w:hyperlink w:anchor="page35">
              <w:r>
                <w:rPr>
                  <w:rFonts w:ascii="Arial" w:cs="Arial" w:eastAsia="Arial" w:hAnsi="Arial"/>
                  <w:sz w:val="16"/>
                  <w:szCs w:val="16"/>
                  <w:color w:val="auto"/>
                </w:rPr>
                <w:t>32</w:t>
              </w:r>
            </w:hyperlink>
          </w:p>
        </w:tc>
      </w:tr>
      <w:tr>
        <w:trPr>
          <w:trHeight w:val="548"/>
        </w:trPr>
        <w:tc>
          <w:tcPr>
            <w:tcW w:w="9420" w:type="dxa"/>
            <w:vAlign w:val="bottom"/>
          </w:tcPr>
          <w:p>
            <w:pPr>
              <w:ind w:left="40"/>
              <w:spacing w:after="0"/>
              <w:rPr>
                <w:rFonts w:ascii="Arial" w:cs="Arial" w:eastAsia="Arial" w:hAnsi="Arial"/>
                <w:sz w:val="16"/>
                <w:szCs w:val="16"/>
                <w:b w:val="1"/>
                <w:bCs w:val="1"/>
                <w:color w:val="012E6C"/>
              </w:rPr>
            </w:pPr>
            <w:hyperlink w:anchor="page36">
              <w:r>
                <w:rPr>
                  <w:rFonts w:ascii="Arial" w:cs="Arial" w:eastAsia="Arial" w:hAnsi="Arial"/>
                  <w:sz w:val="16"/>
                  <w:szCs w:val="16"/>
                  <w:b w:val="1"/>
                  <w:bCs w:val="1"/>
                  <w:color w:val="012E6C"/>
                </w:rPr>
                <w:t>EXECUTIVE COMPENSATION</w:t>
              </w:r>
            </w:hyperlink>
          </w:p>
        </w:tc>
        <w:tc>
          <w:tcPr>
            <w:tcW w:w="2000" w:type="dxa"/>
            <w:vAlign w:val="bottom"/>
          </w:tcPr>
          <w:p>
            <w:pPr>
              <w:jc w:val="right"/>
              <w:spacing w:after="0"/>
              <w:rPr>
                <w:rFonts w:ascii="Arial" w:cs="Arial" w:eastAsia="Arial" w:hAnsi="Arial"/>
                <w:sz w:val="16"/>
                <w:szCs w:val="16"/>
                <w:b w:val="1"/>
                <w:bCs w:val="1"/>
                <w:color w:val="012E6C"/>
              </w:rPr>
            </w:pPr>
            <w:hyperlink w:anchor="page36">
              <w:r>
                <w:rPr>
                  <w:rFonts w:ascii="Arial" w:cs="Arial" w:eastAsia="Arial" w:hAnsi="Arial"/>
                  <w:sz w:val="16"/>
                  <w:szCs w:val="16"/>
                  <w:b w:val="1"/>
                  <w:bCs w:val="1"/>
                  <w:color w:val="012E6C"/>
                </w:rPr>
                <w:t>33</w:t>
              </w:r>
            </w:hyperlink>
          </w:p>
        </w:tc>
      </w:tr>
      <w:tr>
        <w:trPr>
          <w:trHeight w:val="62"/>
        </w:trPr>
        <w:tc>
          <w:tcPr>
            <w:tcW w:w="9420" w:type="dxa"/>
            <w:vAlign w:val="bottom"/>
            <w:tcBorders>
              <w:bottom w:val="single" w:sz="8" w:color="012E6C"/>
            </w:tcBorders>
          </w:tcPr>
          <w:p>
            <w:pPr>
              <w:spacing w:after="0"/>
              <w:rPr>
                <w:sz w:val="5"/>
                <w:szCs w:val="5"/>
                <w:color w:val="auto"/>
              </w:rPr>
            </w:pPr>
          </w:p>
        </w:tc>
        <w:tc>
          <w:tcPr>
            <w:tcW w:w="2000" w:type="dxa"/>
            <w:vAlign w:val="bottom"/>
            <w:tcBorders>
              <w:bottom w:val="single" w:sz="8" w:color="012E6C"/>
            </w:tcBorders>
          </w:tcPr>
          <w:p>
            <w:pPr>
              <w:spacing w:after="0"/>
              <w:rPr>
                <w:sz w:val="5"/>
                <w:szCs w:val="5"/>
                <w:color w:val="auto"/>
              </w:rPr>
            </w:pPr>
          </w:p>
        </w:tc>
      </w:tr>
      <w:tr>
        <w:trPr>
          <w:trHeight w:val="283"/>
        </w:trPr>
        <w:tc>
          <w:tcPr>
            <w:tcW w:w="9420" w:type="dxa"/>
            <w:vAlign w:val="bottom"/>
          </w:tcPr>
          <w:p>
            <w:pPr>
              <w:ind w:left="40"/>
              <w:spacing w:after="0"/>
              <w:rPr>
                <w:rFonts w:ascii="Arial" w:cs="Arial" w:eastAsia="Arial" w:hAnsi="Arial"/>
                <w:sz w:val="16"/>
                <w:szCs w:val="16"/>
                <w:b w:val="1"/>
                <w:bCs w:val="1"/>
                <w:color w:val="012E6C"/>
              </w:rPr>
            </w:pPr>
            <w:hyperlink w:anchor="page36">
              <w:r>
                <w:rPr>
                  <w:rFonts w:ascii="Arial" w:cs="Arial" w:eastAsia="Arial" w:hAnsi="Arial"/>
                  <w:sz w:val="16"/>
                  <w:szCs w:val="16"/>
                  <w:b w:val="1"/>
                  <w:bCs w:val="1"/>
                  <w:color w:val="012E6C"/>
                </w:rPr>
                <w:t>PROPOSAL 3: ADVISORY VOTE TO APPROVE THE COMPENSATION OF OUR NEOs (SAY-ON-PAY)</w:t>
              </w:r>
            </w:hyperlink>
          </w:p>
        </w:tc>
        <w:tc>
          <w:tcPr>
            <w:tcW w:w="2000" w:type="dxa"/>
            <w:vAlign w:val="bottom"/>
          </w:tcPr>
          <w:p>
            <w:pPr>
              <w:jc w:val="right"/>
              <w:spacing w:after="0"/>
              <w:rPr>
                <w:rFonts w:ascii="Arial" w:cs="Arial" w:eastAsia="Arial" w:hAnsi="Arial"/>
                <w:sz w:val="16"/>
                <w:szCs w:val="16"/>
                <w:b w:val="1"/>
                <w:bCs w:val="1"/>
                <w:color w:val="012E6C"/>
              </w:rPr>
            </w:pPr>
            <w:hyperlink w:anchor="page36">
              <w:r>
                <w:rPr>
                  <w:rFonts w:ascii="Arial" w:cs="Arial" w:eastAsia="Arial" w:hAnsi="Arial"/>
                  <w:sz w:val="16"/>
                  <w:szCs w:val="16"/>
                  <w:b w:val="1"/>
                  <w:bCs w:val="1"/>
                  <w:color w:val="012E6C"/>
                </w:rPr>
                <w:t>33</w:t>
              </w:r>
            </w:hyperlink>
          </w:p>
        </w:tc>
      </w:tr>
      <w:tr>
        <w:trPr>
          <w:trHeight w:val="62"/>
        </w:trPr>
        <w:tc>
          <w:tcPr>
            <w:tcW w:w="9420" w:type="dxa"/>
            <w:vAlign w:val="bottom"/>
            <w:tcBorders>
              <w:bottom w:val="single" w:sz="8" w:color="012E6C"/>
            </w:tcBorders>
          </w:tcPr>
          <w:p>
            <w:pPr>
              <w:spacing w:after="0"/>
              <w:rPr>
                <w:sz w:val="5"/>
                <w:szCs w:val="5"/>
                <w:color w:val="auto"/>
              </w:rPr>
            </w:pPr>
          </w:p>
        </w:tc>
        <w:tc>
          <w:tcPr>
            <w:tcW w:w="2000" w:type="dxa"/>
            <w:vAlign w:val="bottom"/>
            <w:tcBorders>
              <w:bottom w:val="single" w:sz="8" w:color="012E6C"/>
            </w:tcBorders>
          </w:tcPr>
          <w:p>
            <w:pPr>
              <w:spacing w:after="0"/>
              <w:rPr>
                <w:sz w:val="5"/>
                <w:szCs w:val="5"/>
                <w:color w:val="auto"/>
              </w:rPr>
            </w:pPr>
          </w:p>
        </w:tc>
      </w:tr>
      <w:tr>
        <w:trPr>
          <w:trHeight w:val="275"/>
        </w:trPr>
        <w:tc>
          <w:tcPr>
            <w:tcW w:w="9420" w:type="dxa"/>
            <w:vAlign w:val="bottom"/>
          </w:tcPr>
          <w:p>
            <w:pPr>
              <w:ind w:left="40"/>
              <w:spacing w:after="0"/>
              <w:rPr>
                <w:rFonts w:ascii="Arial" w:cs="Arial" w:eastAsia="Arial" w:hAnsi="Arial"/>
                <w:sz w:val="16"/>
                <w:szCs w:val="16"/>
                <w:color w:val="auto"/>
              </w:rPr>
            </w:pPr>
            <w:hyperlink w:anchor="page36">
              <w:r>
                <w:rPr>
                  <w:rFonts w:ascii="Arial" w:cs="Arial" w:eastAsia="Arial" w:hAnsi="Arial"/>
                  <w:sz w:val="16"/>
                  <w:szCs w:val="16"/>
                  <w:color w:val="auto"/>
                </w:rPr>
                <w:t>Compensation Committee Report</w:t>
              </w:r>
            </w:hyperlink>
          </w:p>
        </w:tc>
        <w:tc>
          <w:tcPr>
            <w:tcW w:w="2000" w:type="dxa"/>
            <w:vAlign w:val="bottom"/>
          </w:tcPr>
          <w:p>
            <w:pPr>
              <w:jc w:val="right"/>
              <w:spacing w:after="0"/>
              <w:rPr>
                <w:rFonts w:ascii="Arial" w:cs="Arial" w:eastAsia="Arial" w:hAnsi="Arial"/>
                <w:sz w:val="16"/>
                <w:szCs w:val="16"/>
                <w:color w:val="auto"/>
              </w:rPr>
            </w:pPr>
            <w:hyperlink w:anchor="page36">
              <w:r>
                <w:rPr>
                  <w:rFonts w:ascii="Arial" w:cs="Arial" w:eastAsia="Arial" w:hAnsi="Arial"/>
                  <w:sz w:val="16"/>
                  <w:szCs w:val="16"/>
                  <w:color w:val="auto"/>
                </w:rPr>
                <w:t>33</w:t>
              </w:r>
            </w:hyperlink>
          </w:p>
        </w:tc>
      </w:tr>
      <w:tr>
        <w:trPr>
          <w:trHeight w:val="351"/>
        </w:trPr>
        <w:tc>
          <w:tcPr>
            <w:tcW w:w="9420" w:type="dxa"/>
            <w:vAlign w:val="bottom"/>
          </w:tcPr>
          <w:p>
            <w:pPr>
              <w:ind w:left="40"/>
              <w:spacing w:after="0"/>
              <w:rPr>
                <w:rFonts w:ascii="Arial" w:cs="Arial" w:eastAsia="Arial" w:hAnsi="Arial"/>
                <w:sz w:val="16"/>
                <w:szCs w:val="16"/>
                <w:color w:val="auto"/>
              </w:rPr>
            </w:pPr>
            <w:hyperlink w:anchor="page37">
              <w:r>
                <w:rPr>
                  <w:rFonts w:ascii="Arial" w:cs="Arial" w:eastAsia="Arial" w:hAnsi="Arial"/>
                  <w:sz w:val="16"/>
                  <w:szCs w:val="16"/>
                  <w:color w:val="auto"/>
                </w:rPr>
                <w:t>Compensation Discussion and Analysis (CD&amp;A)</w:t>
              </w:r>
            </w:hyperlink>
          </w:p>
        </w:tc>
        <w:tc>
          <w:tcPr>
            <w:tcW w:w="2000" w:type="dxa"/>
            <w:vAlign w:val="bottom"/>
          </w:tcPr>
          <w:p>
            <w:pPr>
              <w:jc w:val="right"/>
              <w:spacing w:after="0"/>
              <w:rPr>
                <w:rFonts w:ascii="Arial" w:cs="Arial" w:eastAsia="Arial" w:hAnsi="Arial"/>
                <w:sz w:val="16"/>
                <w:szCs w:val="16"/>
                <w:color w:val="auto"/>
              </w:rPr>
            </w:pPr>
            <w:hyperlink w:anchor="page37">
              <w:r>
                <w:rPr>
                  <w:rFonts w:ascii="Arial" w:cs="Arial" w:eastAsia="Arial" w:hAnsi="Arial"/>
                  <w:sz w:val="16"/>
                  <w:szCs w:val="16"/>
                  <w:color w:val="auto"/>
                </w:rPr>
                <w:t>34</w:t>
              </w:r>
            </w:hyperlink>
          </w:p>
        </w:tc>
      </w:tr>
      <w:tr>
        <w:trPr>
          <w:trHeight w:val="351"/>
        </w:trPr>
        <w:tc>
          <w:tcPr>
            <w:tcW w:w="9420" w:type="dxa"/>
            <w:vAlign w:val="bottom"/>
          </w:tcPr>
          <w:p>
            <w:pPr>
              <w:ind w:left="40"/>
              <w:spacing w:after="0"/>
              <w:rPr>
                <w:rFonts w:ascii="Arial" w:cs="Arial" w:eastAsia="Arial" w:hAnsi="Arial"/>
                <w:sz w:val="16"/>
                <w:szCs w:val="16"/>
                <w:color w:val="auto"/>
              </w:rPr>
            </w:pPr>
            <w:hyperlink w:anchor="page55">
              <w:r>
                <w:rPr>
                  <w:rFonts w:ascii="Arial" w:cs="Arial" w:eastAsia="Arial" w:hAnsi="Arial"/>
                  <w:sz w:val="16"/>
                  <w:szCs w:val="16"/>
                  <w:color w:val="auto"/>
                </w:rPr>
                <w:t>Summary Compensation Table</w:t>
              </w:r>
            </w:hyperlink>
          </w:p>
        </w:tc>
        <w:tc>
          <w:tcPr>
            <w:tcW w:w="2000" w:type="dxa"/>
            <w:vAlign w:val="bottom"/>
          </w:tcPr>
          <w:p>
            <w:pPr>
              <w:jc w:val="right"/>
              <w:spacing w:after="0"/>
              <w:rPr>
                <w:rFonts w:ascii="Arial" w:cs="Arial" w:eastAsia="Arial" w:hAnsi="Arial"/>
                <w:sz w:val="16"/>
                <w:szCs w:val="16"/>
                <w:color w:val="auto"/>
              </w:rPr>
            </w:pPr>
            <w:hyperlink w:anchor="page55">
              <w:r>
                <w:rPr>
                  <w:rFonts w:ascii="Arial" w:cs="Arial" w:eastAsia="Arial" w:hAnsi="Arial"/>
                  <w:sz w:val="16"/>
                  <w:szCs w:val="16"/>
                  <w:color w:val="auto"/>
                </w:rPr>
                <w:t>52</w:t>
              </w:r>
            </w:hyperlink>
          </w:p>
        </w:tc>
      </w:tr>
      <w:tr>
        <w:trPr>
          <w:trHeight w:val="351"/>
        </w:trPr>
        <w:tc>
          <w:tcPr>
            <w:tcW w:w="9420" w:type="dxa"/>
            <w:vAlign w:val="bottom"/>
          </w:tcPr>
          <w:p>
            <w:pPr>
              <w:ind w:left="40"/>
              <w:spacing w:after="0"/>
              <w:rPr>
                <w:rFonts w:ascii="Arial" w:cs="Arial" w:eastAsia="Arial" w:hAnsi="Arial"/>
                <w:sz w:val="16"/>
                <w:szCs w:val="16"/>
                <w:color w:val="auto"/>
              </w:rPr>
            </w:pPr>
            <w:hyperlink w:anchor="page59">
              <w:r>
                <w:rPr>
                  <w:rFonts w:ascii="Arial" w:cs="Arial" w:eastAsia="Arial" w:hAnsi="Arial"/>
                  <w:sz w:val="16"/>
                  <w:szCs w:val="16"/>
                  <w:color w:val="auto"/>
                </w:rPr>
                <w:t>2018 Grants of Plan-Based Awards</w:t>
              </w:r>
            </w:hyperlink>
          </w:p>
        </w:tc>
        <w:tc>
          <w:tcPr>
            <w:tcW w:w="2000" w:type="dxa"/>
            <w:vAlign w:val="bottom"/>
          </w:tcPr>
          <w:p>
            <w:pPr>
              <w:jc w:val="right"/>
              <w:spacing w:after="0"/>
              <w:rPr>
                <w:rFonts w:ascii="Arial" w:cs="Arial" w:eastAsia="Arial" w:hAnsi="Arial"/>
                <w:sz w:val="16"/>
                <w:szCs w:val="16"/>
                <w:color w:val="auto"/>
              </w:rPr>
            </w:pPr>
            <w:hyperlink w:anchor="page59">
              <w:r>
                <w:rPr>
                  <w:rFonts w:ascii="Arial" w:cs="Arial" w:eastAsia="Arial" w:hAnsi="Arial"/>
                  <w:sz w:val="16"/>
                  <w:szCs w:val="16"/>
                  <w:color w:val="auto"/>
                </w:rPr>
                <w:t>56</w:t>
              </w:r>
            </w:hyperlink>
          </w:p>
        </w:tc>
      </w:tr>
      <w:tr>
        <w:trPr>
          <w:trHeight w:val="351"/>
        </w:trPr>
        <w:tc>
          <w:tcPr>
            <w:tcW w:w="9420" w:type="dxa"/>
            <w:vAlign w:val="bottom"/>
          </w:tcPr>
          <w:p>
            <w:pPr>
              <w:ind w:left="40"/>
              <w:spacing w:after="0"/>
              <w:rPr>
                <w:rFonts w:ascii="Arial" w:cs="Arial" w:eastAsia="Arial" w:hAnsi="Arial"/>
                <w:sz w:val="16"/>
                <w:szCs w:val="16"/>
                <w:color w:val="auto"/>
              </w:rPr>
            </w:pPr>
            <w:hyperlink w:anchor="page61">
              <w:r>
                <w:rPr>
                  <w:rFonts w:ascii="Arial" w:cs="Arial" w:eastAsia="Arial" w:hAnsi="Arial"/>
                  <w:sz w:val="16"/>
                  <w:szCs w:val="16"/>
                  <w:color w:val="auto"/>
                </w:rPr>
                <w:t>Outstanding Equity Awards at 2018 Fiscal Year-End</w:t>
              </w:r>
            </w:hyperlink>
          </w:p>
        </w:tc>
        <w:tc>
          <w:tcPr>
            <w:tcW w:w="2000" w:type="dxa"/>
            <w:vAlign w:val="bottom"/>
          </w:tcPr>
          <w:p>
            <w:pPr>
              <w:jc w:val="right"/>
              <w:spacing w:after="0"/>
              <w:rPr>
                <w:rFonts w:ascii="Arial" w:cs="Arial" w:eastAsia="Arial" w:hAnsi="Arial"/>
                <w:sz w:val="16"/>
                <w:szCs w:val="16"/>
                <w:color w:val="auto"/>
              </w:rPr>
            </w:pPr>
            <w:hyperlink w:anchor="page61">
              <w:r>
                <w:rPr>
                  <w:rFonts w:ascii="Arial" w:cs="Arial" w:eastAsia="Arial" w:hAnsi="Arial"/>
                  <w:sz w:val="16"/>
                  <w:szCs w:val="16"/>
                  <w:color w:val="auto"/>
                </w:rPr>
                <w:t>58</w:t>
              </w:r>
            </w:hyperlink>
          </w:p>
        </w:tc>
      </w:tr>
      <w:tr>
        <w:trPr>
          <w:trHeight w:val="351"/>
        </w:trPr>
        <w:tc>
          <w:tcPr>
            <w:tcW w:w="9420" w:type="dxa"/>
            <w:vAlign w:val="bottom"/>
          </w:tcPr>
          <w:p>
            <w:pPr>
              <w:ind w:left="40"/>
              <w:spacing w:after="0"/>
              <w:rPr>
                <w:rFonts w:ascii="Arial" w:cs="Arial" w:eastAsia="Arial" w:hAnsi="Arial"/>
                <w:sz w:val="16"/>
                <w:szCs w:val="16"/>
                <w:color w:val="auto"/>
              </w:rPr>
            </w:pPr>
            <w:hyperlink w:anchor="page62">
              <w:r>
                <w:rPr>
                  <w:rFonts w:ascii="Arial" w:cs="Arial" w:eastAsia="Arial" w:hAnsi="Arial"/>
                  <w:sz w:val="16"/>
                  <w:szCs w:val="16"/>
                  <w:color w:val="auto"/>
                </w:rPr>
                <w:t>Option Exercises and Stock Vested During 2018</w:t>
              </w:r>
            </w:hyperlink>
          </w:p>
        </w:tc>
        <w:tc>
          <w:tcPr>
            <w:tcW w:w="2000" w:type="dxa"/>
            <w:vAlign w:val="bottom"/>
          </w:tcPr>
          <w:p>
            <w:pPr>
              <w:jc w:val="right"/>
              <w:spacing w:after="0"/>
              <w:rPr>
                <w:rFonts w:ascii="Arial" w:cs="Arial" w:eastAsia="Arial" w:hAnsi="Arial"/>
                <w:sz w:val="16"/>
                <w:szCs w:val="16"/>
                <w:color w:val="auto"/>
              </w:rPr>
            </w:pPr>
            <w:hyperlink w:anchor="page62">
              <w:r>
                <w:rPr>
                  <w:rFonts w:ascii="Arial" w:cs="Arial" w:eastAsia="Arial" w:hAnsi="Arial"/>
                  <w:sz w:val="16"/>
                  <w:szCs w:val="16"/>
                  <w:color w:val="auto"/>
                </w:rPr>
                <w:t>59</w:t>
              </w:r>
            </w:hyperlink>
          </w:p>
        </w:tc>
      </w:tr>
      <w:tr>
        <w:trPr>
          <w:trHeight w:val="351"/>
        </w:trPr>
        <w:tc>
          <w:tcPr>
            <w:tcW w:w="9420" w:type="dxa"/>
            <w:vAlign w:val="bottom"/>
          </w:tcPr>
          <w:p>
            <w:pPr>
              <w:ind w:left="40"/>
              <w:spacing w:after="0"/>
              <w:rPr>
                <w:rFonts w:ascii="Arial" w:cs="Arial" w:eastAsia="Arial" w:hAnsi="Arial"/>
                <w:sz w:val="16"/>
                <w:szCs w:val="16"/>
                <w:color w:val="auto"/>
              </w:rPr>
            </w:pPr>
            <w:hyperlink w:anchor="page62">
              <w:r>
                <w:rPr>
                  <w:rFonts w:ascii="Arial" w:cs="Arial" w:eastAsia="Arial" w:hAnsi="Arial"/>
                  <w:sz w:val="16"/>
                  <w:szCs w:val="16"/>
                  <w:color w:val="auto"/>
                </w:rPr>
                <w:t>2018 Pension Benefits</w:t>
              </w:r>
            </w:hyperlink>
          </w:p>
        </w:tc>
        <w:tc>
          <w:tcPr>
            <w:tcW w:w="2000" w:type="dxa"/>
            <w:vAlign w:val="bottom"/>
          </w:tcPr>
          <w:p>
            <w:pPr>
              <w:jc w:val="right"/>
              <w:spacing w:after="0"/>
              <w:rPr>
                <w:rFonts w:ascii="Arial" w:cs="Arial" w:eastAsia="Arial" w:hAnsi="Arial"/>
                <w:sz w:val="16"/>
                <w:szCs w:val="16"/>
                <w:color w:val="auto"/>
              </w:rPr>
            </w:pPr>
            <w:hyperlink w:anchor="page62">
              <w:r>
                <w:rPr>
                  <w:rFonts w:ascii="Arial" w:cs="Arial" w:eastAsia="Arial" w:hAnsi="Arial"/>
                  <w:sz w:val="16"/>
                  <w:szCs w:val="16"/>
                  <w:color w:val="auto"/>
                </w:rPr>
                <w:t>59</w:t>
              </w:r>
            </w:hyperlink>
          </w:p>
        </w:tc>
      </w:tr>
      <w:tr>
        <w:trPr>
          <w:trHeight w:val="351"/>
        </w:trPr>
        <w:tc>
          <w:tcPr>
            <w:tcW w:w="9420" w:type="dxa"/>
            <w:vAlign w:val="bottom"/>
          </w:tcPr>
          <w:p>
            <w:pPr>
              <w:ind w:left="40"/>
              <w:spacing w:after="0"/>
              <w:rPr>
                <w:rFonts w:ascii="Arial" w:cs="Arial" w:eastAsia="Arial" w:hAnsi="Arial"/>
                <w:sz w:val="16"/>
                <w:szCs w:val="16"/>
                <w:color w:val="auto"/>
              </w:rPr>
            </w:pPr>
            <w:hyperlink w:anchor="page64">
              <w:r>
                <w:rPr>
                  <w:rFonts w:ascii="Arial" w:cs="Arial" w:eastAsia="Arial" w:hAnsi="Arial"/>
                  <w:sz w:val="16"/>
                  <w:szCs w:val="16"/>
                  <w:color w:val="auto"/>
                </w:rPr>
                <w:t>2018 Nonqualified Deferred Compensation</w:t>
              </w:r>
            </w:hyperlink>
          </w:p>
        </w:tc>
        <w:tc>
          <w:tcPr>
            <w:tcW w:w="2000" w:type="dxa"/>
            <w:vAlign w:val="bottom"/>
          </w:tcPr>
          <w:p>
            <w:pPr>
              <w:jc w:val="right"/>
              <w:spacing w:after="0"/>
              <w:rPr>
                <w:rFonts w:ascii="Arial" w:cs="Arial" w:eastAsia="Arial" w:hAnsi="Arial"/>
                <w:sz w:val="16"/>
                <w:szCs w:val="16"/>
                <w:color w:val="auto"/>
              </w:rPr>
            </w:pPr>
            <w:hyperlink w:anchor="page64">
              <w:r>
                <w:rPr>
                  <w:rFonts w:ascii="Arial" w:cs="Arial" w:eastAsia="Arial" w:hAnsi="Arial"/>
                  <w:sz w:val="16"/>
                  <w:szCs w:val="16"/>
                  <w:color w:val="auto"/>
                </w:rPr>
                <w:t>61</w:t>
              </w:r>
            </w:hyperlink>
          </w:p>
        </w:tc>
      </w:tr>
      <w:tr>
        <w:trPr>
          <w:trHeight w:val="351"/>
        </w:trPr>
        <w:tc>
          <w:tcPr>
            <w:tcW w:w="9420" w:type="dxa"/>
            <w:vAlign w:val="bottom"/>
          </w:tcPr>
          <w:p>
            <w:pPr>
              <w:ind w:left="40"/>
              <w:spacing w:after="0"/>
              <w:rPr>
                <w:rFonts w:ascii="Arial" w:cs="Arial" w:eastAsia="Arial" w:hAnsi="Arial"/>
                <w:sz w:val="16"/>
                <w:szCs w:val="16"/>
                <w:color w:val="auto"/>
              </w:rPr>
            </w:pPr>
            <w:hyperlink w:anchor="page67">
              <w:r>
                <w:rPr>
                  <w:rFonts w:ascii="Arial" w:cs="Arial" w:eastAsia="Arial" w:hAnsi="Arial"/>
                  <w:sz w:val="16"/>
                  <w:szCs w:val="16"/>
                  <w:color w:val="auto"/>
                </w:rPr>
                <w:t>Potential Payments Upon Termination or Change in Control</w:t>
              </w:r>
            </w:hyperlink>
          </w:p>
        </w:tc>
        <w:tc>
          <w:tcPr>
            <w:tcW w:w="2000" w:type="dxa"/>
            <w:vAlign w:val="bottom"/>
          </w:tcPr>
          <w:p>
            <w:pPr>
              <w:jc w:val="right"/>
              <w:spacing w:after="0"/>
              <w:rPr>
                <w:rFonts w:ascii="Arial" w:cs="Arial" w:eastAsia="Arial" w:hAnsi="Arial"/>
                <w:sz w:val="16"/>
                <w:szCs w:val="16"/>
                <w:color w:val="auto"/>
              </w:rPr>
            </w:pPr>
            <w:hyperlink w:anchor="page67">
              <w:r>
                <w:rPr>
                  <w:rFonts w:ascii="Arial" w:cs="Arial" w:eastAsia="Arial" w:hAnsi="Arial"/>
                  <w:sz w:val="16"/>
                  <w:szCs w:val="16"/>
                  <w:color w:val="auto"/>
                </w:rPr>
                <w:t>64</w:t>
              </w:r>
            </w:hyperlink>
          </w:p>
        </w:tc>
      </w:tr>
      <w:tr>
        <w:trPr>
          <w:trHeight w:val="351"/>
        </w:trPr>
        <w:tc>
          <w:tcPr>
            <w:tcW w:w="9420" w:type="dxa"/>
            <w:vAlign w:val="bottom"/>
          </w:tcPr>
          <w:p>
            <w:pPr>
              <w:ind w:left="40"/>
              <w:spacing w:after="0"/>
              <w:rPr>
                <w:rFonts w:ascii="Arial" w:cs="Arial" w:eastAsia="Arial" w:hAnsi="Arial"/>
                <w:sz w:val="16"/>
                <w:szCs w:val="16"/>
                <w:color w:val="auto"/>
              </w:rPr>
            </w:pPr>
            <w:hyperlink w:anchor="page72">
              <w:r>
                <w:rPr>
                  <w:rFonts w:ascii="Arial" w:cs="Arial" w:eastAsia="Arial" w:hAnsi="Arial"/>
                  <w:sz w:val="16"/>
                  <w:szCs w:val="16"/>
                  <w:color w:val="auto"/>
                </w:rPr>
                <w:t>CEO Pay Ratio</w:t>
              </w:r>
            </w:hyperlink>
          </w:p>
        </w:tc>
        <w:tc>
          <w:tcPr>
            <w:tcW w:w="2000" w:type="dxa"/>
            <w:vAlign w:val="bottom"/>
          </w:tcPr>
          <w:p>
            <w:pPr>
              <w:jc w:val="right"/>
              <w:spacing w:after="0"/>
              <w:rPr>
                <w:rFonts w:ascii="Arial" w:cs="Arial" w:eastAsia="Arial" w:hAnsi="Arial"/>
                <w:sz w:val="16"/>
                <w:szCs w:val="16"/>
                <w:color w:val="auto"/>
              </w:rPr>
            </w:pPr>
            <w:hyperlink w:anchor="page72">
              <w:r>
                <w:rPr>
                  <w:rFonts w:ascii="Arial" w:cs="Arial" w:eastAsia="Arial" w:hAnsi="Arial"/>
                  <w:sz w:val="16"/>
                  <w:szCs w:val="16"/>
                  <w:color w:val="auto"/>
                </w:rPr>
                <w:t>69</w:t>
              </w:r>
            </w:hyperlink>
          </w:p>
        </w:tc>
      </w:tr>
      <w:tr>
        <w:trPr>
          <w:trHeight w:val="548"/>
        </w:trPr>
        <w:tc>
          <w:tcPr>
            <w:tcW w:w="9420" w:type="dxa"/>
            <w:vAlign w:val="bottom"/>
          </w:tcPr>
          <w:p>
            <w:pPr>
              <w:ind w:left="40"/>
              <w:spacing w:after="0"/>
              <w:rPr>
                <w:rFonts w:ascii="Arial" w:cs="Arial" w:eastAsia="Arial" w:hAnsi="Arial"/>
                <w:sz w:val="16"/>
                <w:szCs w:val="16"/>
                <w:b w:val="1"/>
                <w:bCs w:val="1"/>
                <w:color w:val="012E6C"/>
              </w:rPr>
            </w:pPr>
            <w:hyperlink w:anchor="page73">
              <w:r>
                <w:rPr>
                  <w:rFonts w:ascii="Arial" w:cs="Arial" w:eastAsia="Arial" w:hAnsi="Arial"/>
                  <w:sz w:val="16"/>
                  <w:szCs w:val="16"/>
                  <w:b w:val="1"/>
                  <w:bCs w:val="1"/>
                  <w:color w:val="012E6C"/>
                </w:rPr>
                <w:t>DIRECTOR COMPENSATION</w:t>
              </w:r>
            </w:hyperlink>
          </w:p>
        </w:tc>
        <w:tc>
          <w:tcPr>
            <w:tcW w:w="2000" w:type="dxa"/>
            <w:vAlign w:val="bottom"/>
          </w:tcPr>
          <w:p>
            <w:pPr>
              <w:jc w:val="right"/>
              <w:spacing w:after="0"/>
              <w:rPr>
                <w:rFonts w:ascii="Arial" w:cs="Arial" w:eastAsia="Arial" w:hAnsi="Arial"/>
                <w:sz w:val="16"/>
                <w:szCs w:val="16"/>
                <w:b w:val="1"/>
                <w:bCs w:val="1"/>
                <w:color w:val="012E6C"/>
              </w:rPr>
            </w:pPr>
            <w:hyperlink w:anchor="page73">
              <w:r>
                <w:rPr>
                  <w:rFonts w:ascii="Arial" w:cs="Arial" w:eastAsia="Arial" w:hAnsi="Arial"/>
                  <w:sz w:val="16"/>
                  <w:szCs w:val="16"/>
                  <w:b w:val="1"/>
                  <w:bCs w:val="1"/>
                  <w:color w:val="012E6C"/>
                </w:rPr>
                <w:t>70</w:t>
              </w:r>
            </w:hyperlink>
          </w:p>
        </w:tc>
      </w:tr>
      <w:tr>
        <w:trPr>
          <w:trHeight w:val="62"/>
        </w:trPr>
        <w:tc>
          <w:tcPr>
            <w:tcW w:w="9420" w:type="dxa"/>
            <w:vAlign w:val="bottom"/>
            <w:tcBorders>
              <w:bottom w:val="single" w:sz="8" w:color="012E6C"/>
            </w:tcBorders>
          </w:tcPr>
          <w:p>
            <w:pPr>
              <w:spacing w:after="0"/>
              <w:rPr>
                <w:sz w:val="5"/>
                <w:szCs w:val="5"/>
                <w:color w:val="auto"/>
              </w:rPr>
            </w:pPr>
          </w:p>
        </w:tc>
        <w:tc>
          <w:tcPr>
            <w:tcW w:w="2000" w:type="dxa"/>
            <w:vAlign w:val="bottom"/>
            <w:tcBorders>
              <w:bottom w:val="single" w:sz="8" w:color="012E6C"/>
            </w:tcBorders>
          </w:tcPr>
          <w:p>
            <w:pPr>
              <w:spacing w:after="0"/>
              <w:rPr>
                <w:sz w:val="5"/>
                <w:szCs w:val="5"/>
                <w:color w:val="auto"/>
              </w:rPr>
            </w:pPr>
          </w:p>
        </w:tc>
      </w:tr>
      <w:tr>
        <w:trPr>
          <w:trHeight w:val="283"/>
        </w:trPr>
        <w:tc>
          <w:tcPr>
            <w:tcW w:w="9420" w:type="dxa"/>
            <w:vAlign w:val="bottom"/>
          </w:tcPr>
          <w:p>
            <w:pPr>
              <w:ind w:left="40"/>
              <w:spacing w:after="0"/>
              <w:rPr>
                <w:rFonts w:ascii="Arial" w:cs="Arial" w:eastAsia="Arial" w:hAnsi="Arial"/>
                <w:sz w:val="16"/>
                <w:szCs w:val="16"/>
                <w:b w:val="1"/>
                <w:bCs w:val="1"/>
                <w:color w:val="012E6C"/>
              </w:rPr>
            </w:pPr>
            <w:hyperlink w:anchor="page75">
              <w:r>
                <w:rPr>
                  <w:rFonts w:ascii="Arial" w:cs="Arial" w:eastAsia="Arial" w:hAnsi="Arial"/>
                  <w:sz w:val="16"/>
                  <w:szCs w:val="16"/>
                  <w:b w:val="1"/>
                  <w:bCs w:val="1"/>
                  <w:color w:val="012E6C"/>
                </w:rPr>
                <w:t>SECURITY OWNERSHIP OF MANAGEMENT AND CERTAIN BENEFICIAL OWNERS</w:t>
              </w:r>
            </w:hyperlink>
          </w:p>
        </w:tc>
        <w:tc>
          <w:tcPr>
            <w:tcW w:w="2000" w:type="dxa"/>
            <w:vAlign w:val="bottom"/>
          </w:tcPr>
          <w:p>
            <w:pPr>
              <w:jc w:val="right"/>
              <w:spacing w:after="0"/>
              <w:rPr>
                <w:rFonts w:ascii="Arial" w:cs="Arial" w:eastAsia="Arial" w:hAnsi="Arial"/>
                <w:sz w:val="16"/>
                <w:szCs w:val="16"/>
                <w:b w:val="1"/>
                <w:bCs w:val="1"/>
                <w:color w:val="012E6C"/>
              </w:rPr>
            </w:pPr>
            <w:hyperlink w:anchor="page75">
              <w:r>
                <w:rPr>
                  <w:rFonts w:ascii="Arial" w:cs="Arial" w:eastAsia="Arial" w:hAnsi="Arial"/>
                  <w:sz w:val="16"/>
                  <w:szCs w:val="16"/>
                  <w:b w:val="1"/>
                  <w:bCs w:val="1"/>
                  <w:color w:val="012E6C"/>
                </w:rPr>
                <w:t>72</w:t>
              </w:r>
            </w:hyperlink>
          </w:p>
        </w:tc>
      </w:tr>
      <w:tr>
        <w:trPr>
          <w:trHeight w:val="62"/>
        </w:trPr>
        <w:tc>
          <w:tcPr>
            <w:tcW w:w="9420" w:type="dxa"/>
            <w:vAlign w:val="bottom"/>
            <w:tcBorders>
              <w:bottom w:val="single" w:sz="8" w:color="012E6C"/>
            </w:tcBorders>
          </w:tcPr>
          <w:p>
            <w:pPr>
              <w:spacing w:after="0"/>
              <w:rPr>
                <w:sz w:val="5"/>
                <w:szCs w:val="5"/>
                <w:color w:val="auto"/>
              </w:rPr>
            </w:pPr>
          </w:p>
        </w:tc>
        <w:tc>
          <w:tcPr>
            <w:tcW w:w="2000" w:type="dxa"/>
            <w:vAlign w:val="bottom"/>
            <w:tcBorders>
              <w:bottom w:val="single" w:sz="8" w:color="012E6C"/>
            </w:tcBorders>
          </w:tcPr>
          <w:p>
            <w:pPr>
              <w:spacing w:after="0"/>
              <w:rPr>
                <w:sz w:val="5"/>
                <w:szCs w:val="5"/>
                <w:color w:val="auto"/>
              </w:rPr>
            </w:pPr>
          </w:p>
        </w:tc>
      </w:tr>
      <w:tr>
        <w:trPr>
          <w:trHeight w:val="283"/>
        </w:trPr>
        <w:tc>
          <w:tcPr>
            <w:tcW w:w="9420" w:type="dxa"/>
            <w:vAlign w:val="bottom"/>
          </w:tcPr>
          <w:p>
            <w:pPr>
              <w:ind w:left="40"/>
              <w:spacing w:after="0"/>
              <w:rPr>
                <w:rFonts w:ascii="Arial" w:cs="Arial" w:eastAsia="Arial" w:hAnsi="Arial"/>
                <w:sz w:val="16"/>
                <w:szCs w:val="16"/>
                <w:b w:val="1"/>
                <w:bCs w:val="1"/>
                <w:color w:val="012E6C"/>
              </w:rPr>
            </w:pPr>
            <w:hyperlink w:anchor="page76">
              <w:r>
                <w:rPr>
                  <w:rFonts w:ascii="Arial" w:cs="Arial" w:eastAsia="Arial" w:hAnsi="Arial"/>
                  <w:sz w:val="16"/>
                  <w:szCs w:val="16"/>
                  <w:b w:val="1"/>
                  <w:bCs w:val="1"/>
                  <w:color w:val="012E6C"/>
                </w:rPr>
                <w:t>SECTION 16(a) BENEFICIAL OWNERSHIP REPORTING COMPLIANCE</w:t>
              </w:r>
            </w:hyperlink>
          </w:p>
        </w:tc>
        <w:tc>
          <w:tcPr>
            <w:tcW w:w="2000" w:type="dxa"/>
            <w:vAlign w:val="bottom"/>
          </w:tcPr>
          <w:p>
            <w:pPr>
              <w:jc w:val="right"/>
              <w:spacing w:after="0"/>
              <w:rPr>
                <w:rFonts w:ascii="Arial" w:cs="Arial" w:eastAsia="Arial" w:hAnsi="Arial"/>
                <w:sz w:val="16"/>
                <w:szCs w:val="16"/>
                <w:b w:val="1"/>
                <w:bCs w:val="1"/>
                <w:color w:val="012E6C"/>
              </w:rPr>
            </w:pPr>
            <w:hyperlink w:anchor="page76">
              <w:r>
                <w:rPr>
                  <w:rFonts w:ascii="Arial" w:cs="Arial" w:eastAsia="Arial" w:hAnsi="Arial"/>
                  <w:sz w:val="16"/>
                  <w:szCs w:val="16"/>
                  <w:b w:val="1"/>
                  <w:bCs w:val="1"/>
                  <w:color w:val="012E6C"/>
                </w:rPr>
                <w:t>73</w:t>
              </w:r>
            </w:hyperlink>
          </w:p>
        </w:tc>
      </w:tr>
      <w:tr>
        <w:trPr>
          <w:trHeight w:val="62"/>
        </w:trPr>
        <w:tc>
          <w:tcPr>
            <w:tcW w:w="9420" w:type="dxa"/>
            <w:vAlign w:val="bottom"/>
            <w:tcBorders>
              <w:bottom w:val="single" w:sz="8" w:color="012E6C"/>
            </w:tcBorders>
          </w:tcPr>
          <w:p>
            <w:pPr>
              <w:spacing w:after="0"/>
              <w:rPr>
                <w:sz w:val="5"/>
                <w:szCs w:val="5"/>
                <w:color w:val="auto"/>
              </w:rPr>
            </w:pPr>
          </w:p>
        </w:tc>
        <w:tc>
          <w:tcPr>
            <w:tcW w:w="2000" w:type="dxa"/>
            <w:vAlign w:val="bottom"/>
            <w:tcBorders>
              <w:bottom w:val="single" w:sz="8" w:color="012E6C"/>
            </w:tcBorders>
          </w:tcPr>
          <w:p>
            <w:pPr>
              <w:spacing w:after="0"/>
              <w:rPr>
                <w:sz w:val="5"/>
                <w:szCs w:val="5"/>
                <w:color w:val="auto"/>
              </w:rPr>
            </w:pPr>
          </w:p>
        </w:tc>
      </w:tr>
      <w:tr>
        <w:trPr>
          <w:trHeight w:val="283"/>
        </w:trPr>
        <w:tc>
          <w:tcPr>
            <w:tcW w:w="9420" w:type="dxa"/>
            <w:vAlign w:val="bottom"/>
          </w:tcPr>
          <w:p>
            <w:pPr>
              <w:ind w:left="40"/>
              <w:spacing w:after="0"/>
              <w:rPr>
                <w:rFonts w:ascii="Arial" w:cs="Arial" w:eastAsia="Arial" w:hAnsi="Arial"/>
                <w:sz w:val="16"/>
                <w:szCs w:val="16"/>
                <w:b w:val="1"/>
                <w:bCs w:val="1"/>
                <w:color w:val="012E6C"/>
              </w:rPr>
            </w:pPr>
            <w:hyperlink w:anchor="page77">
              <w:r>
                <w:rPr>
                  <w:rFonts w:ascii="Arial" w:cs="Arial" w:eastAsia="Arial" w:hAnsi="Arial"/>
                  <w:sz w:val="16"/>
                  <w:szCs w:val="16"/>
                  <w:b w:val="1"/>
                  <w:bCs w:val="1"/>
                  <w:color w:val="012E6C"/>
                </w:rPr>
                <w:t>PROPOSAL 4: STOCKHOLDER PROPOSAL TO AMEND THE PROXY ACCESS BYLAW</w:t>
              </w:r>
            </w:hyperlink>
          </w:p>
        </w:tc>
        <w:tc>
          <w:tcPr>
            <w:tcW w:w="2000" w:type="dxa"/>
            <w:vAlign w:val="bottom"/>
          </w:tcPr>
          <w:p>
            <w:pPr>
              <w:jc w:val="right"/>
              <w:spacing w:after="0"/>
              <w:rPr>
                <w:rFonts w:ascii="Arial" w:cs="Arial" w:eastAsia="Arial" w:hAnsi="Arial"/>
                <w:sz w:val="16"/>
                <w:szCs w:val="16"/>
                <w:b w:val="1"/>
                <w:bCs w:val="1"/>
                <w:color w:val="012E6C"/>
              </w:rPr>
            </w:pPr>
            <w:hyperlink w:anchor="page77">
              <w:r>
                <w:rPr>
                  <w:rFonts w:ascii="Arial" w:cs="Arial" w:eastAsia="Arial" w:hAnsi="Arial"/>
                  <w:sz w:val="16"/>
                  <w:szCs w:val="16"/>
                  <w:b w:val="1"/>
                  <w:bCs w:val="1"/>
                  <w:color w:val="012E6C"/>
                </w:rPr>
                <w:t>74</w:t>
              </w:r>
            </w:hyperlink>
          </w:p>
        </w:tc>
      </w:tr>
      <w:tr>
        <w:trPr>
          <w:trHeight w:val="62"/>
        </w:trPr>
        <w:tc>
          <w:tcPr>
            <w:tcW w:w="9420" w:type="dxa"/>
            <w:vAlign w:val="bottom"/>
            <w:tcBorders>
              <w:bottom w:val="single" w:sz="8" w:color="012E6C"/>
            </w:tcBorders>
          </w:tcPr>
          <w:p>
            <w:pPr>
              <w:spacing w:after="0"/>
              <w:rPr>
                <w:sz w:val="5"/>
                <w:szCs w:val="5"/>
                <w:color w:val="auto"/>
              </w:rPr>
            </w:pPr>
          </w:p>
        </w:tc>
        <w:tc>
          <w:tcPr>
            <w:tcW w:w="2000" w:type="dxa"/>
            <w:vAlign w:val="bottom"/>
            <w:tcBorders>
              <w:bottom w:val="single" w:sz="8" w:color="012E6C"/>
            </w:tcBorders>
          </w:tcPr>
          <w:p>
            <w:pPr>
              <w:spacing w:after="0"/>
              <w:rPr>
                <w:sz w:val="5"/>
                <w:szCs w:val="5"/>
                <w:color w:val="auto"/>
              </w:rPr>
            </w:pPr>
          </w:p>
        </w:tc>
      </w:tr>
      <w:tr>
        <w:trPr>
          <w:trHeight w:val="283"/>
        </w:trPr>
        <w:tc>
          <w:tcPr>
            <w:tcW w:w="9420" w:type="dxa"/>
            <w:vAlign w:val="bottom"/>
          </w:tcPr>
          <w:p>
            <w:pPr>
              <w:ind w:left="40"/>
              <w:spacing w:after="0"/>
              <w:rPr>
                <w:rFonts w:ascii="Arial" w:cs="Arial" w:eastAsia="Arial" w:hAnsi="Arial"/>
                <w:sz w:val="16"/>
                <w:szCs w:val="16"/>
                <w:b w:val="1"/>
                <w:bCs w:val="1"/>
                <w:color w:val="012E6C"/>
              </w:rPr>
            </w:pPr>
            <w:hyperlink w:anchor="page79">
              <w:r>
                <w:rPr>
                  <w:rFonts w:ascii="Arial" w:cs="Arial" w:eastAsia="Arial" w:hAnsi="Arial"/>
                  <w:sz w:val="16"/>
                  <w:szCs w:val="16"/>
                  <w:b w:val="1"/>
                  <w:bCs w:val="1"/>
                  <w:color w:val="012E6C"/>
                </w:rPr>
                <w:t>QUESTIONS AND ANSWERS ABOUT THE ANNUAL MEETING</w:t>
              </w:r>
            </w:hyperlink>
          </w:p>
        </w:tc>
        <w:tc>
          <w:tcPr>
            <w:tcW w:w="2000" w:type="dxa"/>
            <w:vAlign w:val="bottom"/>
          </w:tcPr>
          <w:p>
            <w:pPr>
              <w:jc w:val="right"/>
              <w:spacing w:after="0"/>
              <w:rPr>
                <w:rFonts w:ascii="Arial" w:cs="Arial" w:eastAsia="Arial" w:hAnsi="Arial"/>
                <w:sz w:val="16"/>
                <w:szCs w:val="16"/>
                <w:b w:val="1"/>
                <w:bCs w:val="1"/>
                <w:color w:val="012E6C"/>
              </w:rPr>
            </w:pPr>
            <w:hyperlink w:anchor="page79">
              <w:r>
                <w:rPr>
                  <w:rFonts w:ascii="Arial" w:cs="Arial" w:eastAsia="Arial" w:hAnsi="Arial"/>
                  <w:sz w:val="16"/>
                  <w:szCs w:val="16"/>
                  <w:b w:val="1"/>
                  <w:bCs w:val="1"/>
                  <w:color w:val="012E6C"/>
                </w:rPr>
                <w:t>76</w:t>
              </w:r>
            </w:hyperlink>
          </w:p>
        </w:tc>
      </w:tr>
      <w:tr>
        <w:trPr>
          <w:trHeight w:val="62"/>
        </w:trPr>
        <w:tc>
          <w:tcPr>
            <w:tcW w:w="9420" w:type="dxa"/>
            <w:vAlign w:val="bottom"/>
            <w:tcBorders>
              <w:bottom w:val="single" w:sz="8" w:color="012E6C"/>
            </w:tcBorders>
          </w:tcPr>
          <w:p>
            <w:pPr>
              <w:spacing w:after="0"/>
              <w:rPr>
                <w:sz w:val="5"/>
                <w:szCs w:val="5"/>
                <w:color w:val="auto"/>
              </w:rPr>
            </w:pPr>
          </w:p>
        </w:tc>
        <w:tc>
          <w:tcPr>
            <w:tcW w:w="2000" w:type="dxa"/>
            <w:vAlign w:val="bottom"/>
            <w:tcBorders>
              <w:bottom w:val="single" w:sz="8" w:color="012E6C"/>
            </w:tcBorders>
          </w:tcPr>
          <w:p>
            <w:pPr>
              <w:spacing w:after="0"/>
              <w:rPr>
                <w:sz w:val="5"/>
                <w:szCs w:val="5"/>
                <w:color w:val="auto"/>
              </w:rPr>
            </w:pPr>
          </w:p>
        </w:tc>
      </w:tr>
      <w:tr>
        <w:trPr>
          <w:trHeight w:val="283"/>
        </w:trPr>
        <w:tc>
          <w:tcPr>
            <w:tcW w:w="9420" w:type="dxa"/>
            <w:vAlign w:val="bottom"/>
          </w:tcPr>
          <w:p>
            <w:pPr>
              <w:ind w:left="40"/>
              <w:spacing w:after="0"/>
              <w:rPr>
                <w:rFonts w:ascii="Arial" w:cs="Arial" w:eastAsia="Arial" w:hAnsi="Arial"/>
                <w:sz w:val="16"/>
                <w:szCs w:val="16"/>
                <w:b w:val="1"/>
                <w:bCs w:val="1"/>
                <w:color w:val="012E6C"/>
              </w:rPr>
            </w:pPr>
            <w:hyperlink w:anchor="page85">
              <w:r>
                <w:rPr>
                  <w:rFonts w:ascii="Arial" w:cs="Arial" w:eastAsia="Arial" w:hAnsi="Arial"/>
                  <w:sz w:val="16"/>
                  <w:szCs w:val="16"/>
                  <w:b w:val="1"/>
                  <w:bCs w:val="1"/>
                  <w:color w:val="012E6C"/>
                </w:rPr>
                <w:t>ATTENDING THE ANNUAL MEETING</w:t>
              </w:r>
            </w:hyperlink>
          </w:p>
        </w:tc>
        <w:tc>
          <w:tcPr>
            <w:tcW w:w="2000" w:type="dxa"/>
            <w:vAlign w:val="bottom"/>
          </w:tcPr>
          <w:p>
            <w:pPr>
              <w:jc w:val="right"/>
              <w:spacing w:after="0"/>
              <w:rPr>
                <w:rFonts w:ascii="Arial" w:cs="Arial" w:eastAsia="Arial" w:hAnsi="Arial"/>
                <w:sz w:val="16"/>
                <w:szCs w:val="16"/>
                <w:b w:val="1"/>
                <w:bCs w:val="1"/>
                <w:color w:val="012E6C"/>
              </w:rPr>
            </w:pPr>
            <w:hyperlink w:anchor="page85">
              <w:r>
                <w:rPr>
                  <w:rFonts w:ascii="Arial" w:cs="Arial" w:eastAsia="Arial" w:hAnsi="Arial"/>
                  <w:sz w:val="16"/>
                  <w:szCs w:val="16"/>
                  <w:b w:val="1"/>
                  <w:bCs w:val="1"/>
                  <w:color w:val="012E6C"/>
                </w:rPr>
                <w:t>82</w:t>
              </w:r>
            </w:hyperlink>
          </w:p>
        </w:tc>
      </w:tr>
      <w:tr>
        <w:trPr>
          <w:trHeight w:val="62"/>
        </w:trPr>
        <w:tc>
          <w:tcPr>
            <w:tcW w:w="9420" w:type="dxa"/>
            <w:vAlign w:val="bottom"/>
            <w:tcBorders>
              <w:bottom w:val="single" w:sz="8" w:color="012E6C"/>
            </w:tcBorders>
          </w:tcPr>
          <w:p>
            <w:pPr>
              <w:spacing w:after="0"/>
              <w:rPr>
                <w:sz w:val="5"/>
                <w:szCs w:val="5"/>
                <w:color w:val="auto"/>
              </w:rPr>
            </w:pPr>
          </w:p>
        </w:tc>
        <w:tc>
          <w:tcPr>
            <w:tcW w:w="2000" w:type="dxa"/>
            <w:vAlign w:val="bottom"/>
            <w:tcBorders>
              <w:bottom w:val="single" w:sz="8" w:color="012E6C"/>
            </w:tcBorders>
          </w:tcPr>
          <w:p>
            <w:pPr>
              <w:spacing w:after="0"/>
              <w:rPr>
                <w:sz w:val="5"/>
                <w:szCs w:val="5"/>
                <w:color w:val="auto"/>
              </w:rPr>
            </w:pPr>
          </w:p>
        </w:tc>
      </w:tr>
      <w:tr>
        <w:trPr>
          <w:trHeight w:val="283"/>
        </w:trPr>
        <w:tc>
          <w:tcPr>
            <w:tcW w:w="9420" w:type="dxa"/>
            <w:vAlign w:val="bottom"/>
          </w:tcPr>
          <w:p>
            <w:pPr>
              <w:ind w:left="40"/>
              <w:spacing w:after="0"/>
              <w:rPr>
                <w:rFonts w:ascii="Arial" w:cs="Arial" w:eastAsia="Arial" w:hAnsi="Arial"/>
                <w:sz w:val="16"/>
                <w:szCs w:val="16"/>
                <w:b w:val="1"/>
                <w:bCs w:val="1"/>
                <w:color w:val="012E6C"/>
              </w:rPr>
            </w:pPr>
            <w:hyperlink w:anchor="page86">
              <w:r>
                <w:rPr>
                  <w:rFonts w:ascii="Arial" w:cs="Arial" w:eastAsia="Arial" w:hAnsi="Arial"/>
                  <w:sz w:val="16"/>
                  <w:szCs w:val="16"/>
                  <w:b w:val="1"/>
                  <w:bCs w:val="1"/>
                  <w:color w:val="012E6C"/>
                </w:rPr>
                <w:t>ADDITIONAL INFORMATION AND OTHER MATTERS</w:t>
              </w:r>
            </w:hyperlink>
          </w:p>
        </w:tc>
        <w:tc>
          <w:tcPr>
            <w:tcW w:w="2000" w:type="dxa"/>
            <w:vAlign w:val="bottom"/>
          </w:tcPr>
          <w:p>
            <w:pPr>
              <w:jc w:val="right"/>
              <w:spacing w:after="0"/>
              <w:rPr>
                <w:rFonts w:ascii="Arial" w:cs="Arial" w:eastAsia="Arial" w:hAnsi="Arial"/>
                <w:sz w:val="16"/>
                <w:szCs w:val="16"/>
                <w:b w:val="1"/>
                <w:bCs w:val="1"/>
                <w:color w:val="012E6C"/>
              </w:rPr>
            </w:pPr>
            <w:hyperlink w:anchor="page86">
              <w:r>
                <w:rPr>
                  <w:rFonts w:ascii="Arial" w:cs="Arial" w:eastAsia="Arial" w:hAnsi="Arial"/>
                  <w:sz w:val="16"/>
                  <w:szCs w:val="16"/>
                  <w:b w:val="1"/>
                  <w:bCs w:val="1"/>
                  <w:color w:val="012E6C"/>
                </w:rPr>
                <w:t>83</w:t>
              </w:r>
            </w:hyperlink>
          </w:p>
        </w:tc>
      </w:tr>
      <w:tr>
        <w:trPr>
          <w:trHeight w:val="62"/>
        </w:trPr>
        <w:tc>
          <w:tcPr>
            <w:tcW w:w="9420" w:type="dxa"/>
            <w:vAlign w:val="bottom"/>
            <w:tcBorders>
              <w:bottom w:val="single" w:sz="8" w:color="012E6C"/>
            </w:tcBorders>
          </w:tcPr>
          <w:p>
            <w:pPr>
              <w:spacing w:after="0"/>
              <w:rPr>
                <w:sz w:val="5"/>
                <w:szCs w:val="5"/>
                <w:color w:val="auto"/>
              </w:rPr>
            </w:pPr>
          </w:p>
        </w:tc>
        <w:tc>
          <w:tcPr>
            <w:tcW w:w="2000" w:type="dxa"/>
            <w:vAlign w:val="bottom"/>
            <w:tcBorders>
              <w:bottom w:val="single" w:sz="8" w:color="012E6C"/>
            </w:tcBorders>
          </w:tcPr>
          <w:p>
            <w:pPr>
              <w:spacing w:after="0"/>
              <w:rPr>
                <w:sz w:val="5"/>
                <w:szCs w:val="5"/>
                <w:color w:val="auto"/>
              </w:rPr>
            </w:pPr>
          </w:p>
        </w:tc>
      </w:tr>
      <w:tr>
        <w:trPr>
          <w:trHeight w:val="275"/>
        </w:trPr>
        <w:tc>
          <w:tcPr>
            <w:tcW w:w="9420" w:type="dxa"/>
            <w:vAlign w:val="bottom"/>
          </w:tcPr>
          <w:p>
            <w:pPr>
              <w:ind w:left="40"/>
              <w:spacing w:after="0"/>
              <w:rPr>
                <w:rFonts w:ascii="Arial" w:cs="Arial" w:eastAsia="Arial" w:hAnsi="Arial"/>
                <w:sz w:val="16"/>
                <w:szCs w:val="16"/>
                <w:color w:val="auto"/>
              </w:rPr>
            </w:pPr>
            <w:hyperlink w:anchor="page86">
              <w:r>
                <w:rPr>
                  <w:rFonts w:ascii="Arial" w:cs="Arial" w:eastAsia="Arial" w:hAnsi="Arial"/>
                  <w:sz w:val="16"/>
                  <w:szCs w:val="16"/>
                  <w:color w:val="auto"/>
                </w:rPr>
                <w:t>Appendix A: Definition of Non-GAAP (Generally Accepted Accounting Principles) Measures</w:t>
              </w:r>
            </w:hyperlink>
          </w:p>
        </w:tc>
        <w:tc>
          <w:tcPr>
            <w:tcW w:w="2000" w:type="dxa"/>
            <w:vAlign w:val="bottom"/>
          </w:tcPr>
          <w:p>
            <w:pPr>
              <w:jc w:val="right"/>
              <w:spacing w:after="0"/>
              <w:rPr>
                <w:rFonts w:ascii="Arial" w:cs="Arial" w:eastAsia="Arial" w:hAnsi="Arial"/>
                <w:sz w:val="16"/>
                <w:szCs w:val="16"/>
                <w:color w:val="auto"/>
              </w:rPr>
            </w:pPr>
            <w:hyperlink w:anchor="page86">
              <w:r>
                <w:rPr>
                  <w:rFonts w:ascii="Arial" w:cs="Arial" w:eastAsia="Arial" w:hAnsi="Arial"/>
                  <w:sz w:val="16"/>
                  <w:szCs w:val="16"/>
                  <w:color w:val="auto"/>
                </w:rPr>
                <w:t>83</w:t>
              </w:r>
            </w:hyperlink>
          </w:p>
        </w:tc>
      </w:tr>
      <w:tr>
        <w:trPr>
          <w:trHeight w:val="351"/>
        </w:trPr>
        <w:tc>
          <w:tcPr>
            <w:tcW w:w="9420" w:type="dxa"/>
            <w:vAlign w:val="bottom"/>
          </w:tcPr>
          <w:p>
            <w:pPr>
              <w:ind w:left="40"/>
              <w:spacing w:after="0"/>
              <w:rPr>
                <w:sz w:val="20"/>
                <w:szCs w:val="20"/>
                <w:color w:val="auto"/>
              </w:rPr>
            </w:pPr>
            <w:r>
              <w:rPr>
                <w:rFonts w:ascii="Arial" w:cs="Arial" w:eastAsia="Arial" w:hAnsi="Arial"/>
                <w:sz w:val="16"/>
                <w:szCs w:val="16"/>
                <w:color w:val="auto"/>
              </w:rPr>
              <w:t>Disclosure Regarding Forward-Looking Statements</w:t>
            </w:r>
          </w:p>
        </w:tc>
        <w:tc>
          <w:tcPr>
            <w:tcW w:w="2000" w:type="dxa"/>
            <w:vAlign w:val="bottom"/>
          </w:tcPr>
          <w:p>
            <w:pPr>
              <w:jc w:val="right"/>
              <w:spacing w:after="0"/>
              <w:rPr>
                <w:rFonts w:ascii="Arial" w:cs="Arial" w:eastAsia="Arial" w:hAnsi="Arial"/>
                <w:sz w:val="16"/>
                <w:szCs w:val="16"/>
                <w:color w:val="auto"/>
              </w:rPr>
            </w:pPr>
            <w:hyperlink w:anchor="page88">
              <w:r>
                <w:rPr>
                  <w:rFonts w:ascii="Arial" w:cs="Arial" w:eastAsia="Arial" w:hAnsi="Arial"/>
                  <w:sz w:val="16"/>
                  <w:szCs w:val="16"/>
                  <w:color w:val="auto"/>
                </w:rPr>
                <w:t>85</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438785</wp:posOffset>
            </wp:positionV>
            <wp:extent cx="1440815" cy="3257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40815" cy="325755"/>
                    </a:xfrm>
                    <a:prstGeom prst="rect">
                      <a:avLst/>
                    </a:prstGeom>
                    <a:noFill/>
                  </pic:spPr>
                </pic:pic>
              </a:graphicData>
            </a:graphic>
          </wp:anchor>
        </w:drawing>
      </w:r>
    </w:p>
    <w:p>
      <w:pPr>
        <w:sectPr>
          <w:pgSz w:w="11900" w:h="16838" w:orient="portrait"/>
          <w:cols w:equalWidth="0" w:num="1">
            <w:col w:w="11420"/>
          </w:cols>
          <w:pgMar w:left="240" w:top="341" w:right="239" w:bottom="22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808080"/>
        </w:rPr>
        <w:t>8</w:t>
      </w:r>
    </w:p>
    <w:p>
      <w:pPr>
        <w:sectPr>
          <w:pgSz w:w="11900" w:h="16838" w:orient="portrait"/>
          <w:cols w:equalWidth="0" w:num="1">
            <w:col w:w="11420"/>
          </w:cols>
          <w:pgMar w:left="240" w:top="341" w:right="239" w:bottom="228" w:gutter="0" w:footer="0" w:header="0"/>
          <w:type w:val="continuous"/>
        </w:sectPr>
      </w:pPr>
    </w:p>
    <w:bookmarkStart w:id="11" w:name="page12"/>
    <w:bookmarkEnd w:id="11"/>
    <w:p>
      <w:pPr>
        <w:spacing w:after="0" w:line="123" w:lineRule="exact"/>
        <w:rPr>
          <w:sz w:val="20"/>
          <w:szCs w:val="20"/>
          <w:color w:val="auto"/>
        </w:rPr>
      </w:pPr>
    </w:p>
    <w:p>
      <w:pPr>
        <w:jc w:val="right"/>
        <w:ind w:right="60"/>
        <w:spacing w:after="0"/>
        <w:rPr>
          <w:sz w:val="20"/>
          <w:szCs w:val="20"/>
          <w:color w:val="auto"/>
        </w:rPr>
      </w:pPr>
      <w:r>
        <w:rPr>
          <w:rFonts w:ascii="Arial" w:cs="Arial" w:eastAsia="Arial" w:hAnsi="Arial"/>
          <w:sz w:val="19"/>
          <w:szCs w:val="19"/>
          <w:color w:val="012E6C"/>
        </w:rPr>
        <w:t>Proposal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29"/>
          <w:szCs w:val="29"/>
          <w:color w:val="012E6C"/>
        </w:rPr>
        <w:t>1</w:t>
      </w:r>
    </w:p>
    <w:p>
      <w:pPr>
        <w:spacing w:after="0" w:line="20" w:lineRule="exact"/>
        <w:rPr>
          <w:sz w:val="20"/>
          <w:szCs w:val="20"/>
          <w:color w:val="auto"/>
        </w:rPr>
      </w:pPr>
      <w:r>
        <w:rPr>
          <w:sz w:val="20"/>
          <w:szCs w:val="20"/>
          <w:color w:val="auto"/>
        </w:rPr>
        <w:br w:type="column"/>
      </w:r>
    </w:p>
    <w:p>
      <w:pPr>
        <w:ind w:left="9"/>
        <w:spacing w:after="0"/>
        <w:rPr>
          <w:sz w:val="20"/>
          <w:szCs w:val="20"/>
          <w:color w:val="auto"/>
        </w:rPr>
      </w:pPr>
      <w:r>
        <w:rPr>
          <w:rFonts w:ascii="Arial" w:cs="Arial" w:eastAsia="Arial" w:hAnsi="Arial"/>
          <w:sz w:val="29"/>
          <w:szCs w:val="29"/>
          <w:b w:val="1"/>
          <w:bCs w:val="1"/>
          <w:color w:val="012E6C"/>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-788670</wp:posOffset>
            </wp:positionH>
            <wp:positionV relativeFrom="paragraph">
              <wp:posOffset>-440690</wp:posOffset>
            </wp:positionV>
            <wp:extent cx="5969000" cy="15093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69000" cy="150939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left="249" w:hanging="249"/>
        <w:spacing w:after="0"/>
        <w:tabs>
          <w:tab w:leader="none" w:pos="249" w:val="left"/>
        </w:tabs>
        <w:numPr>
          <w:ilvl w:val="0"/>
          <w:numId w:val="26"/>
        </w:numPr>
        <w:rPr>
          <w:rFonts w:ascii="Arial" w:cs="Arial" w:eastAsia="Arial" w:hAnsi="Arial"/>
          <w:sz w:val="17"/>
          <w:szCs w:val="17"/>
          <w:color w:val="003478"/>
        </w:rPr>
      </w:pPr>
      <w:r>
        <w:rPr>
          <w:rFonts w:ascii="Arial" w:cs="Arial" w:eastAsia="Arial" w:hAnsi="Arial"/>
          <w:sz w:val="17"/>
          <w:szCs w:val="17"/>
          <w:color w:val="003478"/>
        </w:rPr>
        <w:t>Diverse slate of directors with broad leadership and customer experience.</w:t>
      </w:r>
    </w:p>
    <w:p>
      <w:pPr>
        <w:spacing w:after="0" w:line="101" w:lineRule="exact"/>
        <w:rPr>
          <w:rFonts w:ascii="Arial" w:cs="Arial" w:eastAsia="Arial" w:hAnsi="Arial"/>
          <w:sz w:val="17"/>
          <w:szCs w:val="17"/>
          <w:color w:val="003478"/>
        </w:rPr>
      </w:pPr>
    </w:p>
    <w:p>
      <w:pPr>
        <w:ind w:left="249" w:hanging="249"/>
        <w:spacing w:after="0"/>
        <w:tabs>
          <w:tab w:leader="none" w:pos="249" w:val="left"/>
        </w:tabs>
        <w:numPr>
          <w:ilvl w:val="0"/>
          <w:numId w:val="26"/>
        </w:numPr>
        <w:rPr>
          <w:rFonts w:ascii="Arial" w:cs="Arial" w:eastAsia="Arial" w:hAnsi="Arial"/>
          <w:sz w:val="17"/>
          <w:szCs w:val="17"/>
          <w:color w:val="003478"/>
        </w:rPr>
      </w:pPr>
      <w:r>
        <w:rPr>
          <w:rFonts w:ascii="Arial" w:cs="Arial" w:eastAsia="Arial" w:hAnsi="Arial"/>
          <w:sz w:val="17"/>
          <w:szCs w:val="17"/>
          <w:color w:val="003478"/>
        </w:rPr>
        <w:t>All nominees are independent, except the Chairman.</w:t>
      </w:r>
    </w:p>
    <w:p>
      <w:pPr>
        <w:spacing w:after="0" w:line="101" w:lineRule="exact"/>
        <w:rPr>
          <w:rFonts w:ascii="Arial" w:cs="Arial" w:eastAsia="Arial" w:hAnsi="Arial"/>
          <w:sz w:val="17"/>
          <w:szCs w:val="17"/>
          <w:color w:val="003478"/>
        </w:rPr>
      </w:pPr>
    </w:p>
    <w:p>
      <w:pPr>
        <w:ind w:left="249" w:hanging="249"/>
        <w:spacing w:after="0"/>
        <w:tabs>
          <w:tab w:leader="none" w:pos="249" w:val="left"/>
        </w:tabs>
        <w:numPr>
          <w:ilvl w:val="0"/>
          <w:numId w:val="26"/>
        </w:numPr>
        <w:rPr>
          <w:rFonts w:ascii="Arial" w:cs="Arial" w:eastAsia="Arial" w:hAnsi="Arial"/>
          <w:sz w:val="17"/>
          <w:szCs w:val="17"/>
          <w:color w:val="003478"/>
        </w:rPr>
      </w:pPr>
      <w:r>
        <w:rPr>
          <w:rFonts w:ascii="Arial" w:cs="Arial" w:eastAsia="Arial" w:hAnsi="Arial"/>
          <w:sz w:val="17"/>
          <w:szCs w:val="17"/>
          <w:color w:val="003478"/>
        </w:rPr>
        <w:t>Average director tenure is six years with six new directors in five years.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color w:val="012E6C"/>
        </w:rPr>
        <w:t>The Board unanimously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012E6C"/>
        </w:rPr>
        <w:t>recommends a vote FOR</w:t>
      </w:r>
    </w:p>
    <w:p>
      <w:pPr>
        <w:spacing w:after="0" w:line="232" w:lineRule="auto"/>
        <w:rPr>
          <w:sz w:val="20"/>
          <w:szCs w:val="20"/>
          <w:color w:val="auto"/>
        </w:rPr>
      </w:pPr>
      <w:r>
        <w:rPr>
          <w:rFonts w:ascii="Arial" w:cs="Arial" w:eastAsia="Arial" w:hAnsi="Arial"/>
          <w:sz w:val="17"/>
          <w:szCs w:val="17"/>
          <w:color w:val="012E6C"/>
        </w:rPr>
        <w:t>each of the director-</w:t>
      </w:r>
    </w:p>
    <w:p>
      <w:pPr>
        <w:spacing w:after="0"/>
        <w:rPr>
          <w:sz w:val="20"/>
          <w:szCs w:val="20"/>
          <w:color w:val="auto"/>
        </w:rPr>
      </w:pPr>
      <w:r>
        <w:rPr>
          <w:rFonts w:ascii="Arial" w:cs="Arial" w:eastAsia="Arial" w:hAnsi="Arial"/>
          <w:sz w:val="17"/>
          <w:szCs w:val="17"/>
          <w:color w:val="012E6C"/>
        </w:rPr>
        <w:t>nominees.</w:t>
      </w:r>
    </w:p>
    <w:p>
      <w:pPr>
        <w:spacing w:after="0" w:line="200" w:lineRule="exact"/>
        <w:rPr>
          <w:sz w:val="20"/>
          <w:szCs w:val="20"/>
          <w:color w:val="auto"/>
        </w:rPr>
      </w:pPr>
    </w:p>
    <w:p>
      <w:pPr>
        <w:sectPr>
          <w:pgSz w:w="11900" w:h="16838" w:orient="portrait"/>
          <w:cols w:equalWidth="0" w:num="3">
            <w:col w:w="1120" w:space="131"/>
            <w:col w:w="5809" w:space="380"/>
            <w:col w:w="3960"/>
          </w:cols>
          <w:pgMar w:left="240" w:top="987" w:right="259" w:bottom="1440" w:gutter="0" w:footer="0" w:header="0"/>
        </w:sectPr>
      </w:pPr>
    </w:p>
    <w:p>
      <w:pPr>
        <w:spacing w:after="0" w:line="309" w:lineRule="exact"/>
        <w:rPr>
          <w:sz w:val="20"/>
          <w:szCs w:val="20"/>
          <w:color w:val="auto"/>
        </w:rPr>
      </w:pPr>
    </w:p>
    <w:p>
      <w:pPr>
        <w:spacing w:after="0"/>
        <w:rPr>
          <w:sz w:val="20"/>
          <w:szCs w:val="20"/>
          <w:color w:val="auto"/>
        </w:rPr>
      </w:pPr>
      <w:r>
        <w:rPr>
          <w:rFonts w:ascii="Arial" w:cs="Arial" w:eastAsia="Arial" w:hAnsi="Arial"/>
          <w:sz w:val="29"/>
          <w:szCs w:val="29"/>
          <w:b w:val="1"/>
          <w:bCs w:val="1"/>
          <w:color w:val="012E6C"/>
        </w:rPr>
        <w:t>Board Composition, Qualifications and Diversity</w:t>
      </w:r>
    </w:p>
    <w:p>
      <w:pPr>
        <w:spacing w:after="0" w:line="250"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We have no agreements obligating the Corporation to nominate a particular candidate as a director, and none of our directors represents a special interest or a particular stockholder or group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246620" cy="8921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92175"/>
                    </a:xfrm>
                    <a:prstGeom prst="rect">
                      <a:avLst/>
                    </a:prstGeom>
                    <a:noFill/>
                  </pic:spPr>
                </pic:pic>
              </a:graphicData>
            </a:graphic>
          </wp:anchor>
        </w:drawing>
      </w:r>
    </w:p>
    <w:p>
      <w:pPr>
        <w:spacing w:after="0" w:line="383" w:lineRule="exact"/>
        <w:rPr>
          <w:sz w:val="20"/>
          <w:szCs w:val="20"/>
          <w:color w:val="auto"/>
        </w:rPr>
      </w:pPr>
    </w:p>
    <w:p>
      <w:pPr>
        <w:ind w:left="120" w:right="20"/>
        <w:spacing w:after="0"/>
        <w:rPr>
          <w:sz w:val="20"/>
          <w:szCs w:val="20"/>
          <w:color w:val="auto"/>
        </w:rPr>
      </w:pPr>
      <w:r>
        <w:rPr>
          <w:rFonts w:ascii="Arial" w:cs="Arial" w:eastAsia="Arial" w:hAnsi="Arial"/>
          <w:sz w:val="17"/>
          <w:szCs w:val="17"/>
          <w:color w:val="auto"/>
        </w:rPr>
        <w:t>At Lockheed Martin, we recognize diversity and inclusion as a business imperative. We believe that our business accomplishments are a result of the efforts of our employees around the world, and that a diverse employee population will result in a better understanding of our customers’ needs. Our success with a diverse workforce also informs our views about the value of a board of directors that has persons of diverse skills, experiences and backgrounds. To this end, the Board seeks to identify candidates with areas of knowledge or experience that will expand or complement the Board’s existing expertise in overseeing a technologically advanced global security and aerospace company. Diversity in skills and backgrounds ensures that the widest range of options and viewpoints are expressed in the boardroom.</w:t>
      </w:r>
    </w:p>
    <w:p>
      <w:pPr>
        <w:spacing w:after="0" w:line="326"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Consistent with the Corporate Governance Guidelines (the Governance Guidelines), the Board desires a diverse group of candidates who possess the background, skills, expertise and time to make a significant contribution to the Board, the Corporation and its stockholders. The Governance Committee makes recommendations to the Board concerning the composition of the Board and its committees, including size and qualifications for membership. The Governance Committee evaluates prospective nominees against the standards and qualifications set forth in the Corporation’s Governance Guidelines, as well as other relevant factors it deems appropriate.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The directors’ biographies beginning on page 10 note each director’s relevant experience, skills and qualifications.</w:t>
      </w:r>
    </w:p>
    <w:p>
      <w:pPr>
        <w:spacing w:after="0" w:line="207" w:lineRule="exact"/>
        <w:rPr>
          <w:sz w:val="20"/>
          <w:szCs w:val="20"/>
          <w:color w:val="auto"/>
        </w:rPr>
      </w:pPr>
    </w:p>
    <w:p>
      <w:pPr>
        <w:spacing w:after="0"/>
        <w:rPr>
          <w:sz w:val="20"/>
          <w:szCs w:val="20"/>
          <w:color w:val="auto"/>
        </w:rPr>
      </w:pPr>
      <w:r>
        <w:rPr>
          <w:rFonts w:ascii="Arial" w:cs="Arial" w:eastAsia="Arial" w:hAnsi="Arial"/>
          <w:sz w:val="29"/>
          <w:szCs w:val="29"/>
          <w:b w:val="1"/>
          <w:bCs w:val="1"/>
          <w:color w:val="012E6C"/>
        </w:rPr>
        <w:t>Board Attendance</w:t>
      </w:r>
    </w:p>
    <w:p>
      <w:pPr>
        <w:spacing w:after="0" w:line="250"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In 2018, the Board met a total of nine times. All directors on the Board during 2018 attended more than 75 percent of the total Board and committee meetings to which they were assigned. All then incumbent directors attended the 2018 annual meeting. Ms. Hollub joined the Board in July 2018.</w:t>
      </w:r>
    </w:p>
    <w:p>
      <w:pPr>
        <w:spacing w:after="0" w:line="200" w:lineRule="exact"/>
        <w:rPr>
          <w:sz w:val="20"/>
          <w:szCs w:val="20"/>
          <w:color w:val="auto"/>
        </w:rPr>
      </w:pPr>
    </w:p>
    <w:p>
      <w:pPr>
        <w:spacing w:after="0" w:line="235" w:lineRule="exact"/>
        <w:rPr>
          <w:sz w:val="20"/>
          <w:szCs w:val="20"/>
          <w:color w:val="auto"/>
        </w:rPr>
      </w:pPr>
    </w:p>
    <w:p>
      <w:pPr>
        <w:ind w:left="40"/>
        <w:spacing w:after="0"/>
        <w:tabs>
          <w:tab w:leader="none" w:pos="9420" w:val="left"/>
          <w:tab w:leader="none" w:pos="1130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2019 Proxy Statement</w:t>
      </w:r>
      <w:r>
        <w:rPr>
          <w:sz w:val="20"/>
          <w:szCs w:val="20"/>
          <w:color w:val="auto"/>
        </w:rPr>
        <w:tab/>
      </w:r>
      <w:r>
        <w:rPr>
          <w:rFonts w:ascii="Arial" w:cs="Arial" w:eastAsia="Arial" w:hAnsi="Arial"/>
          <w:sz w:val="14"/>
          <w:szCs w:val="14"/>
          <w:b w:val="1"/>
          <w:bCs w:val="1"/>
          <w:color w:val="808080"/>
        </w:rPr>
        <w:t>9</w:t>
      </w:r>
    </w:p>
    <w:p>
      <w:pPr>
        <w:sectPr>
          <w:pgSz w:w="11900" w:h="16838" w:orient="portrait"/>
          <w:cols w:equalWidth="0" w:num="1">
            <w:col w:w="11400"/>
          </w:cols>
          <w:pgMar w:left="240" w:top="987" w:right="25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5"/>
          <w:szCs w:val="15"/>
          <w:color w:val="003478"/>
        </w:rPr>
        <w:t>Proposal 1: Election of Directors</w:t>
      </w:r>
    </w:p>
    <w:p>
      <w:pPr>
        <w:spacing w:after="0" w:line="347" w:lineRule="exact"/>
        <w:rPr>
          <w:sz w:val="20"/>
          <w:szCs w:val="20"/>
          <w:color w:val="auto"/>
        </w:rPr>
      </w:pPr>
    </w:p>
    <w:p>
      <w:pPr>
        <w:spacing w:after="0"/>
        <w:rPr>
          <w:sz w:val="20"/>
          <w:szCs w:val="20"/>
          <w:color w:val="auto"/>
        </w:rPr>
      </w:pPr>
      <w:r>
        <w:rPr>
          <w:rFonts w:ascii="Arial" w:cs="Arial" w:eastAsia="Arial" w:hAnsi="Arial"/>
          <w:sz w:val="29"/>
          <w:szCs w:val="29"/>
          <w:b w:val="1"/>
          <w:bCs w:val="1"/>
          <w:color w:val="012E6C"/>
        </w:rPr>
        <w:t>Director-Nominees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513"/>
        </w:trPr>
        <w:tc>
          <w:tcPr>
            <w:tcW w:w="2000" w:type="dxa"/>
            <w:vAlign w:val="bottom"/>
          </w:tcPr>
          <w:p>
            <w:pPr>
              <w:ind w:left="40"/>
              <w:spacing w:after="0"/>
              <w:rPr>
                <w:sz w:val="20"/>
                <w:szCs w:val="20"/>
                <w:color w:val="auto"/>
              </w:rPr>
            </w:pPr>
            <w:r>
              <w:rPr>
                <w:rFonts w:ascii="Arial" w:cs="Arial" w:eastAsia="Arial" w:hAnsi="Arial"/>
                <w:sz w:val="22"/>
                <w:szCs w:val="22"/>
                <w:color w:val="475C90"/>
              </w:rPr>
              <w:t>Daniel F. Akerson</w:t>
            </w:r>
          </w:p>
        </w:tc>
        <w:tc>
          <w:tcPr>
            <w:tcW w:w="2220" w:type="dxa"/>
            <w:vAlign w:val="bottom"/>
            <w:tcBorders>
              <w:right w:val="single" w:sz="8" w:color="475C90"/>
            </w:tcBorders>
          </w:tcPr>
          <w:p>
            <w:pPr>
              <w:ind w:left="260"/>
              <w:spacing w:after="0"/>
              <w:rPr>
                <w:sz w:val="20"/>
                <w:szCs w:val="20"/>
                <w:color w:val="auto"/>
              </w:rPr>
            </w:pPr>
            <w:r>
              <w:rPr>
                <w:rFonts w:ascii="Arial" w:cs="Arial" w:eastAsia="Arial" w:hAnsi="Arial"/>
                <w:sz w:val="17"/>
                <w:szCs w:val="17"/>
                <w:color w:val="012E6C"/>
              </w:rPr>
              <w:t>Independent Director</w:t>
            </w:r>
          </w:p>
        </w:tc>
        <w:tc>
          <w:tcPr>
            <w:tcW w:w="5200" w:type="dxa"/>
            <w:vAlign w:val="bottom"/>
          </w:tcPr>
          <w:p>
            <w:pPr>
              <w:ind w:left="360"/>
              <w:spacing w:after="0"/>
              <w:rPr>
                <w:sz w:val="20"/>
                <w:szCs w:val="20"/>
                <w:color w:val="auto"/>
              </w:rPr>
            </w:pPr>
            <w:r>
              <w:rPr>
                <w:rFonts w:ascii="Arial" w:cs="Arial" w:eastAsia="Arial" w:hAnsi="Arial"/>
                <w:sz w:val="15"/>
                <w:szCs w:val="15"/>
                <w:color w:val="012E6C"/>
              </w:rPr>
              <w:t>Director since 2014</w:t>
            </w:r>
          </w:p>
        </w:tc>
      </w:tr>
      <w:tr>
        <w:trPr>
          <w:trHeight w:val="122"/>
        </w:trPr>
        <w:tc>
          <w:tcPr>
            <w:tcW w:w="200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5200" w:type="dxa"/>
            <w:vAlign w:val="bottom"/>
          </w:tcPr>
          <w:p>
            <w:pPr>
              <w:spacing w:after="0"/>
              <w:rPr>
                <w:sz w:val="10"/>
                <w:szCs w:val="10"/>
                <w:color w:val="auto"/>
              </w:rPr>
            </w:pPr>
          </w:p>
        </w:tc>
      </w:tr>
      <w:tr>
        <w:trPr>
          <w:trHeight w:val="189"/>
        </w:trPr>
        <w:tc>
          <w:tcPr>
            <w:tcW w:w="2000" w:type="dxa"/>
            <w:vAlign w:val="bottom"/>
            <w:shd w:val="clear" w:color="auto" w:fill="475C90"/>
          </w:tcPr>
          <w:p>
            <w:pPr>
              <w:spacing w:after="0"/>
              <w:rPr>
                <w:sz w:val="16"/>
                <w:szCs w:val="16"/>
                <w:color w:val="auto"/>
              </w:rPr>
            </w:pPr>
          </w:p>
        </w:tc>
        <w:tc>
          <w:tcPr>
            <w:tcW w:w="2220" w:type="dxa"/>
            <w:vAlign w:val="bottom"/>
            <w:tcBorders>
              <w:right w:val="single" w:sz="8" w:color="475C90"/>
            </w:tcBorders>
            <w:shd w:val="clear" w:color="auto" w:fill="475C90"/>
          </w:tcPr>
          <w:p>
            <w:pPr>
              <w:spacing w:after="0"/>
              <w:rPr>
                <w:sz w:val="16"/>
                <w:szCs w:val="16"/>
                <w:color w:val="auto"/>
              </w:rPr>
            </w:pPr>
          </w:p>
        </w:tc>
        <w:tc>
          <w:tcPr>
            <w:tcW w:w="5200" w:type="dxa"/>
            <w:vAlign w:val="bottom"/>
            <w:shd w:val="clear" w:color="auto" w:fill="475C90"/>
          </w:tcPr>
          <w:p>
            <w:pPr>
              <w:spacing w:after="0"/>
              <w:rPr>
                <w:sz w:val="16"/>
                <w:szCs w:val="16"/>
                <w:color w:val="auto"/>
              </w:rPr>
            </w:pPr>
          </w:p>
        </w:tc>
      </w:tr>
    </w:tbl>
    <w:p>
      <w:pPr>
        <w:spacing w:after="0" w:line="139" w:lineRule="exact"/>
        <w:rPr>
          <w:sz w:val="20"/>
          <w:szCs w:val="20"/>
          <w:color w:val="auto"/>
        </w:rPr>
      </w:pPr>
    </w:p>
    <w:p>
      <w:pPr>
        <w:ind w:left="2260"/>
        <w:spacing w:after="0"/>
        <w:rPr>
          <w:sz w:val="20"/>
          <w:szCs w:val="20"/>
          <w:color w:val="auto"/>
        </w:rPr>
      </w:pPr>
      <w:r>
        <w:rPr>
          <w:rFonts w:ascii="Arial" w:cs="Arial" w:eastAsia="Arial" w:hAnsi="Arial"/>
          <w:sz w:val="15"/>
          <w:szCs w:val="15"/>
          <w:color w:val="012E6C"/>
        </w:rPr>
        <w:t>Biography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-102870</wp:posOffset>
            </wp:positionV>
            <wp:extent cx="909320" cy="909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09320" cy="909320"/>
                    </a:xfrm>
                    <a:prstGeom prst="rect">
                      <a:avLst/>
                    </a:prstGeom>
                    <a:noFill/>
                  </pic:spPr>
                </pic:pic>
              </a:graphicData>
            </a:graphic>
          </wp:anchor>
        </w:drawing>
      </w:r>
    </w:p>
    <w:p>
      <w:pPr>
        <w:spacing w:after="0" w:line="14" w:lineRule="exact"/>
        <w:rPr>
          <w:sz w:val="20"/>
          <w:szCs w:val="20"/>
          <w:color w:val="auto"/>
        </w:rPr>
      </w:pPr>
    </w:p>
    <w:p>
      <w:pPr>
        <w:ind w:left="2260" w:right="899"/>
        <w:spacing w:after="0" w:line="233" w:lineRule="auto"/>
        <w:rPr>
          <w:sz w:val="20"/>
          <w:szCs w:val="20"/>
          <w:color w:val="auto"/>
        </w:rPr>
      </w:pPr>
      <w:r>
        <w:rPr>
          <w:rFonts w:ascii="Arial" w:cs="Arial" w:eastAsia="Arial" w:hAnsi="Arial"/>
          <w:sz w:val="15"/>
          <w:szCs w:val="15"/>
          <w:color w:val="auto"/>
        </w:rPr>
        <w:t>Vice Chairman of The Carlyle Group from March 2014 to December 2015. Mr. Akerson was Chairman of the Board of Directors and Chief Executive Officer of General Motors Company from January 2011 until his retirement in January 2014. Prior to joining General Motors, he was a Managing Director of The Carlyle Group, serving as the Head of Global Buyout from July 2009 to August 2010 and as Co-Head of U.S. Buyout from June 2003 to June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269875</wp:posOffset>
            </wp:positionV>
            <wp:extent cx="45624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562475" cy="8890"/>
                    </a:xfrm>
                    <a:prstGeom prst="rect">
                      <a:avLst/>
                    </a:prstGeom>
                    <a:noFill/>
                  </pic:spPr>
                </pic:pic>
              </a:graphicData>
            </a:graphic>
          </wp:anchor>
        </w:drawing>
      </w:r>
    </w:p>
    <w:p>
      <w:pPr>
        <w:sectPr>
          <w:pgSz w:w="11900" w:h="16838" w:orient="portrait"/>
          <w:cols w:equalWidth="0" w:num="1">
            <w:col w:w="10219"/>
          </w:cols>
          <w:pgMar w:left="240" w:top="292" w:right="1440" w:bottom="700" w:gutter="0" w:footer="0" w:header="0"/>
        </w:sectPr>
      </w:pPr>
    </w:p>
    <w:p>
      <w:pPr>
        <w:spacing w:after="0" w:line="200" w:lineRule="exact"/>
        <w:rPr>
          <w:sz w:val="20"/>
          <w:szCs w:val="20"/>
          <w:color w:val="auto"/>
        </w:rPr>
      </w:pPr>
    </w:p>
    <w:p>
      <w:pPr>
        <w:spacing w:after="0" w:line="282" w:lineRule="exact"/>
        <w:rPr>
          <w:sz w:val="20"/>
          <w:szCs w:val="20"/>
          <w:color w:val="auto"/>
        </w:rPr>
      </w:pPr>
    </w:p>
    <w:p>
      <w:pPr>
        <w:ind w:left="40"/>
        <w:spacing w:after="0"/>
        <w:rPr>
          <w:sz w:val="20"/>
          <w:szCs w:val="20"/>
          <w:color w:val="auto"/>
        </w:rPr>
      </w:pPr>
      <w:r>
        <w:rPr>
          <w:rFonts w:ascii="Arial" w:cs="Arial" w:eastAsia="Arial" w:hAnsi="Arial"/>
          <w:sz w:val="15"/>
          <w:szCs w:val="15"/>
          <w:color w:val="012E6C"/>
        </w:rPr>
        <w:t xml:space="preserve">Age </w:t>
      </w:r>
      <w:r>
        <w:rPr>
          <w:rFonts w:ascii="Arial" w:cs="Arial" w:eastAsia="Arial" w:hAnsi="Arial"/>
          <w:sz w:val="15"/>
          <w:szCs w:val="15"/>
          <w:color w:val="000000"/>
        </w:rPr>
        <w:t>70</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5"/>
          <w:szCs w:val="15"/>
          <w:color w:val="012E6C"/>
        </w:rPr>
        <w:t>Current Committees</w:t>
      </w:r>
    </w:p>
    <w:p>
      <w:pPr>
        <w:ind w:left="240" w:hanging="218"/>
        <w:spacing w:after="0"/>
        <w:tabs>
          <w:tab w:leader="none" w:pos="240" w:val="left"/>
        </w:tabs>
        <w:numPr>
          <w:ilvl w:val="0"/>
          <w:numId w:val="27"/>
        </w:numPr>
        <w:rPr>
          <w:rFonts w:ascii="Arial" w:cs="Arial" w:eastAsia="Arial" w:hAnsi="Arial"/>
          <w:sz w:val="15"/>
          <w:szCs w:val="15"/>
          <w:color w:val="012E6C"/>
        </w:rPr>
      </w:pPr>
      <w:r>
        <w:rPr>
          <w:rFonts w:ascii="Arial" w:cs="Arial" w:eastAsia="Arial" w:hAnsi="Arial"/>
          <w:sz w:val="15"/>
          <w:szCs w:val="15"/>
          <w:color w:val="auto"/>
        </w:rPr>
        <w:t>Audit</w:t>
      </w:r>
    </w:p>
    <w:p>
      <w:pPr>
        <w:ind w:left="160" w:right="220" w:hanging="138"/>
        <w:spacing w:after="0" w:line="225" w:lineRule="auto"/>
        <w:tabs>
          <w:tab w:leader="none" w:pos="248" w:val="left"/>
        </w:tabs>
        <w:numPr>
          <w:ilvl w:val="0"/>
          <w:numId w:val="27"/>
        </w:numPr>
        <w:rPr>
          <w:rFonts w:ascii="Arial" w:cs="Arial" w:eastAsia="Arial" w:hAnsi="Arial"/>
          <w:sz w:val="15"/>
          <w:szCs w:val="15"/>
          <w:color w:val="012E6C"/>
        </w:rPr>
      </w:pPr>
      <w:r>
        <w:rPr>
          <w:rFonts w:ascii="Arial" w:cs="Arial" w:eastAsia="Arial" w:hAnsi="Arial"/>
          <w:sz w:val="15"/>
          <w:szCs w:val="15"/>
          <w:color w:val="auto"/>
        </w:rPr>
        <w:t>Classified Business and Security</w:t>
      </w:r>
    </w:p>
    <w:p>
      <w:pPr>
        <w:ind w:left="240" w:hanging="218"/>
        <w:spacing w:after="0" w:line="225" w:lineRule="auto"/>
        <w:tabs>
          <w:tab w:leader="none" w:pos="240" w:val="left"/>
        </w:tabs>
        <w:numPr>
          <w:ilvl w:val="0"/>
          <w:numId w:val="27"/>
        </w:numPr>
        <w:rPr>
          <w:rFonts w:ascii="Arial" w:cs="Arial" w:eastAsia="Arial" w:hAnsi="Arial"/>
          <w:sz w:val="15"/>
          <w:szCs w:val="15"/>
          <w:color w:val="012E6C"/>
        </w:rPr>
      </w:pPr>
      <w:r>
        <w:rPr>
          <w:rFonts w:ascii="Arial" w:cs="Arial" w:eastAsia="Arial" w:hAnsi="Arial"/>
          <w:sz w:val="15"/>
          <w:szCs w:val="15"/>
          <w:color w:val="auto"/>
        </w:rPr>
        <w:t>Executive</w:t>
      </w:r>
    </w:p>
    <w:p>
      <w:pPr>
        <w:ind w:left="160" w:hanging="138"/>
        <w:spacing w:after="0" w:line="244" w:lineRule="auto"/>
        <w:tabs>
          <w:tab w:leader="none" w:pos="248" w:val="left"/>
        </w:tabs>
        <w:numPr>
          <w:ilvl w:val="0"/>
          <w:numId w:val="27"/>
        </w:numPr>
        <w:rPr>
          <w:rFonts w:ascii="Arial" w:cs="Arial" w:eastAsia="Arial" w:hAnsi="Arial"/>
          <w:sz w:val="15"/>
          <w:szCs w:val="15"/>
          <w:color w:val="012E6C"/>
        </w:rPr>
      </w:pPr>
      <w:r>
        <w:rPr>
          <w:rFonts w:ascii="Arial" w:cs="Arial" w:eastAsia="Arial" w:hAnsi="Arial"/>
          <w:sz w:val="15"/>
          <w:szCs w:val="15"/>
          <w:color w:val="auto"/>
        </w:rPr>
        <w:t>Management Development and Compensation, Chair</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5"/>
          <w:szCs w:val="15"/>
          <w:color w:val="012E6C"/>
        </w:rPr>
        <w:t>Other Current Public Boards</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5"/>
          <w:szCs w:val="15"/>
          <w:color w:val="auto"/>
        </w:rPr>
        <w:t>None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0"/>
        <w:spacing w:after="0"/>
        <w:rPr>
          <w:sz w:val="20"/>
          <w:szCs w:val="20"/>
          <w:color w:val="auto"/>
        </w:rPr>
      </w:pPr>
      <w:r>
        <w:rPr>
          <w:rFonts w:ascii="Arial" w:cs="Arial" w:eastAsia="Arial" w:hAnsi="Arial"/>
          <w:sz w:val="15"/>
          <w:szCs w:val="15"/>
          <w:color w:val="012E6C"/>
        </w:rPr>
        <w:t>Skills and Qualifications</w:t>
      </w:r>
    </w:p>
    <w:p>
      <w:pPr>
        <w:spacing w:after="0" w:line="34" w:lineRule="exact"/>
        <w:rPr>
          <w:sz w:val="20"/>
          <w:szCs w:val="20"/>
          <w:color w:val="auto"/>
        </w:rPr>
      </w:pPr>
    </w:p>
    <w:p>
      <w:pPr>
        <w:ind w:left="230" w:hanging="230"/>
        <w:spacing w:after="0"/>
        <w:tabs>
          <w:tab w:leader="none" w:pos="230" w:val="left"/>
        </w:tabs>
        <w:numPr>
          <w:ilvl w:val="0"/>
          <w:numId w:val="28"/>
        </w:numPr>
        <w:rPr>
          <w:rFonts w:ascii="Arial" w:cs="Arial" w:eastAsia="Arial" w:hAnsi="Arial"/>
          <w:sz w:val="15"/>
          <w:szCs w:val="15"/>
          <w:color w:val="012E6C"/>
        </w:rPr>
      </w:pPr>
      <w:r>
        <w:rPr>
          <w:rFonts w:ascii="Arial" w:cs="Arial" w:eastAsia="Arial" w:hAnsi="Arial"/>
          <w:sz w:val="15"/>
          <w:szCs w:val="15"/>
          <w:color w:val="auto"/>
        </w:rPr>
        <w:t>Core leadership skills and experience with the demands and challenges of the global marketplace</w:t>
      </w:r>
    </w:p>
    <w:p>
      <w:pPr>
        <w:spacing w:after="0" w:line="16" w:lineRule="exact"/>
        <w:rPr>
          <w:rFonts w:ascii="Arial" w:cs="Arial" w:eastAsia="Arial" w:hAnsi="Arial"/>
          <w:sz w:val="15"/>
          <w:szCs w:val="15"/>
          <w:color w:val="012E6C"/>
        </w:rPr>
      </w:pPr>
    </w:p>
    <w:p>
      <w:pPr>
        <w:ind w:left="130" w:right="1479" w:hanging="130"/>
        <w:spacing w:after="0" w:line="244" w:lineRule="auto"/>
        <w:tabs>
          <w:tab w:leader="none" w:pos="218" w:val="left"/>
        </w:tabs>
        <w:numPr>
          <w:ilvl w:val="0"/>
          <w:numId w:val="28"/>
        </w:numPr>
        <w:rPr>
          <w:rFonts w:ascii="Arial" w:cs="Arial" w:eastAsia="Arial" w:hAnsi="Arial"/>
          <w:sz w:val="15"/>
          <w:szCs w:val="15"/>
          <w:color w:val="012E6C"/>
        </w:rPr>
      </w:pPr>
      <w:r>
        <w:rPr>
          <w:rFonts w:ascii="Arial" w:cs="Arial" w:eastAsia="Arial" w:hAnsi="Arial"/>
          <w:sz w:val="15"/>
          <w:szCs w:val="15"/>
          <w:color w:val="auto"/>
        </w:rPr>
        <w:t>Extensive operating, marketing and senior management experience in a succession of major companies in challenging, highly competitive industries</w:t>
      </w:r>
    </w:p>
    <w:p>
      <w:pPr>
        <w:ind w:left="230" w:hanging="230"/>
        <w:spacing w:after="0"/>
        <w:tabs>
          <w:tab w:leader="none" w:pos="230" w:val="left"/>
        </w:tabs>
        <w:numPr>
          <w:ilvl w:val="0"/>
          <w:numId w:val="28"/>
        </w:numPr>
        <w:rPr>
          <w:rFonts w:ascii="Arial" w:cs="Arial" w:eastAsia="Arial" w:hAnsi="Arial"/>
          <w:sz w:val="15"/>
          <w:szCs w:val="15"/>
          <w:color w:val="012E6C"/>
        </w:rPr>
      </w:pPr>
      <w:r>
        <w:rPr>
          <w:rFonts w:ascii="Arial" w:cs="Arial" w:eastAsia="Arial" w:hAnsi="Arial"/>
          <w:sz w:val="15"/>
          <w:szCs w:val="15"/>
          <w:color w:val="auto"/>
        </w:rPr>
        <w:t>Enterprise risk management, financial, investment and mergers and acquisitions expertise</w:t>
      </w:r>
    </w:p>
    <w:p>
      <w:pPr>
        <w:spacing w:after="0" w:line="16" w:lineRule="exact"/>
        <w:rPr>
          <w:rFonts w:ascii="Arial" w:cs="Arial" w:eastAsia="Arial" w:hAnsi="Arial"/>
          <w:sz w:val="15"/>
          <w:szCs w:val="15"/>
          <w:color w:val="012E6C"/>
        </w:rPr>
      </w:pPr>
    </w:p>
    <w:p>
      <w:pPr>
        <w:ind w:left="130" w:right="939" w:hanging="130"/>
        <w:spacing w:after="0" w:line="248" w:lineRule="auto"/>
        <w:tabs>
          <w:tab w:leader="none" w:pos="216" w:val="left"/>
        </w:tabs>
        <w:numPr>
          <w:ilvl w:val="0"/>
          <w:numId w:val="28"/>
        </w:numPr>
        <w:rPr>
          <w:rFonts w:ascii="Arial" w:cs="Arial" w:eastAsia="Arial" w:hAnsi="Arial"/>
          <w:sz w:val="15"/>
          <w:szCs w:val="15"/>
          <w:color w:val="012E6C"/>
        </w:rPr>
      </w:pPr>
      <w:r>
        <w:rPr>
          <w:rFonts w:ascii="Arial" w:cs="Arial" w:eastAsia="Arial" w:hAnsi="Arial"/>
          <w:sz w:val="15"/>
          <w:szCs w:val="15"/>
          <w:color w:val="auto"/>
        </w:rPr>
        <w:t>The Board has determined that Mr. Akerson meets the SEC’s criteria of an “audit committee financial expert”</w:t>
      </w:r>
    </w:p>
    <w:p>
      <w:pPr>
        <w:spacing w:after="0" w:line="423" w:lineRule="exact"/>
        <w:rPr>
          <w:sz w:val="20"/>
          <w:szCs w:val="20"/>
          <w:color w:val="auto"/>
        </w:rPr>
      </w:pPr>
    </w:p>
    <w:p>
      <w:pPr>
        <w:sectPr>
          <w:pgSz w:w="11900" w:h="16838" w:orient="portrait"/>
          <w:cols w:equalWidth="0" w:num="2">
            <w:col w:w="2080" w:space="170"/>
            <w:col w:w="7969"/>
          </w:cols>
          <w:pgMar w:left="240" w:top="292" w:right="1440" w:bottom="700" w:gutter="0" w:footer="0" w:header="0"/>
          <w:type w:val="continuous"/>
        </w:sectPr>
      </w:pPr>
    </w:p>
    <w:p>
      <w:pPr>
        <w:spacing w:after="0" w:line="326" w:lineRule="exact"/>
        <w:rPr>
          <w:sz w:val="20"/>
          <w:szCs w:val="20"/>
          <w:color w:val="auto"/>
        </w:rPr>
      </w:pPr>
    </w:p>
    <w:p>
      <w:pPr>
        <w:ind w:left="40"/>
        <w:spacing w:after="0"/>
        <w:rPr>
          <w:sz w:val="20"/>
          <w:szCs w:val="20"/>
          <w:color w:val="auto"/>
        </w:rPr>
      </w:pPr>
      <w:r>
        <w:rPr>
          <w:rFonts w:ascii="Arial" w:cs="Arial" w:eastAsia="Arial" w:hAnsi="Arial"/>
          <w:sz w:val="21"/>
          <w:szCs w:val="21"/>
          <w:color w:val="475C90"/>
        </w:rPr>
        <w:t>David B. Burritt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567"/>
        </w:trPr>
        <w:tc>
          <w:tcPr>
            <w:tcW w:w="1960" w:type="dxa"/>
            <w:vAlign w:val="bottom"/>
            <w:tcBorders>
              <w:right w:val="single" w:sz="8" w:color="475C90"/>
            </w:tcBorders>
          </w:tcPr>
          <w:p>
            <w:pPr>
              <w:spacing w:after="0"/>
              <w:rPr>
                <w:sz w:val="20"/>
                <w:szCs w:val="20"/>
                <w:color w:val="auto"/>
              </w:rPr>
            </w:pPr>
            <w:r>
              <w:rPr>
                <w:rFonts w:ascii="Arial" w:cs="Arial" w:eastAsia="Arial" w:hAnsi="Arial"/>
                <w:sz w:val="17"/>
                <w:szCs w:val="17"/>
                <w:color w:val="012E6C"/>
              </w:rPr>
              <w:t>Independent Director</w:t>
            </w:r>
          </w:p>
        </w:tc>
        <w:tc>
          <w:tcPr>
            <w:tcW w:w="1680" w:type="dxa"/>
            <w:vAlign w:val="bottom"/>
          </w:tcPr>
          <w:p>
            <w:pPr>
              <w:ind w:left="360"/>
              <w:spacing w:after="0"/>
              <w:rPr>
                <w:sz w:val="20"/>
                <w:szCs w:val="20"/>
                <w:color w:val="auto"/>
              </w:rPr>
            </w:pPr>
            <w:r>
              <w:rPr>
                <w:rFonts w:ascii="Arial" w:cs="Arial" w:eastAsia="Arial" w:hAnsi="Arial"/>
                <w:sz w:val="15"/>
                <w:szCs w:val="15"/>
                <w:color w:val="012E6C"/>
              </w:rPr>
              <w:t>Director since 2008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-1429385</wp:posOffset>
            </wp:positionH>
            <wp:positionV relativeFrom="paragraph">
              <wp:posOffset>77470</wp:posOffset>
            </wp:positionV>
            <wp:extent cx="5977255" cy="1200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77255" cy="1200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40" w:space="720"/>
            <w:col w:w="7959"/>
          </w:cols>
          <w:pgMar w:left="240" w:top="292" w:right="1440" w:bottom="700" w:gutter="0" w:footer="0" w:header="0"/>
          <w:type w:val="continuous"/>
        </w:sectPr>
      </w:pPr>
    </w:p>
    <w:p>
      <w:pPr>
        <w:spacing w:after="0" w:line="249" w:lineRule="exact"/>
        <w:rPr>
          <w:sz w:val="20"/>
          <w:szCs w:val="20"/>
          <w:color w:val="auto"/>
        </w:rPr>
      </w:pPr>
    </w:p>
    <w:p>
      <w:pPr>
        <w:ind w:left="2260"/>
        <w:spacing w:after="0"/>
        <w:rPr>
          <w:sz w:val="20"/>
          <w:szCs w:val="20"/>
          <w:color w:val="auto"/>
        </w:rPr>
      </w:pPr>
      <w:r>
        <w:rPr>
          <w:rFonts w:ascii="Arial" w:cs="Arial" w:eastAsia="Arial" w:hAnsi="Arial"/>
          <w:sz w:val="15"/>
          <w:szCs w:val="15"/>
          <w:color w:val="012E6C"/>
        </w:rPr>
        <w:t>Biography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-102870</wp:posOffset>
            </wp:positionV>
            <wp:extent cx="926465" cy="9264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26465" cy="926465"/>
                    </a:xfrm>
                    <a:prstGeom prst="rect">
                      <a:avLst/>
                    </a:prstGeom>
                    <a:noFill/>
                  </pic:spPr>
                </pic:pic>
              </a:graphicData>
            </a:graphic>
          </wp:anchor>
        </w:drawing>
      </w:r>
    </w:p>
    <w:p>
      <w:pPr>
        <w:spacing w:after="0" w:line="14" w:lineRule="exact"/>
        <w:rPr>
          <w:sz w:val="20"/>
          <w:szCs w:val="20"/>
          <w:color w:val="auto"/>
        </w:rPr>
      </w:pPr>
    </w:p>
    <w:p>
      <w:pPr>
        <w:ind w:left="2260" w:right="859"/>
        <w:spacing w:after="0" w:line="230" w:lineRule="auto"/>
        <w:rPr>
          <w:sz w:val="20"/>
          <w:szCs w:val="20"/>
          <w:color w:val="auto"/>
        </w:rPr>
      </w:pPr>
      <w:r>
        <w:rPr>
          <w:rFonts w:ascii="Arial" w:cs="Arial" w:eastAsia="Arial" w:hAnsi="Arial"/>
          <w:sz w:val="15"/>
          <w:szCs w:val="15"/>
          <w:color w:val="auto"/>
        </w:rPr>
        <w:t>President and Chief Executive Officer of United States Steel Corporation since May 2017. Mr. Burritt also was named to United States Steel Corporation's board of directors at that time. Mr. Burritt previously served as President and Chief Operating Officer of United States Steel Corporation from February 2017 to May 2017; Chief Financial Officer from September 2013 to May 2017; and Executive Vice President from September 2013 to February 2017. Prior to joining U.S. Steel, Mr. Burritt served as Chief Financial Officer of Caterpillar Inc. until his retirement in 2010, after more than 32 years with the company. Mr. Burritt formerly served as a director of Global Brass &amp; Copper Holdings, Inc. from 2011 until June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83820</wp:posOffset>
            </wp:positionV>
            <wp:extent cx="45624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562475" cy="8890"/>
                    </a:xfrm>
                    <a:prstGeom prst="rect">
                      <a:avLst/>
                    </a:prstGeom>
                    <a:noFill/>
                  </pic:spPr>
                </pic:pic>
              </a:graphicData>
            </a:graphic>
          </wp:anchor>
        </w:drawing>
      </w:r>
    </w:p>
    <w:p>
      <w:pPr>
        <w:sectPr>
          <w:pgSz w:w="11900" w:h="16838" w:orient="portrait"/>
          <w:cols w:equalWidth="0" w:num="1">
            <w:col w:w="10219"/>
          </w:cols>
          <w:pgMar w:left="240" w:top="292" w:right="1440" w:bottom="700" w:gutter="0" w:footer="0" w:header="0"/>
          <w:type w:val="continuous"/>
        </w:sectPr>
      </w:pPr>
    </w:p>
    <w:p>
      <w:pPr>
        <w:spacing w:after="0" w:line="190" w:lineRule="exact"/>
        <w:rPr>
          <w:sz w:val="20"/>
          <w:szCs w:val="20"/>
          <w:color w:val="auto"/>
        </w:rPr>
      </w:pPr>
    </w:p>
    <w:p>
      <w:pPr>
        <w:ind w:left="40"/>
        <w:spacing w:after="0"/>
        <w:rPr>
          <w:sz w:val="20"/>
          <w:szCs w:val="20"/>
          <w:color w:val="auto"/>
        </w:rPr>
      </w:pPr>
      <w:r>
        <w:rPr>
          <w:rFonts w:ascii="Arial" w:cs="Arial" w:eastAsia="Arial" w:hAnsi="Arial"/>
          <w:sz w:val="15"/>
          <w:szCs w:val="15"/>
          <w:color w:val="012E6C"/>
        </w:rPr>
        <w:t xml:space="preserve">Age </w:t>
      </w:r>
      <w:r>
        <w:rPr>
          <w:rFonts w:ascii="Arial" w:cs="Arial" w:eastAsia="Arial" w:hAnsi="Arial"/>
          <w:sz w:val="15"/>
          <w:szCs w:val="15"/>
          <w:color w:val="000000"/>
        </w:rPr>
        <w:t>63</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5"/>
          <w:szCs w:val="15"/>
          <w:color w:val="012E6C"/>
        </w:rPr>
        <w:t>Current Committees</w:t>
      </w:r>
    </w:p>
    <w:p>
      <w:pPr>
        <w:ind w:left="240" w:hanging="218"/>
        <w:spacing w:after="0"/>
        <w:tabs>
          <w:tab w:leader="none" w:pos="240" w:val="left"/>
        </w:tabs>
        <w:numPr>
          <w:ilvl w:val="0"/>
          <w:numId w:val="29"/>
        </w:numPr>
        <w:rPr>
          <w:rFonts w:ascii="Arial" w:cs="Arial" w:eastAsia="Arial" w:hAnsi="Arial"/>
          <w:sz w:val="15"/>
          <w:szCs w:val="15"/>
          <w:color w:val="012E6C"/>
        </w:rPr>
      </w:pPr>
      <w:r>
        <w:rPr>
          <w:rFonts w:ascii="Arial" w:cs="Arial" w:eastAsia="Arial" w:hAnsi="Arial"/>
          <w:sz w:val="15"/>
          <w:szCs w:val="15"/>
          <w:color w:val="auto"/>
        </w:rPr>
        <w:t>Audit</w:t>
      </w:r>
    </w:p>
    <w:p>
      <w:pPr>
        <w:ind w:left="240" w:hanging="218"/>
        <w:spacing w:after="0"/>
        <w:tabs>
          <w:tab w:leader="none" w:pos="240" w:val="left"/>
        </w:tabs>
        <w:numPr>
          <w:ilvl w:val="0"/>
          <w:numId w:val="29"/>
        </w:numPr>
        <w:rPr>
          <w:rFonts w:ascii="Arial" w:cs="Arial" w:eastAsia="Arial" w:hAnsi="Arial"/>
          <w:sz w:val="15"/>
          <w:szCs w:val="15"/>
          <w:color w:val="012E6C"/>
        </w:rPr>
      </w:pPr>
      <w:r>
        <w:rPr>
          <w:rFonts w:ascii="Arial" w:cs="Arial" w:eastAsia="Arial" w:hAnsi="Arial"/>
          <w:sz w:val="15"/>
          <w:szCs w:val="15"/>
          <w:color w:val="auto"/>
        </w:rPr>
        <w:t>Strategic Affairs</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5"/>
          <w:szCs w:val="15"/>
          <w:color w:val="012E6C"/>
        </w:rPr>
        <w:t>Other Current Public Boards</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5"/>
          <w:szCs w:val="15"/>
          <w:color w:val="auto"/>
        </w:rPr>
        <w:t>United States Steel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ind w:left="10"/>
        <w:spacing w:after="0"/>
        <w:rPr>
          <w:sz w:val="20"/>
          <w:szCs w:val="20"/>
          <w:color w:val="auto"/>
        </w:rPr>
      </w:pPr>
      <w:r>
        <w:rPr>
          <w:rFonts w:ascii="Arial" w:cs="Arial" w:eastAsia="Arial" w:hAnsi="Arial"/>
          <w:sz w:val="15"/>
          <w:szCs w:val="15"/>
          <w:color w:val="012E6C"/>
        </w:rPr>
        <w:t>Skills and Qualifications</w:t>
      </w:r>
    </w:p>
    <w:p>
      <w:pPr>
        <w:spacing w:after="0" w:line="34" w:lineRule="exact"/>
        <w:rPr>
          <w:sz w:val="20"/>
          <w:szCs w:val="20"/>
          <w:color w:val="auto"/>
        </w:rPr>
      </w:pPr>
    </w:p>
    <w:p>
      <w:pPr>
        <w:jc w:val="both"/>
        <w:ind w:left="130" w:right="879" w:hanging="130"/>
        <w:spacing w:after="0" w:line="238" w:lineRule="auto"/>
        <w:tabs>
          <w:tab w:leader="none" w:pos="218" w:val="left"/>
        </w:tabs>
        <w:numPr>
          <w:ilvl w:val="0"/>
          <w:numId w:val="30"/>
        </w:numPr>
        <w:rPr>
          <w:rFonts w:ascii="Arial" w:cs="Arial" w:eastAsia="Arial" w:hAnsi="Arial"/>
          <w:sz w:val="15"/>
          <w:szCs w:val="15"/>
          <w:color w:val="012E6C"/>
        </w:rPr>
      </w:pPr>
      <w:r>
        <w:rPr>
          <w:rFonts w:ascii="Arial" w:cs="Arial" w:eastAsia="Arial" w:hAnsi="Arial"/>
          <w:sz w:val="15"/>
          <w:szCs w:val="15"/>
          <w:color w:val="auto"/>
        </w:rPr>
        <w:t>Expertise in public company accounting, risk management, disclosure, financial system management, manufacturing and commercial operations and business transformation from roles as CEO and CFO at United States Steel Corporation and CFO and Controller at Caterpillar Inc.</w:t>
      </w:r>
    </w:p>
    <w:p>
      <w:pPr>
        <w:ind w:left="130" w:right="1199" w:hanging="130"/>
        <w:spacing w:after="0" w:line="244" w:lineRule="auto"/>
        <w:tabs>
          <w:tab w:leader="none" w:pos="218" w:val="left"/>
        </w:tabs>
        <w:numPr>
          <w:ilvl w:val="0"/>
          <w:numId w:val="30"/>
        </w:numPr>
        <w:rPr>
          <w:rFonts w:ascii="Arial" w:cs="Arial" w:eastAsia="Arial" w:hAnsi="Arial"/>
          <w:sz w:val="15"/>
          <w:szCs w:val="15"/>
          <w:color w:val="012E6C"/>
        </w:rPr>
      </w:pPr>
      <w:r>
        <w:rPr>
          <w:rFonts w:ascii="Arial" w:cs="Arial" w:eastAsia="Arial" w:hAnsi="Arial"/>
          <w:sz w:val="15"/>
          <w:szCs w:val="15"/>
          <w:color w:val="auto"/>
        </w:rPr>
        <w:t>Nearly 40 years’ experience with the demands and challenges of the global marketplace from his positions at United States Steel Corporation and Caterpillar Inc.</w:t>
      </w:r>
    </w:p>
    <w:p>
      <w:pPr>
        <w:ind w:left="130" w:right="1099" w:hanging="130"/>
        <w:spacing w:after="0" w:line="248" w:lineRule="auto"/>
        <w:tabs>
          <w:tab w:leader="none" w:pos="216" w:val="left"/>
        </w:tabs>
        <w:numPr>
          <w:ilvl w:val="0"/>
          <w:numId w:val="30"/>
        </w:numPr>
        <w:rPr>
          <w:rFonts w:ascii="Arial" w:cs="Arial" w:eastAsia="Arial" w:hAnsi="Arial"/>
          <w:sz w:val="15"/>
          <w:szCs w:val="15"/>
          <w:color w:val="012E6C"/>
        </w:rPr>
      </w:pPr>
      <w:r>
        <w:rPr>
          <w:rFonts w:ascii="Arial" w:cs="Arial" w:eastAsia="Arial" w:hAnsi="Arial"/>
          <w:sz w:val="15"/>
          <w:szCs w:val="15"/>
          <w:color w:val="auto"/>
        </w:rPr>
        <w:t>The Board has determined that Mr. Burritt meets the SEC’s criteria of an “audit committee financial expert”</w:t>
      </w:r>
    </w:p>
    <w:p>
      <w:pPr>
        <w:spacing w:after="0" w:line="200" w:lineRule="exact"/>
        <w:rPr>
          <w:sz w:val="20"/>
          <w:szCs w:val="20"/>
          <w:color w:val="auto"/>
        </w:rPr>
      </w:pPr>
    </w:p>
    <w:p>
      <w:pPr>
        <w:sectPr>
          <w:pgSz w:w="11900" w:h="16838" w:orient="portrait"/>
          <w:cols w:equalWidth="0" w:num="2">
            <w:col w:w="2180" w:space="70"/>
            <w:col w:w="7969"/>
          </w:cols>
          <w:pgMar w:left="240" w:top="292" w:right="1440" w:bottom="700" w:gutter="0" w:footer="0" w:header="0"/>
          <w:type w:val="continuous"/>
        </w:sectPr>
      </w:pPr>
    </w:p>
    <w:p>
      <w:pPr>
        <w:spacing w:after="0" w:line="266" w:lineRule="exact"/>
        <w:rPr>
          <w:sz w:val="20"/>
          <w:szCs w:val="20"/>
          <w:color w:val="auto"/>
        </w:rPr>
      </w:pPr>
    </w:p>
    <w:p>
      <w:pPr>
        <w:ind w:left="40"/>
        <w:spacing w:after="0"/>
        <w:rPr>
          <w:sz w:val="20"/>
          <w:szCs w:val="20"/>
          <w:color w:val="auto"/>
        </w:rPr>
      </w:pPr>
      <w:r>
        <w:rPr>
          <w:rFonts w:ascii="Arial" w:cs="Arial" w:eastAsia="Arial" w:hAnsi="Arial"/>
          <w:sz w:val="21"/>
          <w:szCs w:val="21"/>
          <w:color w:val="475C90"/>
        </w:rPr>
        <w:t>Bruce A. Carlson</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567"/>
        </w:trPr>
        <w:tc>
          <w:tcPr>
            <w:tcW w:w="1960" w:type="dxa"/>
            <w:vAlign w:val="bottom"/>
            <w:tcBorders>
              <w:right w:val="single" w:sz="8" w:color="475C90"/>
            </w:tcBorders>
          </w:tcPr>
          <w:p>
            <w:pPr>
              <w:spacing w:after="0"/>
              <w:rPr>
                <w:sz w:val="20"/>
                <w:szCs w:val="20"/>
                <w:color w:val="auto"/>
              </w:rPr>
            </w:pPr>
            <w:r>
              <w:rPr>
                <w:rFonts w:ascii="Arial" w:cs="Arial" w:eastAsia="Arial" w:hAnsi="Arial"/>
                <w:sz w:val="17"/>
                <w:szCs w:val="17"/>
                <w:color w:val="012E6C"/>
              </w:rPr>
              <w:t>Independent Director</w:t>
            </w:r>
          </w:p>
        </w:tc>
        <w:tc>
          <w:tcPr>
            <w:tcW w:w="1680" w:type="dxa"/>
            <w:vAlign w:val="bottom"/>
          </w:tcPr>
          <w:p>
            <w:pPr>
              <w:ind w:left="360"/>
              <w:spacing w:after="0"/>
              <w:rPr>
                <w:sz w:val="20"/>
                <w:szCs w:val="20"/>
                <w:color w:val="auto"/>
              </w:rPr>
            </w:pPr>
            <w:r>
              <w:rPr>
                <w:rFonts w:ascii="Arial" w:cs="Arial" w:eastAsia="Arial" w:hAnsi="Arial"/>
                <w:sz w:val="15"/>
                <w:szCs w:val="15"/>
                <w:color w:val="012E6C"/>
              </w:rPr>
              <w:t>Director since 2015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-1429385</wp:posOffset>
            </wp:positionH>
            <wp:positionV relativeFrom="paragraph">
              <wp:posOffset>77470</wp:posOffset>
            </wp:positionV>
            <wp:extent cx="5977255" cy="1200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77255" cy="1200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60" w:space="600"/>
            <w:col w:w="7959"/>
          </w:cols>
          <w:pgMar w:left="240" w:top="292" w:right="1440" w:bottom="700" w:gutter="0" w:footer="0" w:header="0"/>
          <w:type w:val="continuous"/>
        </w:sectPr>
      </w:pPr>
    </w:p>
    <w:p>
      <w:pPr>
        <w:spacing w:after="0" w:line="249" w:lineRule="exact"/>
        <w:rPr>
          <w:sz w:val="20"/>
          <w:szCs w:val="20"/>
          <w:color w:val="auto"/>
        </w:rPr>
      </w:pPr>
    </w:p>
    <w:p>
      <w:pPr>
        <w:ind w:left="2260"/>
        <w:spacing w:after="0"/>
        <w:rPr>
          <w:sz w:val="20"/>
          <w:szCs w:val="20"/>
          <w:color w:val="auto"/>
        </w:rPr>
      </w:pPr>
      <w:r>
        <w:rPr>
          <w:rFonts w:ascii="Arial" w:cs="Arial" w:eastAsia="Arial" w:hAnsi="Arial"/>
          <w:sz w:val="15"/>
          <w:szCs w:val="15"/>
          <w:color w:val="012E6C"/>
        </w:rPr>
        <w:t>Biography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-102870</wp:posOffset>
            </wp:positionV>
            <wp:extent cx="909320" cy="909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09320" cy="909320"/>
                    </a:xfrm>
                    <a:prstGeom prst="rect">
                      <a:avLst/>
                    </a:prstGeom>
                    <a:noFill/>
                  </pic:spPr>
                </pic:pic>
              </a:graphicData>
            </a:graphic>
          </wp:anchor>
        </w:drawing>
      </w:r>
    </w:p>
    <w:p>
      <w:pPr>
        <w:spacing w:after="0" w:line="14" w:lineRule="exact"/>
        <w:rPr>
          <w:sz w:val="20"/>
          <w:szCs w:val="20"/>
          <w:color w:val="auto"/>
        </w:rPr>
      </w:pPr>
    </w:p>
    <w:p>
      <w:pPr>
        <w:ind w:left="2260" w:right="979"/>
        <w:spacing w:after="0" w:line="231" w:lineRule="auto"/>
        <w:rPr>
          <w:sz w:val="20"/>
          <w:szCs w:val="20"/>
          <w:color w:val="auto"/>
        </w:rPr>
      </w:pPr>
      <w:r>
        <w:rPr>
          <w:rFonts w:ascii="Arial" w:cs="Arial" w:eastAsia="Arial" w:hAnsi="Arial"/>
          <w:sz w:val="15"/>
          <w:szCs w:val="15"/>
          <w:color w:val="auto"/>
        </w:rPr>
        <w:t>Retired U.S. Air Force General, Mr. Carlson has been chairman of the Utah State University Space Dynamics Laboratory’s Guidance Council since June 2013. Previously, Mr. Carlson served as the 17th Director of the National Reconnaissance Office from 2009 until 2012. He retired from the U.S. Air Force in January 2009 after more than 37 years of service, including as Commander, Air Force Materiel Command at Wright-Patterson AFB, Ohio, Commander, Eighth Air Force at Barksdale AFB, Louisiana; and Director for Force Structure, Resources and Assessment (J-8) for the Joint Staff.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168910</wp:posOffset>
            </wp:positionV>
            <wp:extent cx="45624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562475" cy="8890"/>
                    </a:xfrm>
                    <a:prstGeom prst="rect">
                      <a:avLst/>
                    </a:prstGeom>
                    <a:noFill/>
                  </pic:spPr>
                </pic:pic>
              </a:graphicData>
            </a:graphic>
          </wp:anchor>
        </w:drawing>
      </w:r>
    </w:p>
    <w:p>
      <w:pPr>
        <w:spacing w:after="0" w:line="304" w:lineRule="exact"/>
        <w:rPr>
          <w:sz w:val="20"/>
          <w:szCs w:val="20"/>
          <w:color w:val="auto"/>
        </w:rPr>
      </w:pPr>
    </w:p>
    <w:p>
      <w:pPr>
        <w:ind w:left="40"/>
        <w:spacing w:after="0"/>
        <w:rPr>
          <w:sz w:val="20"/>
          <w:szCs w:val="20"/>
          <w:color w:val="auto"/>
        </w:rPr>
      </w:pPr>
      <w:r>
        <w:rPr>
          <w:rFonts w:ascii="Arial" w:cs="Arial" w:eastAsia="Arial" w:hAnsi="Arial"/>
          <w:sz w:val="15"/>
          <w:szCs w:val="15"/>
          <w:color w:val="012E6C"/>
        </w:rPr>
        <w:t xml:space="preserve">Age </w:t>
      </w:r>
      <w:r>
        <w:rPr>
          <w:rFonts w:ascii="Arial" w:cs="Arial" w:eastAsia="Arial" w:hAnsi="Arial"/>
          <w:sz w:val="15"/>
          <w:szCs w:val="15"/>
          <w:color w:val="000000"/>
        </w:rPr>
        <w:t>69</w:t>
      </w:r>
    </w:p>
    <w:p>
      <w:pPr>
        <w:sectPr>
          <w:pgSz w:w="11900" w:h="16838" w:orient="portrait"/>
          <w:cols w:equalWidth="0" w:num="1">
            <w:col w:w="10219"/>
          </w:cols>
          <w:pgMar w:left="240" w:top="292" w:right="1440" w:bottom="700" w:gutter="0" w:footer="0" w:header="0"/>
          <w:type w:val="continuous"/>
        </w:sectPr>
      </w:pPr>
    </w:p>
    <w:p>
      <w:pPr>
        <w:spacing w:after="0" w:line="98" w:lineRule="exact"/>
        <w:rPr>
          <w:sz w:val="20"/>
          <w:szCs w:val="20"/>
          <w:color w:val="auto"/>
        </w:rPr>
      </w:pPr>
    </w:p>
    <w:p>
      <w:pPr>
        <w:ind w:left="40"/>
        <w:spacing w:after="0"/>
        <w:rPr>
          <w:sz w:val="20"/>
          <w:szCs w:val="20"/>
          <w:color w:val="auto"/>
        </w:rPr>
      </w:pPr>
      <w:r>
        <w:rPr>
          <w:rFonts w:ascii="Arial" w:cs="Arial" w:eastAsia="Arial" w:hAnsi="Arial"/>
          <w:sz w:val="15"/>
          <w:szCs w:val="15"/>
          <w:color w:val="012E6C"/>
        </w:rPr>
        <w:t>Current Committees</w:t>
      </w:r>
    </w:p>
    <w:p>
      <w:pPr>
        <w:spacing w:after="0" w:line="10" w:lineRule="exact"/>
        <w:rPr>
          <w:sz w:val="20"/>
          <w:szCs w:val="20"/>
          <w:color w:val="auto"/>
        </w:rPr>
      </w:pPr>
    </w:p>
    <w:p>
      <w:pPr>
        <w:ind w:left="160" w:right="180" w:hanging="138"/>
        <w:spacing w:after="0" w:line="225" w:lineRule="auto"/>
        <w:tabs>
          <w:tab w:leader="none" w:pos="248" w:val="left"/>
        </w:tabs>
        <w:numPr>
          <w:ilvl w:val="0"/>
          <w:numId w:val="31"/>
        </w:numPr>
        <w:rPr>
          <w:rFonts w:ascii="Arial" w:cs="Arial" w:eastAsia="Arial" w:hAnsi="Arial"/>
          <w:sz w:val="15"/>
          <w:szCs w:val="15"/>
          <w:color w:val="012E6C"/>
        </w:rPr>
      </w:pPr>
      <w:r>
        <w:rPr>
          <w:rFonts w:ascii="Arial" w:cs="Arial" w:eastAsia="Arial" w:hAnsi="Arial"/>
          <w:sz w:val="15"/>
          <w:szCs w:val="15"/>
          <w:color w:val="auto"/>
        </w:rPr>
        <w:t>Classified Business and Security</w:t>
      </w:r>
    </w:p>
    <w:p>
      <w:pPr>
        <w:ind w:left="160" w:hanging="138"/>
        <w:spacing w:after="0" w:line="244" w:lineRule="auto"/>
        <w:tabs>
          <w:tab w:leader="none" w:pos="248" w:val="left"/>
        </w:tabs>
        <w:numPr>
          <w:ilvl w:val="0"/>
          <w:numId w:val="31"/>
        </w:numPr>
        <w:rPr>
          <w:rFonts w:ascii="Arial" w:cs="Arial" w:eastAsia="Arial" w:hAnsi="Arial"/>
          <w:sz w:val="15"/>
          <w:szCs w:val="15"/>
          <w:color w:val="012E6C"/>
        </w:rPr>
      </w:pPr>
      <w:r>
        <w:rPr>
          <w:rFonts w:ascii="Arial" w:cs="Arial" w:eastAsia="Arial" w:hAnsi="Arial"/>
          <w:sz w:val="15"/>
          <w:szCs w:val="15"/>
          <w:color w:val="auto"/>
        </w:rPr>
        <w:t>Nominating and Corporate Governance</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5"/>
          <w:szCs w:val="15"/>
          <w:color w:val="012E6C"/>
        </w:rPr>
        <w:t>Other Current Public Boards</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5"/>
          <w:szCs w:val="15"/>
          <w:color w:val="auto"/>
        </w:rPr>
        <w:t>Benchmark Electronics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407035</wp:posOffset>
            </wp:positionV>
            <wp:extent cx="1440815" cy="3257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40815" cy="3257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ind w:left="10"/>
        <w:spacing w:after="0"/>
        <w:rPr>
          <w:sz w:val="20"/>
          <w:szCs w:val="20"/>
          <w:color w:val="auto"/>
        </w:rPr>
      </w:pPr>
      <w:r>
        <w:rPr>
          <w:rFonts w:ascii="Arial" w:cs="Arial" w:eastAsia="Arial" w:hAnsi="Arial"/>
          <w:sz w:val="15"/>
          <w:szCs w:val="15"/>
          <w:color w:val="012E6C"/>
        </w:rPr>
        <w:t>Skills and Qualifications</w:t>
      </w:r>
    </w:p>
    <w:p>
      <w:pPr>
        <w:spacing w:after="0" w:line="34" w:lineRule="exact"/>
        <w:rPr>
          <w:sz w:val="20"/>
          <w:szCs w:val="20"/>
          <w:color w:val="auto"/>
        </w:rPr>
      </w:pPr>
    </w:p>
    <w:p>
      <w:pPr>
        <w:ind w:left="130" w:right="879" w:hanging="130"/>
        <w:spacing w:after="0" w:line="244" w:lineRule="auto"/>
        <w:tabs>
          <w:tab w:leader="none" w:pos="218" w:val="left"/>
        </w:tabs>
        <w:numPr>
          <w:ilvl w:val="0"/>
          <w:numId w:val="32"/>
        </w:numPr>
        <w:rPr>
          <w:rFonts w:ascii="Arial" w:cs="Arial" w:eastAsia="Arial" w:hAnsi="Arial"/>
          <w:sz w:val="15"/>
          <w:szCs w:val="15"/>
          <w:color w:val="012E6C"/>
        </w:rPr>
      </w:pPr>
      <w:r>
        <w:rPr>
          <w:rFonts w:ascii="Arial" w:cs="Arial" w:eastAsia="Arial" w:hAnsi="Arial"/>
          <w:sz w:val="15"/>
          <w:szCs w:val="15"/>
          <w:color w:val="auto"/>
        </w:rPr>
        <w:t>Industry-specific expertise and knowledge of our core customer, including aircraft and satellite development and acquisition experience from his service in senior leadership positions with the military</w:t>
      </w:r>
    </w:p>
    <w:p>
      <w:pPr>
        <w:ind w:left="130" w:right="939" w:hanging="130"/>
        <w:spacing w:after="0" w:line="244" w:lineRule="auto"/>
        <w:tabs>
          <w:tab w:leader="none" w:pos="218" w:val="left"/>
        </w:tabs>
        <w:numPr>
          <w:ilvl w:val="0"/>
          <w:numId w:val="32"/>
        </w:numPr>
        <w:rPr>
          <w:rFonts w:ascii="Arial" w:cs="Arial" w:eastAsia="Arial" w:hAnsi="Arial"/>
          <w:sz w:val="15"/>
          <w:szCs w:val="15"/>
          <w:color w:val="012E6C"/>
        </w:rPr>
      </w:pPr>
      <w:r>
        <w:rPr>
          <w:rFonts w:ascii="Arial" w:cs="Arial" w:eastAsia="Arial" w:hAnsi="Arial"/>
          <w:sz w:val="15"/>
          <w:szCs w:val="15"/>
          <w:color w:val="auto"/>
        </w:rPr>
        <w:t>Experience with the demands and challenges associated with managing large organizations from his service as a Commander and Joint Staff Director of the Joint Chiefs</w:t>
      </w:r>
    </w:p>
    <w:p>
      <w:pPr>
        <w:ind w:left="230" w:hanging="230"/>
        <w:spacing w:after="0"/>
        <w:tabs>
          <w:tab w:leader="none" w:pos="230" w:val="left"/>
        </w:tabs>
        <w:numPr>
          <w:ilvl w:val="0"/>
          <w:numId w:val="32"/>
        </w:numPr>
        <w:rPr>
          <w:rFonts w:ascii="Arial" w:cs="Arial" w:eastAsia="Arial" w:hAnsi="Arial"/>
          <w:sz w:val="15"/>
          <w:szCs w:val="15"/>
          <w:color w:val="012E6C"/>
        </w:rPr>
      </w:pPr>
      <w:r>
        <w:rPr>
          <w:rFonts w:ascii="Arial" w:cs="Arial" w:eastAsia="Arial" w:hAnsi="Arial"/>
          <w:sz w:val="15"/>
          <w:szCs w:val="15"/>
          <w:color w:val="auto"/>
        </w:rPr>
        <w:t>Skilled in executive management, logistics and military procurement</w:t>
      </w:r>
    </w:p>
    <w:p>
      <w:pPr>
        <w:spacing w:after="0" w:line="324" w:lineRule="exact"/>
        <w:rPr>
          <w:sz w:val="20"/>
          <w:szCs w:val="20"/>
          <w:color w:val="auto"/>
        </w:rPr>
      </w:pPr>
    </w:p>
    <w:p>
      <w:pPr>
        <w:sectPr>
          <w:pgSz w:w="11900" w:h="16838" w:orient="portrait"/>
          <w:cols w:equalWidth="0" w:num="2">
            <w:col w:w="2040" w:space="210"/>
            <w:col w:w="7969"/>
          </w:cols>
          <w:pgMar w:left="240" w:top="292" w:right="1440" w:bottom="70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808080"/>
        </w:rPr>
        <w:t>10</w:t>
      </w:r>
    </w:p>
    <w:p>
      <w:pPr>
        <w:sectPr>
          <w:pgSz w:w="11900" w:h="16838" w:orient="portrait"/>
          <w:cols w:equalWidth="0" w:num="1">
            <w:col w:w="10219"/>
          </w:cols>
          <w:pgMar w:left="240" w:top="292" w:right="1440" w:bottom="700" w:gutter="0" w:footer="0" w:header="0"/>
          <w:type w:val="continuous"/>
        </w:sectPr>
      </w:pPr>
    </w:p>
    <w:bookmarkStart w:id="13" w:name="page14"/>
    <w:bookmarkEnd w:id="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8"/>
        <w:spacing w:after="0"/>
        <w:rPr>
          <w:sz w:val="20"/>
          <w:szCs w:val="20"/>
          <w:color w:val="auto"/>
        </w:rPr>
      </w:pPr>
      <w:r>
        <w:rPr>
          <w:rFonts w:ascii="Arial" w:cs="Arial" w:eastAsia="Arial" w:hAnsi="Arial"/>
          <w:sz w:val="21"/>
          <w:szCs w:val="21"/>
          <w:color w:val="475C90"/>
        </w:rPr>
        <w:t>James O. Ellis, Jr.</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5"/>
          <w:szCs w:val="15"/>
          <w:color w:val="003478"/>
        </w:rPr>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567"/>
        </w:trPr>
        <w:tc>
          <w:tcPr>
            <w:tcW w:w="1960" w:type="dxa"/>
            <w:vAlign w:val="bottom"/>
            <w:tcBorders>
              <w:right w:val="single" w:sz="8" w:color="475C90"/>
            </w:tcBorders>
          </w:tcPr>
          <w:p>
            <w:pPr>
              <w:spacing w:after="0"/>
              <w:rPr>
                <w:sz w:val="20"/>
                <w:szCs w:val="20"/>
                <w:color w:val="auto"/>
              </w:rPr>
            </w:pPr>
            <w:r>
              <w:rPr>
                <w:rFonts w:ascii="Arial" w:cs="Arial" w:eastAsia="Arial" w:hAnsi="Arial"/>
                <w:sz w:val="17"/>
                <w:szCs w:val="17"/>
                <w:color w:val="012E6C"/>
              </w:rPr>
              <w:t>Independent Director</w:t>
            </w:r>
          </w:p>
        </w:tc>
        <w:tc>
          <w:tcPr>
            <w:tcW w:w="1680" w:type="dxa"/>
            <w:vAlign w:val="bottom"/>
          </w:tcPr>
          <w:p>
            <w:pPr>
              <w:ind w:left="360"/>
              <w:spacing w:after="0"/>
              <w:rPr>
                <w:sz w:val="20"/>
                <w:szCs w:val="20"/>
                <w:color w:val="auto"/>
              </w:rPr>
            </w:pPr>
            <w:r>
              <w:rPr>
                <w:rFonts w:ascii="Arial" w:cs="Arial" w:eastAsia="Arial" w:hAnsi="Arial"/>
                <w:sz w:val="15"/>
                <w:szCs w:val="15"/>
                <w:color w:val="012E6C"/>
              </w:rPr>
              <w:t>Director since 2004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-1429385</wp:posOffset>
            </wp:positionH>
            <wp:positionV relativeFrom="paragraph">
              <wp:posOffset>77470</wp:posOffset>
            </wp:positionV>
            <wp:extent cx="5977255" cy="1200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77255" cy="1200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38" w:space="500"/>
            <w:col w:w="9160"/>
          </w:cols>
          <w:pgMar w:left="262" w:top="292" w:right="239" w:bottom="832" w:gutter="0" w:footer="0" w:header="0"/>
        </w:sectPr>
      </w:pPr>
    </w:p>
    <w:p>
      <w:pPr>
        <w:spacing w:after="0" w:line="249" w:lineRule="exact"/>
        <w:rPr>
          <w:sz w:val="20"/>
          <w:szCs w:val="20"/>
          <w:color w:val="auto"/>
        </w:rPr>
      </w:pPr>
    </w:p>
    <w:p>
      <w:pPr>
        <w:ind w:left="2238"/>
        <w:spacing w:after="0"/>
        <w:rPr>
          <w:sz w:val="20"/>
          <w:szCs w:val="20"/>
          <w:color w:val="auto"/>
        </w:rPr>
      </w:pPr>
      <w:r>
        <w:rPr>
          <w:rFonts w:ascii="Arial" w:cs="Arial" w:eastAsia="Arial" w:hAnsi="Arial"/>
          <w:sz w:val="15"/>
          <w:szCs w:val="15"/>
          <w:color w:val="012E6C"/>
        </w:rPr>
        <w:t>Biography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-102870</wp:posOffset>
            </wp:positionV>
            <wp:extent cx="909320" cy="909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09320" cy="909320"/>
                    </a:xfrm>
                    <a:prstGeom prst="rect">
                      <a:avLst/>
                    </a:prstGeom>
                    <a:noFill/>
                  </pic:spPr>
                </pic:pic>
              </a:graphicData>
            </a:graphic>
          </wp:anchor>
        </w:drawing>
      </w:r>
    </w:p>
    <w:p>
      <w:pPr>
        <w:spacing w:after="0" w:line="14" w:lineRule="exact"/>
        <w:rPr>
          <w:sz w:val="20"/>
          <w:szCs w:val="20"/>
          <w:color w:val="auto"/>
        </w:rPr>
      </w:pPr>
    </w:p>
    <w:p>
      <w:pPr>
        <w:ind w:left="2238" w:right="2100"/>
        <w:spacing w:after="0" w:line="231" w:lineRule="auto"/>
        <w:rPr>
          <w:sz w:val="20"/>
          <w:szCs w:val="20"/>
          <w:color w:val="auto"/>
        </w:rPr>
      </w:pPr>
      <w:r>
        <w:rPr>
          <w:rFonts w:ascii="Arial" w:cs="Arial" w:eastAsia="Arial" w:hAnsi="Arial"/>
          <w:sz w:val="15"/>
          <w:szCs w:val="15"/>
          <w:color w:val="auto"/>
        </w:rPr>
        <w:t>Admiral Ellis has served as an Annenberg Distinguished Fellow at the Hoover Institution at Stanford University since 2014. Previously, he served as President and Chief Executive Officer of Institute of Nuclear Power Operations from May 2005 until his retirement in May 2012. Mr. Ellis retired from active duty in July 2004 after serving as Admiral and Commander, United States Strategic Command, Offutt Air Force Base, Nebraska. He formerly served as a director of Inmarsat plc from June 2005 to March 2014, and Level 3 Communications, Inc., from March 2005 to November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1406525</wp:posOffset>
            </wp:positionH>
            <wp:positionV relativeFrom="paragraph">
              <wp:posOffset>168910</wp:posOffset>
            </wp:positionV>
            <wp:extent cx="45624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562475" cy="8890"/>
                    </a:xfrm>
                    <a:prstGeom prst="rect">
                      <a:avLst/>
                    </a:prstGeom>
                    <a:noFill/>
                  </pic:spPr>
                </pic:pic>
              </a:graphicData>
            </a:graphic>
          </wp:anchor>
        </w:drawing>
      </w:r>
    </w:p>
    <w:p>
      <w:pPr>
        <w:sectPr>
          <w:pgSz w:w="11900" w:h="16838" w:orient="portrait"/>
          <w:cols w:equalWidth="0" w:num="1">
            <w:col w:w="11398"/>
          </w:cols>
          <w:pgMar w:left="262" w:top="292" w:right="239" w:bottom="832" w:gutter="0" w:footer="0" w:header="0"/>
          <w:type w:val="continuous"/>
        </w:sectPr>
      </w:pPr>
    </w:p>
    <w:p>
      <w:pPr>
        <w:spacing w:after="0" w:line="324" w:lineRule="exact"/>
        <w:rPr>
          <w:sz w:val="20"/>
          <w:szCs w:val="20"/>
          <w:color w:val="auto"/>
        </w:rPr>
      </w:pPr>
    </w:p>
    <w:p>
      <w:pPr>
        <w:ind w:left="18"/>
        <w:spacing w:after="0"/>
        <w:rPr>
          <w:sz w:val="20"/>
          <w:szCs w:val="20"/>
          <w:color w:val="auto"/>
        </w:rPr>
      </w:pPr>
      <w:r>
        <w:rPr>
          <w:rFonts w:ascii="Arial" w:cs="Arial" w:eastAsia="Arial" w:hAnsi="Arial"/>
          <w:sz w:val="15"/>
          <w:szCs w:val="15"/>
          <w:color w:val="012E6C"/>
        </w:rPr>
        <w:t xml:space="preserve">Age </w:t>
      </w:r>
      <w:r>
        <w:rPr>
          <w:rFonts w:ascii="Arial" w:cs="Arial" w:eastAsia="Arial" w:hAnsi="Arial"/>
          <w:sz w:val="15"/>
          <w:szCs w:val="15"/>
          <w:color w:val="000000"/>
        </w:rPr>
        <w:t>71</w:t>
      </w:r>
    </w:p>
    <w:p>
      <w:pPr>
        <w:spacing w:after="0" w:line="98" w:lineRule="exact"/>
        <w:rPr>
          <w:sz w:val="20"/>
          <w:szCs w:val="20"/>
          <w:color w:val="auto"/>
        </w:rPr>
      </w:pPr>
    </w:p>
    <w:p>
      <w:pPr>
        <w:ind w:left="18"/>
        <w:spacing w:after="0"/>
        <w:rPr>
          <w:sz w:val="20"/>
          <w:szCs w:val="20"/>
          <w:color w:val="auto"/>
        </w:rPr>
      </w:pPr>
      <w:r>
        <w:rPr>
          <w:rFonts w:ascii="Arial" w:cs="Arial" w:eastAsia="Arial" w:hAnsi="Arial"/>
          <w:sz w:val="15"/>
          <w:szCs w:val="15"/>
          <w:color w:val="012E6C"/>
        </w:rPr>
        <w:t>Current Committees</w:t>
      </w:r>
    </w:p>
    <w:p>
      <w:pPr>
        <w:spacing w:after="0" w:line="10" w:lineRule="exact"/>
        <w:rPr>
          <w:sz w:val="20"/>
          <w:szCs w:val="20"/>
          <w:color w:val="auto"/>
        </w:rPr>
      </w:pPr>
    </w:p>
    <w:p>
      <w:pPr>
        <w:ind w:left="138" w:right="220" w:hanging="138"/>
        <w:spacing w:after="0" w:line="225" w:lineRule="auto"/>
        <w:tabs>
          <w:tab w:leader="none" w:pos="227" w:val="left"/>
        </w:tabs>
        <w:numPr>
          <w:ilvl w:val="0"/>
          <w:numId w:val="33"/>
        </w:numPr>
        <w:rPr>
          <w:rFonts w:ascii="Arial" w:cs="Arial" w:eastAsia="Arial" w:hAnsi="Arial"/>
          <w:sz w:val="15"/>
          <w:szCs w:val="15"/>
          <w:color w:val="012E6C"/>
        </w:rPr>
      </w:pPr>
      <w:r>
        <w:rPr>
          <w:rFonts w:ascii="Arial" w:cs="Arial" w:eastAsia="Arial" w:hAnsi="Arial"/>
          <w:sz w:val="15"/>
          <w:szCs w:val="15"/>
          <w:color w:val="auto"/>
        </w:rPr>
        <w:t>Classified Business and Security</w:t>
      </w:r>
    </w:p>
    <w:p>
      <w:pPr>
        <w:ind w:left="218" w:hanging="218"/>
        <w:spacing w:after="0" w:line="225" w:lineRule="auto"/>
        <w:tabs>
          <w:tab w:leader="none" w:pos="218" w:val="left"/>
        </w:tabs>
        <w:numPr>
          <w:ilvl w:val="0"/>
          <w:numId w:val="33"/>
        </w:numPr>
        <w:rPr>
          <w:rFonts w:ascii="Arial" w:cs="Arial" w:eastAsia="Arial" w:hAnsi="Arial"/>
          <w:sz w:val="15"/>
          <w:szCs w:val="15"/>
          <w:color w:val="012E6C"/>
        </w:rPr>
      </w:pPr>
      <w:r>
        <w:rPr>
          <w:rFonts w:ascii="Arial" w:cs="Arial" w:eastAsia="Arial" w:hAnsi="Arial"/>
          <w:sz w:val="15"/>
          <w:szCs w:val="15"/>
          <w:color w:val="auto"/>
        </w:rPr>
        <w:t>Executive</w:t>
      </w:r>
    </w:p>
    <w:p>
      <w:pPr>
        <w:ind w:left="218" w:hanging="218"/>
        <w:spacing w:after="0"/>
        <w:tabs>
          <w:tab w:leader="none" w:pos="218" w:val="left"/>
        </w:tabs>
        <w:numPr>
          <w:ilvl w:val="0"/>
          <w:numId w:val="33"/>
        </w:numPr>
        <w:rPr>
          <w:rFonts w:ascii="Arial" w:cs="Arial" w:eastAsia="Arial" w:hAnsi="Arial"/>
          <w:sz w:val="15"/>
          <w:szCs w:val="15"/>
          <w:color w:val="012E6C"/>
        </w:rPr>
      </w:pPr>
      <w:r>
        <w:rPr>
          <w:rFonts w:ascii="Arial" w:cs="Arial" w:eastAsia="Arial" w:hAnsi="Arial"/>
          <w:sz w:val="15"/>
          <w:szCs w:val="15"/>
          <w:color w:val="auto"/>
        </w:rPr>
        <w:t>Strategic Affairs, Chair</w:t>
      </w:r>
    </w:p>
    <w:p>
      <w:pPr>
        <w:spacing w:after="0" w:line="24" w:lineRule="exact"/>
        <w:rPr>
          <w:sz w:val="20"/>
          <w:szCs w:val="20"/>
          <w:color w:val="auto"/>
        </w:rPr>
      </w:pPr>
    </w:p>
    <w:p>
      <w:pPr>
        <w:ind w:left="18"/>
        <w:spacing w:after="0"/>
        <w:rPr>
          <w:sz w:val="20"/>
          <w:szCs w:val="20"/>
          <w:color w:val="auto"/>
        </w:rPr>
      </w:pPr>
      <w:r>
        <w:rPr>
          <w:rFonts w:ascii="Arial" w:cs="Arial" w:eastAsia="Arial" w:hAnsi="Arial"/>
          <w:sz w:val="15"/>
          <w:szCs w:val="15"/>
          <w:color w:val="012E6C"/>
        </w:rPr>
        <w:t>Other Current Public Boards</w:t>
      </w:r>
    </w:p>
    <w:p>
      <w:pPr>
        <w:spacing w:after="0" w:line="10" w:lineRule="exact"/>
        <w:rPr>
          <w:sz w:val="20"/>
          <w:szCs w:val="20"/>
          <w:color w:val="auto"/>
        </w:rPr>
      </w:pPr>
    </w:p>
    <w:p>
      <w:pPr>
        <w:ind w:left="18"/>
        <w:spacing w:after="0"/>
        <w:rPr>
          <w:sz w:val="20"/>
          <w:szCs w:val="20"/>
          <w:color w:val="auto"/>
        </w:rPr>
      </w:pPr>
      <w:r>
        <w:rPr>
          <w:rFonts w:ascii="Arial" w:cs="Arial" w:eastAsia="Arial" w:hAnsi="Arial"/>
          <w:sz w:val="15"/>
          <w:szCs w:val="15"/>
          <w:color w:val="auto"/>
        </w:rPr>
        <w:t>Dominion Energy,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8"/>
        <w:spacing w:after="0"/>
        <w:rPr>
          <w:sz w:val="20"/>
          <w:szCs w:val="20"/>
          <w:color w:val="auto"/>
        </w:rPr>
      </w:pPr>
      <w:r>
        <w:rPr>
          <w:rFonts w:ascii="Arial" w:cs="Arial" w:eastAsia="Arial" w:hAnsi="Arial"/>
          <w:sz w:val="22"/>
          <w:szCs w:val="22"/>
          <w:color w:val="475C90"/>
        </w:rPr>
        <w:t>Thomas J. Falk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358775</wp:posOffset>
            </wp:positionV>
            <wp:extent cx="909320" cy="909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0932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8"/>
        <w:spacing w:after="0"/>
        <w:rPr>
          <w:sz w:val="20"/>
          <w:szCs w:val="20"/>
          <w:color w:val="auto"/>
        </w:rPr>
      </w:pPr>
      <w:r>
        <w:rPr>
          <w:rFonts w:ascii="Arial" w:cs="Arial" w:eastAsia="Arial" w:hAnsi="Arial"/>
          <w:sz w:val="15"/>
          <w:szCs w:val="15"/>
          <w:color w:val="012E6C"/>
        </w:rPr>
        <w:t xml:space="preserve">Age </w:t>
      </w:r>
      <w:r>
        <w:rPr>
          <w:rFonts w:ascii="Arial" w:cs="Arial" w:eastAsia="Arial" w:hAnsi="Arial"/>
          <w:sz w:val="15"/>
          <w:szCs w:val="15"/>
          <w:color w:val="000000"/>
        </w:rPr>
        <w:t>60</w:t>
      </w:r>
    </w:p>
    <w:p>
      <w:pPr>
        <w:spacing w:after="0" w:line="98" w:lineRule="exact"/>
        <w:rPr>
          <w:sz w:val="20"/>
          <w:szCs w:val="20"/>
          <w:color w:val="auto"/>
        </w:rPr>
      </w:pPr>
    </w:p>
    <w:p>
      <w:pPr>
        <w:ind w:left="18"/>
        <w:spacing w:after="0"/>
        <w:rPr>
          <w:sz w:val="20"/>
          <w:szCs w:val="20"/>
          <w:color w:val="auto"/>
        </w:rPr>
      </w:pPr>
      <w:r>
        <w:rPr>
          <w:rFonts w:ascii="Arial" w:cs="Arial" w:eastAsia="Arial" w:hAnsi="Arial"/>
          <w:sz w:val="15"/>
          <w:szCs w:val="15"/>
          <w:color w:val="012E6C"/>
        </w:rPr>
        <w:t>Current Committees</w:t>
      </w:r>
    </w:p>
    <w:p>
      <w:pPr>
        <w:ind w:left="218" w:hanging="218"/>
        <w:spacing w:after="0"/>
        <w:tabs>
          <w:tab w:leader="none" w:pos="218" w:val="left"/>
        </w:tabs>
        <w:numPr>
          <w:ilvl w:val="0"/>
          <w:numId w:val="34"/>
        </w:numPr>
        <w:rPr>
          <w:rFonts w:ascii="Arial" w:cs="Arial" w:eastAsia="Arial" w:hAnsi="Arial"/>
          <w:sz w:val="15"/>
          <w:szCs w:val="15"/>
          <w:color w:val="012E6C"/>
        </w:rPr>
      </w:pPr>
      <w:r>
        <w:rPr>
          <w:rFonts w:ascii="Arial" w:cs="Arial" w:eastAsia="Arial" w:hAnsi="Arial"/>
          <w:sz w:val="15"/>
          <w:szCs w:val="15"/>
          <w:color w:val="auto"/>
        </w:rPr>
        <w:t>Audit, Chair</w:t>
      </w:r>
    </w:p>
    <w:p>
      <w:pPr>
        <w:ind w:left="218" w:hanging="218"/>
        <w:spacing w:after="0" w:line="225" w:lineRule="auto"/>
        <w:tabs>
          <w:tab w:leader="none" w:pos="218" w:val="left"/>
        </w:tabs>
        <w:numPr>
          <w:ilvl w:val="0"/>
          <w:numId w:val="34"/>
        </w:numPr>
        <w:rPr>
          <w:rFonts w:ascii="Arial" w:cs="Arial" w:eastAsia="Arial" w:hAnsi="Arial"/>
          <w:sz w:val="15"/>
          <w:szCs w:val="15"/>
          <w:color w:val="012E6C"/>
        </w:rPr>
      </w:pPr>
      <w:r>
        <w:rPr>
          <w:rFonts w:ascii="Arial" w:cs="Arial" w:eastAsia="Arial" w:hAnsi="Arial"/>
          <w:sz w:val="15"/>
          <w:szCs w:val="15"/>
          <w:color w:val="auto"/>
        </w:rPr>
        <w:t>Executive</w:t>
      </w:r>
    </w:p>
    <w:p>
      <w:pPr>
        <w:ind w:left="138" w:hanging="138"/>
        <w:spacing w:after="0" w:line="244" w:lineRule="auto"/>
        <w:tabs>
          <w:tab w:leader="none" w:pos="227" w:val="left"/>
        </w:tabs>
        <w:numPr>
          <w:ilvl w:val="0"/>
          <w:numId w:val="34"/>
        </w:numPr>
        <w:rPr>
          <w:rFonts w:ascii="Arial" w:cs="Arial" w:eastAsia="Arial" w:hAnsi="Arial"/>
          <w:sz w:val="15"/>
          <w:szCs w:val="15"/>
          <w:color w:val="012E6C"/>
        </w:rPr>
      </w:pPr>
      <w:r>
        <w:rPr>
          <w:rFonts w:ascii="Arial" w:cs="Arial" w:eastAsia="Arial" w:hAnsi="Arial"/>
          <w:sz w:val="15"/>
          <w:szCs w:val="15"/>
          <w:color w:val="auto"/>
        </w:rPr>
        <w:t>Management Development and Compensation</w:t>
      </w:r>
    </w:p>
    <w:p>
      <w:pPr>
        <w:spacing w:after="0" w:line="7" w:lineRule="exact"/>
        <w:rPr>
          <w:sz w:val="20"/>
          <w:szCs w:val="20"/>
          <w:color w:val="auto"/>
        </w:rPr>
      </w:pPr>
    </w:p>
    <w:p>
      <w:pPr>
        <w:ind w:left="18"/>
        <w:spacing w:after="0"/>
        <w:rPr>
          <w:sz w:val="20"/>
          <w:szCs w:val="20"/>
          <w:color w:val="auto"/>
        </w:rPr>
      </w:pPr>
      <w:r>
        <w:rPr>
          <w:rFonts w:ascii="Arial" w:cs="Arial" w:eastAsia="Arial" w:hAnsi="Arial"/>
          <w:sz w:val="15"/>
          <w:szCs w:val="15"/>
          <w:color w:val="012E6C"/>
        </w:rPr>
        <w:t>Other Current Public Boards</w:t>
      </w:r>
    </w:p>
    <w:p>
      <w:pPr>
        <w:spacing w:after="0" w:line="10" w:lineRule="exact"/>
        <w:rPr>
          <w:sz w:val="20"/>
          <w:szCs w:val="20"/>
          <w:color w:val="auto"/>
        </w:rPr>
      </w:pPr>
    </w:p>
    <w:p>
      <w:pPr>
        <w:ind w:left="18"/>
        <w:spacing w:after="0"/>
        <w:rPr>
          <w:sz w:val="20"/>
          <w:szCs w:val="20"/>
          <w:color w:val="auto"/>
        </w:rPr>
      </w:pPr>
      <w:r>
        <w:rPr>
          <w:rFonts w:ascii="Arial" w:cs="Arial" w:eastAsia="Arial" w:hAnsi="Arial"/>
          <w:sz w:val="15"/>
          <w:szCs w:val="15"/>
          <w:color w:val="auto"/>
        </w:rPr>
        <w:t>Kimberly-Clark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8"/>
        <w:spacing w:after="0"/>
        <w:rPr>
          <w:sz w:val="20"/>
          <w:szCs w:val="20"/>
          <w:color w:val="auto"/>
        </w:rPr>
      </w:pPr>
      <w:r>
        <w:rPr>
          <w:rFonts w:ascii="Arial" w:cs="Arial" w:eastAsia="Arial" w:hAnsi="Arial"/>
          <w:sz w:val="22"/>
          <w:szCs w:val="22"/>
          <w:color w:val="475C90"/>
        </w:rPr>
        <w:t>Ilene S.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358775</wp:posOffset>
            </wp:positionV>
            <wp:extent cx="909320" cy="909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0932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8"/>
        <w:spacing w:after="0"/>
        <w:rPr>
          <w:sz w:val="20"/>
          <w:szCs w:val="20"/>
          <w:color w:val="auto"/>
        </w:rPr>
      </w:pPr>
      <w:r>
        <w:rPr>
          <w:rFonts w:ascii="Arial" w:cs="Arial" w:eastAsia="Arial" w:hAnsi="Arial"/>
          <w:sz w:val="15"/>
          <w:szCs w:val="15"/>
          <w:color w:val="012E6C"/>
        </w:rPr>
        <w:t xml:space="preserve">Age </w:t>
      </w:r>
      <w:r>
        <w:rPr>
          <w:rFonts w:ascii="Arial" w:cs="Arial" w:eastAsia="Arial" w:hAnsi="Arial"/>
          <w:sz w:val="15"/>
          <w:szCs w:val="15"/>
          <w:color w:val="000000"/>
        </w:rPr>
        <w:t>65</w:t>
      </w:r>
    </w:p>
    <w:p>
      <w:pPr>
        <w:spacing w:after="0" w:line="98" w:lineRule="exact"/>
        <w:rPr>
          <w:sz w:val="20"/>
          <w:szCs w:val="20"/>
          <w:color w:val="auto"/>
        </w:rPr>
      </w:pPr>
    </w:p>
    <w:p>
      <w:pPr>
        <w:ind w:left="18"/>
        <w:spacing w:after="0"/>
        <w:rPr>
          <w:sz w:val="20"/>
          <w:szCs w:val="20"/>
          <w:color w:val="auto"/>
        </w:rPr>
      </w:pPr>
      <w:r>
        <w:rPr>
          <w:rFonts w:ascii="Arial" w:cs="Arial" w:eastAsia="Arial" w:hAnsi="Arial"/>
          <w:sz w:val="15"/>
          <w:szCs w:val="15"/>
          <w:color w:val="012E6C"/>
        </w:rPr>
        <w:t>Current Committees</w:t>
      </w:r>
    </w:p>
    <w:p>
      <w:pPr>
        <w:ind w:left="218" w:hanging="218"/>
        <w:spacing w:after="0"/>
        <w:tabs>
          <w:tab w:leader="none" w:pos="218" w:val="left"/>
        </w:tabs>
        <w:numPr>
          <w:ilvl w:val="0"/>
          <w:numId w:val="35"/>
        </w:numPr>
        <w:rPr>
          <w:rFonts w:ascii="Arial" w:cs="Arial" w:eastAsia="Arial" w:hAnsi="Arial"/>
          <w:sz w:val="15"/>
          <w:szCs w:val="15"/>
          <w:color w:val="012E6C"/>
        </w:rPr>
      </w:pPr>
      <w:r>
        <w:rPr>
          <w:rFonts w:ascii="Arial" w:cs="Arial" w:eastAsia="Arial" w:hAnsi="Arial"/>
          <w:sz w:val="15"/>
          <w:szCs w:val="15"/>
          <w:color w:val="auto"/>
        </w:rPr>
        <w:t>Audit</w:t>
      </w:r>
    </w:p>
    <w:p>
      <w:pPr>
        <w:ind w:left="138" w:hanging="138"/>
        <w:spacing w:after="0" w:line="244" w:lineRule="auto"/>
        <w:tabs>
          <w:tab w:leader="none" w:pos="227" w:val="left"/>
        </w:tabs>
        <w:numPr>
          <w:ilvl w:val="0"/>
          <w:numId w:val="35"/>
        </w:numPr>
        <w:rPr>
          <w:rFonts w:ascii="Arial" w:cs="Arial" w:eastAsia="Arial" w:hAnsi="Arial"/>
          <w:sz w:val="15"/>
          <w:szCs w:val="15"/>
          <w:color w:val="012E6C"/>
        </w:rPr>
      </w:pPr>
      <w:r>
        <w:rPr>
          <w:rFonts w:ascii="Arial" w:cs="Arial" w:eastAsia="Arial" w:hAnsi="Arial"/>
          <w:sz w:val="15"/>
          <w:szCs w:val="15"/>
          <w:color w:val="auto"/>
        </w:rPr>
        <w:t>Management Development and Compensation</w:t>
      </w:r>
    </w:p>
    <w:p>
      <w:pPr>
        <w:spacing w:after="0" w:line="7" w:lineRule="exact"/>
        <w:rPr>
          <w:sz w:val="20"/>
          <w:szCs w:val="20"/>
          <w:color w:val="auto"/>
        </w:rPr>
      </w:pPr>
    </w:p>
    <w:p>
      <w:pPr>
        <w:ind w:left="18"/>
        <w:spacing w:after="0"/>
        <w:rPr>
          <w:sz w:val="20"/>
          <w:szCs w:val="20"/>
          <w:color w:val="auto"/>
        </w:rPr>
      </w:pPr>
      <w:r>
        <w:rPr>
          <w:rFonts w:ascii="Arial" w:cs="Arial" w:eastAsia="Arial" w:hAnsi="Arial"/>
          <w:sz w:val="15"/>
          <w:szCs w:val="15"/>
          <w:color w:val="012E6C"/>
        </w:rPr>
        <w:t>Other Current Public Boards</w:t>
      </w:r>
    </w:p>
    <w:p>
      <w:pPr>
        <w:spacing w:after="0" w:line="10" w:lineRule="exact"/>
        <w:rPr>
          <w:sz w:val="20"/>
          <w:szCs w:val="20"/>
          <w:color w:val="auto"/>
        </w:rPr>
      </w:pPr>
    </w:p>
    <w:p>
      <w:pPr>
        <w:ind w:left="18"/>
        <w:spacing w:after="0"/>
        <w:rPr>
          <w:sz w:val="20"/>
          <w:szCs w:val="20"/>
          <w:color w:val="auto"/>
        </w:rPr>
      </w:pPr>
      <w:r>
        <w:rPr>
          <w:rFonts w:ascii="Arial" w:cs="Arial" w:eastAsia="Arial" w:hAnsi="Arial"/>
          <w:sz w:val="15"/>
          <w:szCs w:val="15"/>
          <w:color w:val="auto"/>
        </w:rPr>
        <w:t>International Paper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ind w:left="10"/>
        <w:spacing w:after="0"/>
        <w:rPr>
          <w:sz w:val="20"/>
          <w:szCs w:val="20"/>
          <w:color w:val="auto"/>
        </w:rPr>
      </w:pPr>
      <w:r>
        <w:rPr>
          <w:rFonts w:ascii="Arial" w:cs="Arial" w:eastAsia="Arial" w:hAnsi="Arial"/>
          <w:sz w:val="15"/>
          <w:szCs w:val="15"/>
          <w:color w:val="012E6C"/>
        </w:rPr>
        <w:t>Skills and Qualifications</w:t>
      </w:r>
    </w:p>
    <w:p>
      <w:pPr>
        <w:spacing w:after="0" w:line="34" w:lineRule="exact"/>
        <w:rPr>
          <w:sz w:val="20"/>
          <w:szCs w:val="20"/>
          <w:color w:val="auto"/>
        </w:rPr>
      </w:pPr>
    </w:p>
    <w:p>
      <w:pPr>
        <w:ind w:left="130" w:right="2100" w:hanging="130"/>
        <w:spacing w:after="0" w:line="244" w:lineRule="auto"/>
        <w:tabs>
          <w:tab w:leader="none" w:pos="218" w:val="left"/>
        </w:tabs>
        <w:numPr>
          <w:ilvl w:val="0"/>
          <w:numId w:val="36"/>
        </w:numPr>
        <w:rPr>
          <w:rFonts w:ascii="Arial" w:cs="Arial" w:eastAsia="Arial" w:hAnsi="Arial"/>
          <w:sz w:val="15"/>
          <w:szCs w:val="15"/>
          <w:color w:val="012E6C"/>
        </w:rPr>
      </w:pPr>
      <w:r>
        <w:rPr>
          <w:rFonts w:ascii="Arial" w:cs="Arial" w:eastAsia="Arial" w:hAnsi="Arial"/>
          <w:sz w:val="15"/>
          <w:szCs w:val="15"/>
          <w:color w:val="auto"/>
        </w:rPr>
        <w:t>Industry-specific expertise and knowledge of our core customers from his service in senior leadership positions with the military</w:t>
      </w:r>
    </w:p>
    <w:p>
      <w:pPr>
        <w:ind w:left="130" w:right="2260" w:hanging="130"/>
        <w:spacing w:after="0" w:line="244" w:lineRule="auto"/>
        <w:tabs>
          <w:tab w:leader="none" w:pos="218" w:val="left"/>
        </w:tabs>
        <w:numPr>
          <w:ilvl w:val="0"/>
          <w:numId w:val="36"/>
        </w:numPr>
        <w:rPr>
          <w:rFonts w:ascii="Arial" w:cs="Arial" w:eastAsia="Arial" w:hAnsi="Arial"/>
          <w:sz w:val="15"/>
          <w:szCs w:val="15"/>
          <w:color w:val="012E6C"/>
        </w:rPr>
      </w:pPr>
      <w:r>
        <w:rPr>
          <w:rFonts w:ascii="Arial" w:cs="Arial" w:eastAsia="Arial" w:hAnsi="Arial"/>
          <w:sz w:val="15"/>
          <w:szCs w:val="15"/>
          <w:color w:val="auto"/>
        </w:rPr>
        <w:t>Expertise in aeronautical and aerospace engineering, information technology and emerging energy issues</w:t>
      </w:r>
    </w:p>
    <w:p>
      <w:pPr>
        <w:ind w:left="230" w:hanging="230"/>
        <w:spacing w:after="0"/>
        <w:tabs>
          <w:tab w:leader="none" w:pos="230" w:val="left"/>
        </w:tabs>
        <w:numPr>
          <w:ilvl w:val="0"/>
          <w:numId w:val="36"/>
        </w:numPr>
        <w:rPr>
          <w:rFonts w:ascii="Arial" w:cs="Arial" w:eastAsia="Arial" w:hAnsi="Arial"/>
          <w:sz w:val="15"/>
          <w:szCs w:val="15"/>
          <w:color w:val="012E6C"/>
        </w:rPr>
      </w:pPr>
      <w:r>
        <w:rPr>
          <w:rFonts w:ascii="Arial" w:cs="Arial" w:eastAsia="Arial" w:hAnsi="Arial"/>
          <w:sz w:val="15"/>
          <w:szCs w:val="15"/>
          <w:color w:val="auto"/>
        </w:rPr>
        <w:t>Skilled in enterprise risk management</w:t>
      </w:r>
    </w:p>
    <w:p>
      <w:pPr>
        <w:spacing w:after="0" w:line="16" w:lineRule="exact"/>
        <w:rPr>
          <w:rFonts w:ascii="Arial" w:cs="Arial" w:eastAsia="Arial" w:hAnsi="Arial"/>
          <w:sz w:val="15"/>
          <w:szCs w:val="15"/>
          <w:color w:val="012E6C"/>
        </w:rPr>
      </w:pPr>
    </w:p>
    <w:p>
      <w:pPr>
        <w:ind w:left="130" w:right="2220" w:hanging="130"/>
        <w:spacing w:after="0" w:line="238" w:lineRule="auto"/>
        <w:tabs>
          <w:tab w:leader="none" w:pos="218" w:val="left"/>
        </w:tabs>
        <w:numPr>
          <w:ilvl w:val="0"/>
          <w:numId w:val="36"/>
        </w:numPr>
        <w:rPr>
          <w:rFonts w:ascii="Arial" w:cs="Arial" w:eastAsia="Arial" w:hAnsi="Arial"/>
          <w:sz w:val="15"/>
          <w:szCs w:val="15"/>
          <w:color w:val="012E6C"/>
        </w:rPr>
      </w:pPr>
      <w:r>
        <w:rPr>
          <w:rFonts w:ascii="Arial" w:cs="Arial" w:eastAsia="Arial" w:hAnsi="Arial"/>
          <w:sz w:val="15"/>
          <w:szCs w:val="15"/>
          <w:color w:val="auto"/>
        </w:rPr>
        <w:t>Over 40 years’ experience in managing and leading large and complex technology-focused organizations, in large part as a result of serving for 35 years as an active duty member of the United States Navy</w:t>
      </w:r>
    </w:p>
    <w:p>
      <w:pPr>
        <w:spacing w:after="0" w:line="263" w:lineRule="exact"/>
        <w:rPr>
          <w:sz w:val="20"/>
          <w:szCs w:val="20"/>
          <w:color w:val="auto"/>
        </w:rPr>
      </w:pPr>
    </w:p>
    <w:tbl>
      <w:tblPr>
        <w:tblLayout w:type="fixed"/>
        <w:tblInd w:w="10" w:type="dxa"/>
        <w:tblCellMar>
          <w:top w:w="0" w:type="dxa"/>
          <w:left w:w="0" w:type="dxa"/>
          <w:bottom w:w="0" w:type="dxa"/>
          <w:right w:w="0" w:type="dxa"/>
        </w:tblCellMar>
      </w:tblPr>
      <w:tr>
        <w:trPr>
          <w:trHeight w:val="567"/>
        </w:trPr>
        <w:tc>
          <w:tcPr>
            <w:tcW w:w="1960" w:type="dxa"/>
            <w:vAlign w:val="bottom"/>
            <w:tcBorders>
              <w:right w:val="single" w:sz="8" w:color="475C90"/>
            </w:tcBorders>
          </w:tcPr>
          <w:p>
            <w:pPr>
              <w:spacing w:after="0"/>
              <w:rPr>
                <w:sz w:val="20"/>
                <w:szCs w:val="20"/>
                <w:color w:val="auto"/>
              </w:rPr>
            </w:pPr>
            <w:r>
              <w:rPr>
                <w:rFonts w:ascii="Arial" w:cs="Arial" w:eastAsia="Arial" w:hAnsi="Arial"/>
                <w:sz w:val="17"/>
                <w:szCs w:val="17"/>
                <w:color w:val="012E6C"/>
              </w:rPr>
              <w:t>Independent Director</w:t>
            </w:r>
          </w:p>
        </w:tc>
        <w:tc>
          <w:tcPr>
            <w:tcW w:w="1680" w:type="dxa"/>
            <w:vAlign w:val="bottom"/>
          </w:tcPr>
          <w:p>
            <w:pPr>
              <w:ind w:left="360"/>
              <w:spacing w:after="0"/>
              <w:rPr>
                <w:sz w:val="20"/>
                <w:szCs w:val="20"/>
                <w:color w:val="auto"/>
              </w:rPr>
            </w:pPr>
            <w:r>
              <w:rPr>
                <w:rFonts w:ascii="Arial" w:cs="Arial" w:eastAsia="Arial" w:hAnsi="Arial"/>
                <w:sz w:val="15"/>
                <w:szCs w:val="15"/>
                <w:color w:val="012E6C"/>
              </w:rPr>
              <w:t>Director since 2010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-1423035</wp:posOffset>
            </wp:positionH>
            <wp:positionV relativeFrom="paragraph">
              <wp:posOffset>77470</wp:posOffset>
            </wp:positionV>
            <wp:extent cx="5977255" cy="1200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77255" cy="12001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10"/>
        <w:spacing w:after="0"/>
        <w:rPr>
          <w:sz w:val="20"/>
          <w:szCs w:val="20"/>
          <w:color w:val="auto"/>
        </w:rPr>
      </w:pPr>
      <w:r>
        <w:rPr>
          <w:rFonts w:ascii="Arial" w:cs="Arial" w:eastAsia="Arial" w:hAnsi="Arial"/>
          <w:sz w:val="15"/>
          <w:szCs w:val="15"/>
          <w:color w:val="012E6C"/>
        </w:rPr>
        <w:t>Biography</w:t>
      </w:r>
    </w:p>
    <w:p>
      <w:pPr>
        <w:spacing w:after="0" w:line="34" w:lineRule="exact"/>
        <w:rPr>
          <w:sz w:val="20"/>
          <w:szCs w:val="20"/>
          <w:color w:val="auto"/>
        </w:rPr>
      </w:pPr>
    </w:p>
    <w:p>
      <w:pPr>
        <w:ind w:left="10" w:right="2140"/>
        <w:spacing w:after="0" w:line="234" w:lineRule="auto"/>
        <w:rPr>
          <w:sz w:val="20"/>
          <w:szCs w:val="20"/>
          <w:color w:val="auto"/>
        </w:rPr>
      </w:pPr>
      <w:r>
        <w:rPr>
          <w:rFonts w:ascii="Arial" w:cs="Arial" w:eastAsia="Arial" w:hAnsi="Arial"/>
          <w:sz w:val="15"/>
          <w:szCs w:val="15"/>
          <w:color w:val="auto"/>
        </w:rPr>
        <w:t>Executive Chairman of Kimberly-Clark Corporation since January 2019. Having served 35 years at Kimberly-Clark Corporation, Mr. Falk was Chairman of the Board and Chief Executive Officer from 2003 until December 2018; Chief Executive Officer from 2002 and President and Chief Operating Officer from 1999 to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374015</wp:posOffset>
            </wp:positionV>
            <wp:extent cx="45624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562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0"/>
        <w:spacing w:after="0"/>
        <w:rPr>
          <w:sz w:val="20"/>
          <w:szCs w:val="20"/>
          <w:color w:val="auto"/>
        </w:rPr>
      </w:pPr>
      <w:r>
        <w:rPr>
          <w:rFonts w:ascii="Arial" w:cs="Arial" w:eastAsia="Arial" w:hAnsi="Arial"/>
          <w:sz w:val="15"/>
          <w:szCs w:val="15"/>
          <w:color w:val="012E6C"/>
        </w:rPr>
        <w:t>Skills and Qualifications</w:t>
      </w:r>
    </w:p>
    <w:p>
      <w:pPr>
        <w:spacing w:after="0" w:line="34" w:lineRule="exact"/>
        <w:rPr>
          <w:sz w:val="20"/>
          <w:szCs w:val="20"/>
          <w:color w:val="auto"/>
        </w:rPr>
      </w:pPr>
    </w:p>
    <w:p>
      <w:pPr>
        <w:ind w:left="170" w:right="2040" w:hanging="130"/>
        <w:spacing w:after="0" w:line="244" w:lineRule="auto"/>
        <w:tabs>
          <w:tab w:leader="none" w:pos="258" w:val="left"/>
        </w:tabs>
        <w:numPr>
          <w:ilvl w:val="0"/>
          <w:numId w:val="37"/>
        </w:numPr>
        <w:rPr>
          <w:rFonts w:ascii="Arial" w:cs="Arial" w:eastAsia="Arial" w:hAnsi="Arial"/>
          <w:sz w:val="15"/>
          <w:szCs w:val="15"/>
          <w:color w:val="012E6C"/>
        </w:rPr>
      </w:pPr>
      <w:r>
        <w:rPr>
          <w:rFonts w:ascii="Arial" w:cs="Arial" w:eastAsia="Arial" w:hAnsi="Arial"/>
          <w:sz w:val="15"/>
          <w:szCs w:val="15"/>
          <w:color w:val="auto"/>
        </w:rPr>
        <w:t>Experience with the demands and challenges associated with managing global organizations from his experience as Chairman and Chief Executive Officer of Kimberly-Clark Corporation</w:t>
      </w:r>
    </w:p>
    <w:p>
      <w:pPr>
        <w:ind w:left="170" w:right="2280" w:hanging="130"/>
        <w:spacing w:after="0" w:line="244" w:lineRule="auto"/>
        <w:tabs>
          <w:tab w:leader="none" w:pos="258" w:val="left"/>
        </w:tabs>
        <w:numPr>
          <w:ilvl w:val="0"/>
          <w:numId w:val="37"/>
        </w:numPr>
        <w:rPr>
          <w:rFonts w:ascii="Arial" w:cs="Arial" w:eastAsia="Arial" w:hAnsi="Arial"/>
          <w:sz w:val="15"/>
          <w:szCs w:val="15"/>
          <w:color w:val="012E6C"/>
        </w:rPr>
      </w:pPr>
      <w:r>
        <w:rPr>
          <w:rFonts w:ascii="Arial" w:cs="Arial" w:eastAsia="Arial" w:hAnsi="Arial"/>
          <w:sz w:val="15"/>
          <w:szCs w:val="15"/>
          <w:color w:val="auto"/>
        </w:rPr>
        <w:t>Knowledge of financial system management, public company accounting, disclosure requirements and financial markets</w:t>
      </w:r>
    </w:p>
    <w:p>
      <w:pPr>
        <w:ind w:left="170" w:right="2200" w:hanging="130"/>
        <w:spacing w:after="0" w:line="244" w:lineRule="auto"/>
        <w:tabs>
          <w:tab w:leader="none" w:pos="258" w:val="left"/>
        </w:tabs>
        <w:numPr>
          <w:ilvl w:val="0"/>
          <w:numId w:val="37"/>
        </w:numPr>
        <w:rPr>
          <w:rFonts w:ascii="Arial" w:cs="Arial" w:eastAsia="Arial" w:hAnsi="Arial"/>
          <w:sz w:val="15"/>
          <w:szCs w:val="15"/>
          <w:color w:val="012E6C"/>
        </w:rPr>
      </w:pPr>
      <w:r>
        <w:rPr>
          <w:rFonts w:ascii="Arial" w:cs="Arial" w:eastAsia="Arial" w:hAnsi="Arial"/>
          <w:sz w:val="15"/>
          <w:szCs w:val="15"/>
          <w:color w:val="auto"/>
        </w:rPr>
        <w:t>Manufacturing, human capital management, compensation, governance and public company board experience</w:t>
      </w:r>
    </w:p>
    <w:p>
      <w:pPr>
        <w:ind w:left="170" w:right="2380" w:hanging="130"/>
        <w:spacing w:after="0" w:line="248" w:lineRule="auto"/>
        <w:tabs>
          <w:tab w:leader="none" w:pos="256" w:val="left"/>
        </w:tabs>
        <w:numPr>
          <w:ilvl w:val="0"/>
          <w:numId w:val="37"/>
        </w:numPr>
        <w:rPr>
          <w:rFonts w:ascii="Arial" w:cs="Arial" w:eastAsia="Arial" w:hAnsi="Arial"/>
          <w:sz w:val="15"/>
          <w:szCs w:val="15"/>
          <w:color w:val="012E6C"/>
        </w:rPr>
      </w:pPr>
      <w:r>
        <w:rPr>
          <w:rFonts w:ascii="Arial" w:cs="Arial" w:eastAsia="Arial" w:hAnsi="Arial"/>
          <w:sz w:val="15"/>
          <w:szCs w:val="15"/>
          <w:color w:val="auto"/>
        </w:rPr>
        <w:t>The Board has determined that Mr. Falk meets the SEC’s criteria of an “audit committee financial expert”</w:t>
      </w:r>
    </w:p>
    <w:p>
      <w:pPr>
        <w:spacing w:after="0" w:line="257" w:lineRule="exact"/>
        <w:rPr>
          <w:sz w:val="20"/>
          <w:szCs w:val="20"/>
          <w:color w:val="auto"/>
        </w:rPr>
      </w:pPr>
    </w:p>
    <w:tbl>
      <w:tblPr>
        <w:tblLayout w:type="fixed"/>
        <w:tblInd w:w="10" w:type="dxa"/>
        <w:tblCellMar>
          <w:top w:w="0" w:type="dxa"/>
          <w:left w:w="0" w:type="dxa"/>
          <w:bottom w:w="0" w:type="dxa"/>
          <w:right w:w="0" w:type="dxa"/>
        </w:tblCellMar>
      </w:tblPr>
      <w:tr>
        <w:trPr>
          <w:trHeight w:val="567"/>
        </w:trPr>
        <w:tc>
          <w:tcPr>
            <w:tcW w:w="1960" w:type="dxa"/>
            <w:vAlign w:val="bottom"/>
            <w:tcBorders>
              <w:right w:val="single" w:sz="8" w:color="475C90"/>
            </w:tcBorders>
          </w:tcPr>
          <w:p>
            <w:pPr>
              <w:spacing w:after="0"/>
              <w:rPr>
                <w:sz w:val="20"/>
                <w:szCs w:val="20"/>
                <w:color w:val="auto"/>
              </w:rPr>
            </w:pPr>
            <w:r>
              <w:rPr>
                <w:rFonts w:ascii="Arial" w:cs="Arial" w:eastAsia="Arial" w:hAnsi="Arial"/>
                <w:sz w:val="17"/>
                <w:szCs w:val="17"/>
                <w:color w:val="012E6C"/>
              </w:rPr>
              <w:t>Independent Director</w:t>
            </w:r>
          </w:p>
        </w:tc>
        <w:tc>
          <w:tcPr>
            <w:tcW w:w="1680" w:type="dxa"/>
            <w:vAlign w:val="bottom"/>
          </w:tcPr>
          <w:p>
            <w:pPr>
              <w:ind w:left="360"/>
              <w:spacing w:after="0"/>
              <w:rPr>
                <w:sz w:val="20"/>
                <w:szCs w:val="20"/>
                <w:color w:val="auto"/>
              </w:rPr>
            </w:pPr>
            <w:r>
              <w:rPr>
                <w:rFonts w:ascii="Arial" w:cs="Arial" w:eastAsia="Arial" w:hAnsi="Arial"/>
                <w:sz w:val="15"/>
                <w:szCs w:val="15"/>
                <w:color w:val="012E6C"/>
              </w:rPr>
              <w:t>Director since 2016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-1423035</wp:posOffset>
            </wp:positionH>
            <wp:positionV relativeFrom="paragraph">
              <wp:posOffset>77470</wp:posOffset>
            </wp:positionV>
            <wp:extent cx="5977255" cy="1200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77255" cy="12001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10"/>
        <w:spacing w:after="0"/>
        <w:rPr>
          <w:sz w:val="20"/>
          <w:szCs w:val="20"/>
          <w:color w:val="auto"/>
        </w:rPr>
      </w:pPr>
      <w:r>
        <w:rPr>
          <w:rFonts w:ascii="Arial" w:cs="Arial" w:eastAsia="Arial" w:hAnsi="Arial"/>
          <w:sz w:val="15"/>
          <w:szCs w:val="15"/>
          <w:color w:val="012E6C"/>
        </w:rPr>
        <w:t>Biography</w:t>
      </w:r>
    </w:p>
    <w:p>
      <w:pPr>
        <w:spacing w:after="0" w:line="34" w:lineRule="exact"/>
        <w:rPr>
          <w:sz w:val="20"/>
          <w:szCs w:val="20"/>
          <w:color w:val="auto"/>
        </w:rPr>
      </w:pPr>
    </w:p>
    <w:p>
      <w:pPr>
        <w:ind w:left="10" w:right="2200"/>
        <w:spacing w:after="0" w:line="238" w:lineRule="auto"/>
        <w:rPr>
          <w:sz w:val="20"/>
          <w:szCs w:val="20"/>
          <w:color w:val="auto"/>
        </w:rPr>
      </w:pPr>
      <w:r>
        <w:rPr>
          <w:rFonts w:ascii="Arial" w:cs="Arial" w:eastAsia="Arial" w:hAnsi="Arial"/>
          <w:sz w:val="15"/>
          <w:szCs w:val="15"/>
          <w:color w:val="auto"/>
        </w:rPr>
        <w:t>Executive Chairman of the Board of Ingredion Incorporated from January 2018 through July 2018. Previously, Ms. Gordon was Chairman of the Board, President and Chief Executive Officer of Ingredion Incorporated from May 2009 through December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475615</wp:posOffset>
            </wp:positionV>
            <wp:extent cx="45624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562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0"/>
        <w:spacing w:after="0"/>
        <w:rPr>
          <w:sz w:val="20"/>
          <w:szCs w:val="20"/>
          <w:color w:val="auto"/>
        </w:rPr>
      </w:pPr>
      <w:r>
        <w:rPr>
          <w:rFonts w:ascii="Arial" w:cs="Arial" w:eastAsia="Arial" w:hAnsi="Arial"/>
          <w:sz w:val="15"/>
          <w:szCs w:val="15"/>
          <w:color w:val="012E6C"/>
        </w:rPr>
        <w:t>Skills and Qualifications</w:t>
      </w:r>
    </w:p>
    <w:p>
      <w:pPr>
        <w:spacing w:after="0" w:line="34" w:lineRule="exact"/>
        <w:rPr>
          <w:sz w:val="20"/>
          <w:szCs w:val="20"/>
          <w:color w:val="auto"/>
        </w:rPr>
      </w:pPr>
    </w:p>
    <w:p>
      <w:pPr>
        <w:ind w:left="130" w:right="2040" w:hanging="130"/>
        <w:spacing w:after="0" w:line="244" w:lineRule="auto"/>
        <w:tabs>
          <w:tab w:leader="none" w:pos="218" w:val="left"/>
        </w:tabs>
        <w:numPr>
          <w:ilvl w:val="0"/>
          <w:numId w:val="38"/>
        </w:numPr>
        <w:rPr>
          <w:rFonts w:ascii="Arial" w:cs="Arial" w:eastAsia="Arial" w:hAnsi="Arial"/>
          <w:sz w:val="15"/>
          <w:szCs w:val="15"/>
          <w:color w:val="012E6C"/>
        </w:rPr>
      </w:pPr>
      <w:r>
        <w:rPr>
          <w:rFonts w:ascii="Arial" w:cs="Arial" w:eastAsia="Arial" w:hAnsi="Arial"/>
          <w:sz w:val="15"/>
          <w:szCs w:val="15"/>
          <w:color w:val="auto"/>
        </w:rPr>
        <w:t>Experience with the demands and challenges associated with managing global organizations from her experience as Chairman, President and Chief Executive Officer of Ingredion Incorporated</w:t>
      </w:r>
    </w:p>
    <w:p>
      <w:pPr>
        <w:ind w:left="130" w:right="2320" w:hanging="130"/>
        <w:spacing w:after="0" w:line="244" w:lineRule="auto"/>
        <w:tabs>
          <w:tab w:leader="none" w:pos="218" w:val="left"/>
        </w:tabs>
        <w:numPr>
          <w:ilvl w:val="0"/>
          <w:numId w:val="38"/>
        </w:numPr>
        <w:rPr>
          <w:rFonts w:ascii="Arial" w:cs="Arial" w:eastAsia="Arial" w:hAnsi="Arial"/>
          <w:sz w:val="15"/>
          <w:szCs w:val="15"/>
          <w:color w:val="012E6C"/>
        </w:rPr>
      </w:pPr>
      <w:r>
        <w:rPr>
          <w:rFonts w:ascii="Arial" w:cs="Arial" w:eastAsia="Arial" w:hAnsi="Arial"/>
          <w:sz w:val="15"/>
          <w:szCs w:val="15"/>
          <w:color w:val="auto"/>
        </w:rPr>
        <w:t>Knowledge of financial system management, public company accounting, disclosure requirements and financial markets</w:t>
      </w:r>
    </w:p>
    <w:p>
      <w:pPr>
        <w:ind w:left="130" w:right="2540" w:hanging="130"/>
        <w:spacing w:after="0" w:line="244" w:lineRule="auto"/>
        <w:tabs>
          <w:tab w:leader="none" w:pos="218" w:val="left"/>
        </w:tabs>
        <w:numPr>
          <w:ilvl w:val="0"/>
          <w:numId w:val="38"/>
        </w:numPr>
        <w:rPr>
          <w:rFonts w:ascii="Arial" w:cs="Arial" w:eastAsia="Arial" w:hAnsi="Arial"/>
          <w:sz w:val="15"/>
          <w:szCs w:val="15"/>
          <w:color w:val="012E6C"/>
        </w:rPr>
      </w:pPr>
      <w:r>
        <w:rPr>
          <w:rFonts w:ascii="Arial" w:cs="Arial" w:eastAsia="Arial" w:hAnsi="Arial"/>
          <w:sz w:val="15"/>
          <w:szCs w:val="15"/>
          <w:color w:val="auto"/>
        </w:rPr>
        <w:t>Marketing, human capital management, compensation, governance and public company board experience</w:t>
      </w:r>
    </w:p>
    <w:p>
      <w:pPr>
        <w:ind w:left="130" w:right="2160" w:hanging="130"/>
        <w:spacing w:after="0" w:line="248" w:lineRule="auto"/>
        <w:tabs>
          <w:tab w:leader="none" w:pos="216" w:val="left"/>
        </w:tabs>
        <w:numPr>
          <w:ilvl w:val="0"/>
          <w:numId w:val="38"/>
        </w:numPr>
        <w:rPr>
          <w:rFonts w:ascii="Arial" w:cs="Arial" w:eastAsia="Arial" w:hAnsi="Arial"/>
          <w:sz w:val="15"/>
          <w:szCs w:val="15"/>
          <w:color w:val="012E6C"/>
        </w:rPr>
      </w:pPr>
      <w:r>
        <w:rPr>
          <w:rFonts w:ascii="Arial" w:cs="Arial" w:eastAsia="Arial" w:hAnsi="Arial"/>
          <w:sz w:val="15"/>
          <w:szCs w:val="15"/>
          <w:color w:val="auto"/>
        </w:rPr>
        <w:t>The Board has determined that Ms. Gordon meets the SEC’s criteria of an “audit committee financial expert”</w:t>
      </w:r>
    </w:p>
    <w:p>
      <w:pPr>
        <w:spacing w:after="0" w:line="200" w:lineRule="exact"/>
        <w:rPr>
          <w:sz w:val="20"/>
          <w:szCs w:val="20"/>
          <w:color w:val="auto"/>
        </w:rPr>
      </w:pPr>
    </w:p>
    <w:p>
      <w:pPr>
        <w:sectPr>
          <w:pgSz w:w="11900" w:h="16838" w:orient="portrait"/>
          <w:cols w:equalWidth="0" w:num="2">
            <w:col w:w="2058" w:space="170"/>
            <w:col w:w="9170"/>
          </w:cols>
          <w:pgMar w:left="262" w:top="292" w:right="239" w:bottom="832" w:gutter="0" w:footer="0" w:header="0"/>
          <w:type w:val="continuous"/>
        </w:sectPr>
      </w:pPr>
    </w:p>
    <w:p>
      <w:pPr>
        <w:spacing w:after="0" w:line="250" w:lineRule="exact"/>
        <w:rPr>
          <w:sz w:val="20"/>
          <w:szCs w:val="20"/>
          <w:color w:val="auto"/>
        </w:rPr>
      </w:pPr>
    </w:p>
    <w:p>
      <w:pPr>
        <w:ind w:left="18"/>
        <w:spacing w:after="0"/>
        <w:tabs>
          <w:tab w:leader="none" w:pos="9398" w:val="left"/>
          <w:tab w:leader="none" w:pos="11198"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2019 Proxy Statement</w:t>
      </w:r>
      <w:r>
        <w:rPr>
          <w:sz w:val="20"/>
          <w:szCs w:val="20"/>
          <w:color w:val="auto"/>
        </w:rPr>
        <w:tab/>
      </w:r>
      <w:r>
        <w:rPr>
          <w:rFonts w:ascii="Arial" w:cs="Arial" w:eastAsia="Arial" w:hAnsi="Arial"/>
          <w:sz w:val="14"/>
          <w:szCs w:val="14"/>
          <w:b w:val="1"/>
          <w:bCs w:val="1"/>
          <w:color w:val="808080"/>
        </w:rPr>
        <w:t>11</w:t>
      </w:r>
    </w:p>
    <w:p>
      <w:pPr>
        <w:sectPr>
          <w:pgSz w:w="11900" w:h="16838" w:orient="portrait"/>
          <w:cols w:equalWidth="0" w:num="1">
            <w:col w:w="11398"/>
          </w:cols>
          <w:pgMar w:left="262" w:top="292" w:right="239" w:bottom="832" w:gutter="0" w:footer="0" w:header="0"/>
          <w:type w:val="continuous"/>
        </w:sectPr>
      </w:pPr>
    </w:p>
    <w:bookmarkStart w:id="14" w:name="page15"/>
    <w:bookmarkEnd w:id="14"/>
    <w:p>
      <w:pPr>
        <w:spacing w:after="0"/>
        <w:rPr>
          <w:sz w:val="20"/>
          <w:szCs w:val="20"/>
          <w:color w:val="auto"/>
        </w:rPr>
      </w:pPr>
      <w:r>
        <w:rPr>
          <w:rFonts w:ascii="Arial" w:cs="Arial" w:eastAsia="Arial" w:hAnsi="Arial"/>
          <w:sz w:val="15"/>
          <w:szCs w:val="15"/>
          <w:color w:val="003478"/>
        </w:rPr>
        <w:t>Proposal 1: Election of Directors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567"/>
        </w:trPr>
        <w:tc>
          <w:tcPr>
            <w:tcW w:w="4560" w:type="dxa"/>
            <w:vAlign w:val="bottom"/>
            <w:tcBorders>
              <w:right w:val="single" w:sz="8" w:color="475C90"/>
            </w:tcBorders>
          </w:tcPr>
          <w:p>
            <w:pPr>
              <w:ind w:left="40"/>
              <w:spacing w:after="0"/>
              <w:rPr>
                <w:sz w:val="20"/>
                <w:szCs w:val="20"/>
                <w:color w:val="auto"/>
              </w:rPr>
            </w:pPr>
            <w:r>
              <w:rPr>
                <w:rFonts w:ascii="Arial" w:cs="Arial" w:eastAsia="Arial" w:hAnsi="Arial"/>
                <w:sz w:val="43"/>
                <w:szCs w:val="43"/>
                <w:color w:val="475C90"/>
                <w:vertAlign w:val="superscript"/>
              </w:rPr>
              <w:t>Marillyn A. Hewson</w:t>
            </w:r>
            <w:r>
              <w:rPr>
                <w:rFonts w:ascii="Arial" w:cs="Arial" w:eastAsia="Arial" w:hAnsi="Arial"/>
                <w:sz w:val="17"/>
                <w:szCs w:val="17"/>
                <w:color w:val="012E6C"/>
              </w:rPr>
              <w:t>Chairman, President &amp; CEO</w:t>
            </w:r>
          </w:p>
        </w:tc>
        <w:tc>
          <w:tcPr>
            <w:tcW w:w="4860" w:type="dxa"/>
            <w:vAlign w:val="bottom"/>
          </w:tcPr>
          <w:p>
            <w:pPr>
              <w:ind w:left="360"/>
              <w:spacing w:after="0"/>
              <w:rPr>
                <w:sz w:val="20"/>
                <w:szCs w:val="20"/>
                <w:color w:val="auto"/>
              </w:rPr>
            </w:pPr>
            <w:r>
              <w:rPr>
                <w:rFonts w:ascii="Arial" w:cs="Arial" w:eastAsia="Arial" w:hAnsi="Arial"/>
                <w:sz w:val="15"/>
                <w:szCs w:val="15"/>
                <w:color w:val="012E6C"/>
              </w:rPr>
              <w:t>Director since 2012</w:t>
            </w:r>
          </w:p>
        </w:tc>
      </w:tr>
      <w:tr>
        <w:trPr>
          <w:trHeight w:val="122"/>
        </w:trPr>
        <w:tc>
          <w:tcPr>
            <w:tcW w:w="4560" w:type="dxa"/>
            <w:vAlign w:val="bottom"/>
          </w:tcPr>
          <w:p>
            <w:pPr>
              <w:spacing w:after="0"/>
              <w:rPr>
                <w:sz w:val="10"/>
                <w:szCs w:val="10"/>
                <w:color w:val="auto"/>
              </w:rPr>
            </w:pPr>
          </w:p>
        </w:tc>
        <w:tc>
          <w:tcPr>
            <w:tcW w:w="4860" w:type="dxa"/>
            <w:vAlign w:val="bottom"/>
          </w:tcPr>
          <w:p>
            <w:pPr>
              <w:spacing w:after="0"/>
              <w:rPr>
                <w:sz w:val="10"/>
                <w:szCs w:val="10"/>
                <w:color w:val="auto"/>
              </w:rPr>
            </w:pPr>
          </w:p>
        </w:tc>
      </w:tr>
      <w:tr>
        <w:trPr>
          <w:trHeight w:val="189"/>
        </w:trPr>
        <w:tc>
          <w:tcPr>
            <w:tcW w:w="4560" w:type="dxa"/>
            <w:vAlign w:val="bottom"/>
            <w:tcBorders>
              <w:right w:val="single" w:sz="8" w:color="475C90"/>
            </w:tcBorders>
            <w:shd w:val="clear" w:color="auto" w:fill="475C90"/>
          </w:tcPr>
          <w:p>
            <w:pPr>
              <w:spacing w:after="0"/>
              <w:rPr>
                <w:sz w:val="16"/>
                <w:szCs w:val="16"/>
                <w:color w:val="auto"/>
              </w:rPr>
            </w:pPr>
          </w:p>
        </w:tc>
        <w:tc>
          <w:tcPr>
            <w:tcW w:w="4860" w:type="dxa"/>
            <w:vAlign w:val="bottom"/>
            <w:shd w:val="clear" w:color="auto" w:fill="475C90"/>
          </w:tcPr>
          <w:p>
            <w:pPr>
              <w:spacing w:after="0"/>
              <w:rPr>
                <w:sz w:val="16"/>
                <w:szCs w:val="16"/>
                <w:color w:val="auto"/>
              </w:rPr>
            </w:pPr>
          </w:p>
        </w:tc>
      </w:tr>
    </w:tbl>
    <w:p>
      <w:pPr>
        <w:spacing w:after="0" w:line="139" w:lineRule="exact"/>
        <w:rPr>
          <w:sz w:val="20"/>
          <w:szCs w:val="20"/>
          <w:color w:val="auto"/>
        </w:rPr>
      </w:pPr>
    </w:p>
    <w:p>
      <w:pPr>
        <w:ind w:left="2220"/>
        <w:spacing w:after="0"/>
        <w:rPr>
          <w:sz w:val="20"/>
          <w:szCs w:val="20"/>
          <w:color w:val="auto"/>
        </w:rPr>
      </w:pPr>
      <w:r>
        <w:rPr>
          <w:rFonts w:ascii="Arial" w:cs="Arial" w:eastAsia="Arial" w:hAnsi="Arial"/>
          <w:sz w:val="15"/>
          <w:szCs w:val="15"/>
          <w:color w:val="012E6C"/>
        </w:rPr>
        <w:t>Biography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-102870</wp:posOffset>
            </wp:positionV>
            <wp:extent cx="909320" cy="9093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09320" cy="909320"/>
                    </a:xfrm>
                    <a:prstGeom prst="rect">
                      <a:avLst/>
                    </a:prstGeom>
                    <a:noFill/>
                  </pic:spPr>
                </pic:pic>
              </a:graphicData>
            </a:graphic>
          </wp:anchor>
        </w:drawing>
      </w:r>
    </w:p>
    <w:p>
      <w:pPr>
        <w:spacing w:after="0" w:line="14" w:lineRule="exact"/>
        <w:rPr>
          <w:sz w:val="20"/>
          <w:szCs w:val="20"/>
          <w:color w:val="auto"/>
        </w:rPr>
      </w:pPr>
    </w:p>
    <w:p>
      <w:pPr>
        <w:ind w:left="2220" w:right="939"/>
        <w:spacing w:after="0" w:line="234" w:lineRule="auto"/>
        <w:rPr>
          <w:sz w:val="20"/>
          <w:szCs w:val="20"/>
          <w:color w:val="auto"/>
        </w:rPr>
      </w:pPr>
      <w:r>
        <w:rPr>
          <w:rFonts w:ascii="Arial" w:cs="Arial" w:eastAsia="Arial" w:hAnsi="Arial"/>
          <w:sz w:val="15"/>
          <w:szCs w:val="15"/>
          <w:color w:val="auto"/>
        </w:rPr>
        <w:t>Chairman, President and Chief Executive Officer of Lockheed Martin since January 2014. Having served 35 years at Lockheed Martin in roles of increasing responsibility, Ms. Hewson held the positions of Chief Executive Officer and President from January 2013 to December 2013; and President and Chief Operating Officer from November 2012 to December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374015</wp:posOffset>
            </wp:positionV>
            <wp:extent cx="45878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5878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
        <w:spacing w:after="0"/>
        <w:rPr>
          <w:sz w:val="20"/>
          <w:szCs w:val="20"/>
          <w:color w:val="auto"/>
        </w:rPr>
      </w:pPr>
      <w:r>
        <w:rPr>
          <w:rFonts w:ascii="Arial" w:cs="Arial" w:eastAsia="Arial" w:hAnsi="Arial"/>
          <w:sz w:val="15"/>
          <w:szCs w:val="15"/>
          <w:color w:val="012E6C"/>
        </w:rPr>
        <w:t xml:space="preserve">Age </w:t>
      </w:r>
      <w:r>
        <w:rPr>
          <w:rFonts w:ascii="Arial" w:cs="Arial" w:eastAsia="Arial" w:hAnsi="Arial"/>
          <w:sz w:val="15"/>
          <w:szCs w:val="15"/>
          <w:color w:val="000000"/>
        </w:rPr>
        <w:t>65</w:t>
      </w:r>
    </w:p>
    <w:p>
      <w:pPr>
        <w:sectPr>
          <w:pgSz w:w="11900" w:h="16838" w:orient="portrait"/>
          <w:cols w:equalWidth="0" w:num="1">
            <w:col w:w="10219"/>
          </w:cols>
          <w:pgMar w:left="240" w:top="292" w:right="1440" w:bottom="1440" w:gutter="0" w:footer="0" w:header="0"/>
        </w:sectPr>
      </w:pPr>
    </w:p>
    <w:p>
      <w:pPr>
        <w:spacing w:after="0" w:line="98" w:lineRule="exact"/>
        <w:rPr>
          <w:sz w:val="20"/>
          <w:szCs w:val="20"/>
          <w:color w:val="auto"/>
        </w:rPr>
      </w:pPr>
    </w:p>
    <w:p>
      <w:pPr>
        <w:ind w:left="40"/>
        <w:spacing w:after="0"/>
        <w:rPr>
          <w:sz w:val="20"/>
          <w:szCs w:val="20"/>
          <w:color w:val="auto"/>
        </w:rPr>
      </w:pPr>
      <w:r>
        <w:rPr>
          <w:rFonts w:ascii="Arial" w:cs="Arial" w:eastAsia="Arial" w:hAnsi="Arial"/>
          <w:sz w:val="15"/>
          <w:szCs w:val="15"/>
          <w:color w:val="012E6C"/>
        </w:rPr>
        <w:t>Current Committees</w:t>
      </w:r>
    </w:p>
    <w:p>
      <w:pPr>
        <w:spacing w:after="0" w:line="10" w:lineRule="exact"/>
        <w:rPr>
          <w:sz w:val="20"/>
          <w:szCs w:val="20"/>
          <w:color w:val="auto"/>
        </w:rPr>
      </w:pPr>
    </w:p>
    <w:p>
      <w:pPr>
        <w:ind w:left="240" w:hanging="218"/>
        <w:spacing w:after="0"/>
        <w:tabs>
          <w:tab w:leader="none" w:pos="240" w:val="left"/>
        </w:tabs>
        <w:numPr>
          <w:ilvl w:val="0"/>
          <w:numId w:val="39"/>
        </w:numPr>
        <w:rPr>
          <w:rFonts w:ascii="Arial" w:cs="Arial" w:eastAsia="Arial" w:hAnsi="Arial"/>
          <w:sz w:val="15"/>
          <w:szCs w:val="15"/>
          <w:color w:val="012E6C"/>
        </w:rPr>
      </w:pPr>
      <w:r>
        <w:rPr>
          <w:rFonts w:ascii="Arial" w:cs="Arial" w:eastAsia="Arial" w:hAnsi="Arial"/>
          <w:sz w:val="15"/>
          <w:szCs w:val="15"/>
          <w:color w:val="auto"/>
        </w:rPr>
        <w:t>Executive, Chair</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5"/>
          <w:szCs w:val="15"/>
          <w:color w:val="012E6C"/>
        </w:rPr>
        <w:t>Other Current Public Boards</w:t>
      </w:r>
    </w:p>
    <w:p>
      <w:pPr>
        <w:spacing w:after="0" w:line="10" w:lineRule="exact"/>
        <w:rPr>
          <w:sz w:val="20"/>
          <w:szCs w:val="20"/>
          <w:color w:val="auto"/>
        </w:rPr>
      </w:pPr>
    </w:p>
    <w:p>
      <w:pPr>
        <w:ind w:left="40" w:right="440"/>
        <w:spacing w:after="0" w:line="244" w:lineRule="auto"/>
        <w:rPr>
          <w:sz w:val="20"/>
          <w:szCs w:val="20"/>
          <w:color w:val="auto"/>
        </w:rPr>
      </w:pPr>
      <w:r>
        <w:rPr>
          <w:rFonts w:ascii="Arial" w:cs="Arial" w:eastAsia="Arial" w:hAnsi="Arial"/>
          <w:sz w:val="15"/>
          <w:szCs w:val="15"/>
          <w:color w:val="auto"/>
        </w:rPr>
        <w:t>DowDuPont Inc. (until March 31, 2019)</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ind w:left="11"/>
        <w:spacing w:after="0"/>
        <w:rPr>
          <w:sz w:val="20"/>
          <w:szCs w:val="20"/>
          <w:color w:val="auto"/>
        </w:rPr>
      </w:pPr>
      <w:r>
        <w:rPr>
          <w:rFonts w:ascii="Arial" w:cs="Arial" w:eastAsia="Arial" w:hAnsi="Arial"/>
          <w:sz w:val="15"/>
          <w:szCs w:val="15"/>
          <w:color w:val="012E6C"/>
        </w:rPr>
        <w:t>Skills and Qualifications</w:t>
      </w:r>
    </w:p>
    <w:p>
      <w:pPr>
        <w:spacing w:after="0" w:line="34" w:lineRule="exact"/>
        <w:rPr>
          <w:sz w:val="20"/>
          <w:szCs w:val="20"/>
          <w:color w:val="auto"/>
        </w:rPr>
      </w:pPr>
    </w:p>
    <w:p>
      <w:pPr>
        <w:ind w:left="131" w:right="859" w:hanging="131"/>
        <w:spacing w:after="0" w:line="238" w:lineRule="auto"/>
        <w:tabs>
          <w:tab w:leader="none" w:pos="219" w:val="left"/>
        </w:tabs>
        <w:numPr>
          <w:ilvl w:val="0"/>
          <w:numId w:val="40"/>
        </w:numPr>
        <w:rPr>
          <w:rFonts w:ascii="Arial" w:cs="Arial" w:eastAsia="Arial" w:hAnsi="Arial"/>
          <w:sz w:val="15"/>
          <w:szCs w:val="15"/>
          <w:color w:val="012E6C"/>
        </w:rPr>
      </w:pPr>
      <w:r>
        <w:rPr>
          <w:rFonts w:ascii="Arial" w:cs="Arial" w:eastAsia="Arial" w:hAnsi="Arial"/>
          <w:sz w:val="15"/>
          <w:szCs w:val="15"/>
          <w:color w:val="auto"/>
        </w:rPr>
        <w:t>Broad insight and knowledge into the complexities of global business management, strategic planning, finance, supply chain and leveraged services based on more than three decades of experience in executive and operational roles with the Corporation and in our industry</w:t>
      </w:r>
    </w:p>
    <w:p>
      <w:pPr>
        <w:ind w:left="131" w:right="1219" w:hanging="131"/>
        <w:spacing w:after="0" w:line="244" w:lineRule="auto"/>
        <w:tabs>
          <w:tab w:leader="none" w:pos="219" w:val="left"/>
        </w:tabs>
        <w:numPr>
          <w:ilvl w:val="0"/>
          <w:numId w:val="40"/>
        </w:numPr>
        <w:rPr>
          <w:rFonts w:ascii="Arial" w:cs="Arial" w:eastAsia="Arial" w:hAnsi="Arial"/>
          <w:sz w:val="15"/>
          <w:szCs w:val="15"/>
          <w:color w:val="012E6C"/>
        </w:rPr>
      </w:pPr>
      <w:r>
        <w:rPr>
          <w:rFonts w:ascii="Arial" w:cs="Arial" w:eastAsia="Arial" w:hAnsi="Arial"/>
          <w:sz w:val="15"/>
          <w:szCs w:val="15"/>
          <w:color w:val="auto"/>
        </w:rPr>
        <w:t>Expertise in government relations, government contracting, manufacturing, marketing and human capital management</w:t>
      </w:r>
    </w:p>
    <w:p>
      <w:pPr>
        <w:ind w:left="131" w:right="1319" w:hanging="131"/>
        <w:spacing w:after="0" w:line="248" w:lineRule="auto"/>
        <w:tabs>
          <w:tab w:leader="none" w:pos="219" w:val="left"/>
        </w:tabs>
        <w:numPr>
          <w:ilvl w:val="0"/>
          <w:numId w:val="40"/>
        </w:numPr>
        <w:rPr>
          <w:rFonts w:ascii="Arial" w:cs="Arial" w:eastAsia="Arial" w:hAnsi="Arial"/>
          <w:sz w:val="15"/>
          <w:szCs w:val="15"/>
          <w:color w:val="012E6C"/>
        </w:rPr>
      </w:pPr>
      <w:r>
        <w:rPr>
          <w:rFonts w:ascii="Arial" w:cs="Arial" w:eastAsia="Arial" w:hAnsi="Arial"/>
          <w:sz w:val="15"/>
          <w:szCs w:val="15"/>
          <w:color w:val="auto"/>
        </w:rPr>
        <w:t>Corporate governance and audit expertise derived from service on boards of other multinational corporations and nonprofit organizations</w:t>
      </w:r>
    </w:p>
    <w:p>
      <w:pPr>
        <w:spacing w:after="0" w:line="200" w:lineRule="exact"/>
        <w:rPr>
          <w:sz w:val="20"/>
          <w:szCs w:val="20"/>
          <w:color w:val="auto"/>
        </w:rPr>
      </w:pPr>
    </w:p>
    <w:p>
      <w:pPr>
        <w:sectPr>
          <w:pgSz w:w="11900" w:h="16838" w:orient="portrait"/>
          <w:cols w:equalWidth="0" w:num="2">
            <w:col w:w="1960" w:space="249"/>
            <w:col w:w="8010"/>
          </w:cols>
          <w:pgMar w:left="240" w:top="292" w:right="1440" w:bottom="1440" w:gutter="0" w:footer="0" w:header="0"/>
          <w:type w:val="continuous"/>
        </w:sectPr>
      </w:pPr>
    </w:p>
    <w:p>
      <w:pPr>
        <w:spacing w:after="0" w:line="266" w:lineRule="exact"/>
        <w:rPr>
          <w:sz w:val="20"/>
          <w:szCs w:val="20"/>
          <w:color w:val="auto"/>
        </w:rPr>
      </w:pPr>
    </w:p>
    <w:p>
      <w:pPr>
        <w:ind w:left="40"/>
        <w:spacing w:after="0"/>
        <w:rPr>
          <w:sz w:val="20"/>
          <w:szCs w:val="20"/>
          <w:color w:val="auto"/>
        </w:rPr>
      </w:pPr>
      <w:r>
        <w:rPr>
          <w:rFonts w:ascii="Arial" w:cs="Arial" w:eastAsia="Arial" w:hAnsi="Arial"/>
          <w:sz w:val="21"/>
          <w:szCs w:val="21"/>
          <w:color w:val="475C90"/>
        </w:rPr>
        <w:t>Vicki A. Hollub</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567"/>
        </w:trPr>
        <w:tc>
          <w:tcPr>
            <w:tcW w:w="1960" w:type="dxa"/>
            <w:vAlign w:val="bottom"/>
            <w:tcBorders>
              <w:right w:val="single" w:sz="8" w:color="475C90"/>
            </w:tcBorders>
          </w:tcPr>
          <w:p>
            <w:pPr>
              <w:spacing w:after="0"/>
              <w:rPr>
                <w:sz w:val="20"/>
                <w:szCs w:val="20"/>
                <w:color w:val="auto"/>
              </w:rPr>
            </w:pPr>
            <w:r>
              <w:rPr>
                <w:rFonts w:ascii="Arial" w:cs="Arial" w:eastAsia="Arial" w:hAnsi="Arial"/>
                <w:sz w:val="17"/>
                <w:szCs w:val="17"/>
                <w:color w:val="012E6C"/>
              </w:rPr>
              <w:t>Independent Director</w:t>
            </w:r>
          </w:p>
        </w:tc>
        <w:tc>
          <w:tcPr>
            <w:tcW w:w="1680" w:type="dxa"/>
            <w:vAlign w:val="bottom"/>
          </w:tcPr>
          <w:p>
            <w:pPr>
              <w:ind w:left="360"/>
              <w:spacing w:after="0"/>
              <w:rPr>
                <w:sz w:val="20"/>
                <w:szCs w:val="20"/>
                <w:color w:val="auto"/>
              </w:rPr>
            </w:pPr>
            <w:r>
              <w:rPr>
                <w:rFonts w:ascii="Arial" w:cs="Arial" w:eastAsia="Arial" w:hAnsi="Arial"/>
                <w:sz w:val="15"/>
                <w:szCs w:val="15"/>
                <w:color w:val="012E6C"/>
              </w:rPr>
              <w:t>Director since 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-1429385</wp:posOffset>
            </wp:positionH>
            <wp:positionV relativeFrom="paragraph">
              <wp:posOffset>77470</wp:posOffset>
            </wp:positionV>
            <wp:extent cx="5977255" cy="1200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77255" cy="1200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40" w:space="720"/>
            <w:col w:w="7959"/>
          </w:cols>
          <w:pgMar w:left="240" w:top="292" w:right="1440" w:bottom="1440" w:gutter="0" w:footer="0" w:header="0"/>
          <w:type w:val="continuous"/>
        </w:sectPr>
      </w:pPr>
    </w:p>
    <w:p>
      <w:pPr>
        <w:spacing w:after="0" w:line="249" w:lineRule="exact"/>
        <w:rPr>
          <w:sz w:val="20"/>
          <w:szCs w:val="20"/>
          <w:color w:val="auto"/>
        </w:rPr>
      </w:pPr>
    </w:p>
    <w:p>
      <w:pPr>
        <w:ind w:left="2260"/>
        <w:spacing w:after="0"/>
        <w:rPr>
          <w:sz w:val="20"/>
          <w:szCs w:val="20"/>
          <w:color w:val="auto"/>
        </w:rPr>
      </w:pPr>
      <w:r>
        <w:rPr>
          <w:rFonts w:ascii="Arial" w:cs="Arial" w:eastAsia="Arial" w:hAnsi="Arial"/>
          <w:sz w:val="15"/>
          <w:szCs w:val="15"/>
          <w:color w:val="012E6C"/>
        </w:rPr>
        <w:t>Biography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-102870</wp:posOffset>
            </wp:positionV>
            <wp:extent cx="909320" cy="9264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09320" cy="926465"/>
                    </a:xfrm>
                    <a:prstGeom prst="rect">
                      <a:avLst/>
                    </a:prstGeom>
                    <a:noFill/>
                  </pic:spPr>
                </pic:pic>
              </a:graphicData>
            </a:graphic>
          </wp:anchor>
        </w:drawing>
      </w:r>
    </w:p>
    <w:p>
      <w:pPr>
        <w:spacing w:after="0" w:line="14" w:lineRule="exact"/>
        <w:rPr>
          <w:sz w:val="20"/>
          <w:szCs w:val="20"/>
          <w:color w:val="auto"/>
        </w:rPr>
      </w:pPr>
    </w:p>
    <w:p>
      <w:pPr>
        <w:ind w:left="2260" w:right="859"/>
        <w:spacing w:after="0" w:line="231" w:lineRule="auto"/>
        <w:rPr>
          <w:sz w:val="20"/>
          <w:szCs w:val="20"/>
          <w:color w:val="auto"/>
        </w:rPr>
      </w:pPr>
      <w:r>
        <w:rPr>
          <w:rFonts w:ascii="Arial" w:cs="Arial" w:eastAsia="Arial" w:hAnsi="Arial"/>
          <w:sz w:val="15"/>
          <w:szCs w:val="15"/>
          <w:color w:val="auto"/>
        </w:rPr>
        <w:t>President and Chief Executive Officer of Occidental Petroleum Corporation (Occidental), an international oil and gas exploration and production company since April 2016. Having served more than 30 years at Occidental, Ms. Hollub served as President and Chief Operating Officer from 2015 to 2016; Senior Executive Vice President, Occidental and President, Oxy Oil and Gas - Americas from 2014 to 2015, and Executive Vice President, Occidental and Executive Vice President, U.S. Operations and Oxy Oil and Gas from 2013 to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186055</wp:posOffset>
            </wp:positionV>
            <wp:extent cx="45624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562475" cy="8890"/>
                    </a:xfrm>
                    <a:prstGeom prst="rect">
                      <a:avLst/>
                    </a:prstGeom>
                    <a:noFill/>
                  </pic:spPr>
                </pic:pic>
              </a:graphicData>
            </a:graphic>
          </wp:anchor>
        </w:drawing>
      </w:r>
    </w:p>
    <w:p>
      <w:pPr>
        <w:sectPr>
          <w:pgSz w:w="11900" w:h="16838" w:orient="portrait"/>
          <w:cols w:equalWidth="0" w:num="1">
            <w:col w:w="10219"/>
          </w:cols>
          <w:pgMar w:left="240" w:top="292" w:right="1440" w:bottom="1440" w:gutter="0" w:footer="0" w:header="0"/>
          <w:type w:val="continuous"/>
        </w:sectPr>
      </w:pPr>
    </w:p>
    <w:p>
      <w:pPr>
        <w:spacing w:after="0" w:line="351" w:lineRule="exact"/>
        <w:rPr>
          <w:sz w:val="20"/>
          <w:szCs w:val="20"/>
          <w:color w:val="auto"/>
        </w:rPr>
      </w:pPr>
    </w:p>
    <w:p>
      <w:pPr>
        <w:ind w:left="40"/>
        <w:spacing w:after="0"/>
        <w:rPr>
          <w:sz w:val="20"/>
          <w:szCs w:val="20"/>
          <w:color w:val="auto"/>
        </w:rPr>
      </w:pPr>
      <w:r>
        <w:rPr>
          <w:rFonts w:ascii="Arial" w:cs="Arial" w:eastAsia="Arial" w:hAnsi="Arial"/>
          <w:sz w:val="15"/>
          <w:szCs w:val="15"/>
          <w:color w:val="012E6C"/>
        </w:rPr>
        <w:t xml:space="preserve">Age </w:t>
      </w:r>
      <w:r>
        <w:rPr>
          <w:rFonts w:ascii="Arial" w:cs="Arial" w:eastAsia="Arial" w:hAnsi="Arial"/>
          <w:sz w:val="15"/>
          <w:szCs w:val="15"/>
          <w:color w:val="000000"/>
        </w:rPr>
        <w:t>59</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5"/>
          <w:szCs w:val="15"/>
          <w:color w:val="012E6C"/>
        </w:rPr>
        <w:t>Current Committees</w:t>
      </w:r>
    </w:p>
    <w:p>
      <w:pPr>
        <w:spacing w:after="0" w:line="10" w:lineRule="exact"/>
        <w:rPr>
          <w:sz w:val="20"/>
          <w:szCs w:val="20"/>
          <w:color w:val="auto"/>
        </w:rPr>
      </w:pPr>
    </w:p>
    <w:p>
      <w:pPr>
        <w:ind w:left="160" w:hanging="138"/>
        <w:spacing w:after="0" w:line="225" w:lineRule="auto"/>
        <w:tabs>
          <w:tab w:leader="none" w:pos="248" w:val="left"/>
        </w:tabs>
        <w:numPr>
          <w:ilvl w:val="0"/>
          <w:numId w:val="41"/>
        </w:numPr>
        <w:rPr>
          <w:rFonts w:ascii="Arial" w:cs="Arial" w:eastAsia="Arial" w:hAnsi="Arial"/>
          <w:sz w:val="15"/>
          <w:szCs w:val="15"/>
          <w:color w:val="012E6C"/>
        </w:rPr>
      </w:pPr>
      <w:r>
        <w:rPr>
          <w:rFonts w:ascii="Arial" w:cs="Arial" w:eastAsia="Arial" w:hAnsi="Arial"/>
          <w:sz w:val="15"/>
          <w:szCs w:val="15"/>
          <w:color w:val="auto"/>
        </w:rPr>
        <w:t>Management Development and Compensation</w:t>
      </w:r>
    </w:p>
    <w:p>
      <w:pPr>
        <w:ind w:left="160" w:right="40" w:hanging="138"/>
        <w:spacing w:after="0" w:line="244" w:lineRule="auto"/>
        <w:tabs>
          <w:tab w:leader="none" w:pos="248" w:val="left"/>
        </w:tabs>
        <w:numPr>
          <w:ilvl w:val="0"/>
          <w:numId w:val="41"/>
        </w:numPr>
        <w:rPr>
          <w:rFonts w:ascii="Arial" w:cs="Arial" w:eastAsia="Arial" w:hAnsi="Arial"/>
          <w:sz w:val="15"/>
          <w:szCs w:val="15"/>
          <w:color w:val="012E6C"/>
        </w:rPr>
      </w:pPr>
      <w:r>
        <w:rPr>
          <w:rFonts w:ascii="Arial" w:cs="Arial" w:eastAsia="Arial" w:hAnsi="Arial"/>
          <w:sz w:val="15"/>
          <w:szCs w:val="15"/>
          <w:color w:val="auto"/>
        </w:rPr>
        <w:t>Nominating and Corporate Governance</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5"/>
          <w:szCs w:val="15"/>
          <w:color w:val="012E6C"/>
        </w:rPr>
        <w:t>Other Current Public Boards</w:t>
      </w:r>
    </w:p>
    <w:p>
      <w:pPr>
        <w:spacing w:after="0" w:line="10" w:lineRule="exact"/>
        <w:rPr>
          <w:sz w:val="20"/>
          <w:szCs w:val="20"/>
          <w:color w:val="auto"/>
        </w:rPr>
      </w:pPr>
    </w:p>
    <w:p>
      <w:pPr>
        <w:ind w:left="40" w:right="580"/>
        <w:spacing w:after="0" w:line="244" w:lineRule="auto"/>
        <w:rPr>
          <w:sz w:val="20"/>
          <w:szCs w:val="20"/>
          <w:color w:val="auto"/>
        </w:rPr>
      </w:pPr>
      <w:r>
        <w:rPr>
          <w:rFonts w:ascii="Arial" w:cs="Arial" w:eastAsia="Arial" w:hAnsi="Arial"/>
          <w:sz w:val="15"/>
          <w:szCs w:val="15"/>
          <w:color w:val="auto"/>
        </w:rPr>
        <w:t>Occidental Petroleum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388620</wp:posOffset>
            </wp:positionV>
            <wp:extent cx="1440815" cy="3257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440815" cy="3257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ind w:left="10"/>
        <w:spacing w:after="0"/>
        <w:rPr>
          <w:sz w:val="20"/>
          <w:szCs w:val="20"/>
          <w:color w:val="auto"/>
        </w:rPr>
      </w:pPr>
      <w:r>
        <w:rPr>
          <w:rFonts w:ascii="Arial" w:cs="Arial" w:eastAsia="Arial" w:hAnsi="Arial"/>
          <w:sz w:val="15"/>
          <w:szCs w:val="15"/>
          <w:color w:val="012E6C"/>
        </w:rPr>
        <w:t>Skills and Qualifications</w:t>
      </w:r>
    </w:p>
    <w:p>
      <w:pPr>
        <w:spacing w:after="0" w:line="34" w:lineRule="exact"/>
        <w:rPr>
          <w:sz w:val="20"/>
          <w:szCs w:val="20"/>
          <w:color w:val="auto"/>
        </w:rPr>
      </w:pPr>
    </w:p>
    <w:p>
      <w:pPr>
        <w:ind w:left="130" w:right="1119" w:hanging="130"/>
        <w:spacing w:after="0" w:line="238" w:lineRule="auto"/>
        <w:tabs>
          <w:tab w:leader="none" w:pos="218" w:val="left"/>
        </w:tabs>
        <w:numPr>
          <w:ilvl w:val="0"/>
          <w:numId w:val="42"/>
        </w:numPr>
        <w:rPr>
          <w:rFonts w:ascii="Arial" w:cs="Arial" w:eastAsia="Arial" w:hAnsi="Arial"/>
          <w:sz w:val="15"/>
          <w:szCs w:val="15"/>
          <w:color w:val="012E6C"/>
        </w:rPr>
      </w:pPr>
      <w:r>
        <w:rPr>
          <w:rFonts w:ascii="Arial" w:cs="Arial" w:eastAsia="Arial" w:hAnsi="Arial"/>
          <w:sz w:val="15"/>
          <w:szCs w:val="15"/>
          <w:color w:val="auto"/>
        </w:rPr>
        <w:t>Broad insight and experience with the demands and challenges associated with managing global organizations from her experience as President and Chief Executive Officer of Occidental and more than three decades in executive and operational roles</w:t>
      </w:r>
    </w:p>
    <w:p>
      <w:pPr>
        <w:ind w:left="230" w:hanging="230"/>
        <w:spacing w:after="0"/>
        <w:tabs>
          <w:tab w:leader="none" w:pos="230" w:val="left"/>
        </w:tabs>
        <w:numPr>
          <w:ilvl w:val="0"/>
          <w:numId w:val="42"/>
        </w:numPr>
        <w:rPr>
          <w:rFonts w:ascii="Arial" w:cs="Arial" w:eastAsia="Arial" w:hAnsi="Arial"/>
          <w:sz w:val="15"/>
          <w:szCs w:val="15"/>
          <w:color w:val="012E6C"/>
        </w:rPr>
      </w:pPr>
      <w:r>
        <w:rPr>
          <w:rFonts w:ascii="Arial" w:cs="Arial" w:eastAsia="Arial" w:hAnsi="Arial"/>
          <w:sz w:val="15"/>
          <w:szCs w:val="15"/>
          <w:color w:val="auto"/>
        </w:rPr>
        <w:t>Expertise in the Middle East region and Latin America</w:t>
      </w:r>
    </w:p>
    <w:p>
      <w:pPr>
        <w:spacing w:after="0" w:line="16" w:lineRule="exact"/>
        <w:rPr>
          <w:rFonts w:ascii="Arial" w:cs="Arial" w:eastAsia="Arial" w:hAnsi="Arial"/>
          <w:sz w:val="15"/>
          <w:szCs w:val="15"/>
          <w:color w:val="012E6C"/>
        </w:rPr>
      </w:pPr>
    </w:p>
    <w:p>
      <w:pPr>
        <w:ind w:left="230" w:hanging="230"/>
        <w:spacing w:after="0"/>
        <w:tabs>
          <w:tab w:leader="none" w:pos="230" w:val="left"/>
        </w:tabs>
        <w:numPr>
          <w:ilvl w:val="0"/>
          <w:numId w:val="42"/>
        </w:numPr>
        <w:rPr>
          <w:rFonts w:ascii="Arial" w:cs="Arial" w:eastAsia="Arial" w:hAnsi="Arial"/>
          <w:sz w:val="15"/>
          <w:szCs w:val="15"/>
          <w:color w:val="012E6C"/>
        </w:rPr>
      </w:pPr>
      <w:r>
        <w:rPr>
          <w:rFonts w:ascii="Arial" w:cs="Arial" w:eastAsia="Arial" w:hAnsi="Arial"/>
          <w:sz w:val="15"/>
          <w:szCs w:val="15"/>
          <w:color w:val="auto"/>
        </w:rPr>
        <w:t>Skilled in enterprise risk management, environmental, safety and health, and sustainability</w:t>
      </w:r>
    </w:p>
    <w:p>
      <w:pPr>
        <w:spacing w:after="0" w:line="16" w:lineRule="exact"/>
        <w:rPr>
          <w:rFonts w:ascii="Arial" w:cs="Arial" w:eastAsia="Arial" w:hAnsi="Arial"/>
          <w:sz w:val="15"/>
          <w:szCs w:val="15"/>
          <w:color w:val="012E6C"/>
        </w:rPr>
      </w:pPr>
    </w:p>
    <w:p>
      <w:pPr>
        <w:ind w:left="130" w:right="1039" w:hanging="130"/>
        <w:spacing w:after="0" w:line="248" w:lineRule="auto"/>
        <w:tabs>
          <w:tab w:leader="none" w:pos="216" w:val="left"/>
        </w:tabs>
        <w:numPr>
          <w:ilvl w:val="0"/>
          <w:numId w:val="42"/>
        </w:numPr>
        <w:rPr>
          <w:rFonts w:ascii="Arial" w:cs="Arial" w:eastAsia="Arial" w:hAnsi="Arial"/>
          <w:sz w:val="15"/>
          <w:szCs w:val="15"/>
          <w:color w:val="012E6C"/>
        </w:rPr>
      </w:pPr>
      <w:r>
        <w:rPr>
          <w:rFonts w:ascii="Arial" w:cs="Arial" w:eastAsia="Arial" w:hAnsi="Arial"/>
          <w:sz w:val="15"/>
          <w:szCs w:val="15"/>
          <w:color w:val="auto"/>
        </w:rPr>
        <w:t>The Board has determined that Ms. Hollub meets the SEC’s criteria of an “audit committee financial expert”</w:t>
      </w:r>
    </w:p>
    <w:p>
      <w:pPr>
        <w:spacing w:after="0" w:line="200" w:lineRule="exact"/>
        <w:rPr>
          <w:sz w:val="20"/>
          <w:szCs w:val="20"/>
          <w:color w:val="auto"/>
        </w:rPr>
      </w:pPr>
    </w:p>
    <w:p>
      <w:pPr>
        <w:sectPr>
          <w:pgSz w:w="11900" w:h="16838" w:orient="portrait"/>
          <w:cols w:equalWidth="0" w:num="2">
            <w:col w:w="2080" w:space="170"/>
            <w:col w:w="7969"/>
          </w:cols>
          <w:pgMar w:left="240" w:top="292" w:right="1440" w:bottom="1440" w:gutter="0" w:footer="0" w:header="0"/>
          <w:type w:val="continuous"/>
        </w:sectPr>
      </w:pPr>
    </w:p>
    <w:p>
      <w:pPr>
        <w:spacing w:after="0" w:line="200" w:lineRule="exact"/>
        <w:rPr>
          <w:sz w:val="20"/>
          <w:szCs w:val="20"/>
          <w:color w:val="auto"/>
        </w:rPr>
      </w:pPr>
    </w:p>
    <w:p>
      <w:pPr>
        <w:spacing w:after="0" w:line="34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808080"/>
        </w:rPr>
        <w:t>12</w:t>
      </w:r>
    </w:p>
    <w:p>
      <w:pPr>
        <w:sectPr>
          <w:pgSz w:w="11900" w:h="16838" w:orient="portrait"/>
          <w:cols w:equalWidth="0" w:num="1">
            <w:col w:w="10219"/>
          </w:cols>
          <w:pgMar w:left="240" w:top="292" w:right="1440" w:bottom="1440" w:gutter="0" w:footer="0" w:header="0"/>
          <w:type w:val="continuous"/>
        </w:sectPr>
      </w:pPr>
    </w:p>
    <w:bookmarkStart w:id="15" w:name="page16"/>
    <w:bookmarkEnd w:id="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
        <w:spacing w:after="0"/>
        <w:rPr>
          <w:sz w:val="20"/>
          <w:szCs w:val="20"/>
          <w:color w:val="auto"/>
        </w:rPr>
      </w:pPr>
      <w:r>
        <w:rPr>
          <w:rFonts w:ascii="Arial" w:cs="Arial" w:eastAsia="Arial" w:hAnsi="Arial"/>
          <w:sz w:val="21"/>
          <w:szCs w:val="21"/>
          <w:color w:val="475C90"/>
        </w:rPr>
        <w:t>Jeh C. Johnson</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5"/>
          <w:szCs w:val="15"/>
          <w:color w:val="003478"/>
        </w:rPr>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567"/>
        </w:trPr>
        <w:tc>
          <w:tcPr>
            <w:tcW w:w="1960" w:type="dxa"/>
            <w:vAlign w:val="bottom"/>
            <w:tcBorders>
              <w:right w:val="single" w:sz="8" w:color="475C90"/>
            </w:tcBorders>
          </w:tcPr>
          <w:p>
            <w:pPr>
              <w:spacing w:after="0"/>
              <w:rPr>
                <w:sz w:val="20"/>
                <w:szCs w:val="20"/>
                <w:color w:val="auto"/>
              </w:rPr>
            </w:pPr>
            <w:r>
              <w:rPr>
                <w:rFonts w:ascii="Arial" w:cs="Arial" w:eastAsia="Arial" w:hAnsi="Arial"/>
                <w:sz w:val="17"/>
                <w:szCs w:val="17"/>
                <w:color w:val="012E6C"/>
              </w:rPr>
              <w:t>Independent Director</w:t>
            </w:r>
          </w:p>
        </w:tc>
        <w:tc>
          <w:tcPr>
            <w:tcW w:w="1680" w:type="dxa"/>
            <w:vAlign w:val="bottom"/>
          </w:tcPr>
          <w:p>
            <w:pPr>
              <w:ind w:left="360"/>
              <w:spacing w:after="0"/>
              <w:rPr>
                <w:sz w:val="20"/>
                <w:szCs w:val="20"/>
                <w:color w:val="auto"/>
              </w:rPr>
            </w:pPr>
            <w:r>
              <w:rPr>
                <w:rFonts w:ascii="Arial" w:cs="Arial" w:eastAsia="Arial" w:hAnsi="Arial"/>
                <w:sz w:val="15"/>
                <w:szCs w:val="15"/>
                <w:color w:val="012E6C"/>
              </w:rPr>
              <w:t>Director since 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-1429385</wp:posOffset>
            </wp:positionH>
            <wp:positionV relativeFrom="paragraph">
              <wp:posOffset>77470</wp:posOffset>
            </wp:positionV>
            <wp:extent cx="5977255" cy="1200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77255" cy="1200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40" w:space="720"/>
            <w:col w:w="9160"/>
          </w:cols>
          <w:pgMar w:left="240" w:top="292" w:right="239" w:bottom="1440" w:gutter="0" w:footer="0" w:header="0"/>
        </w:sectPr>
      </w:pPr>
    </w:p>
    <w:p>
      <w:pPr>
        <w:spacing w:after="0" w:line="249" w:lineRule="exact"/>
        <w:rPr>
          <w:sz w:val="20"/>
          <w:szCs w:val="20"/>
          <w:color w:val="auto"/>
        </w:rPr>
      </w:pPr>
    </w:p>
    <w:p>
      <w:pPr>
        <w:ind w:left="2260"/>
        <w:spacing w:after="0"/>
        <w:rPr>
          <w:sz w:val="20"/>
          <w:szCs w:val="20"/>
          <w:color w:val="auto"/>
        </w:rPr>
      </w:pPr>
      <w:r>
        <w:rPr>
          <w:rFonts w:ascii="Arial" w:cs="Arial" w:eastAsia="Arial" w:hAnsi="Arial"/>
          <w:sz w:val="15"/>
          <w:szCs w:val="15"/>
          <w:color w:val="012E6C"/>
        </w:rPr>
        <w:t>Biography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-102870</wp:posOffset>
            </wp:positionV>
            <wp:extent cx="909320" cy="9093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09320" cy="909320"/>
                    </a:xfrm>
                    <a:prstGeom prst="rect">
                      <a:avLst/>
                    </a:prstGeom>
                    <a:noFill/>
                  </pic:spPr>
                </pic:pic>
              </a:graphicData>
            </a:graphic>
          </wp:anchor>
        </w:drawing>
      </w:r>
    </w:p>
    <w:p>
      <w:pPr>
        <w:spacing w:after="0" w:line="14" w:lineRule="exact"/>
        <w:rPr>
          <w:sz w:val="20"/>
          <w:szCs w:val="20"/>
          <w:color w:val="auto"/>
        </w:rPr>
      </w:pPr>
    </w:p>
    <w:p>
      <w:pPr>
        <w:jc w:val="both"/>
        <w:ind w:left="2260" w:right="2060"/>
        <w:spacing w:after="0" w:line="226" w:lineRule="auto"/>
        <w:rPr>
          <w:sz w:val="20"/>
          <w:szCs w:val="20"/>
          <w:color w:val="auto"/>
        </w:rPr>
      </w:pPr>
      <w:r>
        <w:rPr>
          <w:rFonts w:ascii="Arial" w:cs="Arial" w:eastAsia="Arial" w:hAnsi="Arial"/>
          <w:sz w:val="15"/>
          <w:szCs w:val="15"/>
          <w:color w:val="auto"/>
        </w:rPr>
        <w:t>Partner at the international law firm of Paul, Weiss, Rifkind, Wharton &amp; Garrison LLP since January 2017. Previously, Mr. Johnson served as U.S. Secretary of Homeland Security from December 2013 to January 2017; and as General Counsel of the U.S. Department of Defense and as General Counsel of the U.S.</w:t>
      </w:r>
    </w:p>
    <w:p>
      <w:pPr>
        <w:spacing w:after="0" w:line="2" w:lineRule="exact"/>
        <w:rPr>
          <w:sz w:val="20"/>
          <w:szCs w:val="20"/>
          <w:color w:val="auto"/>
        </w:rPr>
      </w:pPr>
    </w:p>
    <w:p>
      <w:pPr>
        <w:ind w:left="2260" w:right="2200"/>
        <w:spacing w:after="0" w:line="244" w:lineRule="auto"/>
        <w:rPr>
          <w:sz w:val="20"/>
          <w:szCs w:val="20"/>
          <w:color w:val="auto"/>
        </w:rPr>
      </w:pPr>
      <w:r>
        <w:rPr>
          <w:rFonts w:ascii="Arial" w:cs="Arial" w:eastAsia="Arial" w:hAnsi="Arial"/>
          <w:sz w:val="15"/>
          <w:szCs w:val="15"/>
          <w:color w:val="auto"/>
        </w:rPr>
        <w:t>Department of the Air Force. Mr. Johnson formerly served as a director of PG&amp;E Corporation from May 2017 to March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268605</wp:posOffset>
            </wp:positionV>
            <wp:extent cx="45624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562475" cy="88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type w:val="continuous"/>
        </w:sectPr>
      </w:pPr>
    </w:p>
    <w:p>
      <w:pPr>
        <w:spacing w:after="0" w:line="200" w:lineRule="exact"/>
        <w:rPr>
          <w:sz w:val="20"/>
          <w:szCs w:val="20"/>
          <w:color w:val="auto"/>
        </w:rPr>
      </w:pPr>
    </w:p>
    <w:p>
      <w:pPr>
        <w:spacing w:after="0" w:line="280" w:lineRule="exact"/>
        <w:rPr>
          <w:sz w:val="20"/>
          <w:szCs w:val="20"/>
          <w:color w:val="auto"/>
        </w:rPr>
      </w:pPr>
    </w:p>
    <w:p>
      <w:pPr>
        <w:ind w:left="40"/>
        <w:spacing w:after="0"/>
        <w:rPr>
          <w:sz w:val="20"/>
          <w:szCs w:val="20"/>
          <w:color w:val="auto"/>
        </w:rPr>
      </w:pPr>
      <w:r>
        <w:rPr>
          <w:rFonts w:ascii="Arial" w:cs="Arial" w:eastAsia="Arial" w:hAnsi="Arial"/>
          <w:sz w:val="15"/>
          <w:szCs w:val="15"/>
          <w:color w:val="012E6C"/>
        </w:rPr>
        <w:t xml:space="preserve">Age </w:t>
      </w:r>
      <w:r>
        <w:rPr>
          <w:rFonts w:ascii="Arial" w:cs="Arial" w:eastAsia="Arial" w:hAnsi="Arial"/>
          <w:sz w:val="15"/>
          <w:szCs w:val="15"/>
          <w:color w:val="000000"/>
        </w:rPr>
        <w:t>61</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5"/>
          <w:szCs w:val="15"/>
          <w:color w:val="012E6C"/>
        </w:rPr>
        <w:t>Current Committees</w:t>
      </w:r>
    </w:p>
    <w:p>
      <w:pPr>
        <w:spacing w:after="0" w:line="10" w:lineRule="exact"/>
        <w:rPr>
          <w:sz w:val="20"/>
          <w:szCs w:val="20"/>
          <w:color w:val="auto"/>
        </w:rPr>
      </w:pPr>
    </w:p>
    <w:p>
      <w:pPr>
        <w:ind w:left="160" w:right="180" w:hanging="138"/>
        <w:spacing w:after="0" w:line="225" w:lineRule="auto"/>
        <w:tabs>
          <w:tab w:leader="none" w:pos="248" w:val="left"/>
        </w:tabs>
        <w:numPr>
          <w:ilvl w:val="0"/>
          <w:numId w:val="43"/>
        </w:numPr>
        <w:rPr>
          <w:rFonts w:ascii="Arial" w:cs="Arial" w:eastAsia="Arial" w:hAnsi="Arial"/>
          <w:sz w:val="15"/>
          <w:szCs w:val="15"/>
          <w:color w:val="012E6C"/>
        </w:rPr>
      </w:pPr>
      <w:r>
        <w:rPr>
          <w:rFonts w:ascii="Arial" w:cs="Arial" w:eastAsia="Arial" w:hAnsi="Arial"/>
          <w:sz w:val="15"/>
          <w:szCs w:val="15"/>
          <w:color w:val="auto"/>
        </w:rPr>
        <w:t>Classified Business and Security</w:t>
      </w:r>
    </w:p>
    <w:p>
      <w:pPr>
        <w:ind w:left="160" w:hanging="138"/>
        <w:spacing w:after="0" w:line="244" w:lineRule="auto"/>
        <w:tabs>
          <w:tab w:leader="none" w:pos="248" w:val="left"/>
        </w:tabs>
        <w:numPr>
          <w:ilvl w:val="0"/>
          <w:numId w:val="43"/>
        </w:numPr>
        <w:rPr>
          <w:rFonts w:ascii="Arial" w:cs="Arial" w:eastAsia="Arial" w:hAnsi="Arial"/>
          <w:sz w:val="15"/>
          <w:szCs w:val="15"/>
          <w:color w:val="012E6C"/>
        </w:rPr>
      </w:pPr>
      <w:r>
        <w:rPr>
          <w:rFonts w:ascii="Arial" w:cs="Arial" w:eastAsia="Arial" w:hAnsi="Arial"/>
          <w:sz w:val="15"/>
          <w:szCs w:val="15"/>
          <w:color w:val="auto"/>
        </w:rPr>
        <w:t>Nominating and Corporate Governance</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5"/>
          <w:szCs w:val="15"/>
          <w:color w:val="012E6C"/>
        </w:rPr>
        <w:t>Other Current Public Boards</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5"/>
          <w:szCs w:val="15"/>
          <w:color w:val="auto"/>
        </w:rPr>
        <w:t>None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0"/>
        <w:spacing w:after="0"/>
        <w:rPr>
          <w:sz w:val="20"/>
          <w:szCs w:val="20"/>
          <w:color w:val="auto"/>
        </w:rPr>
      </w:pPr>
      <w:r>
        <w:rPr>
          <w:rFonts w:ascii="Arial" w:cs="Arial" w:eastAsia="Arial" w:hAnsi="Arial"/>
          <w:sz w:val="15"/>
          <w:szCs w:val="15"/>
          <w:color w:val="012E6C"/>
        </w:rPr>
        <w:t>Skills and Qualifications</w:t>
      </w:r>
    </w:p>
    <w:p>
      <w:pPr>
        <w:spacing w:after="0" w:line="34" w:lineRule="exact"/>
        <w:rPr>
          <w:sz w:val="20"/>
          <w:szCs w:val="20"/>
          <w:color w:val="auto"/>
        </w:rPr>
      </w:pPr>
    </w:p>
    <w:p>
      <w:pPr>
        <w:ind w:left="130" w:right="2440" w:hanging="130"/>
        <w:spacing w:after="0" w:line="244" w:lineRule="auto"/>
        <w:tabs>
          <w:tab w:leader="none" w:pos="218" w:val="left"/>
        </w:tabs>
        <w:numPr>
          <w:ilvl w:val="0"/>
          <w:numId w:val="44"/>
        </w:numPr>
        <w:rPr>
          <w:rFonts w:ascii="Arial" w:cs="Arial" w:eastAsia="Arial" w:hAnsi="Arial"/>
          <w:sz w:val="15"/>
          <w:szCs w:val="15"/>
          <w:color w:val="012E6C"/>
        </w:rPr>
      </w:pPr>
      <w:r>
        <w:rPr>
          <w:rFonts w:ascii="Arial" w:cs="Arial" w:eastAsia="Arial" w:hAnsi="Arial"/>
          <w:sz w:val="15"/>
          <w:szCs w:val="15"/>
          <w:color w:val="auto"/>
        </w:rPr>
        <w:t>Expertise in national security, leadership development and organizational preparedness from his service as U.S. Secretary of Homeland Security</w:t>
      </w:r>
    </w:p>
    <w:p>
      <w:pPr>
        <w:ind w:left="130" w:right="2140" w:hanging="130"/>
        <w:spacing w:after="0" w:line="244" w:lineRule="auto"/>
        <w:tabs>
          <w:tab w:leader="none" w:pos="218" w:val="left"/>
        </w:tabs>
        <w:numPr>
          <w:ilvl w:val="0"/>
          <w:numId w:val="44"/>
        </w:numPr>
        <w:rPr>
          <w:rFonts w:ascii="Arial" w:cs="Arial" w:eastAsia="Arial" w:hAnsi="Arial"/>
          <w:sz w:val="15"/>
          <w:szCs w:val="15"/>
          <w:color w:val="012E6C"/>
        </w:rPr>
      </w:pPr>
      <w:r>
        <w:rPr>
          <w:rFonts w:ascii="Arial" w:cs="Arial" w:eastAsia="Arial" w:hAnsi="Arial"/>
          <w:sz w:val="15"/>
          <w:szCs w:val="15"/>
          <w:color w:val="auto"/>
        </w:rPr>
        <w:t>Industry-specific expertise and insight into our core customers, including requirements for acquisition of products and services, from prior senior leadership positions with the military</w:t>
      </w:r>
    </w:p>
    <w:p>
      <w:pPr>
        <w:ind w:left="130" w:right="2580" w:hanging="130"/>
        <w:spacing w:after="0" w:line="248" w:lineRule="auto"/>
        <w:tabs>
          <w:tab w:leader="none" w:pos="218" w:val="left"/>
        </w:tabs>
        <w:numPr>
          <w:ilvl w:val="0"/>
          <w:numId w:val="44"/>
        </w:numPr>
        <w:rPr>
          <w:rFonts w:ascii="Arial" w:cs="Arial" w:eastAsia="Arial" w:hAnsi="Arial"/>
          <w:sz w:val="15"/>
          <w:szCs w:val="15"/>
          <w:color w:val="012E6C"/>
        </w:rPr>
      </w:pPr>
      <w:r>
        <w:rPr>
          <w:rFonts w:ascii="Arial" w:cs="Arial" w:eastAsia="Arial" w:hAnsi="Arial"/>
          <w:sz w:val="15"/>
          <w:szCs w:val="15"/>
          <w:color w:val="auto"/>
        </w:rPr>
        <w:t>Experience with large organization management and assessing human resources, equipment, cybersecurity, and financial requirements, as well as reputational risks</w:t>
      </w:r>
    </w:p>
    <w:p>
      <w:pPr>
        <w:spacing w:after="0" w:line="200" w:lineRule="exact"/>
        <w:rPr>
          <w:sz w:val="20"/>
          <w:szCs w:val="20"/>
          <w:color w:val="auto"/>
        </w:rPr>
      </w:pPr>
    </w:p>
    <w:p>
      <w:pPr>
        <w:sectPr>
          <w:pgSz w:w="11900" w:h="16838" w:orient="portrait"/>
          <w:cols w:equalWidth="0" w:num="2">
            <w:col w:w="2040" w:space="210"/>
            <w:col w:w="9170"/>
          </w:cols>
          <w:pgMar w:left="240" w:top="292" w:right="239" w:bottom="1440" w:gutter="0" w:footer="0" w:header="0"/>
          <w:type w:val="continuous"/>
        </w:sectPr>
      </w:pP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567"/>
        </w:trPr>
        <w:tc>
          <w:tcPr>
            <w:tcW w:w="4220" w:type="dxa"/>
            <w:vAlign w:val="bottom"/>
            <w:tcBorders>
              <w:right w:val="single" w:sz="8" w:color="475C90"/>
            </w:tcBorders>
          </w:tcPr>
          <w:p>
            <w:pPr>
              <w:ind w:left="40"/>
              <w:spacing w:after="0"/>
              <w:rPr>
                <w:sz w:val="20"/>
                <w:szCs w:val="20"/>
                <w:color w:val="auto"/>
              </w:rPr>
            </w:pPr>
            <w:r>
              <w:rPr>
                <w:rFonts w:ascii="Arial" w:cs="Arial" w:eastAsia="Arial" w:hAnsi="Arial"/>
                <w:sz w:val="43"/>
                <w:szCs w:val="43"/>
                <w:color w:val="475C90"/>
                <w:w w:val="95"/>
                <w:vertAlign w:val="superscript"/>
              </w:rPr>
              <w:t>James D. Taiclet, Jr.</w:t>
            </w:r>
            <w:r>
              <w:rPr>
                <w:rFonts w:ascii="Arial" w:cs="Arial" w:eastAsia="Arial" w:hAnsi="Arial"/>
                <w:sz w:val="17"/>
                <w:szCs w:val="17"/>
                <w:color w:val="012E6C"/>
                <w:w w:val="95"/>
              </w:rPr>
              <w:t xml:space="preserve">   Independent Director</w:t>
            </w:r>
          </w:p>
        </w:tc>
        <w:tc>
          <w:tcPr>
            <w:tcW w:w="5200" w:type="dxa"/>
            <w:vAlign w:val="bottom"/>
          </w:tcPr>
          <w:p>
            <w:pPr>
              <w:ind w:left="360"/>
              <w:spacing w:after="0"/>
              <w:rPr>
                <w:sz w:val="20"/>
                <w:szCs w:val="20"/>
                <w:color w:val="auto"/>
              </w:rPr>
            </w:pPr>
            <w:r>
              <w:rPr>
                <w:rFonts w:ascii="Arial" w:cs="Arial" w:eastAsia="Arial" w:hAnsi="Arial"/>
                <w:sz w:val="15"/>
                <w:szCs w:val="15"/>
                <w:color w:val="012E6C"/>
              </w:rPr>
              <w:t>Director since 2018</w:t>
            </w:r>
          </w:p>
        </w:tc>
      </w:tr>
      <w:tr>
        <w:trPr>
          <w:trHeight w:val="122"/>
        </w:trPr>
        <w:tc>
          <w:tcPr>
            <w:tcW w:w="4220" w:type="dxa"/>
            <w:vAlign w:val="bottom"/>
          </w:tcPr>
          <w:p>
            <w:pPr>
              <w:spacing w:after="0"/>
              <w:rPr>
                <w:sz w:val="10"/>
                <w:szCs w:val="10"/>
                <w:color w:val="auto"/>
              </w:rPr>
            </w:pPr>
          </w:p>
        </w:tc>
        <w:tc>
          <w:tcPr>
            <w:tcW w:w="5200" w:type="dxa"/>
            <w:vAlign w:val="bottom"/>
          </w:tcPr>
          <w:p>
            <w:pPr>
              <w:spacing w:after="0"/>
              <w:rPr>
                <w:sz w:val="10"/>
                <w:szCs w:val="10"/>
                <w:color w:val="auto"/>
              </w:rPr>
            </w:pPr>
          </w:p>
        </w:tc>
      </w:tr>
      <w:tr>
        <w:trPr>
          <w:trHeight w:val="189"/>
        </w:trPr>
        <w:tc>
          <w:tcPr>
            <w:tcW w:w="4220" w:type="dxa"/>
            <w:vAlign w:val="bottom"/>
            <w:tcBorders>
              <w:right w:val="single" w:sz="8" w:color="475C90"/>
            </w:tcBorders>
            <w:shd w:val="clear" w:color="auto" w:fill="475C90"/>
          </w:tcPr>
          <w:p>
            <w:pPr>
              <w:spacing w:after="0"/>
              <w:rPr>
                <w:sz w:val="16"/>
                <w:szCs w:val="16"/>
                <w:color w:val="auto"/>
              </w:rPr>
            </w:pPr>
          </w:p>
        </w:tc>
        <w:tc>
          <w:tcPr>
            <w:tcW w:w="5200" w:type="dxa"/>
            <w:vAlign w:val="bottom"/>
            <w:shd w:val="clear" w:color="auto" w:fill="475C90"/>
          </w:tcPr>
          <w:p>
            <w:pPr>
              <w:spacing w:after="0"/>
              <w:rPr>
                <w:sz w:val="16"/>
                <w:szCs w:val="16"/>
                <w:color w:val="auto"/>
              </w:rPr>
            </w:pPr>
          </w:p>
        </w:tc>
      </w:tr>
    </w:tbl>
    <w:p>
      <w:pPr>
        <w:spacing w:after="0" w:line="139" w:lineRule="exact"/>
        <w:rPr>
          <w:sz w:val="20"/>
          <w:szCs w:val="20"/>
          <w:color w:val="auto"/>
        </w:rPr>
      </w:pPr>
    </w:p>
    <w:p>
      <w:pPr>
        <w:ind w:left="2260"/>
        <w:spacing w:after="0"/>
        <w:rPr>
          <w:sz w:val="20"/>
          <w:szCs w:val="20"/>
          <w:color w:val="auto"/>
        </w:rPr>
      </w:pPr>
      <w:r>
        <w:rPr>
          <w:rFonts w:ascii="Arial" w:cs="Arial" w:eastAsia="Arial" w:hAnsi="Arial"/>
          <w:sz w:val="15"/>
          <w:szCs w:val="15"/>
          <w:color w:val="012E6C"/>
        </w:rPr>
        <w:t>Biography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-102870</wp:posOffset>
            </wp:positionV>
            <wp:extent cx="909320" cy="9093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09320" cy="909320"/>
                    </a:xfrm>
                    <a:prstGeom prst="rect">
                      <a:avLst/>
                    </a:prstGeom>
                    <a:noFill/>
                  </pic:spPr>
                </pic:pic>
              </a:graphicData>
            </a:graphic>
          </wp:anchor>
        </w:drawing>
      </w:r>
    </w:p>
    <w:p>
      <w:pPr>
        <w:spacing w:after="0" w:line="14" w:lineRule="exact"/>
        <w:rPr>
          <w:sz w:val="20"/>
          <w:szCs w:val="20"/>
          <w:color w:val="auto"/>
        </w:rPr>
      </w:pPr>
    </w:p>
    <w:p>
      <w:pPr>
        <w:ind w:left="2260" w:right="2040"/>
        <w:spacing w:after="0" w:line="233" w:lineRule="auto"/>
        <w:rPr>
          <w:sz w:val="20"/>
          <w:szCs w:val="20"/>
          <w:color w:val="auto"/>
        </w:rPr>
      </w:pPr>
      <w:r>
        <w:rPr>
          <w:rFonts w:ascii="Arial" w:cs="Arial" w:eastAsia="Arial" w:hAnsi="Arial"/>
          <w:sz w:val="15"/>
          <w:szCs w:val="15"/>
          <w:color w:val="auto"/>
        </w:rPr>
        <w:t>Chairman, President and Chief Executive Officer of American Tower Corporation. Mr. Taiclet was appointed President and Chief Operating Officer in September 2001; named Chief Executive Officer in October 2003; and selected as Chairman of the Board in February 2004. Previously, Mr. Taiclet served as President of Honeywell Aerospace Services, a unit of Honeywell International and Vice President, Engine Services at Pratt &amp; Whitney, a unit of United Technologies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269875</wp:posOffset>
            </wp:positionV>
            <wp:extent cx="45624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562475" cy="88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type w:val="continuous"/>
        </w:sectPr>
      </w:pPr>
    </w:p>
    <w:p>
      <w:pPr>
        <w:spacing w:after="0" w:line="200" w:lineRule="exact"/>
        <w:rPr>
          <w:sz w:val="20"/>
          <w:szCs w:val="20"/>
          <w:color w:val="auto"/>
        </w:rPr>
      </w:pPr>
    </w:p>
    <w:p>
      <w:pPr>
        <w:spacing w:after="0" w:line="282" w:lineRule="exact"/>
        <w:rPr>
          <w:sz w:val="20"/>
          <w:szCs w:val="20"/>
          <w:color w:val="auto"/>
        </w:rPr>
      </w:pPr>
    </w:p>
    <w:p>
      <w:pPr>
        <w:ind w:left="40"/>
        <w:spacing w:after="0"/>
        <w:rPr>
          <w:sz w:val="20"/>
          <w:szCs w:val="20"/>
          <w:color w:val="auto"/>
        </w:rPr>
      </w:pPr>
      <w:r>
        <w:rPr>
          <w:rFonts w:ascii="Arial" w:cs="Arial" w:eastAsia="Arial" w:hAnsi="Arial"/>
          <w:sz w:val="15"/>
          <w:szCs w:val="15"/>
          <w:color w:val="012E6C"/>
        </w:rPr>
        <w:t xml:space="preserve">Age </w:t>
      </w:r>
      <w:r>
        <w:rPr>
          <w:rFonts w:ascii="Arial" w:cs="Arial" w:eastAsia="Arial" w:hAnsi="Arial"/>
          <w:sz w:val="15"/>
          <w:szCs w:val="15"/>
          <w:color w:val="000000"/>
        </w:rPr>
        <w:t>58</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5"/>
          <w:szCs w:val="15"/>
          <w:color w:val="012E6C"/>
        </w:rPr>
        <w:t>Current Committees</w:t>
      </w:r>
    </w:p>
    <w:p>
      <w:pPr>
        <w:spacing w:after="0" w:line="10" w:lineRule="exact"/>
        <w:rPr>
          <w:sz w:val="20"/>
          <w:szCs w:val="20"/>
          <w:color w:val="auto"/>
        </w:rPr>
      </w:pPr>
    </w:p>
    <w:p>
      <w:pPr>
        <w:ind w:left="160" w:hanging="138"/>
        <w:spacing w:after="0" w:line="225" w:lineRule="auto"/>
        <w:tabs>
          <w:tab w:leader="none" w:pos="248" w:val="left"/>
        </w:tabs>
        <w:numPr>
          <w:ilvl w:val="0"/>
          <w:numId w:val="45"/>
        </w:numPr>
        <w:rPr>
          <w:rFonts w:ascii="Arial" w:cs="Arial" w:eastAsia="Arial" w:hAnsi="Arial"/>
          <w:sz w:val="15"/>
          <w:szCs w:val="15"/>
          <w:color w:val="012E6C"/>
        </w:rPr>
      </w:pPr>
      <w:r>
        <w:rPr>
          <w:rFonts w:ascii="Arial" w:cs="Arial" w:eastAsia="Arial" w:hAnsi="Arial"/>
          <w:sz w:val="15"/>
          <w:szCs w:val="15"/>
          <w:color w:val="auto"/>
        </w:rPr>
        <w:t>Nominating and Corporate Governance</w:t>
      </w:r>
    </w:p>
    <w:p>
      <w:pPr>
        <w:ind w:left="240" w:hanging="218"/>
        <w:spacing w:after="0"/>
        <w:tabs>
          <w:tab w:leader="none" w:pos="240" w:val="left"/>
        </w:tabs>
        <w:numPr>
          <w:ilvl w:val="0"/>
          <w:numId w:val="45"/>
        </w:numPr>
        <w:rPr>
          <w:rFonts w:ascii="Arial" w:cs="Arial" w:eastAsia="Arial" w:hAnsi="Arial"/>
          <w:sz w:val="15"/>
          <w:szCs w:val="15"/>
          <w:color w:val="012E6C"/>
        </w:rPr>
      </w:pPr>
      <w:r>
        <w:rPr>
          <w:rFonts w:ascii="Arial" w:cs="Arial" w:eastAsia="Arial" w:hAnsi="Arial"/>
          <w:sz w:val="15"/>
          <w:szCs w:val="15"/>
          <w:color w:val="auto"/>
        </w:rPr>
        <w:t>Strategic Affairs</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5"/>
          <w:szCs w:val="15"/>
          <w:color w:val="012E6C"/>
        </w:rPr>
        <w:t>Other Current Public Boards</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5"/>
          <w:szCs w:val="15"/>
          <w:color w:val="auto"/>
        </w:rPr>
        <w:t>American Tower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0"/>
        <w:spacing w:after="0"/>
        <w:rPr>
          <w:sz w:val="20"/>
          <w:szCs w:val="20"/>
          <w:color w:val="auto"/>
        </w:rPr>
      </w:pPr>
      <w:r>
        <w:rPr>
          <w:rFonts w:ascii="Arial" w:cs="Arial" w:eastAsia="Arial" w:hAnsi="Arial"/>
          <w:sz w:val="15"/>
          <w:szCs w:val="15"/>
          <w:color w:val="003478"/>
        </w:rPr>
        <w:t>www.lockheedmartin.com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
        <w:spacing w:after="0"/>
        <w:rPr>
          <w:sz w:val="20"/>
          <w:szCs w:val="20"/>
          <w:color w:val="auto"/>
        </w:rPr>
      </w:pPr>
      <w:r>
        <w:rPr>
          <w:rFonts w:ascii="Arial" w:cs="Arial" w:eastAsia="Arial" w:hAnsi="Arial"/>
          <w:sz w:val="15"/>
          <w:szCs w:val="15"/>
          <w:color w:val="012E6C"/>
        </w:rPr>
        <w:t>Skills and Qualifications</w:t>
      </w:r>
    </w:p>
    <w:p>
      <w:pPr>
        <w:spacing w:after="0" w:line="34" w:lineRule="exact"/>
        <w:rPr>
          <w:sz w:val="20"/>
          <w:szCs w:val="20"/>
          <w:color w:val="auto"/>
        </w:rPr>
      </w:pPr>
    </w:p>
    <w:p>
      <w:pPr>
        <w:ind w:left="130" w:right="2220" w:hanging="130"/>
        <w:spacing w:after="0" w:line="244" w:lineRule="auto"/>
        <w:tabs>
          <w:tab w:leader="none" w:pos="218" w:val="left"/>
        </w:tabs>
        <w:numPr>
          <w:ilvl w:val="0"/>
          <w:numId w:val="46"/>
        </w:numPr>
        <w:rPr>
          <w:rFonts w:ascii="Arial" w:cs="Arial" w:eastAsia="Arial" w:hAnsi="Arial"/>
          <w:sz w:val="15"/>
          <w:szCs w:val="15"/>
          <w:color w:val="012E6C"/>
        </w:rPr>
      </w:pPr>
      <w:r>
        <w:rPr>
          <w:rFonts w:ascii="Arial" w:cs="Arial" w:eastAsia="Arial" w:hAnsi="Arial"/>
          <w:sz w:val="15"/>
          <w:szCs w:val="15"/>
          <w:color w:val="auto"/>
        </w:rPr>
        <w:t>Effective leadership and executive experience as Chairman, President and CEO of American Tower Corporation</w:t>
      </w:r>
    </w:p>
    <w:p>
      <w:pPr>
        <w:ind w:left="130" w:right="2160" w:hanging="130"/>
        <w:spacing w:after="0" w:line="244" w:lineRule="auto"/>
        <w:tabs>
          <w:tab w:leader="none" w:pos="218" w:val="left"/>
        </w:tabs>
        <w:numPr>
          <w:ilvl w:val="0"/>
          <w:numId w:val="46"/>
        </w:numPr>
        <w:rPr>
          <w:rFonts w:ascii="Arial" w:cs="Arial" w:eastAsia="Arial" w:hAnsi="Arial"/>
          <w:sz w:val="15"/>
          <w:szCs w:val="15"/>
          <w:color w:val="012E6C"/>
        </w:rPr>
      </w:pPr>
      <w:r>
        <w:rPr>
          <w:rFonts w:ascii="Arial" w:cs="Arial" w:eastAsia="Arial" w:hAnsi="Arial"/>
          <w:sz w:val="15"/>
          <w:szCs w:val="15"/>
          <w:color w:val="auto"/>
        </w:rPr>
        <w:t>Expertise in management at large-scale, multinational corporations, including regulatory compliance, corporate governance, capital markets and financing, strategic planning and investor relations</w:t>
      </w:r>
    </w:p>
    <w:p>
      <w:pPr>
        <w:ind w:left="130" w:right="2620" w:hanging="130"/>
        <w:spacing w:after="0" w:line="244" w:lineRule="auto"/>
        <w:tabs>
          <w:tab w:leader="none" w:pos="218" w:val="left"/>
        </w:tabs>
        <w:numPr>
          <w:ilvl w:val="0"/>
          <w:numId w:val="46"/>
        </w:numPr>
        <w:rPr>
          <w:rFonts w:ascii="Arial" w:cs="Arial" w:eastAsia="Arial" w:hAnsi="Arial"/>
          <w:sz w:val="15"/>
          <w:szCs w:val="15"/>
          <w:color w:val="012E6C"/>
        </w:rPr>
      </w:pPr>
      <w:r>
        <w:rPr>
          <w:rFonts w:ascii="Arial" w:cs="Arial" w:eastAsia="Arial" w:hAnsi="Arial"/>
          <w:sz w:val="15"/>
          <w:szCs w:val="15"/>
          <w:color w:val="auto"/>
        </w:rPr>
        <w:t>Industry-specific expertise from service as a U.S. Air Force officer and pilot as an executive at Honeywell Aerospace Services and Pratt &amp; Whitney</w:t>
      </w:r>
    </w:p>
    <w:p>
      <w:pPr>
        <w:ind w:left="130" w:right="2260" w:hanging="130"/>
        <w:spacing w:after="0" w:line="248" w:lineRule="auto"/>
        <w:tabs>
          <w:tab w:leader="none" w:pos="216" w:val="left"/>
        </w:tabs>
        <w:numPr>
          <w:ilvl w:val="0"/>
          <w:numId w:val="46"/>
        </w:numPr>
        <w:rPr>
          <w:rFonts w:ascii="Arial" w:cs="Arial" w:eastAsia="Arial" w:hAnsi="Arial"/>
          <w:sz w:val="15"/>
          <w:szCs w:val="15"/>
          <w:color w:val="012E6C"/>
        </w:rPr>
      </w:pPr>
      <w:r>
        <w:rPr>
          <w:rFonts w:ascii="Arial" w:cs="Arial" w:eastAsia="Arial" w:hAnsi="Arial"/>
          <w:sz w:val="15"/>
          <w:szCs w:val="15"/>
          <w:color w:val="auto"/>
        </w:rPr>
        <w:t>The Board has determined that Mr. Taiclet meets the SEC’s criteria of an “audit committee financial expert”</w:t>
      </w:r>
    </w:p>
    <w:p>
      <w:pPr>
        <w:spacing w:after="0" w:line="200" w:lineRule="exact"/>
        <w:rPr>
          <w:sz w:val="20"/>
          <w:szCs w:val="20"/>
          <w:color w:val="auto"/>
        </w:rPr>
      </w:pPr>
    </w:p>
    <w:p>
      <w:pPr>
        <w:spacing w:after="0" w:line="250" w:lineRule="exact"/>
        <w:rPr>
          <w:sz w:val="20"/>
          <w:szCs w:val="20"/>
          <w:color w:val="auto"/>
        </w:rPr>
      </w:pPr>
    </w:p>
    <w:tbl>
      <w:tblPr>
        <w:tblLayout w:type="fixed"/>
        <w:tblInd w:w="7190" w:type="dxa"/>
        <w:tblCellMar>
          <w:top w:w="0" w:type="dxa"/>
          <w:left w:w="0" w:type="dxa"/>
          <w:bottom w:w="0" w:type="dxa"/>
          <w:right w:w="0" w:type="dxa"/>
        </w:tblCellMar>
      </w:tblPr>
      <w:tr>
        <w:trPr>
          <w:trHeight w:val="210"/>
        </w:trPr>
        <w:tc>
          <w:tcPr>
            <w:tcW w:w="1660" w:type="dxa"/>
            <w:vAlign w:val="bottom"/>
          </w:tcPr>
          <w:p>
            <w:pPr>
              <w:spacing w:after="0"/>
              <w:rPr>
                <w:sz w:val="20"/>
                <w:szCs w:val="20"/>
                <w:color w:val="auto"/>
              </w:rPr>
            </w:pPr>
            <w:r>
              <w:rPr>
                <w:rFonts w:ascii="Arial" w:cs="Arial" w:eastAsia="Arial" w:hAnsi="Arial"/>
                <w:sz w:val="15"/>
                <w:szCs w:val="15"/>
                <w:color w:val="003478"/>
              </w:rPr>
              <w:t>2019 Proxy Statement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808080"/>
              </w:rPr>
              <w:t>13</w:t>
            </w:r>
          </w:p>
        </w:tc>
      </w:tr>
    </w:tbl>
    <w:p>
      <w:pPr>
        <w:sectPr>
          <w:pgSz w:w="11900" w:h="16838" w:orient="portrait"/>
          <w:cols w:equalWidth="0" w:num="2">
            <w:col w:w="2040" w:space="210"/>
            <w:col w:w="9170"/>
          </w:cols>
          <w:pgMar w:left="240" w:top="292" w:right="2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5"/>
          <w:szCs w:val="15"/>
          <w:color w:val="003478"/>
        </w:rPr>
        <w:t>Proposal 1: Election of Directors</w:t>
      </w:r>
    </w:p>
    <w:p>
      <w:pPr>
        <w:spacing w:after="0" w:line="334" w:lineRule="exact"/>
        <w:rPr>
          <w:sz w:val="20"/>
          <w:szCs w:val="20"/>
          <w:color w:val="auto"/>
        </w:rPr>
      </w:pPr>
    </w:p>
    <w:p>
      <w:pPr>
        <w:spacing w:after="0"/>
        <w:rPr>
          <w:sz w:val="20"/>
          <w:szCs w:val="20"/>
          <w:color w:val="auto"/>
        </w:rPr>
      </w:pPr>
      <w:r>
        <w:rPr>
          <w:rFonts w:ascii="Arial" w:cs="Arial" w:eastAsia="Arial" w:hAnsi="Arial"/>
          <w:sz w:val="29"/>
          <w:szCs w:val="29"/>
          <w:b w:val="1"/>
          <w:bCs w:val="1"/>
          <w:color w:val="012E6C"/>
        </w:rPr>
        <w:t>Board Effectiveness, Evaluations and Refreshment</w:t>
      </w:r>
    </w:p>
    <w:p>
      <w:pPr>
        <w:spacing w:after="0" w:line="25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Board composition is one of the most critical areas of focus for the Board. Having the right mix of people who bring diverse perspectives, business and professional experiences and competencies as well as professional integrity, sound judgment and collegiality, provides a foundation for robust dialogue, informed advice and collaboration in the boardroom. We consider current Board skills, background, experience, tenure and anticipated retirements to identify gaps that may need to be filled through the Board refreshment process. The Board strives to ensure an environment that encourages diverse critical thinking and values innovative, strategic discussions to achieve a higher level of success for the Corporation.</w:t>
      </w:r>
    </w:p>
    <w:p>
      <w:pPr>
        <w:spacing w:after="0" w:line="17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Governance Committee screens and recommends candidates for nomination by the full Board. The Governance Committee uses a variety of methods to help identify potential board candidates with the desired skills and background needed for the Corporation’s business, including informal networks, third party search firms, internal resources and other channels. Subsequent to the 2018 annual meeting, the Board appointed Vicki A. Hollub to the Board (see Ms. Hollub's biography on page 12). Using publicly available data and director networks, our internal executive search team compiled a list of prospective director candidates reflecting the Board's criteria, qualifications and experience, which was focused on identifying directors with relevant public company experience, global expertise and diverse perspectives given the anticipated retirements of Messrs. Archibald and Ralston at the Annual Meeting. Ms. Hollub was identified from this source pool by the Chairman and the Governance Committee and was interviewed by the Governance Committee and other Board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1" w:lineRule="exact"/>
        <w:rPr>
          <w:sz w:val="20"/>
          <w:szCs w:val="20"/>
          <w:color w:val="auto"/>
        </w:rPr>
      </w:pPr>
    </w:p>
    <w:p>
      <w:pPr>
        <w:ind w:left="40"/>
        <w:spacing w:after="0"/>
        <w:rPr>
          <w:sz w:val="20"/>
          <w:szCs w:val="20"/>
          <w:color w:val="auto"/>
        </w:rPr>
      </w:pPr>
      <w:r>
        <w:rPr>
          <w:rFonts w:ascii="Arial" w:cs="Arial" w:eastAsia="Arial" w:hAnsi="Arial"/>
          <w:sz w:val="16"/>
          <w:szCs w:val="16"/>
          <w:color w:val="003478"/>
        </w:rPr>
        <w:t>Board Refreshment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117475</wp:posOffset>
            </wp:positionV>
            <wp:extent cx="7220585" cy="46310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20585" cy="4631055"/>
                    </a:xfrm>
                    <a:prstGeom prst="rect">
                      <a:avLst/>
                    </a:prstGeom>
                    <a:noFill/>
                  </pic:spPr>
                </pic:pic>
              </a:graphicData>
            </a:graphic>
          </wp:anchor>
        </w:drawing>
      </w:r>
    </w:p>
    <w:p>
      <w:pPr>
        <w:spacing w:after="0" w:line="286"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012E6C"/>
        </w:rPr>
        <w:t>Governance Committee Review of Board Candidates</w:t>
      </w:r>
    </w:p>
    <w:p>
      <w:pPr>
        <w:spacing w:after="0" w:line="210" w:lineRule="exact"/>
        <w:rPr>
          <w:sz w:val="20"/>
          <w:szCs w:val="20"/>
          <w:color w:val="auto"/>
        </w:rPr>
      </w:pPr>
    </w:p>
    <w:p>
      <w:pPr>
        <w:ind w:left="180" w:right="160"/>
        <w:spacing w:after="0" w:line="253" w:lineRule="auto"/>
        <w:rPr>
          <w:sz w:val="20"/>
          <w:szCs w:val="20"/>
          <w:color w:val="auto"/>
        </w:rPr>
      </w:pPr>
      <w:r>
        <w:rPr>
          <w:rFonts w:ascii="Arial" w:cs="Arial" w:eastAsia="Arial" w:hAnsi="Arial"/>
          <w:sz w:val="17"/>
          <w:szCs w:val="17"/>
          <w:color w:val="auto"/>
        </w:rPr>
        <w:t>The Board seeks a diverse group of candidates who, at a minimum, possess the background, skills, expertise, competencies and time to make a significant contribution to the Board. The Governance Guidelines list criteria against which candidates may be judged. In addition, the Governance Committee considers, among other things:</w:t>
      </w:r>
    </w:p>
    <w:p>
      <w:pPr>
        <w:spacing w:after="0" w:line="165" w:lineRule="exact"/>
        <w:rPr>
          <w:sz w:val="20"/>
          <w:szCs w:val="20"/>
          <w:color w:val="auto"/>
        </w:rPr>
      </w:pPr>
    </w:p>
    <w:p>
      <w:pPr>
        <w:ind w:left="520" w:hanging="228"/>
        <w:spacing w:after="0"/>
        <w:tabs>
          <w:tab w:leader="none" w:pos="520" w:val="left"/>
        </w:tabs>
        <w:numPr>
          <w:ilvl w:val="0"/>
          <w:numId w:val="47"/>
        </w:numPr>
        <w:rPr>
          <w:rFonts w:ascii="Arial" w:cs="Arial" w:eastAsia="Arial" w:hAnsi="Arial"/>
          <w:sz w:val="17"/>
          <w:szCs w:val="17"/>
          <w:color w:val="012E6C"/>
        </w:rPr>
      </w:pPr>
      <w:r>
        <w:rPr>
          <w:rFonts w:ascii="Arial" w:cs="Arial" w:eastAsia="Arial" w:hAnsi="Arial"/>
          <w:sz w:val="17"/>
          <w:szCs w:val="17"/>
          <w:color w:val="auto"/>
        </w:rPr>
        <w:t>input from the Board’s self-assessment process to prioritize areas of expertise that were identified;</w:t>
      </w:r>
    </w:p>
    <w:p>
      <w:pPr>
        <w:spacing w:after="0" w:line="209" w:lineRule="exact"/>
        <w:rPr>
          <w:rFonts w:ascii="Arial" w:cs="Arial" w:eastAsia="Arial" w:hAnsi="Arial"/>
          <w:sz w:val="17"/>
          <w:szCs w:val="17"/>
          <w:color w:val="012E6C"/>
        </w:rPr>
      </w:pPr>
    </w:p>
    <w:p>
      <w:pPr>
        <w:ind w:left="520" w:hanging="228"/>
        <w:spacing w:after="0"/>
        <w:tabs>
          <w:tab w:leader="none" w:pos="520" w:val="left"/>
        </w:tabs>
        <w:numPr>
          <w:ilvl w:val="0"/>
          <w:numId w:val="47"/>
        </w:numPr>
        <w:rPr>
          <w:rFonts w:ascii="Arial" w:cs="Arial" w:eastAsia="Arial" w:hAnsi="Arial"/>
          <w:sz w:val="17"/>
          <w:szCs w:val="17"/>
          <w:color w:val="012E6C"/>
        </w:rPr>
      </w:pPr>
      <w:r>
        <w:rPr>
          <w:rFonts w:ascii="Arial" w:cs="Arial" w:eastAsia="Arial" w:hAnsi="Arial"/>
          <w:sz w:val="17"/>
          <w:szCs w:val="17"/>
          <w:color w:val="auto"/>
        </w:rPr>
        <w:t>investor feedback and perceptions;</w:t>
      </w:r>
    </w:p>
    <w:p>
      <w:pPr>
        <w:spacing w:after="0" w:line="209" w:lineRule="exact"/>
        <w:rPr>
          <w:rFonts w:ascii="Arial" w:cs="Arial" w:eastAsia="Arial" w:hAnsi="Arial"/>
          <w:sz w:val="17"/>
          <w:szCs w:val="17"/>
          <w:color w:val="012E6C"/>
        </w:rPr>
      </w:pPr>
    </w:p>
    <w:p>
      <w:pPr>
        <w:ind w:left="520" w:hanging="228"/>
        <w:spacing w:after="0"/>
        <w:tabs>
          <w:tab w:leader="none" w:pos="520" w:val="left"/>
        </w:tabs>
        <w:numPr>
          <w:ilvl w:val="0"/>
          <w:numId w:val="47"/>
        </w:numPr>
        <w:rPr>
          <w:rFonts w:ascii="Arial" w:cs="Arial" w:eastAsia="Arial" w:hAnsi="Arial"/>
          <w:sz w:val="17"/>
          <w:szCs w:val="17"/>
          <w:color w:val="012E6C"/>
        </w:rPr>
      </w:pPr>
      <w:r>
        <w:rPr>
          <w:rFonts w:ascii="Arial" w:cs="Arial" w:eastAsia="Arial" w:hAnsi="Arial"/>
          <w:sz w:val="17"/>
          <w:szCs w:val="17"/>
          <w:color w:val="auto"/>
        </w:rPr>
        <w:t>the candidates’ skills and competencies to ensure they are aligned to the Corporation’s future strategic challenges and opportunities;</w:t>
      </w:r>
    </w:p>
    <w:p>
      <w:pPr>
        <w:spacing w:after="0" w:line="209" w:lineRule="exact"/>
        <w:rPr>
          <w:rFonts w:ascii="Arial" w:cs="Arial" w:eastAsia="Arial" w:hAnsi="Arial"/>
          <w:sz w:val="17"/>
          <w:szCs w:val="17"/>
          <w:color w:val="012E6C"/>
        </w:rPr>
      </w:pPr>
    </w:p>
    <w:p>
      <w:pPr>
        <w:ind w:left="520" w:hanging="228"/>
        <w:spacing w:after="0"/>
        <w:tabs>
          <w:tab w:leader="none" w:pos="520" w:val="left"/>
        </w:tabs>
        <w:numPr>
          <w:ilvl w:val="0"/>
          <w:numId w:val="47"/>
        </w:numPr>
        <w:rPr>
          <w:rFonts w:ascii="Arial" w:cs="Arial" w:eastAsia="Arial" w:hAnsi="Arial"/>
          <w:sz w:val="17"/>
          <w:szCs w:val="17"/>
          <w:color w:val="012E6C"/>
        </w:rPr>
      </w:pPr>
      <w:r>
        <w:rPr>
          <w:rFonts w:ascii="Arial" w:cs="Arial" w:eastAsia="Arial" w:hAnsi="Arial"/>
          <w:sz w:val="17"/>
          <w:szCs w:val="17"/>
          <w:color w:val="auto"/>
        </w:rPr>
        <w:t>the needs of the Board in light of recent and anticipated Board vacancies; and</w:t>
      </w:r>
    </w:p>
    <w:p>
      <w:pPr>
        <w:spacing w:after="0" w:line="209" w:lineRule="exact"/>
        <w:rPr>
          <w:rFonts w:ascii="Arial" w:cs="Arial" w:eastAsia="Arial" w:hAnsi="Arial"/>
          <w:sz w:val="17"/>
          <w:szCs w:val="17"/>
          <w:color w:val="012E6C"/>
        </w:rPr>
      </w:pPr>
    </w:p>
    <w:p>
      <w:pPr>
        <w:ind w:left="520" w:hanging="228"/>
        <w:spacing w:after="0"/>
        <w:tabs>
          <w:tab w:leader="none" w:pos="520" w:val="left"/>
        </w:tabs>
        <w:numPr>
          <w:ilvl w:val="0"/>
          <w:numId w:val="47"/>
        </w:numPr>
        <w:rPr>
          <w:rFonts w:ascii="Arial" w:cs="Arial" w:eastAsia="Arial" w:hAnsi="Arial"/>
          <w:sz w:val="17"/>
          <w:szCs w:val="17"/>
          <w:color w:val="012E6C"/>
        </w:rPr>
      </w:pPr>
      <w:r>
        <w:rPr>
          <w:rFonts w:ascii="Arial" w:cs="Arial" w:eastAsia="Arial" w:hAnsi="Arial"/>
          <w:sz w:val="17"/>
          <w:szCs w:val="17"/>
          <w:color w:val="auto"/>
        </w:rPr>
        <w:t>a balance between public company and government customer-related experience.</w:t>
      </w:r>
    </w:p>
    <w:p>
      <w:pPr>
        <w:spacing w:after="0" w:line="210" w:lineRule="exact"/>
        <w:rPr>
          <w:sz w:val="20"/>
          <w:szCs w:val="20"/>
          <w:color w:val="auto"/>
        </w:rPr>
      </w:pPr>
    </w:p>
    <w:p>
      <w:pPr>
        <w:ind w:left="180" w:right="80"/>
        <w:spacing w:after="0" w:line="275" w:lineRule="auto"/>
        <w:rPr>
          <w:sz w:val="20"/>
          <w:szCs w:val="20"/>
          <w:color w:val="auto"/>
        </w:rPr>
      </w:pPr>
      <w:r>
        <w:rPr>
          <w:rFonts w:ascii="Arial" w:cs="Arial" w:eastAsia="Arial" w:hAnsi="Arial"/>
          <w:sz w:val="17"/>
          <w:szCs w:val="17"/>
          <w:color w:val="auto"/>
        </w:rPr>
        <w:t>During the process of identifying and selecting director nominees, the Governance Committee screens and recommends candidates for nomination by the full Board. The Bylaws currently provide that the size of the Board may range from 10 to 14 members.</w:t>
      </w:r>
    </w:p>
    <w:p>
      <w:pPr>
        <w:spacing w:after="0" w:line="146" w:lineRule="exact"/>
        <w:rPr>
          <w:sz w:val="20"/>
          <w:szCs w:val="20"/>
          <w:color w:val="auto"/>
        </w:rPr>
      </w:pPr>
    </w:p>
    <w:p>
      <w:pPr>
        <w:ind w:left="180" w:right="200"/>
        <w:spacing w:after="0" w:line="253" w:lineRule="auto"/>
        <w:rPr>
          <w:sz w:val="20"/>
          <w:szCs w:val="20"/>
          <w:color w:val="auto"/>
        </w:rPr>
      </w:pPr>
      <w:r>
        <w:rPr>
          <w:rFonts w:ascii="Arial" w:cs="Arial" w:eastAsia="Arial" w:hAnsi="Arial"/>
          <w:sz w:val="17"/>
          <w:szCs w:val="17"/>
          <w:color w:val="auto"/>
        </w:rPr>
        <w:t xml:space="preserve">Director candidates also may be identified by stockholders and will be evaluated under the same criteria applied to other director nominees and considered by the Governance Committee. Information on the process and requirements for stockholder nominees may be found in Sections 1.10 and 1.11 of our Bylaws on the Corporation’s website at </w:t>
      </w:r>
      <w:r>
        <w:rPr>
          <w:rFonts w:ascii="Arial" w:cs="Arial" w:eastAsia="Arial" w:hAnsi="Arial"/>
          <w:sz w:val="17"/>
          <w:szCs w:val="17"/>
          <w:i w:val="1"/>
          <w:iCs w:val="1"/>
          <w:color w:val="auto"/>
        </w:rPr>
        <w:t>www.lockheedmartin.com/corporate-governance</w:t>
      </w:r>
      <w:r>
        <w:rPr>
          <w:rFonts w:ascii="Arial" w:cs="Arial" w:eastAsia="Arial" w:hAnsi="Arial"/>
          <w:sz w:val="17"/>
          <w:szCs w:val="17"/>
          <w:color w:val="auto"/>
        </w:rPr>
        <w:t>.</w:t>
      </w:r>
    </w:p>
    <w:p>
      <w:pPr>
        <w:spacing w:after="0" w:line="200" w:lineRule="exact"/>
        <w:rPr>
          <w:sz w:val="20"/>
          <w:szCs w:val="20"/>
          <w:color w:val="auto"/>
        </w:rPr>
      </w:pPr>
    </w:p>
    <w:p>
      <w:pPr>
        <w:spacing w:after="0" w:line="262"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012E6C"/>
        </w:rPr>
        <w:t>Board Committee Assignments</w:t>
      </w:r>
    </w:p>
    <w:p>
      <w:pPr>
        <w:spacing w:after="0" w:line="210" w:lineRule="exact"/>
        <w:rPr>
          <w:sz w:val="20"/>
          <w:szCs w:val="20"/>
          <w:color w:val="auto"/>
        </w:rPr>
      </w:pPr>
    </w:p>
    <w:p>
      <w:pPr>
        <w:ind w:left="180" w:right="60"/>
        <w:spacing w:after="0" w:line="237" w:lineRule="auto"/>
        <w:rPr>
          <w:sz w:val="20"/>
          <w:szCs w:val="20"/>
          <w:color w:val="auto"/>
        </w:rPr>
      </w:pPr>
      <w:r>
        <w:rPr>
          <w:rFonts w:ascii="Arial" w:cs="Arial" w:eastAsia="Arial" w:hAnsi="Arial"/>
          <w:sz w:val="17"/>
          <w:szCs w:val="17"/>
          <w:color w:val="auto"/>
        </w:rPr>
        <w:t>In February of each year, the Governance Committee reviews the membership, tenure, leadership and commitments of each of the committees and considers possible changes given the qualifications and skill sets of members on the Board or a desire for committee rotation or refreshment. The Governance Committee also takes into consideration the membership requirements and responsibilities set forth in each of the respective committee charters and the Governance Guidelines as well as any upcoming vacancies on the Board due to our mandatory retirement age. The Governance Committee recommends to the Board any proposed changes to committee assignments and leadership to be made effective at the next annual meeting of stockholders. The Governance Committee also reviews the operation of the Board generally and based upon its recommendation, the Board approved the consolidation of the Governance Committee and the Ethics and Sustainability Committee effective immediately following the 2018 annual meeting and the consolidation of the Strategic Affairs Committee into the Audit Committee effective immediately following the 2019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483870</wp:posOffset>
            </wp:positionV>
            <wp:extent cx="1440815" cy="3257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44081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808080"/>
        </w:rPr>
        <w:t>14</w:t>
      </w:r>
    </w:p>
    <w:p>
      <w:pPr>
        <w:sectPr>
          <w:pgSz w:w="11900" w:h="16838" w:orient="portrait"/>
          <w:cols w:equalWidth="0" w:num="1">
            <w:col w:w="11380"/>
          </w:cols>
          <w:pgMar w:left="240" w:top="292" w:right="279" w:bottom="1440" w:gutter="0" w:footer="0" w:header="0"/>
        </w:sectPr>
      </w:pPr>
    </w:p>
    <w:bookmarkStart w:id="17" w:name="page18"/>
    <w:bookmarkEnd w:id="17"/>
    <w:p>
      <w:pPr>
        <w:jc w:val="right"/>
        <w:spacing w:after="0"/>
        <w:rPr>
          <w:sz w:val="20"/>
          <w:szCs w:val="20"/>
          <w:color w:val="auto"/>
        </w:rPr>
      </w:pPr>
      <w:r>
        <w:rPr>
          <w:rFonts w:ascii="Arial" w:cs="Arial" w:eastAsia="Arial" w:hAnsi="Arial"/>
          <w:sz w:val="15"/>
          <w:szCs w:val="15"/>
          <w:color w:val="003478"/>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436880</wp:posOffset>
            </wp:positionV>
            <wp:extent cx="7203440" cy="24701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3440" cy="247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012E6C"/>
        </w:rPr>
        <w:t>Annual Performance Assessment</w:t>
      </w:r>
    </w:p>
    <w:p>
      <w:pPr>
        <w:spacing w:after="0" w:line="210" w:lineRule="exact"/>
        <w:rPr>
          <w:sz w:val="20"/>
          <w:szCs w:val="20"/>
          <w:color w:val="auto"/>
        </w:rPr>
      </w:pPr>
    </w:p>
    <w:p>
      <w:pPr>
        <w:ind w:left="180" w:right="100"/>
        <w:spacing w:after="0" w:line="242" w:lineRule="auto"/>
        <w:rPr>
          <w:sz w:val="20"/>
          <w:szCs w:val="20"/>
          <w:color w:val="auto"/>
        </w:rPr>
      </w:pPr>
      <w:r>
        <w:rPr>
          <w:rFonts w:ascii="Arial" w:cs="Arial" w:eastAsia="Arial" w:hAnsi="Arial"/>
          <w:sz w:val="17"/>
          <w:szCs w:val="17"/>
          <w:color w:val="auto"/>
        </w:rPr>
        <w:t>The Board conducts a self-assessment of its performance and effectiveness as well as that of its committees on an annual basis. The self-assessment helps the Governance Committee to track progress in certain areas targeted for improvement from year-to-year and to identify ways to enhance the Board’s and its committees’ effectiveness. For 2018, each director completed a written questionnaire. The questions were open-ended to solicit candid feedback. The collective ratings and comments are compiled and summarized and the Lead Director leads a discussion with the Governance Committee and the full Board.</w:t>
      </w:r>
    </w:p>
    <w:p>
      <w:pPr>
        <w:spacing w:after="0" w:line="200" w:lineRule="exact"/>
        <w:rPr>
          <w:sz w:val="20"/>
          <w:szCs w:val="20"/>
          <w:color w:val="auto"/>
        </w:rPr>
      </w:pPr>
    </w:p>
    <w:p>
      <w:pPr>
        <w:spacing w:after="0" w:line="27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012E6C"/>
        </w:rPr>
        <w:t>Robust Onboarding and Continuing Education</w:t>
      </w:r>
    </w:p>
    <w:p>
      <w:pPr>
        <w:spacing w:after="0" w:line="210" w:lineRule="exact"/>
        <w:rPr>
          <w:sz w:val="20"/>
          <w:szCs w:val="20"/>
          <w:color w:val="auto"/>
        </w:rPr>
      </w:pPr>
    </w:p>
    <w:p>
      <w:pPr>
        <w:ind w:left="180" w:right="120"/>
        <w:spacing w:after="0" w:line="239" w:lineRule="auto"/>
        <w:rPr>
          <w:sz w:val="20"/>
          <w:szCs w:val="20"/>
          <w:color w:val="auto"/>
        </w:rPr>
      </w:pPr>
      <w:r>
        <w:rPr>
          <w:rFonts w:ascii="Arial" w:cs="Arial" w:eastAsia="Arial" w:hAnsi="Arial"/>
          <w:sz w:val="17"/>
          <w:szCs w:val="17"/>
          <w:color w:val="auto"/>
        </w:rPr>
        <w:t>New directors are provided a robust orientation about the Corporation, including our business operations, strategy and governance. New directors have one-on-one sessions with the CEO, other directors and other members of senior management. Members of our senior management regularly review with the Board the operating plan of each of our business segments and the Corporation as a whole. The Board also conducts periodic site visits to our facilities as part of its regularly scheduled Board meetings and directors are encouraged to visit sites on an ad hoc basis and meet one-on-one with members of senior management and other employees. Directors are encouraged to attend outside director continuing education programs sponsored by educational and other institutions to assist them in staying abreast of developments in corporate governance and critical issues relating to the operation of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40"/>
        <w:spacing w:after="0"/>
        <w:rPr>
          <w:sz w:val="20"/>
          <w:szCs w:val="20"/>
          <w:color w:val="auto"/>
        </w:rPr>
      </w:pPr>
      <w:r>
        <w:rPr>
          <w:rFonts w:ascii="Arial" w:cs="Arial" w:eastAsia="Arial" w:hAnsi="Arial"/>
          <w:sz w:val="16"/>
          <w:szCs w:val="16"/>
          <w:color w:val="003478"/>
        </w:rPr>
        <w:t>Our Tenure Guidelines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740" w:type="dxa"/>
            <w:vAlign w:val="bottom"/>
            <w:vMerge w:val="restart"/>
            <w:shd w:val="clear" w:color="auto" w:fill="E6E7EF"/>
          </w:tcPr>
          <w:p>
            <w:pPr>
              <w:ind w:left="120"/>
              <w:spacing w:after="0"/>
              <w:rPr>
                <w:sz w:val="20"/>
                <w:szCs w:val="20"/>
                <w:color w:val="auto"/>
              </w:rPr>
            </w:pPr>
            <w:r>
              <w:rPr>
                <w:rFonts w:ascii="Arial" w:cs="Arial" w:eastAsia="Arial" w:hAnsi="Arial"/>
                <w:sz w:val="17"/>
                <w:szCs w:val="17"/>
                <w:b w:val="1"/>
                <w:bCs w:val="1"/>
                <w:color w:val="012E6C"/>
              </w:rPr>
              <w:t>Mandatory Retirement Age</w:t>
            </w:r>
          </w:p>
        </w:tc>
        <w:tc>
          <w:tcPr>
            <w:tcW w:w="8360" w:type="dxa"/>
            <w:vAlign w:val="bottom"/>
            <w:shd w:val="clear" w:color="auto" w:fill="E6E7EF"/>
          </w:tcPr>
          <w:p>
            <w:pPr>
              <w:ind w:left="5020"/>
              <w:spacing w:after="0"/>
              <w:rPr>
                <w:sz w:val="20"/>
                <w:szCs w:val="20"/>
                <w:color w:val="auto"/>
              </w:rPr>
            </w:pPr>
            <w:r>
              <w:rPr>
                <w:rFonts w:ascii="Arial" w:cs="Arial" w:eastAsia="Arial" w:hAnsi="Arial"/>
                <w:sz w:val="14"/>
                <w:szCs w:val="14"/>
                <w:color w:val="auto"/>
              </w:rPr>
              <w:t>th</w:t>
            </w:r>
          </w:p>
        </w:tc>
        <w:tc>
          <w:tcPr>
            <w:tcW w:w="320" w:type="dxa"/>
            <w:vAlign w:val="bottom"/>
            <w:shd w:val="clear" w:color="auto" w:fill="E6E7E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740" w:type="dxa"/>
            <w:vAlign w:val="bottom"/>
            <w:vMerge w:val="continue"/>
            <w:shd w:val="clear" w:color="auto" w:fill="E6E7EF"/>
          </w:tcPr>
          <w:p>
            <w:pPr>
              <w:spacing w:after="0"/>
              <w:rPr>
                <w:sz w:val="16"/>
                <w:szCs w:val="16"/>
                <w:color w:val="auto"/>
              </w:rPr>
            </w:pPr>
          </w:p>
        </w:tc>
        <w:tc>
          <w:tcPr>
            <w:tcW w:w="8360" w:type="dxa"/>
            <w:vAlign w:val="bottom"/>
            <w:shd w:val="clear" w:color="auto" w:fill="E6E7EF"/>
          </w:tcPr>
          <w:p>
            <w:pPr>
              <w:ind w:left="40"/>
              <w:spacing w:after="0" w:line="189" w:lineRule="exact"/>
              <w:rPr>
                <w:sz w:val="20"/>
                <w:szCs w:val="20"/>
                <w:color w:val="auto"/>
              </w:rPr>
            </w:pPr>
            <w:r>
              <w:rPr>
                <w:rFonts w:ascii="Arial" w:cs="Arial" w:eastAsia="Arial" w:hAnsi="Arial"/>
                <w:sz w:val="17"/>
                <w:szCs w:val="17"/>
                <w:color w:val="auto"/>
              </w:rPr>
              <w:t>A director must retire at the annual meeting following his or her 75  birthday.</w:t>
            </w:r>
          </w:p>
        </w:tc>
        <w:tc>
          <w:tcPr>
            <w:tcW w:w="320" w:type="dxa"/>
            <w:vAlign w:val="bottom"/>
            <w:shd w:val="clear" w:color="auto" w:fill="E6E7EF"/>
          </w:tcPr>
          <w:p>
            <w:pPr>
              <w:spacing w:after="0"/>
              <w:rPr>
                <w:sz w:val="16"/>
                <w:szCs w:val="16"/>
                <w:color w:val="auto"/>
              </w:rPr>
            </w:pPr>
          </w:p>
        </w:tc>
        <w:tc>
          <w:tcPr>
            <w:tcW w:w="0" w:type="dxa"/>
            <w:vAlign w:val="bottom"/>
          </w:tcPr>
          <w:p>
            <w:pPr>
              <w:spacing w:after="0"/>
              <w:rPr>
                <w:sz w:val="1"/>
                <w:szCs w:val="1"/>
                <w:color w:val="auto"/>
              </w:rPr>
            </w:pPr>
          </w:p>
        </w:tc>
      </w:tr>
      <w:tr>
        <w:trPr>
          <w:trHeight w:val="296"/>
        </w:trPr>
        <w:tc>
          <w:tcPr>
            <w:tcW w:w="2740" w:type="dxa"/>
            <w:vAlign w:val="bottom"/>
            <w:shd w:val="clear" w:color="auto" w:fill="E6E7EF"/>
          </w:tcPr>
          <w:p>
            <w:pPr>
              <w:ind w:left="120"/>
              <w:spacing w:after="0"/>
              <w:rPr>
                <w:sz w:val="20"/>
                <w:szCs w:val="20"/>
                <w:color w:val="auto"/>
              </w:rPr>
            </w:pPr>
            <w:r>
              <w:rPr>
                <w:rFonts w:ascii="Arial" w:cs="Arial" w:eastAsia="Arial" w:hAnsi="Arial"/>
                <w:sz w:val="17"/>
                <w:szCs w:val="17"/>
                <w:b w:val="1"/>
                <w:bCs w:val="1"/>
                <w:color w:val="012E6C"/>
              </w:rPr>
              <w:t>Term Limits</w:t>
            </w:r>
          </w:p>
        </w:tc>
        <w:tc>
          <w:tcPr>
            <w:tcW w:w="8680" w:type="dxa"/>
            <w:vAlign w:val="bottom"/>
            <w:gridSpan w:val="2"/>
            <w:shd w:val="clear" w:color="auto" w:fill="E6E7EF"/>
          </w:tcPr>
          <w:p>
            <w:pPr>
              <w:ind w:left="40"/>
              <w:spacing w:after="0"/>
              <w:rPr>
                <w:sz w:val="20"/>
                <w:szCs w:val="20"/>
                <w:color w:val="auto"/>
              </w:rPr>
            </w:pPr>
            <w:r>
              <w:rPr>
                <w:rFonts w:ascii="Arial" w:cs="Arial" w:eastAsia="Arial" w:hAnsi="Arial"/>
                <w:sz w:val="17"/>
                <w:szCs w:val="17"/>
                <w:color w:val="auto"/>
              </w:rPr>
              <w:t>We do not have term limits for directors as we believe implementing term limitations may prevent the Board from</w:t>
            </w:r>
          </w:p>
        </w:tc>
        <w:tc>
          <w:tcPr>
            <w:tcW w:w="0" w:type="dxa"/>
            <w:vAlign w:val="bottom"/>
          </w:tcPr>
          <w:p>
            <w:pPr>
              <w:spacing w:after="0"/>
              <w:rPr>
                <w:sz w:val="1"/>
                <w:szCs w:val="1"/>
                <w:color w:val="auto"/>
              </w:rPr>
            </w:pPr>
          </w:p>
        </w:tc>
      </w:tr>
      <w:tr>
        <w:trPr>
          <w:trHeight w:val="231"/>
        </w:trPr>
        <w:tc>
          <w:tcPr>
            <w:tcW w:w="2740" w:type="dxa"/>
            <w:vAlign w:val="bottom"/>
            <w:shd w:val="clear" w:color="auto" w:fill="E6E7EF"/>
          </w:tcPr>
          <w:p>
            <w:pPr>
              <w:spacing w:after="0"/>
              <w:rPr>
                <w:sz w:val="20"/>
                <w:szCs w:val="20"/>
                <w:color w:val="auto"/>
              </w:rPr>
            </w:pPr>
          </w:p>
        </w:tc>
        <w:tc>
          <w:tcPr>
            <w:tcW w:w="8360" w:type="dxa"/>
            <w:vAlign w:val="bottom"/>
            <w:shd w:val="clear" w:color="auto" w:fill="E6E7EF"/>
          </w:tcPr>
          <w:p>
            <w:pPr>
              <w:ind w:left="40"/>
              <w:spacing w:after="0"/>
              <w:rPr>
                <w:sz w:val="20"/>
                <w:szCs w:val="20"/>
                <w:color w:val="auto"/>
              </w:rPr>
            </w:pPr>
            <w:r>
              <w:rPr>
                <w:rFonts w:ascii="Arial" w:cs="Arial" w:eastAsia="Arial" w:hAnsi="Arial"/>
                <w:sz w:val="17"/>
                <w:szCs w:val="17"/>
                <w:color w:val="auto"/>
              </w:rPr>
              <w:t>taking advantage of insight that longer tenure brings.</w:t>
            </w:r>
          </w:p>
        </w:tc>
        <w:tc>
          <w:tcPr>
            <w:tcW w:w="320" w:type="dxa"/>
            <w:vAlign w:val="bottom"/>
            <w:shd w:val="clear" w:color="auto" w:fill="E6E7EF"/>
          </w:tcPr>
          <w:p>
            <w:pPr>
              <w:spacing w:after="0"/>
              <w:rPr>
                <w:sz w:val="20"/>
                <w:szCs w:val="20"/>
                <w:color w:val="auto"/>
              </w:rPr>
            </w:pPr>
          </w:p>
        </w:tc>
        <w:tc>
          <w:tcPr>
            <w:tcW w:w="0" w:type="dxa"/>
            <w:vAlign w:val="bottom"/>
          </w:tcPr>
          <w:p>
            <w:pPr>
              <w:spacing w:after="0"/>
              <w:rPr>
                <w:sz w:val="1"/>
                <w:szCs w:val="1"/>
                <w:color w:val="auto"/>
              </w:rPr>
            </w:pPr>
          </w:p>
        </w:tc>
      </w:tr>
      <w:tr>
        <w:trPr>
          <w:trHeight w:val="469"/>
        </w:trPr>
        <w:tc>
          <w:tcPr>
            <w:tcW w:w="2740" w:type="dxa"/>
            <w:vAlign w:val="bottom"/>
            <w:shd w:val="clear" w:color="auto" w:fill="E6E7EF"/>
          </w:tcPr>
          <w:p>
            <w:pPr>
              <w:ind w:left="120"/>
              <w:spacing w:after="0"/>
              <w:rPr>
                <w:sz w:val="20"/>
                <w:szCs w:val="20"/>
                <w:color w:val="auto"/>
              </w:rPr>
            </w:pPr>
            <w:r>
              <w:rPr>
                <w:rFonts w:ascii="Arial" w:cs="Arial" w:eastAsia="Arial" w:hAnsi="Arial"/>
                <w:sz w:val="17"/>
                <w:szCs w:val="17"/>
                <w:b w:val="1"/>
                <w:bCs w:val="1"/>
                <w:color w:val="012E6C"/>
              </w:rPr>
              <w:t>Employment Change</w:t>
            </w:r>
          </w:p>
        </w:tc>
        <w:tc>
          <w:tcPr>
            <w:tcW w:w="8360" w:type="dxa"/>
            <w:vAlign w:val="bottom"/>
            <w:shd w:val="clear" w:color="auto" w:fill="E6E7EF"/>
          </w:tcPr>
          <w:p>
            <w:pPr>
              <w:ind w:left="40"/>
              <w:spacing w:after="0"/>
              <w:rPr>
                <w:sz w:val="20"/>
                <w:szCs w:val="20"/>
                <w:color w:val="auto"/>
              </w:rPr>
            </w:pPr>
            <w:r>
              <w:rPr>
                <w:rFonts w:ascii="Arial" w:cs="Arial" w:eastAsia="Arial" w:hAnsi="Arial"/>
                <w:sz w:val="17"/>
                <w:szCs w:val="17"/>
                <w:color w:val="auto"/>
              </w:rPr>
              <w:t>Directors should expect to resign upon any significant change in principal employment or responsibilities.</w:t>
            </w:r>
          </w:p>
        </w:tc>
        <w:tc>
          <w:tcPr>
            <w:tcW w:w="320" w:type="dxa"/>
            <w:vAlign w:val="bottom"/>
            <w:shd w:val="clear" w:color="auto" w:fill="E6E7EF"/>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740" w:type="dxa"/>
            <w:vAlign w:val="bottom"/>
            <w:shd w:val="clear" w:color="auto" w:fill="E6E7EF"/>
          </w:tcPr>
          <w:p>
            <w:pPr>
              <w:ind w:left="120"/>
              <w:spacing w:after="0"/>
              <w:rPr>
                <w:sz w:val="20"/>
                <w:szCs w:val="20"/>
                <w:color w:val="auto"/>
              </w:rPr>
            </w:pPr>
            <w:r>
              <w:rPr>
                <w:rFonts w:ascii="Arial" w:cs="Arial" w:eastAsia="Arial" w:hAnsi="Arial"/>
                <w:sz w:val="17"/>
                <w:szCs w:val="17"/>
                <w:b w:val="1"/>
                <w:bCs w:val="1"/>
                <w:color w:val="012E6C"/>
              </w:rPr>
              <w:t>Failed Election</w:t>
            </w:r>
          </w:p>
        </w:tc>
        <w:tc>
          <w:tcPr>
            <w:tcW w:w="8360" w:type="dxa"/>
            <w:vAlign w:val="bottom"/>
            <w:shd w:val="clear" w:color="auto" w:fill="E6E7EF"/>
          </w:tcPr>
          <w:p>
            <w:pPr>
              <w:ind w:left="40"/>
              <w:spacing w:after="0"/>
              <w:rPr>
                <w:sz w:val="20"/>
                <w:szCs w:val="20"/>
                <w:color w:val="auto"/>
              </w:rPr>
            </w:pPr>
            <w:r>
              <w:rPr>
                <w:rFonts w:ascii="Arial" w:cs="Arial" w:eastAsia="Arial" w:hAnsi="Arial"/>
                <w:sz w:val="17"/>
                <w:szCs w:val="17"/>
                <w:color w:val="auto"/>
              </w:rPr>
              <w:t>Directors must offer to resign as a result of a failed stockholder vote.</w:t>
            </w:r>
          </w:p>
        </w:tc>
        <w:tc>
          <w:tcPr>
            <w:tcW w:w="320" w:type="dxa"/>
            <w:vAlign w:val="bottom"/>
            <w:shd w:val="clear" w:color="auto" w:fill="E6E7EF"/>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740" w:type="dxa"/>
            <w:vAlign w:val="bottom"/>
            <w:shd w:val="clear" w:color="auto" w:fill="E6E7EF"/>
          </w:tcPr>
          <w:p>
            <w:pPr>
              <w:spacing w:after="0"/>
              <w:rPr>
                <w:sz w:val="9"/>
                <w:szCs w:val="9"/>
                <w:color w:val="auto"/>
              </w:rPr>
            </w:pPr>
          </w:p>
        </w:tc>
        <w:tc>
          <w:tcPr>
            <w:tcW w:w="8360" w:type="dxa"/>
            <w:vAlign w:val="bottom"/>
            <w:shd w:val="clear" w:color="auto" w:fill="E6E7EF"/>
          </w:tcPr>
          <w:p>
            <w:pPr>
              <w:spacing w:after="0"/>
              <w:rPr>
                <w:sz w:val="9"/>
                <w:szCs w:val="9"/>
                <w:color w:val="auto"/>
              </w:rPr>
            </w:pPr>
          </w:p>
        </w:tc>
        <w:tc>
          <w:tcPr>
            <w:tcW w:w="320" w:type="dxa"/>
            <w:vAlign w:val="bottom"/>
            <w:shd w:val="clear" w:color="auto" w:fill="E6E7EF"/>
          </w:tcPr>
          <w:p>
            <w:pPr>
              <w:spacing w:after="0"/>
              <w:rPr>
                <w:sz w:val="9"/>
                <w:szCs w:val="9"/>
                <w:color w:val="auto"/>
              </w:rPr>
            </w:pPr>
          </w:p>
        </w:tc>
        <w:tc>
          <w:tcPr>
            <w:tcW w:w="0" w:type="dxa"/>
            <w:vAlign w:val="bottom"/>
          </w:tcPr>
          <w:p>
            <w:pPr>
              <w:spacing w:after="0"/>
              <w:rPr>
                <w:sz w:val="1"/>
                <w:szCs w:val="1"/>
                <w:color w:val="auto"/>
              </w:rPr>
            </w:pPr>
          </w:p>
        </w:tc>
      </w:tr>
      <w:tr>
        <w:trPr>
          <w:trHeight w:val="700"/>
        </w:trPr>
        <w:tc>
          <w:tcPr>
            <w:tcW w:w="2740" w:type="dxa"/>
            <w:vAlign w:val="bottom"/>
          </w:tcPr>
          <w:p>
            <w:pPr>
              <w:ind w:left="40"/>
              <w:spacing w:after="0"/>
              <w:rPr>
                <w:sz w:val="20"/>
                <w:szCs w:val="20"/>
                <w:color w:val="auto"/>
              </w:rPr>
            </w:pPr>
            <w:r>
              <w:rPr>
                <w:rFonts w:ascii="Arial" w:cs="Arial" w:eastAsia="Arial" w:hAnsi="Arial"/>
                <w:sz w:val="15"/>
                <w:szCs w:val="15"/>
                <w:color w:val="003478"/>
              </w:rPr>
              <w:t>www.lockheedmartin.com</w:t>
            </w:r>
          </w:p>
        </w:tc>
        <w:tc>
          <w:tcPr>
            <w:tcW w:w="8360" w:type="dxa"/>
            <w:vAlign w:val="bottom"/>
          </w:tcPr>
          <w:p>
            <w:pPr>
              <w:ind w:left="6700"/>
              <w:spacing w:after="0"/>
              <w:rPr>
                <w:sz w:val="20"/>
                <w:szCs w:val="20"/>
                <w:color w:val="auto"/>
              </w:rPr>
            </w:pPr>
            <w:r>
              <w:rPr>
                <w:rFonts w:ascii="Arial" w:cs="Arial" w:eastAsia="Arial" w:hAnsi="Arial"/>
                <w:sz w:val="15"/>
                <w:szCs w:val="15"/>
                <w:color w:val="003478"/>
              </w:rPr>
              <w:t>2019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808080"/>
              </w:rPr>
              <w:t>15</w:t>
            </w:r>
          </w:p>
        </w:tc>
        <w:tc>
          <w:tcPr>
            <w:tcW w:w="0" w:type="dxa"/>
            <w:vAlign w:val="bottom"/>
          </w:tcPr>
          <w:p>
            <w:pPr>
              <w:spacing w:after="0"/>
              <w:rPr>
                <w:sz w:val="1"/>
                <w:szCs w:val="1"/>
                <w:color w:val="auto"/>
              </w:rPr>
            </w:pPr>
          </w:p>
        </w:tc>
      </w:tr>
    </w:tbl>
    <w:p>
      <w:pPr>
        <w:sectPr>
          <w:pgSz w:w="11900" w:h="16838" w:orient="portrait"/>
          <w:cols w:equalWidth="0" w:num="1">
            <w:col w:w="11420"/>
          </w:cols>
          <w:pgMar w:left="240" w:top="292" w:right="239" w:bottom="1440" w:gutter="0" w:footer="0" w:header="0"/>
        </w:sectPr>
      </w:pPr>
    </w:p>
    <w:bookmarkStart w:id="18" w:name="page19"/>
    <w:bookmarkEnd w:id="18"/>
    <w:p>
      <w:pPr>
        <w:spacing w:after="0"/>
        <w:rPr>
          <w:sz w:val="20"/>
          <w:szCs w:val="20"/>
          <w:color w:val="auto"/>
        </w:rPr>
      </w:pPr>
      <w:r>
        <w:rPr>
          <w:rFonts w:ascii="Arial" w:cs="Arial" w:eastAsia="Arial" w:hAnsi="Arial"/>
          <w:sz w:val="43"/>
          <w:szCs w:val="43"/>
          <w:color w:val="012E6C"/>
        </w:rPr>
        <w:t>Corporate Governance</w:t>
      </w:r>
    </w:p>
    <w:p>
      <w:pPr>
        <w:spacing w:after="0" w:line="37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Lockheed Martin believes good governance is integral to achieving long-term stockholder value. The Board’s primary role is to oversee management and represent the interests of stockholders. Directors are expected to attend Board meetings, the meetings of the committees on which they serve and the annual meeting of stockholders. The Board and its committees regularly schedule and hold executive sessions without any members of management present. Between meetings, directors interact with the Chairman, President and Chief Executive Officer (CEO), the Lead Director and other members of management and are available to provide advice and counsel to management.</w:t>
      </w:r>
    </w:p>
    <w:p>
      <w:pPr>
        <w:spacing w:after="0" w:line="143" w:lineRule="exact"/>
        <w:rPr>
          <w:sz w:val="20"/>
          <w:szCs w:val="20"/>
          <w:color w:val="auto"/>
        </w:rPr>
      </w:pPr>
    </w:p>
    <w:p>
      <w:pPr>
        <w:spacing w:after="0"/>
        <w:rPr>
          <w:sz w:val="20"/>
          <w:szCs w:val="20"/>
          <w:color w:val="auto"/>
        </w:rPr>
      </w:pPr>
      <w:r>
        <w:rPr>
          <w:rFonts w:ascii="Arial" w:cs="Arial" w:eastAsia="Arial" w:hAnsi="Arial"/>
          <w:sz w:val="29"/>
          <w:szCs w:val="29"/>
          <w:b w:val="1"/>
          <w:bCs w:val="1"/>
          <w:color w:val="012E6C"/>
        </w:rPr>
        <w:t>Board Structure</w:t>
      </w:r>
    </w:p>
    <w:p>
      <w:pPr>
        <w:spacing w:after="0" w:line="234" w:lineRule="exact"/>
        <w:rPr>
          <w:sz w:val="20"/>
          <w:szCs w:val="20"/>
          <w:color w:val="auto"/>
        </w:rPr>
      </w:pPr>
    </w:p>
    <w:p>
      <w:pPr>
        <w:spacing w:after="0"/>
        <w:rPr>
          <w:sz w:val="20"/>
          <w:szCs w:val="20"/>
          <w:color w:val="auto"/>
        </w:rPr>
      </w:pPr>
      <w:r>
        <w:rPr>
          <w:rFonts w:ascii="Arial" w:cs="Arial" w:eastAsia="Arial" w:hAnsi="Arial"/>
          <w:sz w:val="25"/>
          <w:szCs w:val="25"/>
          <w:color w:val="475C90"/>
        </w:rPr>
        <w:t>Positions of Chairman and CEO</w:t>
      </w:r>
    </w:p>
    <w:p>
      <w:pPr>
        <w:spacing w:after="0" w:line="24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Board believes that it must be independent and must provide strong and effective oversight. The Board also believes that the independent Board members should have the flexibility to respond to changing circumstances and choose the model that best fits the then-current situation. As a result, the roles of Chairman and CEO have been split from time to time to facilitate leadership transitions, while at other times the roles have been combined. The Board believes that, at the present time, the Corporation is best served by allocating governance responsibilities between a combined Chairman and CEO and an independent Lead Director with robust responsibilities. This structure allows the Corporation to present a single face to our customers through the combined Chairman and CEO position while at the same time providing an active role and voice for the independent directors through the Lead Director.</w:t>
      </w:r>
    </w:p>
    <w:p>
      <w:pPr>
        <w:spacing w:after="0" w:line="17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connection with the retirement of the current Lead Director at the Annual Meeting, the Governance Committee reviewed the current leadership structure and determined that it continues to provide effective independent oversight and meet the needs of the Corporation. The independent directors will continue to review the leadership structure on an ongoing basis to effectively oversee risk management and ensure that it continues to meet the needs of the Corporation and support the generation of stockholder value over the long-term.</w:t>
      </w:r>
    </w:p>
    <w:p>
      <w:pPr>
        <w:spacing w:after="0" w:line="169" w:lineRule="exact"/>
        <w:rPr>
          <w:sz w:val="20"/>
          <w:szCs w:val="20"/>
          <w:color w:val="auto"/>
        </w:rPr>
      </w:pPr>
    </w:p>
    <w:p>
      <w:pPr>
        <w:spacing w:after="0"/>
        <w:rPr>
          <w:sz w:val="20"/>
          <w:szCs w:val="20"/>
          <w:color w:val="auto"/>
        </w:rPr>
      </w:pPr>
      <w:r>
        <w:rPr>
          <w:rFonts w:ascii="Arial" w:cs="Arial" w:eastAsia="Arial" w:hAnsi="Arial"/>
          <w:sz w:val="25"/>
          <w:szCs w:val="25"/>
          <w:color w:val="475C90"/>
        </w:rPr>
        <w:t>Independent Lead Director</w:t>
      </w:r>
    </w:p>
    <w:p>
      <w:pPr>
        <w:spacing w:after="0" w:line="25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accordance with our Bylaws and Governance Guidelines, the independent members of the Board annually elect one of the independent directors to serve as the Lead Director by the affirmative vote of a majority of the directors who have been determined to be “independent” for purposes of the New York Stock Exchange (NYSE) listing standards. The Board has structured the role of the Lead Director with sufficient authority to serve as a counter-balance to management. The responsibilities specified in our Bylaws for the Lead Director are to:</w:t>
      </w:r>
    </w:p>
    <w:p>
      <w:pPr>
        <w:spacing w:after="0" w:line="117" w:lineRule="exact"/>
        <w:rPr>
          <w:sz w:val="20"/>
          <w:szCs w:val="20"/>
          <w:color w:val="auto"/>
        </w:rPr>
      </w:pPr>
    </w:p>
    <w:p>
      <w:pPr>
        <w:ind w:left="260" w:right="680" w:hanging="171"/>
        <w:spacing w:after="0" w:line="308" w:lineRule="auto"/>
        <w:tabs>
          <w:tab w:leader="none" w:pos="260" w:val="left"/>
        </w:tabs>
        <w:numPr>
          <w:ilvl w:val="0"/>
          <w:numId w:val="48"/>
        </w:numPr>
        <w:rPr>
          <w:rFonts w:ascii="Arial" w:cs="Arial" w:eastAsia="Arial" w:hAnsi="Arial"/>
          <w:sz w:val="17"/>
          <w:szCs w:val="17"/>
          <w:color w:val="012E6C"/>
        </w:rPr>
      </w:pPr>
      <w:r>
        <w:rPr>
          <w:rFonts w:ascii="Arial" w:cs="Arial" w:eastAsia="Arial" w:hAnsi="Arial"/>
          <w:sz w:val="17"/>
          <w:szCs w:val="17"/>
          <w:color w:val="auto"/>
        </w:rPr>
        <w:t>preside as chair at Board meetings while in executive sessions of the non-management members of the Board or executive sessions of the independent directors or if the Chairman is not present;</w:t>
      </w:r>
    </w:p>
    <w:p>
      <w:pPr>
        <w:spacing w:after="0" w:line="38" w:lineRule="exact"/>
        <w:rPr>
          <w:rFonts w:ascii="Arial" w:cs="Arial" w:eastAsia="Arial" w:hAnsi="Arial"/>
          <w:sz w:val="17"/>
          <w:szCs w:val="17"/>
          <w:color w:val="012E6C"/>
        </w:rPr>
      </w:pPr>
    </w:p>
    <w:p>
      <w:pPr>
        <w:ind w:left="260" w:right="160" w:hanging="171"/>
        <w:spacing w:after="0" w:line="308" w:lineRule="auto"/>
        <w:tabs>
          <w:tab w:leader="none" w:pos="260" w:val="left"/>
        </w:tabs>
        <w:numPr>
          <w:ilvl w:val="0"/>
          <w:numId w:val="48"/>
        </w:numPr>
        <w:rPr>
          <w:rFonts w:ascii="Arial" w:cs="Arial" w:eastAsia="Arial" w:hAnsi="Arial"/>
          <w:sz w:val="17"/>
          <w:szCs w:val="17"/>
          <w:color w:val="012E6C"/>
        </w:rPr>
      </w:pPr>
      <w:r>
        <w:rPr>
          <w:rFonts w:ascii="Arial" w:cs="Arial" w:eastAsia="Arial" w:hAnsi="Arial"/>
          <w:sz w:val="17"/>
          <w:szCs w:val="17"/>
          <w:color w:val="auto"/>
        </w:rPr>
        <w:t>determine the frequency and timing of executive sessions of non-management directors and report to the Chairman on all relevant matters arising from those sessions;</w:t>
      </w:r>
    </w:p>
    <w:p>
      <w:pPr>
        <w:spacing w:after="0" w:line="38" w:lineRule="exact"/>
        <w:rPr>
          <w:rFonts w:ascii="Arial" w:cs="Arial" w:eastAsia="Arial" w:hAnsi="Arial"/>
          <w:sz w:val="17"/>
          <w:szCs w:val="17"/>
          <w:color w:val="012E6C"/>
        </w:rPr>
      </w:pPr>
    </w:p>
    <w:p>
      <w:pPr>
        <w:ind w:left="260" w:right="140" w:hanging="171"/>
        <w:spacing w:after="0" w:line="308" w:lineRule="auto"/>
        <w:tabs>
          <w:tab w:leader="none" w:pos="260" w:val="left"/>
        </w:tabs>
        <w:numPr>
          <w:ilvl w:val="0"/>
          <w:numId w:val="48"/>
        </w:numPr>
        <w:rPr>
          <w:rFonts w:ascii="Arial" w:cs="Arial" w:eastAsia="Arial" w:hAnsi="Arial"/>
          <w:sz w:val="17"/>
          <w:szCs w:val="17"/>
          <w:color w:val="012E6C"/>
        </w:rPr>
      </w:pPr>
      <w:r>
        <w:rPr>
          <w:rFonts w:ascii="Arial" w:cs="Arial" w:eastAsia="Arial" w:hAnsi="Arial"/>
          <w:sz w:val="17"/>
          <w:szCs w:val="17"/>
          <w:color w:val="auto"/>
        </w:rPr>
        <w:t>consult with the Chairman and committee chairs regarding the topics for and schedules of the meetings of the Board and committees and approve the topics for and schedules of Board meetings;</w:t>
      </w:r>
    </w:p>
    <w:p>
      <w:pPr>
        <w:spacing w:after="0" w:line="38" w:lineRule="exact"/>
        <w:rPr>
          <w:rFonts w:ascii="Arial" w:cs="Arial" w:eastAsia="Arial" w:hAnsi="Arial"/>
          <w:sz w:val="17"/>
          <w:szCs w:val="17"/>
          <w:color w:val="012E6C"/>
        </w:rPr>
      </w:pPr>
    </w:p>
    <w:p>
      <w:pPr>
        <w:ind w:left="260" w:hanging="171"/>
        <w:spacing w:after="0"/>
        <w:tabs>
          <w:tab w:leader="none" w:pos="260" w:val="left"/>
        </w:tabs>
        <w:numPr>
          <w:ilvl w:val="0"/>
          <w:numId w:val="48"/>
        </w:numPr>
        <w:rPr>
          <w:rFonts w:ascii="Arial" w:cs="Arial" w:eastAsia="Arial" w:hAnsi="Arial"/>
          <w:sz w:val="17"/>
          <w:szCs w:val="17"/>
          <w:color w:val="012E6C"/>
        </w:rPr>
      </w:pPr>
      <w:r>
        <w:rPr>
          <w:rFonts w:ascii="Arial" w:cs="Arial" w:eastAsia="Arial" w:hAnsi="Arial"/>
          <w:sz w:val="17"/>
          <w:szCs w:val="17"/>
          <w:color w:val="auto"/>
        </w:rPr>
        <w:t>review and approve all Board and committee agendas and provide input to management on the scope and quality of information sent to the Board;</w:t>
      </w:r>
    </w:p>
    <w:p>
      <w:pPr>
        <w:spacing w:after="0" w:line="128" w:lineRule="exact"/>
        <w:rPr>
          <w:rFonts w:ascii="Arial" w:cs="Arial" w:eastAsia="Arial" w:hAnsi="Arial"/>
          <w:sz w:val="17"/>
          <w:szCs w:val="17"/>
          <w:color w:val="012E6C"/>
        </w:rPr>
      </w:pPr>
    </w:p>
    <w:p>
      <w:pPr>
        <w:ind w:left="260" w:hanging="171"/>
        <w:spacing w:after="0"/>
        <w:tabs>
          <w:tab w:leader="none" w:pos="260" w:val="left"/>
        </w:tabs>
        <w:numPr>
          <w:ilvl w:val="0"/>
          <w:numId w:val="48"/>
        </w:numPr>
        <w:rPr>
          <w:rFonts w:ascii="Arial" w:cs="Arial" w:eastAsia="Arial" w:hAnsi="Arial"/>
          <w:sz w:val="17"/>
          <w:szCs w:val="17"/>
          <w:color w:val="012E6C"/>
        </w:rPr>
      </w:pPr>
      <w:r>
        <w:rPr>
          <w:rFonts w:ascii="Arial" w:cs="Arial" w:eastAsia="Arial" w:hAnsi="Arial"/>
          <w:sz w:val="17"/>
          <w:szCs w:val="17"/>
          <w:color w:val="auto"/>
        </w:rPr>
        <w:t>assist with recruitment of director candidates and, along with the Chairman, extend invitations to potential directors to join the Board;</w:t>
      </w:r>
    </w:p>
    <w:p>
      <w:pPr>
        <w:spacing w:after="0" w:line="128" w:lineRule="exact"/>
        <w:rPr>
          <w:rFonts w:ascii="Arial" w:cs="Arial" w:eastAsia="Arial" w:hAnsi="Arial"/>
          <w:sz w:val="17"/>
          <w:szCs w:val="17"/>
          <w:color w:val="012E6C"/>
        </w:rPr>
      </w:pPr>
    </w:p>
    <w:p>
      <w:pPr>
        <w:ind w:left="260" w:hanging="171"/>
        <w:spacing w:after="0"/>
        <w:tabs>
          <w:tab w:leader="none" w:pos="260" w:val="left"/>
        </w:tabs>
        <w:numPr>
          <w:ilvl w:val="0"/>
          <w:numId w:val="48"/>
        </w:numPr>
        <w:rPr>
          <w:rFonts w:ascii="Arial" w:cs="Arial" w:eastAsia="Arial" w:hAnsi="Arial"/>
          <w:sz w:val="17"/>
          <w:szCs w:val="17"/>
          <w:color w:val="012E6C"/>
        </w:rPr>
      </w:pPr>
      <w:r>
        <w:rPr>
          <w:rFonts w:ascii="Arial" w:cs="Arial" w:eastAsia="Arial" w:hAnsi="Arial"/>
          <w:sz w:val="17"/>
          <w:szCs w:val="17"/>
          <w:color w:val="auto"/>
        </w:rPr>
        <w:t>act as liaison between the Board and management and among the directors and the committees of the Board;</w:t>
      </w:r>
    </w:p>
    <w:p>
      <w:pPr>
        <w:spacing w:after="0" w:line="128" w:lineRule="exact"/>
        <w:rPr>
          <w:rFonts w:ascii="Arial" w:cs="Arial" w:eastAsia="Arial" w:hAnsi="Arial"/>
          <w:sz w:val="17"/>
          <w:szCs w:val="17"/>
          <w:color w:val="012E6C"/>
        </w:rPr>
      </w:pPr>
    </w:p>
    <w:p>
      <w:pPr>
        <w:ind w:left="260" w:hanging="171"/>
        <w:spacing w:after="0"/>
        <w:tabs>
          <w:tab w:leader="none" w:pos="260" w:val="left"/>
        </w:tabs>
        <w:numPr>
          <w:ilvl w:val="0"/>
          <w:numId w:val="48"/>
        </w:numPr>
        <w:rPr>
          <w:rFonts w:ascii="Arial" w:cs="Arial" w:eastAsia="Arial" w:hAnsi="Arial"/>
          <w:sz w:val="17"/>
          <w:szCs w:val="17"/>
          <w:color w:val="012E6C"/>
        </w:rPr>
      </w:pPr>
      <w:r>
        <w:rPr>
          <w:rFonts w:ascii="Arial" w:cs="Arial" w:eastAsia="Arial" w:hAnsi="Arial"/>
          <w:sz w:val="17"/>
          <w:szCs w:val="17"/>
          <w:color w:val="auto"/>
        </w:rPr>
        <w:t>serve as a member of the Executive Committee of the Board;</w:t>
      </w:r>
    </w:p>
    <w:p>
      <w:pPr>
        <w:spacing w:after="0" w:line="128" w:lineRule="exact"/>
        <w:rPr>
          <w:rFonts w:ascii="Arial" w:cs="Arial" w:eastAsia="Arial" w:hAnsi="Arial"/>
          <w:sz w:val="17"/>
          <w:szCs w:val="17"/>
          <w:color w:val="012E6C"/>
        </w:rPr>
      </w:pPr>
    </w:p>
    <w:p>
      <w:pPr>
        <w:ind w:left="260" w:hanging="171"/>
        <w:spacing w:after="0"/>
        <w:tabs>
          <w:tab w:leader="none" w:pos="260" w:val="left"/>
        </w:tabs>
        <w:numPr>
          <w:ilvl w:val="0"/>
          <w:numId w:val="48"/>
        </w:numPr>
        <w:rPr>
          <w:rFonts w:ascii="Arial" w:cs="Arial" w:eastAsia="Arial" w:hAnsi="Arial"/>
          <w:sz w:val="17"/>
          <w:szCs w:val="17"/>
          <w:color w:val="012E6C"/>
        </w:rPr>
      </w:pPr>
      <w:r>
        <w:rPr>
          <w:rFonts w:ascii="Arial" w:cs="Arial" w:eastAsia="Arial" w:hAnsi="Arial"/>
          <w:sz w:val="17"/>
          <w:szCs w:val="17"/>
          <w:color w:val="auto"/>
        </w:rPr>
        <w:t>serve as an ex-officio member of each committee if not otherwise a member of the committee;</w:t>
      </w:r>
    </w:p>
    <w:p>
      <w:pPr>
        <w:spacing w:after="0" w:line="128" w:lineRule="exact"/>
        <w:rPr>
          <w:rFonts w:ascii="Arial" w:cs="Arial" w:eastAsia="Arial" w:hAnsi="Arial"/>
          <w:sz w:val="17"/>
          <w:szCs w:val="17"/>
          <w:color w:val="012E6C"/>
        </w:rPr>
      </w:pPr>
    </w:p>
    <w:p>
      <w:pPr>
        <w:ind w:left="260" w:hanging="171"/>
        <w:spacing w:after="0"/>
        <w:tabs>
          <w:tab w:leader="none" w:pos="260" w:val="left"/>
        </w:tabs>
        <w:numPr>
          <w:ilvl w:val="0"/>
          <w:numId w:val="48"/>
        </w:numPr>
        <w:rPr>
          <w:rFonts w:ascii="Arial" w:cs="Arial" w:eastAsia="Arial" w:hAnsi="Arial"/>
          <w:sz w:val="17"/>
          <w:szCs w:val="17"/>
          <w:color w:val="012E6C"/>
        </w:rPr>
      </w:pPr>
      <w:r>
        <w:rPr>
          <w:rFonts w:ascii="Arial" w:cs="Arial" w:eastAsia="Arial" w:hAnsi="Arial"/>
          <w:sz w:val="17"/>
          <w:szCs w:val="17"/>
          <w:color w:val="auto"/>
        </w:rPr>
        <w:t>serve as the point of contact for stockholders and others to communicate with the Board;</w:t>
      </w:r>
    </w:p>
    <w:p>
      <w:pPr>
        <w:spacing w:after="0" w:line="128" w:lineRule="exact"/>
        <w:rPr>
          <w:rFonts w:ascii="Arial" w:cs="Arial" w:eastAsia="Arial" w:hAnsi="Arial"/>
          <w:sz w:val="17"/>
          <w:szCs w:val="17"/>
          <w:color w:val="012E6C"/>
        </w:rPr>
      </w:pPr>
    </w:p>
    <w:p>
      <w:pPr>
        <w:ind w:left="260" w:hanging="171"/>
        <w:spacing w:after="0"/>
        <w:tabs>
          <w:tab w:leader="none" w:pos="260" w:val="left"/>
        </w:tabs>
        <w:numPr>
          <w:ilvl w:val="0"/>
          <w:numId w:val="48"/>
        </w:numPr>
        <w:rPr>
          <w:rFonts w:ascii="Arial" w:cs="Arial" w:eastAsia="Arial" w:hAnsi="Arial"/>
          <w:sz w:val="17"/>
          <w:szCs w:val="17"/>
          <w:color w:val="012E6C"/>
        </w:rPr>
      </w:pPr>
      <w:r>
        <w:rPr>
          <w:rFonts w:ascii="Arial" w:cs="Arial" w:eastAsia="Arial" w:hAnsi="Arial"/>
          <w:sz w:val="17"/>
          <w:szCs w:val="17"/>
          <w:color w:val="auto"/>
        </w:rPr>
        <w:t>recommend to the Board and committees the retention of advisors and consultants who report directly to the Board;</w:t>
      </w:r>
    </w:p>
    <w:p>
      <w:pPr>
        <w:spacing w:after="0" w:line="128" w:lineRule="exact"/>
        <w:rPr>
          <w:rFonts w:ascii="Arial" w:cs="Arial" w:eastAsia="Arial" w:hAnsi="Arial"/>
          <w:sz w:val="17"/>
          <w:szCs w:val="17"/>
          <w:color w:val="012E6C"/>
        </w:rPr>
      </w:pPr>
    </w:p>
    <w:p>
      <w:pPr>
        <w:ind w:left="260" w:hanging="171"/>
        <w:spacing w:after="0"/>
        <w:tabs>
          <w:tab w:leader="none" w:pos="260" w:val="left"/>
        </w:tabs>
        <w:numPr>
          <w:ilvl w:val="0"/>
          <w:numId w:val="48"/>
        </w:numPr>
        <w:rPr>
          <w:rFonts w:ascii="Arial" w:cs="Arial" w:eastAsia="Arial" w:hAnsi="Arial"/>
          <w:sz w:val="17"/>
          <w:szCs w:val="17"/>
          <w:color w:val="012E6C"/>
        </w:rPr>
      </w:pPr>
      <w:r>
        <w:rPr>
          <w:rFonts w:ascii="Arial" w:cs="Arial" w:eastAsia="Arial" w:hAnsi="Arial"/>
          <w:sz w:val="17"/>
          <w:szCs w:val="17"/>
          <w:color w:val="auto"/>
        </w:rPr>
        <w:t>call a special meeting of the Board or of the independent directors at any time, at any place and for any purpose; and</w:t>
      </w:r>
    </w:p>
    <w:p>
      <w:pPr>
        <w:spacing w:after="0" w:line="128" w:lineRule="exact"/>
        <w:rPr>
          <w:rFonts w:ascii="Arial" w:cs="Arial" w:eastAsia="Arial" w:hAnsi="Arial"/>
          <w:sz w:val="17"/>
          <w:szCs w:val="17"/>
          <w:color w:val="012E6C"/>
        </w:rPr>
      </w:pPr>
    </w:p>
    <w:p>
      <w:pPr>
        <w:ind w:left="260" w:hanging="171"/>
        <w:spacing w:after="0"/>
        <w:tabs>
          <w:tab w:leader="none" w:pos="260" w:val="left"/>
        </w:tabs>
        <w:numPr>
          <w:ilvl w:val="0"/>
          <w:numId w:val="48"/>
        </w:numPr>
        <w:rPr>
          <w:rFonts w:ascii="Arial" w:cs="Arial" w:eastAsia="Arial" w:hAnsi="Arial"/>
          <w:sz w:val="17"/>
          <w:szCs w:val="17"/>
          <w:color w:val="012E6C"/>
        </w:rPr>
      </w:pPr>
      <w:r>
        <w:rPr>
          <w:rFonts w:ascii="Arial" w:cs="Arial" w:eastAsia="Arial" w:hAnsi="Arial"/>
          <w:sz w:val="17"/>
          <w:szCs w:val="17"/>
          <w:color w:val="auto"/>
        </w:rPr>
        <w:t>perform all other duties as may be assigned by the Board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382905</wp:posOffset>
            </wp:positionV>
            <wp:extent cx="1440815" cy="3257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44081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808080"/>
        </w:rPr>
        <w:t>16</w:t>
      </w:r>
    </w:p>
    <w:p>
      <w:pPr>
        <w:sectPr>
          <w:pgSz w:w="11900" w:h="16838" w:orient="portrait"/>
          <w:cols w:equalWidth="0" w:num="1">
            <w:col w:w="11420"/>
          </w:cols>
          <w:pgMar w:left="240" w:top="341"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5"/>
          <w:szCs w:val="15"/>
          <w:color w:val="003478"/>
        </w:rPr>
        <w:t>Corporate Governance</w:t>
      </w:r>
    </w:p>
    <w:p>
      <w:pPr>
        <w:spacing w:after="0" w:line="363"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committee chairs also review and discuss the agendas for the meetings in advance of distribution of the agendas and related Board or committee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246620" cy="9690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96901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ind w:left="1980" w:right="120"/>
        <w:spacing w:after="0"/>
        <w:rPr>
          <w:sz w:val="20"/>
          <w:szCs w:val="20"/>
          <w:color w:val="auto"/>
        </w:rPr>
      </w:pPr>
      <w:r>
        <w:rPr>
          <w:rFonts w:ascii="Arial" w:cs="Arial" w:eastAsia="Arial" w:hAnsi="Arial"/>
          <w:sz w:val="17"/>
          <w:szCs w:val="17"/>
          <w:color w:val="auto"/>
        </w:rPr>
        <w:t>Assuming his re-election at the Annual Meeting, the independent directors have elected Daniel F. Akerson to serve as Lead Director upon Mr. Archibald's retirement from the Board following the Annual Meeting. Under the Governance Guidelines, Mr. Akerson also will serve as chairman of the Governance Committee. Mr. Akerson has served on our Board since 2014 and currently chairs our Compensation Committee and has served on the Audit Committee, the Classified Business and Security Committee and the Executive Committee. He is an audit committee financial expert. Mr. Akerson was selected as Lead Director as a result of a selection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46620" cy="9861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986155"/>
                    </a:xfrm>
                    <a:prstGeom prst="rect">
                      <a:avLst/>
                    </a:prstGeom>
                    <a:noFill/>
                  </pic:spPr>
                </pic:pic>
              </a:graphicData>
            </a:graphic>
          </wp:anchor>
        </w:drawing>
      </w:r>
    </w:p>
    <w:p>
      <w:pPr>
        <w:spacing w:after="0" w:line="212" w:lineRule="exact"/>
        <w:rPr>
          <w:sz w:val="20"/>
          <w:szCs w:val="20"/>
          <w:color w:val="auto"/>
        </w:rPr>
      </w:pPr>
    </w:p>
    <w:p>
      <w:pPr>
        <w:ind w:left="120" w:right="160"/>
        <w:spacing w:after="0" w:line="246" w:lineRule="auto"/>
        <w:rPr>
          <w:sz w:val="20"/>
          <w:szCs w:val="20"/>
          <w:color w:val="auto"/>
        </w:rPr>
      </w:pPr>
      <w:r>
        <w:rPr>
          <w:rFonts w:ascii="Arial" w:cs="Arial" w:eastAsia="Arial" w:hAnsi="Arial"/>
          <w:sz w:val="17"/>
          <w:szCs w:val="17"/>
          <w:color w:val="auto"/>
        </w:rPr>
        <w:t>overseen by the Governance Committee which included discussions between the current Lead Director and each of the independent Board members to seek input and reach alignment. These discussions and selection took into account independent directors’ tenures, committee membership experience, understanding and knowledge of the Corporation’s business and strategy, independent judgment, ability to work collegially and build consensus, and willingness and ability to serve in light of the significant time commitment.</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 xml:space="preserve">Stockholders and other interested parties may communicate with the Lead Director by email at </w:t>
      </w:r>
      <w:r>
        <w:rPr>
          <w:rFonts w:ascii="Arial" w:cs="Arial" w:eastAsia="Arial" w:hAnsi="Arial"/>
          <w:sz w:val="17"/>
          <w:szCs w:val="17"/>
          <w:i w:val="1"/>
          <w:iCs w:val="1"/>
          <w:color w:val="auto"/>
        </w:rPr>
        <w:t>Lead.Director@lmco.com</w:t>
      </w:r>
      <w:r>
        <w:rPr>
          <w:rFonts w:ascii="Arial" w:cs="Arial" w:eastAsia="Arial" w:hAnsi="Arial"/>
          <w:sz w:val="17"/>
          <w:szCs w:val="17"/>
          <w:color w:val="auto"/>
        </w:rPr>
        <w:t>.</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9"/>
          <w:szCs w:val="29"/>
          <w:b w:val="1"/>
          <w:bCs w:val="1"/>
          <w:color w:val="012E6C"/>
        </w:rPr>
        <w:t>Executive Sessions</w:t>
      </w:r>
    </w:p>
    <w:p>
      <w:pPr>
        <w:spacing w:after="0" w:line="25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Generally, each meeting agenda of the Board and each committee includes an executive session of the non-management directors. The Governance Guidelines require that at least three Board meetings per year will include an executive session of the non-management directors. In each case, these sessions include a discussion of the performance of the Chairman and CEO. The Lead Director presides during the executive sessions of the Board, and will report the results to the Chairman and CEO on all relevant matters, or invite the Chairman and CEO to join the executive session for further discussion, as appropriate. If the group of non-management directors includes directors who are not independent directors, at least one executive session including only independent directors will be scheduled each year. The respective chairman of each committee presides during the committee executive sessions.</w:t>
      </w:r>
    </w:p>
    <w:p>
      <w:pPr>
        <w:spacing w:after="0" w:line="148" w:lineRule="exact"/>
        <w:rPr>
          <w:sz w:val="20"/>
          <w:szCs w:val="20"/>
          <w:color w:val="auto"/>
        </w:rPr>
      </w:pPr>
    </w:p>
    <w:p>
      <w:pPr>
        <w:spacing w:after="0"/>
        <w:rPr>
          <w:sz w:val="20"/>
          <w:szCs w:val="20"/>
          <w:color w:val="auto"/>
        </w:rPr>
      </w:pPr>
      <w:r>
        <w:rPr>
          <w:rFonts w:ascii="Arial" w:cs="Arial" w:eastAsia="Arial" w:hAnsi="Arial"/>
          <w:sz w:val="29"/>
          <w:szCs w:val="29"/>
          <w:b w:val="1"/>
          <w:bCs w:val="1"/>
          <w:color w:val="012E6C"/>
        </w:rPr>
        <w:t>Committees of the Board of Directors</w:t>
      </w:r>
    </w:p>
    <w:p>
      <w:pPr>
        <w:spacing w:after="0" w:line="250" w:lineRule="exact"/>
        <w:rPr>
          <w:sz w:val="20"/>
          <w:szCs w:val="20"/>
          <w:color w:val="auto"/>
        </w:rPr>
      </w:pPr>
    </w:p>
    <w:p>
      <w:pPr>
        <w:ind w:right="200"/>
        <w:spacing w:after="0" w:line="274" w:lineRule="auto"/>
        <w:rPr>
          <w:sz w:val="20"/>
          <w:szCs w:val="20"/>
          <w:color w:val="auto"/>
        </w:rPr>
      </w:pPr>
      <w:r>
        <w:rPr>
          <w:rFonts w:ascii="Arial" w:cs="Arial" w:eastAsia="Arial" w:hAnsi="Arial"/>
          <w:sz w:val="17"/>
          <w:szCs w:val="17"/>
          <w:color w:val="auto"/>
        </w:rPr>
        <w:t>The table on page 18 lists our Board committees, the chairs of each committee, the directors who served on them following the 2018 annual meeting and the number of committee meetings held in 2018. Charters for each committee are available on the Corporation’s website at</w:t>
      </w:r>
    </w:p>
    <w:p>
      <w:pPr>
        <w:spacing w:after="0"/>
        <w:rPr>
          <w:sz w:val="20"/>
          <w:szCs w:val="20"/>
          <w:color w:val="auto"/>
        </w:rPr>
      </w:pPr>
      <w:r>
        <w:rPr>
          <w:rFonts w:ascii="Arial" w:cs="Arial" w:eastAsia="Arial" w:hAnsi="Arial"/>
          <w:sz w:val="17"/>
          <w:szCs w:val="17"/>
          <w:i w:val="1"/>
          <w:iCs w:val="1"/>
          <w:color w:val="auto"/>
        </w:rPr>
        <w:t>www.lockheedmartin.com/corporate-governance</w:t>
      </w:r>
      <w:r>
        <w:rPr>
          <w:rFonts w:ascii="Arial" w:cs="Arial" w:eastAsia="Arial" w:hAnsi="Arial"/>
          <w:sz w:val="17"/>
          <w:szCs w:val="17"/>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5"/>
          <w:szCs w:val="25"/>
          <w:color w:val="475C90"/>
        </w:rPr>
        <w:t>Committee Consolidations</w:t>
      </w:r>
    </w:p>
    <w:p>
      <w:pPr>
        <w:spacing w:after="0" w:line="242"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Effective immediately following the 2018 annual meeting, the Governance Committee and the Ethics and Sustainability Committee were consolidated into one committee under the name Nominating and Corporate Governance Committee. Effective immediately following the 2019 Annual Meeting, the Strategic Affairs Committee will be consolidated into the Audit Committee. These committee restructurings are aimed at making meetings more efficient, eliminating redundancies and providing more time for discussion. In addition, certain matters involving strategy that were previously covered by the Strategic Affairs Committee were determined to be matters that would be best covered by the full Board. In making these consolidation decisions, the Board considered survey data which showed that Lockheed Martin had three more committees than the three committees required by the NYSE listing standards whereas most public companies had at most one additional committee beyond the three NYSE-required committees. The Board also considered the workload of the various committees. The consolidation of the committees has not and will not result in any less coverage of items within the jurisdiction of the committees or the Board or overburden any committee; in fact the Board believes the Board oversight and strategic guidance of the respective issues will be enhanced. The Board will continue to review ways to enhance the Board's effectiveness in fulfilling its oversight responsibilities. In connection with the retirement of Messrs. Archibald and Ralston, the consolidation of the Strategic Affairs Committee and the Audit Committee effective following the 2019 Annual Meeting, and the election of a new Lead Director, the Board made changes to the committee memberships and elected new chairs of the Governance Committee (Mr. Akerson), Compensation Committee (Ms. Gordon) and CBS Committee (Mr. Ellis).</w:t>
      </w:r>
    </w:p>
    <w:p>
      <w:pPr>
        <w:spacing w:after="0" w:line="200" w:lineRule="exact"/>
        <w:rPr>
          <w:sz w:val="20"/>
          <w:szCs w:val="20"/>
          <w:color w:val="auto"/>
        </w:rPr>
      </w:pPr>
    </w:p>
    <w:p>
      <w:pPr>
        <w:spacing w:after="0" w:line="274" w:lineRule="exact"/>
        <w:rPr>
          <w:sz w:val="20"/>
          <w:szCs w:val="20"/>
          <w:color w:val="auto"/>
        </w:rPr>
      </w:pPr>
    </w:p>
    <w:p>
      <w:pPr>
        <w:ind w:left="40"/>
        <w:spacing w:after="0"/>
        <w:tabs>
          <w:tab w:leader="none" w:pos="9420" w:val="left"/>
          <w:tab w:leader="none" w:pos="1122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2019 Proxy Statement</w:t>
      </w:r>
      <w:r>
        <w:rPr>
          <w:sz w:val="20"/>
          <w:szCs w:val="20"/>
          <w:color w:val="auto"/>
        </w:rPr>
        <w:tab/>
      </w:r>
      <w:r>
        <w:rPr>
          <w:rFonts w:ascii="Arial" w:cs="Arial" w:eastAsia="Arial" w:hAnsi="Arial"/>
          <w:sz w:val="14"/>
          <w:szCs w:val="14"/>
          <w:b w:val="1"/>
          <w:bCs w:val="1"/>
          <w:color w:val="808080"/>
        </w:rPr>
        <w:t>17</w:t>
      </w:r>
    </w:p>
    <w:p>
      <w:pPr>
        <w:sectPr>
          <w:pgSz w:w="11900" w:h="16838" w:orient="portrait"/>
          <w:cols w:equalWidth="0" w:num="1">
            <w:col w:w="11420"/>
          </w:cols>
          <w:pgMar w:left="240" w:top="292" w:right="239" w:bottom="1440" w:gutter="0" w:footer="0" w:header="0"/>
        </w:sectPr>
      </w:pPr>
    </w:p>
    <w:bookmarkStart w:id="20" w:name="page21"/>
    <w:bookmarkEnd w:id="20"/>
    <w:p>
      <w:pPr>
        <w:spacing w:after="0"/>
        <w:rPr>
          <w:sz w:val="20"/>
          <w:szCs w:val="20"/>
          <w:color w:val="auto"/>
        </w:rPr>
      </w:pPr>
      <w:r>
        <w:rPr>
          <w:rFonts w:ascii="Arial" w:cs="Arial" w:eastAsia="Arial" w:hAnsi="Arial"/>
          <w:sz w:val="15"/>
          <w:szCs w:val="15"/>
          <w:color w:val="003478"/>
        </w:rPr>
        <w:t>Corporate Governance</w:t>
      </w:r>
    </w:p>
    <w:p>
      <w:pPr>
        <w:spacing w:after="0" w:line="347" w:lineRule="exact"/>
        <w:rPr>
          <w:sz w:val="20"/>
          <w:szCs w:val="20"/>
          <w:color w:val="auto"/>
        </w:rPr>
      </w:pPr>
    </w:p>
    <w:p>
      <w:pPr>
        <w:spacing w:after="0"/>
        <w:rPr>
          <w:sz w:val="20"/>
          <w:szCs w:val="20"/>
          <w:color w:val="auto"/>
        </w:rPr>
      </w:pPr>
      <w:r>
        <w:rPr>
          <w:rFonts w:ascii="Arial" w:cs="Arial" w:eastAsia="Arial" w:hAnsi="Arial"/>
          <w:sz w:val="25"/>
          <w:szCs w:val="25"/>
          <w:color w:val="475C90"/>
        </w:rPr>
        <w:t>2018 Membership on Board Committees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60895" cy="30016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895" cy="3001645"/>
                    </a:xfrm>
                    <a:prstGeom prst="rect">
                      <a:avLst/>
                    </a:prstGeom>
                    <a:noFill/>
                  </pic:spPr>
                </pic:pic>
              </a:graphicData>
            </a:graphic>
          </wp:anchor>
        </w:drawing>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80" w:type="dxa"/>
            <w:vAlign w:val="bottom"/>
          </w:tcPr>
          <w:p>
            <w:pPr>
              <w:spacing w:after="0"/>
              <w:rPr>
                <w:sz w:val="13"/>
                <w:szCs w:val="13"/>
                <w:color w:val="auto"/>
              </w:rPr>
            </w:pPr>
          </w:p>
        </w:tc>
        <w:tc>
          <w:tcPr>
            <w:tcW w:w="780" w:type="dxa"/>
            <w:vAlign w:val="bottom"/>
            <w:shd w:val="clear" w:color="auto" w:fill="E6E7EF"/>
          </w:tcPr>
          <w:p>
            <w:pPr>
              <w:spacing w:after="0"/>
              <w:rPr>
                <w:sz w:val="13"/>
                <w:szCs w:val="13"/>
                <w:color w:val="auto"/>
              </w:rPr>
            </w:pPr>
          </w:p>
        </w:tc>
        <w:tc>
          <w:tcPr>
            <w:tcW w:w="1200" w:type="dxa"/>
            <w:vAlign w:val="bottom"/>
            <w:shd w:val="clear" w:color="auto" w:fill="E6E7EF"/>
          </w:tcPr>
          <w:p>
            <w:pPr>
              <w:jc w:val="center"/>
              <w:spacing w:after="0"/>
              <w:rPr>
                <w:sz w:val="20"/>
                <w:szCs w:val="20"/>
                <w:color w:val="auto"/>
              </w:rPr>
            </w:pPr>
            <w:r>
              <w:rPr>
                <w:rFonts w:ascii="Arial" w:cs="Arial" w:eastAsia="Arial" w:hAnsi="Arial"/>
                <w:sz w:val="13"/>
                <w:szCs w:val="13"/>
                <w:color w:val="auto"/>
                <w:w w:val="95"/>
              </w:rPr>
              <w:t>Classified</w:t>
            </w:r>
          </w:p>
        </w:tc>
        <w:tc>
          <w:tcPr>
            <w:tcW w:w="900" w:type="dxa"/>
            <w:vAlign w:val="bottom"/>
            <w:shd w:val="clear" w:color="auto" w:fill="E6E7EF"/>
          </w:tcPr>
          <w:p>
            <w:pPr>
              <w:spacing w:after="0"/>
              <w:rPr>
                <w:sz w:val="13"/>
                <w:szCs w:val="13"/>
                <w:color w:val="auto"/>
              </w:rPr>
            </w:pPr>
          </w:p>
        </w:tc>
        <w:tc>
          <w:tcPr>
            <w:tcW w:w="1420" w:type="dxa"/>
            <w:vAlign w:val="bottom"/>
            <w:shd w:val="clear" w:color="auto" w:fill="E6E7EF"/>
          </w:tcPr>
          <w:p>
            <w:pPr>
              <w:jc w:val="center"/>
              <w:spacing w:after="0"/>
              <w:rPr>
                <w:sz w:val="20"/>
                <w:szCs w:val="20"/>
                <w:color w:val="auto"/>
              </w:rPr>
            </w:pPr>
            <w:r>
              <w:rPr>
                <w:rFonts w:ascii="Arial" w:cs="Arial" w:eastAsia="Arial" w:hAnsi="Arial"/>
                <w:sz w:val="13"/>
                <w:szCs w:val="13"/>
                <w:color w:val="auto"/>
                <w:w w:val="97"/>
              </w:rPr>
              <w:t>Management</w:t>
            </w:r>
          </w:p>
        </w:tc>
        <w:tc>
          <w:tcPr>
            <w:tcW w:w="1180" w:type="dxa"/>
            <w:vAlign w:val="bottom"/>
            <w:shd w:val="clear" w:color="auto" w:fill="E6E7EF"/>
          </w:tcPr>
          <w:p>
            <w:pPr>
              <w:jc w:val="center"/>
              <w:spacing w:after="0"/>
              <w:rPr>
                <w:sz w:val="20"/>
                <w:szCs w:val="20"/>
                <w:color w:val="auto"/>
              </w:rPr>
            </w:pPr>
            <w:r>
              <w:rPr>
                <w:rFonts w:ascii="Arial" w:cs="Arial" w:eastAsia="Arial" w:hAnsi="Arial"/>
                <w:sz w:val="13"/>
                <w:szCs w:val="13"/>
                <w:color w:val="auto"/>
                <w:w w:val="97"/>
              </w:rPr>
              <w:t>Nominating</w:t>
            </w:r>
          </w:p>
        </w:tc>
        <w:tc>
          <w:tcPr>
            <w:tcW w:w="820" w:type="dxa"/>
            <w:vAlign w:val="bottom"/>
            <w:vMerge w:val="restart"/>
            <w:shd w:val="clear" w:color="auto" w:fill="E6E7EF"/>
          </w:tcPr>
          <w:p>
            <w:pPr>
              <w:jc w:val="center"/>
              <w:spacing w:after="0"/>
              <w:rPr>
                <w:sz w:val="20"/>
                <w:szCs w:val="20"/>
                <w:color w:val="auto"/>
              </w:rPr>
            </w:pPr>
            <w:r>
              <w:rPr>
                <w:rFonts w:ascii="Arial" w:cs="Arial" w:eastAsia="Arial" w:hAnsi="Arial"/>
                <w:sz w:val="13"/>
                <w:szCs w:val="13"/>
                <w:color w:val="auto"/>
                <w:w w:val="97"/>
              </w:rPr>
              <w:t>Strategic</w:t>
            </w:r>
          </w:p>
        </w:tc>
        <w:tc>
          <w:tcPr>
            <w:tcW w:w="0" w:type="dxa"/>
            <w:vAlign w:val="bottom"/>
          </w:tcPr>
          <w:p>
            <w:pPr>
              <w:spacing w:after="0"/>
              <w:rPr>
                <w:sz w:val="1"/>
                <w:szCs w:val="1"/>
                <w:color w:val="auto"/>
              </w:rPr>
            </w:pPr>
          </w:p>
        </w:tc>
      </w:tr>
      <w:tr>
        <w:trPr>
          <w:trHeight w:val="135"/>
        </w:trPr>
        <w:tc>
          <w:tcPr>
            <w:tcW w:w="4980" w:type="dxa"/>
            <w:vAlign w:val="bottom"/>
            <w:vMerge w:val="restart"/>
          </w:tcPr>
          <w:p>
            <w:pPr>
              <w:ind w:left="40"/>
              <w:spacing w:after="0"/>
              <w:rPr>
                <w:sz w:val="20"/>
                <w:szCs w:val="20"/>
                <w:color w:val="auto"/>
              </w:rPr>
            </w:pPr>
            <w:r>
              <w:rPr>
                <w:rFonts w:ascii="Arial" w:cs="Arial" w:eastAsia="Arial" w:hAnsi="Arial"/>
                <w:sz w:val="13"/>
                <w:szCs w:val="13"/>
                <w:color w:val="auto"/>
              </w:rPr>
              <w:t>Director</w:t>
            </w:r>
          </w:p>
        </w:tc>
        <w:tc>
          <w:tcPr>
            <w:tcW w:w="780" w:type="dxa"/>
            <w:vAlign w:val="bottom"/>
            <w:vMerge w:val="restart"/>
            <w:shd w:val="clear" w:color="auto" w:fill="E6E7EF"/>
          </w:tcPr>
          <w:p>
            <w:pPr>
              <w:ind w:left="260"/>
              <w:spacing w:after="0"/>
              <w:rPr>
                <w:sz w:val="20"/>
                <w:szCs w:val="20"/>
                <w:color w:val="auto"/>
              </w:rPr>
            </w:pPr>
            <w:r>
              <w:rPr>
                <w:rFonts w:ascii="Arial" w:cs="Arial" w:eastAsia="Arial" w:hAnsi="Arial"/>
                <w:sz w:val="13"/>
                <w:szCs w:val="13"/>
                <w:color w:val="auto"/>
              </w:rPr>
              <w:t>Audit</w:t>
            </w:r>
          </w:p>
        </w:tc>
        <w:tc>
          <w:tcPr>
            <w:tcW w:w="1200" w:type="dxa"/>
            <w:vAlign w:val="bottom"/>
            <w:shd w:val="clear" w:color="auto" w:fill="E6E7EF"/>
          </w:tcPr>
          <w:p>
            <w:pPr>
              <w:jc w:val="center"/>
              <w:ind w:left="17"/>
              <w:spacing w:after="0" w:line="135" w:lineRule="exact"/>
              <w:rPr>
                <w:sz w:val="20"/>
                <w:szCs w:val="20"/>
                <w:color w:val="auto"/>
              </w:rPr>
            </w:pPr>
            <w:r>
              <w:rPr>
                <w:rFonts w:ascii="Arial" w:cs="Arial" w:eastAsia="Arial" w:hAnsi="Arial"/>
                <w:sz w:val="13"/>
                <w:szCs w:val="13"/>
                <w:color w:val="auto"/>
                <w:w w:val="97"/>
              </w:rPr>
              <w:t>Business and</w:t>
            </w:r>
          </w:p>
        </w:tc>
        <w:tc>
          <w:tcPr>
            <w:tcW w:w="900" w:type="dxa"/>
            <w:vAlign w:val="bottom"/>
            <w:vMerge w:val="restart"/>
            <w:shd w:val="clear" w:color="auto" w:fill="E6E7EF"/>
          </w:tcPr>
          <w:p>
            <w:pPr>
              <w:ind w:left="180"/>
              <w:spacing w:after="0"/>
              <w:rPr>
                <w:sz w:val="20"/>
                <w:szCs w:val="20"/>
                <w:color w:val="auto"/>
              </w:rPr>
            </w:pPr>
            <w:r>
              <w:rPr>
                <w:rFonts w:ascii="Arial" w:cs="Arial" w:eastAsia="Arial" w:hAnsi="Arial"/>
                <w:sz w:val="13"/>
                <w:szCs w:val="13"/>
                <w:color w:val="auto"/>
              </w:rPr>
              <w:t>Executive</w:t>
            </w:r>
          </w:p>
        </w:tc>
        <w:tc>
          <w:tcPr>
            <w:tcW w:w="1420" w:type="dxa"/>
            <w:vAlign w:val="bottom"/>
            <w:shd w:val="clear" w:color="auto" w:fill="E6E7EF"/>
          </w:tcPr>
          <w:p>
            <w:pPr>
              <w:jc w:val="center"/>
              <w:spacing w:after="0" w:line="135" w:lineRule="exact"/>
              <w:rPr>
                <w:sz w:val="20"/>
                <w:szCs w:val="20"/>
                <w:color w:val="auto"/>
              </w:rPr>
            </w:pPr>
            <w:r>
              <w:rPr>
                <w:rFonts w:ascii="Arial" w:cs="Arial" w:eastAsia="Arial" w:hAnsi="Arial"/>
                <w:sz w:val="13"/>
                <w:szCs w:val="13"/>
                <w:color w:val="auto"/>
                <w:w w:val="96"/>
              </w:rPr>
              <w:t>Development</w:t>
            </w:r>
          </w:p>
        </w:tc>
        <w:tc>
          <w:tcPr>
            <w:tcW w:w="1180" w:type="dxa"/>
            <w:vAlign w:val="bottom"/>
            <w:shd w:val="clear" w:color="auto" w:fill="E6E7EF"/>
          </w:tcPr>
          <w:p>
            <w:pPr>
              <w:jc w:val="center"/>
              <w:spacing w:after="0" w:line="135" w:lineRule="exact"/>
              <w:rPr>
                <w:sz w:val="20"/>
                <w:szCs w:val="20"/>
                <w:color w:val="auto"/>
              </w:rPr>
            </w:pPr>
            <w:r>
              <w:rPr>
                <w:rFonts w:ascii="Arial" w:cs="Arial" w:eastAsia="Arial" w:hAnsi="Arial"/>
                <w:sz w:val="13"/>
                <w:szCs w:val="13"/>
                <w:color w:val="auto"/>
                <w:w w:val="96"/>
              </w:rPr>
              <w:t>and Corporate</w:t>
            </w:r>
          </w:p>
        </w:tc>
        <w:tc>
          <w:tcPr>
            <w:tcW w:w="820" w:type="dxa"/>
            <w:vAlign w:val="bottom"/>
            <w:vMerge w:val="continue"/>
            <w:shd w:val="clear" w:color="auto" w:fill="E6E7EF"/>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4980" w:type="dxa"/>
            <w:vAlign w:val="bottom"/>
            <w:tcBorders>
              <w:bottom w:val="single" w:sz="8" w:color="959595"/>
            </w:tcBorders>
            <w:vMerge w:val="continue"/>
          </w:tcPr>
          <w:p>
            <w:pPr>
              <w:spacing w:after="0"/>
              <w:rPr>
                <w:sz w:val="15"/>
                <w:szCs w:val="15"/>
                <w:color w:val="auto"/>
              </w:rPr>
            </w:pPr>
          </w:p>
        </w:tc>
        <w:tc>
          <w:tcPr>
            <w:tcW w:w="780" w:type="dxa"/>
            <w:vAlign w:val="bottom"/>
            <w:tcBorders>
              <w:bottom w:val="single" w:sz="8" w:color="959595"/>
            </w:tcBorders>
            <w:vMerge w:val="continue"/>
            <w:shd w:val="clear" w:color="auto" w:fill="E6E7EF"/>
          </w:tcPr>
          <w:p>
            <w:pPr>
              <w:spacing w:after="0"/>
              <w:rPr>
                <w:sz w:val="15"/>
                <w:szCs w:val="15"/>
                <w:color w:val="auto"/>
              </w:rPr>
            </w:pPr>
          </w:p>
        </w:tc>
        <w:tc>
          <w:tcPr>
            <w:tcW w:w="1200" w:type="dxa"/>
            <w:vAlign w:val="bottom"/>
            <w:tcBorders>
              <w:bottom w:val="single" w:sz="8" w:color="959595"/>
            </w:tcBorders>
            <w:shd w:val="clear" w:color="auto" w:fill="E6E7EF"/>
          </w:tcPr>
          <w:p>
            <w:pPr>
              <w:jc w:val="center"/>
              <w:spacing w:after="0"/>
              <w:rPr>
                <w:sz w:val="20"/>
                <w:szCs w:val="20"/>
                <w:color w:val="auto"/>
              </w:rPr>
            </w:pPr>
            <w:r>
              <w:rPr>
                <w:rFonts w:ascii="Arial" w:cs="Arial" w:eastAsia="Arial" w:hAnsi="Arial"/>
                <w:sz w:val="13"/>
                <w:szCs w:val="13"/>
                <w:color w:val="auto"/>
                <w:w w:val="97"/>
              </w:rPr>
              <w:t>Security</w:t>
            </w:r>
          </w:p>
        </w:tc>
        <w:tc>
          <w:tcPr>
            <w:tcW w:w="900" w:type="dxa"/>
            <w:vAlign w:val="bottom"/>
            <w:tcBorders>
              <w:bottom w:val="single" w:sz="8" w:color="959595"/>
            </w:tcBorders>
            <w:vMerge w:val="continue"/>
            <w:shd w:val="clear" w:color="auto" w:fill="E6E7EF"/>
          </w:tcPr>
          <w:p>
            <w:pPr>
              <w:spacing w:after="0"/>
              <w:rPr>
                <w:sz w:val="15"/>
                <w:szCs w:val="15"/>
                <w:color w:val="auto"/>
              </w:rPr>
            </w:pPr>
          </w:p>
        </w:tc>
        <w:tc>
          <w:tcPr>
            <w:tcW w:w="1420" w:type="dxa"/>
            <w:vAlign w:val="bottom"/>
            <w:tcBorders>
              <w:bottom w:val="single" w:sz="8" w:color="959595"/>
            </w:tcBorders>
            <w:shd w:val="clear" w:color="auto" w:fill="E6E7EF"/>
          </w:tcPr>
          <w:p>
            <w:pPr>
              <w:jc w:val="center"/>
              <w:spacing w:after="0"/>
              <w:rPr>
                <w:sz w:val="20"/>
                <w:szCs w:val="20"/>
                <w:color w:val="auto"/>
              </w:rPr>
            </w:pPr>
            <w:r>
              <w:rPr>
                <w:rFonts w:ascii="Arial" w:cs="Arial" w:eastAsia="Arial" w:hAnsi="Arial"/>
                <w:sz w:val="13"/>
                <w:szCs w:val="13"/>
                <w:color w:val="auto"/>
                <w:w w:val="97"/>
              </w:rPr>
              <w:t>and Compensation</w:t>
            </w:r>
          </w:p>
        </w:tc>
        <w:tc>
          <w:tcPr>
            <w:tcW w:w="1180" w:type="dxa"/>
            <w:vAlign w:val="bottom"/>
            <w:tcBorders>
              <w:bottom w:val="single" w:sz="8" w:color="959595"/>
            </w:tcBorders>
            <w:shd w:val="clear" w:color="auto" w:fill="E6E7EF"/>
          </w:tcPr>
          <w:p>
            <w:pPr>
              <w:jc w:val="center"/>
              <w:spacing w:after="0"/>
              <w:rPr>
                <w:sz w:val="20"/>
                <w:szCs w:val="20"/>
                <w:color w:val="auto"/>
              </w:rPr>
            </w:pPr>
            <w:r>
              <w:rPr>
                <w:rFonts w:ascii="Arial" w:cs="Arial" w:eastAsia="Arial" w:hAnsi="Arial"/>
                <w:sz w:val="13"/>
                <w:szCs w:val="13"/>
                <w:color w:val="auto"/>
                <w:w w:val="98"/>
              </w:rPr>
              <w:t>Governance</w:t>
            </w:r>
          </w:p>
        </w:tc>
        <w:tc>
          <w:tcPr>
            <w:tcW w:w="820" w:type="dxa"/>
            <w:vAlign w:val="bottom"/>
            <w:tcBorders>
              <w:bottom w:val="single" w:sz="8" w:color="959595"/>
            </w:tcBorders>
            <w:shd w:val="clear" w:color="auto" w:fill="E6E7EF"/>
          </w:tcPr>
          <w:p>
            <w:pPr>
              <w:jc w:val="center"/>
              <w:spacing w:after="0"/>
              <w:rPr>
                <w:sz w:val="20"/>
                <w:szCs w:val="20"/>
                <w:color w:val="auto"/>
              </w:rPr>
            </w:pPr>
            <w:r>
              <w:rPr>
                <w:rFonts w:ascii="Arial" w:cs="Arial" w:eastAsia="Arial" w:hAnsi="Arial"/>
                <w:sz w:val="13"/>
                <w:szCs w:val="13"/>
                <w:color w:val="auto"/>
                <w:w w:val="97"/>
              </w:rPr>
              <w:t>Affairs</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320"/>
          </w:cols>
          <w:pgMar w:left="240" w:top="292" w:right="339" w:bottom="1440" w:gutter="0" w:footer="0" w:header="0"/>
        </w:sectPr>
      </w:pPr>
    </w:p>
    <w:p>
      <w:pPr>
        <w:spacing w:after="0" w:line="53" w:lineRule="exact"/>
        <w:rPr>
          <w:sz w:val="20"/>
          <w:szCs w:val="20"/>
          <w:color w:val="auto"/>
        </w:rPr>
      </w:pPr>
    </w:p>
    <w:p>
      <w:pPr>
        <w:ind w:left="40"/>
        <w:spacing w:after="0"/>
        <w:rPr>
          <w:sz w:val="20"/>
          <w:szCs w:val="20"/>
          <w:color w:val="auto"/>
        </w:rPr>
      </w:pPr>
      <w:r>
        <w:rPr>
          <w:rFonts w:ascii="Arial" w:cs="Arial" w:eastAsia="Arial" w:hAnsi="Arial"/>
          <w:sz w:val="14"/>
          <w:szCs w:val="14"/>
          <w:color w:val="auto"/>
        </w:rPr>
        <w:t>Daniel F. Akerson</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4"/>
          <w:szCs w:val="14"/>
          <w:color w:val="auto"/>
        </w:rPr>
        <w:t>Nolan D. Archibald</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4"/>
          <w:szCs w:val="14"/>
          <w:color w:val="auto"/>
        </w:rPr>
        <w:t>David B. Burritt</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4"/>
          <w:szCs w:val="14"/>
          <w:color w:val="auto"/>
        </w:rPr>
        <w:t>Bruce A. Carlson</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4"/>
          <w:szCs w:val="14"/>
          <w:color w:val="auto"/>
        </w:rPr>
        <w:t>James O. Ellis, Jr.</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4"/>
          <w:szCs w:val="14"/>
          <w:color w:val="auto"/>
        </w:rPr>
        <w:t>Thomas J. Falk</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4"/>
          <w:szCs w:val="14"/>
          <w:color w:val="auto"/>
        </w:rPr>
        <w:t>Ilene S. Gordon</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4"/>
          <w:szCs w:val="14"/>
          <w:color w:val="auto"/>
        </w:rPr>
        <w:t>Marillyn A. Hewson</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4"/>
          <w:szCs w:val="14"/>
          <w:color w:val="auto"/>
        </w:rPr>
        <w:t>Vicki A. Hollub</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4"/>
          <w:szCs w:val="14"/>
          <w:color w:val="auto"/>
        </w:rPr>
        <w:t>Jeh C. Johnson</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4"/>
          <w:szCs w:val="14"/>
          <w:color w:val="auto"/>
        </w:rPr>
        <w:t>James M. Loy**</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4"/>
          <w:szCs w:val="14"/>
          <w:color w:val="auto"/>
        </w:rPr>
        <w:t>Joseph W. Ralston</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4"/>
          <w:szCs w:val="14"/>
          <w:color w:val="auto"/>
        </w:rPr>
        <w:t>James D. Taiclet, Jr.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95"/>
        </w:trPr>
        <w:tc>
          <w:tcPr>
            <w:tcW w:w="560" w:type="dxa"/>
            <w:vAlign w:val="bottom"/>
          </w:tcPr>
          <w:p>
            <w:pPr>
              <w:spacing w:after="0"/>
              <w:rPr>
                <w:sz w:val="20"/>
                <w:szCs w:val="20"/>
                <w:color w:val="auto"/>
              </w:rPr>
            </w:pPr>
            <w:r>
              <w:rPr>
                <w:rFonts w:ascii="Arial" w:cs="Arial" w:eastAsia="Arial" w:hAnsi="Arial"/>
                <w:sz w:val="22"/>
                <w:szCs w:val="22"/>
                <w:color w:val="003478"/>
              </w:rPr>
              <w:t>●</w:t>
            </w:r>
          </w:p>
        </w:tc>
        <w:tc>
          <w:tcPr>
            <w:tcW w:w="1140" w:type="dxa"/>
            <w:vAlign w:val="bottom"/>
          </w:tcPr>
          <w:p>
            <w:pPr>
              <w:ind w:left="460"/>
              <w:spacing w:after="0"/>
              <w:rPr>
                <w:sz w:val="20"/>
                <w:szCs w:val="20"/>
                <w:color w:val="auto"/>
              </w:rPr>
            </w:pPr>
            <w:r>
              <w:rPr>
                <w:rFonts w:ascii="Arial" w:cs="Arial" w:eastAsia="Arial" w:hAnsi="Arial"/>
                <w:sz w:val="22"/>
                <w:szCs w:val="22"/>
                <w:color w:val="003478"/>
              </w:rPr>
              <w:t>●</w:t>
            </w:r>
          </w:p>
        </w:tc>
        <w:tc>
          <w:tcPr>
            <w:tcW w:w="800" w:type="dxa"/>
            <w:vAlign w:val="bottom"/>
          </w:tcPr>
          <w:p>
            <w:pPr>
              <w:ind w:left="340"/>
              <w:spacing w:after="0"/>
              <w:rPr>
                <w:sz w:val="20"/>
                <w:szCs w:val="20"/>
                <w:color w:val="auto"/>
              </w:rPr>
            </w:pPr>
            <w:r>
              <w:rPr>
                <w:rFonts w:ascii="Arial" w:cs="Arial" w:eastAsia="Arial" w:hAnsi="Arial"/>
                <w:sz w:val="22"/>
                <w:szCs w:val="22"/>
                <w:color w:val="003478"/>
              </w:rPr>
              <w:t>●</w:t>
            </w:r>
          </w:p>
        </w:tc>
        <w:tc>
          <w:tcPr>
            <w:tcW w:w="1460" w:type="dxa"/>
            <w:vAlign w:val="bottom"/>
          </w:tcPr>
          <w:p>
            <w:pPr>
              <w:ind w:left="660"/>
              <w:spacing w:after="0"/>
              <w:rPr>
                <w:sz w:val="20"/>
                <w:szCs w:val="20"/>
                <w:color w:val="auto"/>
              </w:rPr>
            </w:pPr>
            <w:r>
              <w:rPr>
                <w:rFonts w:ascii="Arial" w:cs="Arial" w:eastAsia="Arial" w:hAnsi="Arial"/>
                <w:sz w:val="22"/>
                <w:szCs w:val="22"/>
                <w:color w:val="003478"/>
              </w:rPr>
              <w:t>○</w:t>
            </w: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12"/>
        </w:trPr>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shd w:val="clear" w:color="auto" w:fill="E6E7EF"/>
          </w:tcPr>
          <w:p>
            <w:pPr>
              <w:ind w:left="340"/>
              <w:spacing w:after="0"/>
              <w:rPr>
                <w:sz w:val="20"/>
                <w:szCs w:val="20"/>
                <w:color w:val="auto"/>
              </w:rPr>
            </w:pPr>
            <w:r>
              <w:rPr>
                <w:rFonts w:ascii="Arial" w:cs="Arial" w:eastAsia="Arial" w:hAnsi="Arial"/>
                <w:sz w:val="22"/>
                <w:szCs w:val="22"/>
                <w:color w:val="003478"/>
              </w:rPr>
              <w:t>●</w:t>
            </w:r>
          </w:p>
        </w:tc>
        <w:tc>
          <w:tcPr>
            <w:tcW w:w="1460" w:type="dxa"/>
            <w:vAlign w:val="bottom"/>
            <w:shd w:val="clear" w:color="auto" w:fill="E6E7EF"/>
          </w:tcPr>
          <w:p>
            <w:pPr>
              <w:ind w:left="660"/>
              <w:spacing w:after="0"/>
              <w:rPr>
                <w:sz w:val="20"/>
                <w:szCs w:val="20"/>
                <w:color w:val="auto"/>
              </w:rPr>
            </w:pPr>
            <w:r>
              <w:rPr>
                <w:rFonts w:ascii="Arial" w:cs="Arial" w:eastAsia="Arial" w:hAnsi="Arial"/>
                <w:sz w:val="22"/>
                <w:szCs w:val="22"/>
                <w:color w:val="003478"/>
              </w:rPr>
              <w:t>●</w:t>
            </w:r>
          </w:p>
        </w:tc>
        <w:tc>
          <w:tcPr>
            <w:tcW w:w="1120" w:type="dxa"/>
            <w:vAlign w:val="bottom"/>
            <w:shd w:val="clear" w:color="auto" w:fill="E6E7EF"/>
          </w:tcPr>
          <w:p>
            <w:pPr>
              <w:ind w:left="540"/>
              <w:spacing w:after="0"/>
              <w:rPr>
                <w:sz w:val="20"/>
                <w:szCs w:val="20"/>
                <w:color w:val="auto"/>
              </w:rPr>
            </w:pPr>
            <w:r>
              <w:rPr>
                <w:rFonts w:ascii="Arial" w:cs="Arial" w:eastAsia="Arial" w:hAnsi="Arial"/>
                <w:sz w:val="22"/>
                <w:szCs w:val="22"/>
                <w:color w:val="003478"/>
              </w:rPr>
              <w:t>○</w:t>
            </w:r>
          </w:p>
        </w:tc>
        <w:tc>
          <w:tcPr>
            <w:tcW w:w="880" w:type="dxa"/>
            <w:vAlign w:val="bottom"/>
            <w:shd w:val="clear" w:color="auto" w:fill="E6E7EF"/>
          </w:tcPr>
          <w:p>
            <w:pPr>
              <w:spacing w:after="0"/>
              <w:rPr>
                <w:sz w:val="24"/>
                <w:szCs w:val="24"/>
                <w:color w:val="auto"/>
              </w:rPr>
            </w:pPr>
          </w:p>
        </w:tc>
      </w:tr>
      <w:tr>
        <w:trPr>
          <w:trHeight w:val="311"/>
        </w:trPr>
        <w:tc>
          <w:tcPr>
            <w:tcW w:w="560" w:type="dxa"/>
            <w:vAlign w:val="bottom"/>
          </w:tcPr>
          <w:p>
            <w:pPr>
              <w:spacing w:after="0"/>
              <w:rPr>
                <w:sz w:val="20"/>
                <w:szCs w:val="20"/>
                <w:color w:val="auto"/>
              </w:rPr>
            </w:pPr>
            <w:r>
              <w:rPr>
                <w:rFonts w:ascii="Arial" w:cs="Arial" w:eastAsia="Arial" w:hAnsi="Arial"/>
                <w:sz w:val="22"/>
                <w:szCs w:val="22"/>
                <w:color w:val="003478"/>
              </w:rPr>
              <w:t>●</w:t>
            </w: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60" w:type="dxa"/>
            <w:vAlign w:val="bottom"/>
            <w:shd w:val="clear" w:color="auto" w:fill="E6E7EF"/>
          </w:tcPr>
          <w:p>
            <w:pPr>
              <w:spacing w:after="0"/>
              <w:rPr>
                <w:sz w:val="24"/>
                <w:szCs w:val="24"/>
                <w:color w:val="auto"/>
              </w:rPr>
            </w:pPr>
          </w:p>
        </w:tc>
        <w:tc>
          <w:tcPr>
            <w:tcW w:w="1120" w:type="dxa"/>
            <w:vAlign w:val="bottom"/>
            <w:shd w:val="clear" w:color="auto" w:fill="E6E7EF"/>
          </w:tcPr>
          <w:p>
            <w:pPr>
              <w:spacing w:after="0"/>
              <w:rPr>
                <w:sz w:val="24"/>
                <w:szCs w:val="24"/>
                <w:color w:val="auto"/>
              </w:rPr>
            </w:pPr>
          </w:p>
        </w:tc>
        <w:tc>
          <w:tcPr>
            <w:tcW w:w="880" w:type="dxa"/>
            <w:vAlign w:val="bottom"/>
            <w:shd w:val="clear" w:color="auto" w:fill="E6E7EF"/>
          </w:tcPr>
          <w:p>
            <w:pPr>
              <w:ind w:left="420"/>
              <w:spacing w:after="0"/>
              <w:rPr>
                <w:sz w:val="20"/>
                <w:szCs w:val="20"/>
                <w:color w:val="auto"/>
              </w:rPr>
            </w:pPr>
            <w:r>
              <w:rPr>
                <w:rFonts w:ascii="Arial" w:cs="Arial" w:eastAsia="Arial" w:hAnsi="Arial"/>
                <w:sz w:val="22"/>
                <w:szCs w:val="22"/>
                <w:color w:val="003478"/>
              </w:rPr>
              <w:t>●</w:t>
            </w:r>
          </w:p>
        </w:tc>
      </w:tr>
      <w:tr>
        <w:trPr>
          <w:trHeight w:val="311"/>
        </w:trPr>
        <w:tc>
          <w:tcPr>
            <w:tcW w:w="560" w:type="dxa"/>
            <w:vAlign w:val="bottom"/>
          </w:tcPr>
          <w:p>
            <w:pPr>
              <w:spacing w:after="0"/>
              <w:rPr>
                <w:sz w:val="24"/>
                <w:szCs w:val="24"/>
                <w:color w:val="auto"/>
              </w:rPr>
            </w:pPr>
          </w:p>
        </w:tc>
        <w:tc>
          <w:tcPr>
            <w:tcW w:w="1140" w:type="dxa"/>
            <w:vAlign w:val="bottom"/>
          </w:tcPr>
          <w:p>
            <w:pPr>
              <w:ind w:left="460"/>
              <w:spacing w:after="0"/>
              <w:rPr>
                <w:sz w:val="20"/>
                <w:szCs w:val="20"/>
                <w:color w:val="auto"/>
              </w:rPr>
            </w:pPr>
            <w:r>
              <w:rPr>
                <w:rFonts w:ascii="Arial" w:cs="Arial" w:eastAsia="Arial" w:hAnsi="Arial"/>
                <w:sz w:val="22"/>
                <w:szCs w:val="22"/>
                <w:color w:val="003478"/>
              </w:rPr>
              <w:t>●</w:t>
            </w:r>
          </w:p>
        </w:tc>
        <w:tc>
          <w:tcPr>
            <w:tcW w:w="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20" w:type="dxa"/>
            <w:vAlign w:val="bottom"/>
            <w:shd w:val="clear" w:color="auto" w:fill="E6E7EF"/>
          </w:tcPr>
          <w:p>
            <w:pPr>
              <w:ind w:left="540"/>
              <w:spacing w:after="0"/>
              <w:rPr>
                <w:sz w:val="20"/>
                <w:szCs w:val="20"/>
                <w:color w:val="auto"/>
              </w:rPr>
            </w:pPr>
            <w:r>
              <w:rPr>
                <w:rFonts w:ascii="Arial" w:cs="Arial" w:eastAsia="Arial" w:hAnsi="Arial"/>
                <w:sz w:val="22"/>
                <w:szCs w:val="22"/>
                <w:color w:val="003478"/>
              </w:rPr>
              <w:t>●</w:t>
            </w:r>
          </w:p>
        </w:tc>
        <w:tc>
          <w:tcPr>
            <w:tcW w:w="880" w:type="dxa"/>
            <w:vAlign w:val="bottom"/>
            <w:shd w:val="clear" w:color="auto" w:fill="E6E7EF"/>
          </w:tcPr>
          <w:p>
            <w:pPr>
              <w:spacing w:after="0"/>
              <w:rPr>
                <w:sz w:val="24"/>
                <w:szCs w:val="24"/>
                <w:color w:val="auto"/>
              </w:rPr>
            </w:pPr>
          </w:p>
        </w:tc>
      </w:tr>
      <w:tr>
        <w:trPr>
          <w:trHeight w:val="300"/>
        </w:trPr>
        <w:tc>
          <w:tcPr>
            <w:tcW w:w="560" w:type="dxa"/>
            <w:vAlign w:val="bottom"/>
          </w:tcPr>
          <w:p>
            <w:pPr>
              <w:spacing w:after="0"/>
              <w:rPr>
                <w:sz w:val="24"/>
                <w:szCs w:val="24"/>
                <w:color w:val="auto"/>
              </w:rPr>
            </w:pPr>
          </w:p>
        </w:tc>
        <w:tc>
          <w:tcPr>
            <w:tcW w:w="1140" w:type="dxa"/>
            <w:vAlign w:val="bottom"/>
          </w:tcPr>
          <w:p>
            <w:pPr>
              <w:ind w:left="460"/>
              <w:spacing w:after="0"/>
              <w:rPr>
                <w:sz w:val="20"/>
                <w:szCs w:val="20"/>
                <w:color w:val="auto"/>
              </w:rPr>
            </w:pPr>
            <w:r>
              <w:rPr>
                <w:rFonts w:ascii="Arial" w:cs="Arial" w:eastAsia="Arial" w:hAnsi="Arial"/>
                <w:sz w:val="22"/>
                <w:szCs w:val="22"/>
                <w:color w:val="003478"/>
              </w:rPr>
              <w:t>●</w:t>
            </w:r>
          </w:p>
        </w:tc>
        <w:tc>
          <w:tcPr>
            <w:tcW w:w="800" w:type="dxa"/>
            <w:vAlign w:val="bottom"/>
          </w:tcPr>
          <w:p>
            <w:pPr>
              <w:ind w:left="340"/>
              <w:spacing w:after="0"/>
              <w:rPr>
                <w:sz w:val="20"/>
                <w:szCs w:val="20"/>
                <w:color w:val="auto"/>
              </w:rPr>
            </w:pPr>
            <w:r>
              <w:rPr>
                <w:rFonts w:ascii="Arial" w:cs="Arial" w:eastAsia="Arial" w:hAnsi="Arial"/>
                <w:sz w:val="22"/>
                <w:szCs w:val="22"/>
                <w:color w:val="003478"/>
              </w:rPr>
              <w:t>●</w:t>
            </w:r>
          </w:p>
        </w:tc>
        <w:tc>
          <w:tcPr>
            <w:tcW w:w="1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ind w:left="420"/>
              <w:spacing w:after="0"/>
              <w:rPr>
                <w:sz w:val="20"/>
                <w:szCs w:val="20"/>
                <w:color w:val="auto"/>
              </w:rPr>
            </w:pPr>
            <w:r>
              <w:rPr>
                <w:rFonts w:ascii="Arial" w:cs="Arial" w:eastAsia="Arial" w:hAnsi="Arial"/>
                <w:sz w:val="22"/>
                <w:szCs w:val="22"/>
                <w:color w:val="003478"/>
              </w:rPr>
              <w:t>○</w:t>
            </w:r>
          </w:p>
        </w:tc>
      </w:tr>
      <w:tr>
        <w:trPr>
          <w:trHeight w:val="311"/>
        </w:trPr>
        <w:tc>
          <w:tcPr>
            <w:tcW w:w="560" w:type="dxa"/>
            <w:vAlign w:val="bottom"/>
          </w:tcPr>
          <w:p>
            <w:pPr>
              <w:spacing w:after="0"/>
              <w:rPr>
                <w:sz w:val="20"/>
                <w:szCs w:val="20"/>
                <w:color w:val="auto"/>
              </w:rPr>
            </w:pPr>
            <w:r>
              <w:rPr>
                <w:rFonts w:ascii="Arial" w:cs="Arial" w:eastAsia="Arial" w:hAnsi="Arial"/>
                <w:sz w:val="22"/>
                <w:szCs w:val="22"/>
                <w:color w:val="003478"/>
              </w:rPr>
              <w:t>○</w:t>
            </w:r>
          </w:p>
        </w:tc>
        <w:tc>
          <w:tcPr>
            <w:tcW w:w="1140" w:type="dxa"/>
            <w:vAlign w:val="bottom"/>
          </w:tcPr>
          <w:p>
            <w:pPr>
              <w:spacing w:after="0"/>
              <w:rPr>
                <w:sz w:val="24"/>
                <w:szCs w:val="24"/>
                <w:color w:val="auto"/>
              </w:rPr>
            </w:pPr>
          </w:p>
        </w:tc>
        <w:tc>
          <w:tcPr>
            <w:tcW w:w="800" w:type="dxa"/>
            <w:vAlign w:val="bottom"/>
          </w:tcPr>
          <w:p>
            <w:pPr>
              <w:ind w:left="340"/>
              <w:spacing w:after="0"/>
              <w:rPr>
                <w:sz w:val="20"/>
                <w:szCs w:val="20"/>
                <w:color w:val="auto"/>
              </w:rPr>
            </w:pPr>
            <w:r>
              <w:rPr>
                <w:rFonts w:ascii="Arial" w:cs="Arial" w:eastAsia="Arial" w:hAnsi="Arial"/>
                <w:sz w:val="22"/>
                <w:szCs w:val="22"/>
                <w:color w:val="003478"/>
              </w:rPr>
              <w:t>●</w:t>
            </w:r>
          </w:p>
        </w:tc>
        <w:tc>
          <w:tcPr>
            <w:tcW w:w="1460" w:type="dxa"/>
            <w:vAlign w:val="bottom"/>
          </w:tcPr>
          <w:p>
            <w:pPr>
              <w:ind w:left="660"/>
              <w:spacing w:after="0"/>
              <w:rPr>
                <w:sz w:val="20"/>
                <w:szCs w:val="20"/>
                <w:color w:val="auto"/>
              </w:rPr>
            </w:pPr>
            <w:r>
              <w:rPr>
                <w:rFonts w:ascii="Arial" w:cs="Arial" w:eastAsia="Arial" w:hAnsi="Arial"/>
                <w:sz w:val="22"/>
                <w:szCs w:val="22"/>
                <w:color w:val="003478"/>
              </w:rPr>
              <w:t>●</w:t>
            </w: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11"/>
        </w:trPr>
        <w:tc>
          <w:tcPr>
            <w:tcW w:w="560" w:type="dxa"/>
            <w:vAlign w:val="bottom"/>
          </w:tcPr>
          <w:p>
            <w:pPr>
              <w:spacing w:after="0"/>
              <w:rPr>
                <w:sz w:val="20"/>
                <w:szCs w:val="20"/>
                <w:color w:val="auto"/>
              </w:rPr>
            </w:pPr>
            <w:r>
              <w:rPr>
                <w:rFonts w:ascii="Arial" w:cs="Arial" w:eastAsia="Arial" w:hAnsi="Arial"/>
                <w:sz w:val="22"/>
                <w:szCs w:val="22"/>
                <w:color w:val="003478"/>
              </w:rPr>
              <w:t>●</w:t>
            </w: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60" w:type="dxa"/>
            <w:vAlign w:val="bottom"/>
          </w:tcPr>
          <w:p>
            <w:pPr>
              <w:ind w:left="660"/>
              <w:spacing w:after="0"/>
              <w:rPr>
                <w:sz w:val="20"/>
                <w:szCs w:val="20"/>
                <w:color w:val="auto"/>
              </w:rPr>
            </w:pPr>
            <w:r>
              <w:rPr>
                <w:rFonts w:ascii="Arial" w:cs="Arial" w:eastAsia="Arial" w:hAnsi="Arial"/>
                <w:sz w:val="22"/>
                <w:szCs w:val="22"/>
                <w:color w:val="003478"/>
              </w:rPr>
              <w:t>●</w:t>
            </w: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11"/>
        </w:trPr>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Pr>
          <w:p>
            <w:pPr>
              <w:ind w:left="340"/>
              <w:spacing w:after="0"/>
              <w:rPr>
                <w:sz w:val="20"/>
                <w:szCs w:val="20"/>
                <w:color w:val="auto"/>
              </w:rPr>
            </w:pPr>
            <w:r>
              <w:rPr>
                <w:rFonts w:ascii="Arial" w:cs="Arial" w:eastAsia="Arial" w:hAnsi="Arial"/>
                <w:sz w:val="22"/>
                <w:szCs w:val="22"/>
                <w:color w:val="003478"/>
              </w:rPr>
              <w:t>○</w:t>
            </w:r>
          </w:p>
        </w:tc>
        <w:tc>
          <w:tcPr>
            <w:tcW w:w="1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11"/>
        </w:trPr>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60" w:type="dxa"/>
            <w:vAlign w:val="bottom"/>
          </w:tcPr>
          <w:p>
            <w:pPr>
              <w:ind w:left="660"/>
              <w:spacing w:after="0"/>
              <w:rPr>
                <w:sz w:val="20"/>
                <w:szCs w:val="20"/>
                <w:color w:val="auto"/>
              </w:rPr>
            </w:pPr>
            <w:r>
              <w:rPr>
                <w:rFonts w:ascii="Arial" w:cs="Arial" w:eastAsia="Arial" w:hAnsi="Arial"/>
                <w:sz w:val="22"/>
                <w:szCs w:val="22"/>
                <w:color w:val="003478"/>
              </w:rPr>
              <w:t>●</w:t>
            </w:r>
          </w:p>
        </w:tc>
        <w:tc>
          <w:tcPr>
            <w:tcW w:w="1120" w:type="dxa"/>
            <w:vAlign w:val="bottom"/>
          </w:tcPr>
          <w:p>
            <w:pPr>
              <w:ind w:left="540"/>
              <w:spacing w:after="0"/>
              <w:rPr>
                <w:sz w:val="20"/>
                <w:szCs w:val="20"/>
                <w:color w:val="auto"/>
              </w:rPr>
            </w:pPr>
            <w:r>
              <w:rPr>
                <w:rFonts w:ascii="Arial" w:cs="Arial" w:eastAsia="Arial" w:hAnsi="Arial"/>
                <w:sz w:val="22"/>
                <w:szCs w:val="22"/>
                <w:color w:val="003478"/>
              </w:rPr>
              <w:t>●</w:t>
            </w:r>
          </w:p>
        </w:tc>
        <w:tc>
          <w:tcPr>
            <w:tcW w:w="880" w:type="dxa"/>
            <w:vAlign w:val="bottom"/>
          </w:tcPr>
          <w:p>
            <w:pPr>
              <w:spacing w:after="0"/>
              <w:rPr>
                <w:sz w:val="24"/>
                <w:szCs w:val="24"/>
                <w:color w:val="auto"/>
              </w:rPr>
            </w:pPr>
          </w:p>
        </w:tc>
      </w:tr>
      <w:tr>
        <w:trPr>
          <w:trHeight w:val="311"/>
        </w:trPr>
        <w:tc>
          <w:tcPr>
            <w:tcW w:w="560" w:type="dxa"/>
            <w:vAlign w:val="bottom"/>
          </w:tcPr>
          <w:p>
            <w:pPr>
              <w:spacing w:after="0"/>
              <w:rPr>
                <w:sz w:val="24"/>
                <w:szCs w:val="24"/>
                <w:color w:val="auto"/>
              </w:rPr>
            </w:pPr>
          </w:p>
        </w:tc>
        <w:tc>
          <w:tcPr>
            <w:tcW w:w="1140" w:type="dxa"/>
            <w:vAlign w:val="bottom"/>
          </w:tcPr>
          <w:p>
            <w:pPr>
              <w:ind w:left="460"/>
              <w:spacing w:after="0"/>
              <w:rPr>
                <w:sz w:val="20"/>
                <w:szCs w:val="20"/>
                <w:color w:val="auto"/>
              </w:rPr>
            </w:pPr>
            <w:r>
              <w:rPr>
                <w:rFonts w:ascii="Arial" w:cs="Arial" w:eastAsia="Arial" w:hAnsi="Arial"/>
                <w:sz w:val="22"/>
                <w:szCs w:val="22"/>
                <w:color w:val="003478"/>
              </w:rPr>
              <w:t>●</w:t>
            </w:r>
          </w:p>
        </w:tc>
        <w:tc>
          <w:tcPr>
            <w:tcW w:w="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20" w:type="dxa"/>
            <w:vAlign w:val="bottom"/>
          </w:tcPr>
          <w:p>
            <w:pPr>
              <w:ind w:left="540"/>
              <w:spacing w:after="0"/>
              <w:rPr>
                <w:sz w:val="20"/>
                <w:szCs w:val="20"/>
                <w:color w:val="auto"/>
              </w:rPr>
            </w:pPr>
            <w:r>
              <w:rPr>
                <w:rFonts w:ascii="Arial" w:cs="Arial" w:eastAsia="Arial" w:hAnsi="Arial"/>
                <w:sz w:val="22"/>
                <w:szCs w:val="22"/>
                <w:color w:val="003478"/>
              </w:rPr>
              <w:t>●</w:t>
            </w:r>
          </w:p>
        </w:tc>
        <w:tc>
          <w:tcPr>
            <w:tcW w:w="880" w:type="dxa"/>
            <w:vAlign w:val="bottom"/>
          </w:tcPr>
          <w:p>
            <w:pPr>
              <w:spacing w:after="0"/>
              <w:rPr>
                <w:sz w:val="24"/>
                <w:szCs w:val="24"/>
                <w:color w:val="auto"/>
              </w:rPr>
            </w:pPr>
          </w:p>
        </w:tc>
      </w:tr>
      <w:tr>
        <w:trPr>
          <w:trHeight w:val="311"/>
        </w:trPr>
        <w:tc>
          <w:tcPr>
            <w:tcW w:w="560" w:type="dxa"/>
            <w:vAlign w:val="bottom"/>
          </w:tcPr>
          <w:p>
            <w:pPr>
              <w:spacing w:after="0"/>
              <w:rPr>
                <w:sz w:val="24"/>
                <w:szCs w:val="24"/>
                <w:color w:val="auto"/>
              </w:rPr>
            </w:pPr>
          </w:p>
        </w:tc>
        <w:tc>
          <w:tcPr>
            <w:tcW w:w="1140" w:type="dxa"/>
            <w:vAlign w:val="bottom"/>
          </w:tcPr>
          <w:p>
            <w:pPr>
              <w:ind w:left="460"/>
              <w:spacing w:after="0"/>
              <w:rPr>
                <w:sz w:val="20"/>
                <w:szCs w:val="20"/>
                <w:color w:val="auto"/>
              </w:rPr>
            </w:pPr>
            <w:r>
              <w:rPr>
                <w:rFonts w:ascii="Arial" w:cs="Arial" w:eastAsia="Arial" w:hAnsi="Arial"/>
                <w:sz w:val="22"/>
                <w:szCs w:val="22"/>
                <w:color w:val="003478"/>
              </w:rPr>
              <w:t>●</w:t>
            </w:r>
          </w:p>
        </w:tc>
        <w:tc>
          <w:tcPr>
            <w:tcW w:w="800" w:type="dxa"/>
            <w:vAlign w:val="bottom"/>
          </w:tcPr>
          <w:p>
            <w:pPr>
              <w:ind w:left="340"/>
              <w:spacing w:after="0"/>
              <w:rPr>
                <w:sz w:val="20"/>
                <w:szCs w:val="20"/>
                <w:color w:val="auto"/>
              </w:rPr>
            </w:pPr>
            <w:r>
              <w:rPr>
                <w:rFonts w:ascii="Arial" w:cs="Arial" w:eastAsia="Arial" w:hAnsi="Arial"/>
                <w:sz w:val="22"/>
                <w:szCs w:val="22"/>
                <w:color w:val="003478"/>
              </w:rPr>
              <w:t>●</w:t>
            </w:r>
          </w:p>
        </w:tc>
        <w:tc>
          <w:tcPr>
            <w:tcW w:w="1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ind w:left="420"/>
              <w:spacing w:after="0"/>
              <w:rPr>
                <w:sz w:val="20"/>
                <w:szCs w:val="20"/>
                <w:color w:val="auto"/>
              </w:rPr>
            </w:pPr>
            <w:r>
              <w:rPr>
                <w:rFonts w:ascii="Arial" w:cs="Arial" w:eastAsia="Arial" w:hAnsi="Arial"/>
                <w:sz w:val="22"/>
                <w:szCs w:val="22"/>
                <w:color w:val="003478"/>
              </w:rPr>
              <w:t>●</w:t>
            </w:r>
          </w:p>
        </w:tc>
      </w:tr>
      <w:tr>
        <w:trPr>
          <w:trHeight w:val="311"/>
        </w:trPr>
        <w:tc>
          <w:tcPr>
            <w:tcW w:w="560" w:type="dxa"/>
            <w:vAlign w:val="bottom"/>
          </w:tcPr>
          <w:p>
            <w:pPr>
              <w:spacing w:after="0"/>
              <w:rPr>
                <w:sz w:val="24"/>
                <w:szCs w:val="24"/>
                <w:color w:val="auto"/>
              </w:rPr>
            </w:pPr>
          </w:p>
        </w:tc>
        <w:tc>
          <w:tcPr>
            <w:tcW w:w="1140" w:type="dxa"/>
            <w:vAlign w:val="bottom"/>
          </w:tcPr>
          <w:p>
            <w:pPr>
              <w:ind w:left="460"/>
              <w:spacing w:after="0"/>
              <w:rPr>
                <w:sz w:val="20"/>
                <w:szCs w:val="20"/>
                <w:color w:val="auto"/>
              </w:rPr>
            </w:pPr>
            <w:r>
              <w:rPr>
                <w:rFonts w:ascii="Arial" w:cs="Arial" w:eastAsia="Arial" w:hAnsi="Arial"/>
                <w:sz w:val="22"/>
                <w:szCs w:val="22"/>
                <w:color w:val="003478"/>
              </w:rPr>
              <w:t>○</w:t>
            </w:r>
          </w:p>
        </w:tc>
        <w:tc>
          <w:tcPr>
            <w:tcW w:w="800" w:type="dxa"/>
            <w:vAlign w:val="bottom"/>
          </w:tcPr>
          <w:p>
            <w:pPr>
              <w:ind w:left="340"/>
              <w:spacing w:after="0"/>
              <w:rPr>
                <w:sz w:val="20"/>
                <w:szCs w:val="20"/>
                <w:color w:val="auto"/>
              </w:rPr>
            </w:pPr>
            <w:r>
              <w:rPr>
                <w:rFonts w:ascii="Arial" w:cs="Arial" w:eastAsia="Arial" w:hAnsi="Arial"/>
                <w:sz w:val="22"/>
                <w:szCs w:val="22"/>
                <w:color w:val="003478"/>
              </w:rPr>
              <w:t>●</w:t>
            </w:r>
          </w:p>
        </w:tc>
        <w:tc>
          <w:tcPr>
            <w:tcW w:w="1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ind w:left="420"/>
              <w:spacing w:after="0"/>
              <w:rPr>
                <w:sz w:val="20"/>
                <w:szCs w:val="20"/>
                <w:color w:val="auto"/>
              </w:rPr>
            </w:pPr>
            <w:r>
              <w:rPr>
                <w:rFonts w:ascii="Arial" w:cs="Arial" w:eastAsia="Arial" w:hAnsi="Arial"/>
                <w:sz w:val="22"/>
                <w:szCs w:val="22"/>
                <w:color w:val="003478"/>
              </w:rPr>
              <w:t>●</w:t>
            </w:r>
          </w:p>
        </w:tc>
      </w:tr>
      <w:tr>
        <w:trPr>
          <w:trHeight w:val="311"/>
        </w:trPr>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20" w:type="dxa"/>
            <w:vAlign w:val="bottom"/>
          </w:tcPr>
          <w:p>
            <w:pPr>
              <w:ind w:left="540"/>
              <w:spacing w:after="0"/>
              <w:rPr>
                <w:sz w:val="20"/>
                <w:szCs w:val="20"/>
                <w:color w:val="auto"/>
              </w:rPr>
            </w:pPr>
            <w:r>
              <w:rPr>
                <w:rFonts w:ascii="Arial" w:cs="Arial" w:eastAsia="Arial" w:hAnsi="Arial"/>
                <w:sz w:val="22"/>
                <w:szCs w:val="22"/>
                <w:color w:val="003478"/>
              </w:rPr>
              <w:t>●</w:t>
            </w:r>
          </w:p>
        </w:tc>
        <w:tc>
          <w:tcPr>
            <w:tcW w:w="880" w:type="dxa"/>
            <w:vAlign w:val="bottom"/>
          </w:tcPr>
          <w:p>
            <w:pPr>
              <w:ind w:left="420"/>
              <w:spacing w:after="0"/>
              <w:rPr>
                <w:sz w:val="20"/>
                <w:szCs w:val="20"/>
                <w:color w:val="auto"/>
              </w:rPr>
            </w:pPr>
            <w:r>
              <w:rPr>
                <w:rFonts w:ascii="Arial" w:cs="Arial" w:eastAsia="Arial" w:hAnsi="Arial"/>
                <w:sz w:val="22"/>
                <w:szCs w:val="22"/>
                <w:color w:val="003478"/>
              </w:rPr>
              <w:t>●</w:t>
            </w:r>
          </w:p>
        </w:tc>
      </w:tr>
    </w:tbl>
    <w:p>
      <w:pPr>
        <w:spacing w:after="0" w:line="36" w:lineRule="exact"/>
        <w:rPr>
          <w:sz w:val="20"/>
          <w:szCs w:val="20"/>
          <w:color w:val="auto"/>
        </w:rPr>
      </w:pPr>
    </w:p>
    <w:p>
      <w:pPr>
        <w:sectPr>
          <w:pgSz w:w="11900" w:h="16838" w:orient="portrait"/>
          <w:cols w:equalWidth="0" w:num="2">
            <w:col w:w="4600" w:space="720"/>
            <w:col w:w="6000"/>
          </w:cols>
          <w:pgMar w:left="240" w:top="292" w:right="339" w:bottom="1440" w:gutter="0" w:footer="0" w:header="0"/>
          <w:type w:val="continuous"/>
        </w:sectPr>
      </w:pPr>
    </w:p>
    <w:tbl>
      <w:tblPr>
        <w:tblLayout w:type="fixed"/>
        <w:tblInd w:w="40" w:type="dxa"/>
        <w:tblCellMar>
          <w:top w:w="0" w:type="dxa"/>
          <w:left w:w="0" w:type="dxa"/>
          <w:bottom w:w="0" w:type="dxa"/>
          <w:right w:w="0" w:type="dxa"/>
        </w:tblCellMar>
      </w:tblPr>
      <w:tr>
        <w:trPr>
          <w:trHeight w:val="198"/>
        </w:trPr>
        <w:tc>
          <w:tcPr>
            <w:tcW w:w="3380" w:type="dxa"/>
            <w:vAlign w:val="bottom"/>
          </w:tcPr>
          <w:p>
            <w:pPr>
              <w:spacing w:after="0"/>
              <w:rPr>
                <w:sz w:val="20"/>
                <w:szCs w:val="20"/>
                <w:color w:val="auto"/>
              </w:rPr>
            </w:pPr>
            <w:r>
              <w:rPr>
                <w:rFonts w:ascii="Arial" w:cs="Arial" w:eastAsia="Arial" w:hAnsi="Arial"/>
                <w:sz w:val="14"/>
                <w:szCs w:val="14"/>
                <w:b w:val="1"/>
                <w:bCs w:val="1"/>
                <w:color w:val="auto"/>
              </w:rPr>
              <w:t>Meetings held in 2018</w:t>
            </w:r>
          </w:p>
        </w:tc>
        <w:tc>
          <w:tcPr>
            <w:tcW w:w="2460" w:type="dxa"/>
            <w:vAlign w:val="bottom"/>
          </w:tcPr>
          <w:p>
            <w:pPr>
              <w:jc w:val="right"/>
              <w:ind w:right="388"/>
              <w:spacing w:after="0"/>
              <w:rPr>
                <w:sz w:val="20"/>
                <w:szCs w:val="20"/>
                <w:color w:val="auto"/>
              </w:rPr>
            </w:pPr>
            <w:r>
              <w:rPr>
                <w:rFonts w:ascii="Arial" w:cs="Arial" w:eastAsia="Arial" w:hAnsi="Arial"/>
                <w:sz w:val="14"/>
                <w:szCs w:val="14"/>
                <w:b w:val="1"/>
                <w:bCs w:val="1"/>
                <w:color w:val="auto"/>
              </w:rPr>
              <w:t>6</w:t>
            </w:r>
          </w:p>
        </w:tc>
        <w:tc>
          <w:tcPr>
            <w:tcW w:w="1020" w:type="dxa"/>
            <w:vAlign w:val="bottom"/>
          </w:tcPr>
          <w:p>
            <w:pPr>
              <w:jc w:val="right"/>
              <w:ind w:right="388"/>
              <w:spacing w:after="0"/>
              <w:rPr>
                <w:sz w:val="20"/>
                <w:szCs w:val="20"/>
                <w:color w:val="auto"/>
              </w:rPr>
            </w:pPr>
            <w:r>
              <w:rPr>
                <w:rFonts w:ascii="Arial" w:cs="Arial" w:eastAsia="Arial" w:hAnsi="Arial"/>
                <w:sz w:val="14"/>
                <w:szCs w:val="14"/>
                <w:b w:val="1"/>
                <w:bCs w:val="1"/>
                <w:color w:val="auto"/>
              </w:rPr>
              <w:t>3</w:t>
            </w:r>
          </w:p>
        </w:tc>
        <w:tc>
          <w:tcPr>
            <w:tcW w:w="1080" w:type="dxa"/>
            <w:vAlign w:val="bottom"/>
          </w:tcPr>
          <w:p>
            <w:pPr>
              <w:jc w:val="right"/>
              <w:ind w:right="448"/>
              <w:spacing w:after="0"/>
              <w:rPr>
                <w:sz w:val="20"/>
                <w:szCs w:val="20"/>
                <w:color w:val="auto"/>
              </w:rPr>
            </w:pPr>
            <w:r>
              <w:rPr>
                <w:rFonts w:ascii="Arial" w:cs="Arial" w:eastAsia="Arial" w:hAnsi="Arial"/>
                <w:sz w:val="14"/>
                <w:szCs w:val="14"/>
                <w:b w:val="1"/>
                <w:bCs w:val="1"/>
                <w:color w:val="auto"/>
              </w:rPr>
              <w:t>0</w:t>
            </w:r>
          </w:p>
        </w:tc>
        <w:tc>
          <w:tcPr>
            <w:tcW w:w="1240" w:type="dxa"/>
            <w:vAlign w:val="bottom"/>
          </w:tcPr>
          <w:p>
            <w:pPr>
              <w:jc w:val="right"/>
              <w:ind w:right="568"/>
              <w:spacing w:after="0"/>
              <w:rPr>
                <w:sz w:val="20"/>
                <w:szCs w:val="20"/>
                <w:color w:val="auto"/>
              </w:rPr>
            </w:pPr>
            <w:r>
              <w:rPr>
                <w:rFonts w:ascii="Arial" w:cs="Arial" w:eastAsia="Arial" w:hAnsi="Arial"/>
                <w:sz w:val="14"/>
                <w:szCs w:val="14"/>
                <w:b w:val="1"/>
                <w:bCs w:val="1"/>
                <w:color w:val="auto"/>
              </w:rPr>
              <w:t>4</w:t>
            </w:r>
          </w:p>
        </w:tc>
        <w:tc>
          <w:tcPr>
            <w:tcW w:w="1180" w:type="dxa"/>
            <w:vAlign w:val="bottom"/>
          </w:tcPr>
          <w:p>
            <w:pPr>
              <w:jc w:val="right"/>
              <w:ind w:right="408"/>
              <w:spacing w:after="0"/>
              <w:rPr>
                <w:sz w:val="20"/>
                <w:szCs w:val="20"/>
                <w:color w:val="auto"/>
              </w:rPr>
            </w:pPr>
            <w:r>
              <w:rPr>
                <w:rFonts w:ascii="Arial" w:cs="Arial" w:eastAsia="Arial" w:hAnsi="Arial"/>
                <w:sz w:val="14"/>
                <w:szCs w:val="14"/>
                <w:b w:val="1"/>
                <w:bCs w:val="1"/>
                <w:color w:val="auto"/>
              </w:rPr>
              <w:t>4</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1</w:t>
            </w:r>
          </w:p>
        </w:tc>
      </w:tr>
    </w:tbl>
    <w:p>
      <w:pPr>
        <w:spacing w:after="0"/>
        <w:rPr>
          <w:sz w:val="20"/>
          <w:szCs w:val="20"/>
          <w:color w:val="auto"/>
        </w:rPr>
      </w:pPr>
      <w:r>
        <w:rPr>
          <w:rFonts w:ascii="Arial" w:cs="Arial" w:eastAsia="Arial" w:hAnsi="Arial"/>
          <w:sz w:val="17"/>
          <w:szCs w:val="17"/>
          <w:color w:val="auto"/>
        </w:rPr>
        <w:t xml:space="preserve">Member: </w:t>
      </w:r>
      <w:r>
        <w:rPr>
          <w:rFonts w:ascii="Arial" w:cs="Arial" w:eastAsia="Arial" w:hAnsi="Arial"/>
          <w:sz w:val="21"/>
          <w:szCs w:val="21"/>
          <w:color w:val="003478"/>
        </w:rPr>
        <w:t>●</w:t>
      </w:r>
      <w:r>
        <w:rPr>
          <w:rFonts w:ascii="Arial" w:cs="Arial" w:eastAsia="Arial" w:hAnsi="Arial"/>
          <w:sz w:val="17"/>
          <w:szCs w:val="17"/>
          <w:color w:val="auto"/>
        </w:rPr>
        <w:t xml:space="preserve"> Chair: </w:t>
      </w:r>
      <w:r>
        <w:rPr>
          <w:rFonts w:ascii="Arial" w:cs="Arial" w:eastAsia="Arial" w:hAnsi="Arial"/>
          <w:sz w:val="21"/>
          <w:szCs w:val="21"/>
          <w:color w:val="003478"/>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6089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pacing w:after="0" w:line="29" w:lineRule="exact"/>
        <w:rPr>
          <w:sz w:val="20"/>
          <w:szCs w:val="20"/>
          <w:color w:val="auto"/>
        </w:rPr>
      </w:pPr>
    </w:p>
    <w:p>
      <w:pPr>
        <w:ind w:left="180" w:hanging="172"/>
        <w:spacing w:after="0" w:line="301" w:lineRule="auto"/>
        <w:tabs>
          <w:tab w:leader="none" w:pos="1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Messrs. Loy, Carlson, and Ralston and Ms. Gordon also served on the Ethics and Sustainability Committee until its consolidation with the Governance Committee in April 2018. The Ethics and Sustainability Committee met twice in 2018.</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 Mr. Loy retired in April 2018.</w:t>
      </w:r>
    </w:p>
    <w:p>
      <w:pPr>
        <w:sectPr>
          <w:pgSz w:w="11900" w:h="16838" w:orient="portrait"/>
          <w:cols w:equalWidth="0" w:num="1">
            <w:col w:w="11320"/>
          </w:cols>
          <w:pgMar w:left="240" w:top="292" w:right="339" w:bottom="1440" w:gutter="0" w:footer="0" w:header="0"/>
          <w:type w:val="continuous"/>
        </w:sectPr>
      </w:pPr>
    </w:p>
    <w:p>
      <w:pPr>
        <w:spacing w:after="0" w:line="267" w:lineRule="exact"/>
        <w:rPr>
          <w:sz w:val="20"/>
          <w:szCs w:val="20"/>
          <w:color w:val="auto"/>
        </w:rPr>
      </w:pPr>
    </w:p>
    <w:p>
      <w:pPr>
        <w:spacing w:after="0"/>
        <w:rPr>
          <w:sz w:val="20"/>
          <w:szCs w:val="20"/>
          <w:color w:val="auto"/>
        </w:rPr>
      </w:pPr>
      <w:r>
        <w:rPr>
          <w:rFonts w:ascii="Arial" w:cs="Arial" w:eastAsia="Arial" w:hAnsi="Arial"/>
          <w:sz w:val="25"/>
          <w:szCs w:val="25"/>
          <w:color w:val="475C90"/>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2092325" cy="30359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092325" cy="303593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120"/>
        <w:spacing w:after="0"/>
        <w:rPr>
          <w:sz w:val="20"/>
          <w:szCs w:val="20"/>
          <w:color w:val="auto"/>
        </w:rPr>
      </w:pPr>
      <w:r>
        <w:rPr>
          <w:rFonts w:ascii="Arial" w:cs="Arial" w:eastAsia="Arial" w:hAnsi="Arial"/>
          <w:sz w:val="17"/>
          <w:szCs w:val="17"/>
          <w:color w:val="012E6C"/>
        </w:rPr>
        <w:t>Thomas J. Falk, Chair</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012E6C"/>
        </w:rPr>
        <w:t>Daniel F. Akerson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012E6C"/>
        </w:rPr>
        <w:t>David B. Burritt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012E6C"/>
        </w:rPr>
        <w:t>Ilene S. Gordon</w:t>
      </w:r>
    </w:p>
    <w:p>
      <w:pPr>
        <w:spacing w:after="0" w:line="100" w:lineRule="exact"/>
        <w:rPr>
          <w:sz w:val="20"/>
          <w:szCs w:val="20"/>
          <w:color w:val="auto"/>
        </w:rPr>
      </w:pPr>
    </w:p>
    <w:p>
      <w:pPr>
        <w:ind w:left="120" w:right="100"/>
        <w:spacing w:after="0" w:line="242" w:lineRule="auto"/>
        <w:rPr>
          <w:sz w:val="20"/>
          <w:szCs w:val="20"/>
          <w:color w:val="auto"/>
        </w:rPr>
      </w:pPr>
      <w:r>
        <w:rPr>
          <w:rFonts w:ascii="Arial" w:cs="Arial" w:eastAsia="Arial" w:hAnsi="Arial"/>
          <w:sz w:val="17"/>
          <w:szCs w:val="17"/>
          <w:color w:val="012E6C"/>
        </w:rPr>
        <w:t>All the members of the Audit Committee are independent within the meaning of the NYSE listing standards, applicable SEC regulations and our Governance Guidelines.</w:t>
      </w:r>
    </w:p>
    <w:p>
      <w:pPr>
        <w:spacing w:after="0" w:line="176"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color w:val="012E6C"/>
        </w:rPr>
        <w:t>The Board has determined that each member of the committee is a qualified audit committee financial expert within the meaning of applicable SEC regulations and each has accounting and related financial management expertise sufficient to be considered financially literate within the meaning of the NYSE listing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861695</wp:posOffset>
            </wp:positionV>
            <wp:extent cx="1440815" cy="3257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440815" cy="3257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tabs>
          <w:tab w:leader="none" w:pos="5900" w:val="left"/>
        </w:tabs>
        <w:rPr>
          <w:sz w:val="20"/>
          <w:szCs w:val="20"/>
          <w:color w:val="auto"/>
        </w:rPr>
      </w:pPr>
      <w:r>
        <w:rPr>
          <w:rFonts w:ascii="Arial" w:cs="Arial" w:eastAsia="Arial" w:hAnsi="Arial"/>
          <w:sz w:val="34"/>
          <w:szCs w:val="34"/>
          <w:color w:val="012E6C"/>
          <w:vertAlign w:val="superscript"/>
        </w:rPr>
        <w:t>2018 Focus Areas</w:t>
      </w:r>
      <w:r>
        <w:rPr>
          <w:sz w:val="20"/>
          <w:szCs w:val="20"/>
          <w:color w:val="auto"/>
        </w:rPr>
        <w:tab/>
      </w:r>
      <w:r>
        <w:rPr>
          <w:rFonts w:ascii="Arial" w:cs="Arial" w:eastAsia="Arial" w:hAnsi="Arial"/>
          <w:sz w:val="16"/>
          <w:szCs w:val="16"/>
          <w:color w:val="012E6C"/>
        </w:rPr>
        <w:t>Meetings in 2018: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-487045</wp:posOffset>
            </wp:positionV>
            <wp:extent cx="7212330" cy="1200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2330" cy="12001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-24130</wp:posOffset>
            </wp:positionV>
            <wp:extent cx="497395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973955" cy="8890"/>
                    </a:xfrm>
                    <a:prstGeom prst="rect">
                      <a:avLst/>
                    </a:prstGeom>
                    <a:noFill/>
                  </pic:spPr>
                </pic:pic>
              </a:graphicData>
            </a:graphic>
          </wp:anchor>
        </w:drawing>
      </w:r>
    </w:p>
    <w:p>
      <w:pPr>
        <w:spacing w:after="0" w:line="62" w:lineRule="exact"/>
        <w:rPr>
          <w:sz w:val="20"/>
          <w:szCs w:val="20"/>
          <w:color w:val="auto"/>
        </w:rPr>
      </w:pPr>
    </w:p>
    <w:p>
      <w:pPr>
        <w:ind w:left="360" w:hanging="252"/>
        <w:spacing w:after="0"/>
        <w:tabs>
          <w:tab w:leader="none" w:pos="360" w:val="left"/>
        </w:tabs>
        <w:numPr>
          <w:ilvl w:val="0"/>
          <w:numId w:val="50"/>
        </w:numPr>
        <w:rPr>
          <w:rFonts w:ascii="Arial" w:cs="Arial" w:eastAsia="Arial" w:hAnsi="Arial"/>
          <w:sz w:val="17"/>
          <w:szCs w:val="17"/>
          <w:color w:val="012E6C"/>
        </w:rPr>
      </w:pPr>
      <w:r>
        <w:rPr>
          <w:rFonts w:ascii="Arial" w:cs="Arial" w:eastAsia="Arial" w:hAnsi="Arial"/>
          <w:sz w:val="17"/>
          <w:szCs w:val="17"/>
          <w:color w:val="auto"/>
        </w:rPr>
        <w:t>Enterprise Risk Management and Internal Audit Plan Implementation</w:t>
      </w:r>
    </w:p>
    <w:p>
      <w:pPr>
        <w:spacing w:after="0" w:line="209" w:lineRule="exact"/>
        <w:rPr>
          <w:rFonts w:ascii="Arial" w:cs="Arial" w:eastAsia="Arial" w:hAnsi="Arial"/>
          <w:sz w:val="17"/>
          <w:szCs w:val="17"/>
          <w:color w:val="012E6C"/>
        </w:rPr>
      </w:pPr>
    </w:p>
    <w:p>
      <w:pPr>
        <w:ind w:left="240" w:right="300" w:hanging="132"/>
        <w:spacing w:after="0" w:line="275" w:lineRule="auto"/>
        <w:tabs>
          <w:tab w:leader="none" w:pos="355" w:val="left"/>
        </w:tabs>
        <w:numPr>
          <w:ilvl w:val="0"/>
          <w:numId w:val="50"/>
        </w:numPr>
        <w:rPr>
          <w:rFonts w:ascii="Arial" w:cs="Arial" w:eastAsia="Arial" w:hAnsi="Arial"/>
          <w:sz w:val="17"/>
          <w:szCs w:val="17"/>
          <w:color w:val="012E6C"/>
        </w:rPr>
      </w:pPr>
      <w:r>
        <w:rPr>
          <w:rFonts w:ascii="Arial" w:cs="Arial" w:eastAsia="Arial" w:hAnsi="Arial"/>
          <w:sz w:val="17"/>
          <w:szCs w:val="17"/>
          <w:color w:val="auto"/>
        </w:rPr>
        <w:t>Adoption of New Accounting Standards Related to Revenue Recognition and Post-Retirement Benefit Plan Expenses</w:t>
      </w:r>
    </w:p>
    <w:p>
      <w:pPr>
        <w:spacing w:after="0" w:line="146" w:lineRule="exact"/>
        <w:rPr>
          <w:rFonts w:ascii="Arial" w:cs="Arial" w:eastAsia="Arial" w:hAnsi="Arial"/>
          <w:sz w:val="17"/>
          <w:szCs w:val="17"/>
          <w:color w:val="012E6C"/>
        </w:rPr>
      </w:pPr>
    </w:p>
    <w:p>
      <w:pPr>
        <w:ind w:left="360" w:hanging="252"/>
        <w:spacing w:after="0"/>
        <w:tabs>
          <w:tab w:leader="none" w:pos="360" w:val="left"/>
        </w:tabs>
        <w:numPr>
          <w:ilvl w:val="0"/>
          <w:numId w:val="50"/>
        </w:numPr>
        <w:rPr>
          <w:rFonts w:ascii="Arial" w:cs="Arial" w:eastAsia="Arial" w:hAnsi="Arial"/>
          <w:sz w:val="17"/>
          <w:szCs w:val="17"/>
          <w:color w:val="012E6C"/>
        </w:rPr>
      </w:pPr>
      <w:r>
        <w:rPr>
          <w:rFonts w:ascii="Arial" w:cs="Arial" w:eastAsia="Arial" w:hAnsi="Arial"/>
          <w:sz w:val="17"/>
          <w:szCs w:val="17"/>
          <w:color w:val="auto"/>
        </w:rPr>
        <w:t>Oversight of Corporation's Independent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99695</wp:posOffset>
            </wp:positionV>
            <wp:extent cx="497395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973955" cy="8890"/>
                    </a:xfrm>
                    <a:prstGeom prst="rect">
                      <a:avLst/>
                    </a:prstGeom>
                    <a:noFill/>
                  </pic:spPr>
                </pic:pic>
              </a:graphicData>
            </a:graphic>
          </wp:anchor>
        </w:drawing>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012E6C"/>
        </w:rPr>
        <w:t>Roles and Responsibilities of the Committee</w:t>
      </w:r>
    </w:p>
    <w:p>
      <w:pPr>
        <w:spacing w:after="0" w:line="21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Audit Committee is responsible for assisting the Board in fulfilling its oversight responsibilities relating to the financial condition of the Corporation, the integrity of the Corporation’s financial statements and the Corporation’s compliance with legal and regulatory requirements. In addition, the Audit Committee has oversight of the Corporation’s internal audit plan and enterprise risk management processes. It is directly responsible for the appointment, compensation, retention, oversight and termination of the Corporation’s independent auditors. The Audit Committee also is responsible for reviewing the allocation of resources, the Corporation’s financial condition and capital structure and policies regarding derivatives and capital expenditures. The Audit Committee meets privately with the Senior Vice President, Ethics and Enterprise Assurance, and the Corporation’s independent auditors, Ernst &amp; Young LLP. The functions of the Audit Committee are further described under the heading “Audit Committee Report” on 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81915</wp:posOffset>
            </wp:positionV>
            <wp:extent cx="721233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40" w:space="320"/>
            <w:col w:w="7760"/>
          </w:cols>
          <w:pgMar w:left="240" w:top="29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808080"/>
        </w:rPr>
        <w:t>18</w:t>
      </w:r>
    </w:p>
    <w:p>
      <w:pPr>
        <w:sectPr>
          <w:pgSz w:w="11900" w:h="16838" w:orient="portrait"/>
          <w:cols w:equalWidth="0" w:num="1">
            <w:col w:w="11320"/>
          </w:cols>
          <w:pgMar w:left="240" w:top="292" w:right="339" w:bottom="1440" w:gutter="0" w:footer="0" w:header="0"/>
          <w:type w:val="continuous"/>
        </w:sectPr>
      </w:pPr>
    </w:p>
    <w:bookmarkStart w:id="21" w:name="page22"/>
    <w:bookmarkEnd w:id="21"/>
    <w:p>
      <w:pPr>
        <w:jc w:val="right"/>
        <w:spacing w:after="0"/>
        <w:rPr>
          <w:sz w:val="20"/>
          <w:szCs w:val="20"/>
          <w:color w:val="auto"/>
        </w:rPr>
      </w:pPr>
      <w:r>
        <w:rPr>
          <w:rFonts w:ascii="Arial" w:cs="Arial" w:eastAsia="Arial" w:hAnsi="Arial"/>
          <w:sz w:val="15"/>
          <w:szCs w:val="15"/>
          <w:color w:val="003478"/>
        </w:rPr>
        <w:t>Corporate Governance</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5"/>
          <w:szCs w:val="25"/>
          <w:color w:val="475C90"/>
        </w:rPr>
        <w:t>Classified Business and Security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25558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2555875"/>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120" w:right="1200"/>
        <w:spacing w:after="0" w:line="275" w:lineRule="auto"/>
        <w:rPr>
          <w:sz w:val="20"/>
          <w:szCs w:val="20"/>
          <w:color w:val="auto"/>
        </w:rPr>
      </w:pPr>
      <w:r>
        <w:rPr>
          <w:rFonts w:ascii="Arial" w:cs="Arial" w:eastAsia="Arial" w:hAnsi="Arial"/>
          <w:sz w:val="17"/>
          <w:szCs w:val="17"/>
          <w:color w:val="012E6C"/>
        </w:rPr>
        <w:t>Joseph W. Ralston, Chair Daniel F. Akerson Bruce A. Carlson James O. Ellis, Jr. Jeh C. Johnson James M. Loy*</w:t>
      </w:r>
    </w:p>
    <w:p>
      <w:pPr>
        <w:spacing w:after="0" w:line="271" w:lineRule="exact"/>
        <w:rPr>
          <w:sz w:val="20"/>
          <w:szCs w:val="20"/>
          <w:color w:val="auto"/>
        </w:rPr>
      </w:pPr>
    </w:p>
    <w:p>
      <w:pPr>
        <w:ind w:left="120"/>
        <w:spacing w:after="0" w:line="246" w:lineRule="auto"/>
        <w:rPr>
          <w:sz w:val="20"/>
          <w:szCs w:val="20"/>
          <w:color w:val="auto"/>
        </w:rPr>
      </w:pPr>
      <w:r>
        <w:rPr>
          <w:rFonts w:ascii="Arial" w:cs="Arial" w:eastAsia="Arial" w:hAnsi="Arial"/>
          <w:sz w:val="17"/>
          <w:szCs w:val="17"/>
          <w:color w:val="012E6C"/>
        </w:rPr>
        <w:t>All members of the CBS Committee are independent within the meaning of NYSE listing standards and hold high-level security clearances.</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color w:val="012E6C"/>
        </w:rPr>
        <w:t>* Served until his retirement in April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6" w:lineRule="exact"/>
        <w:rPr>
          <w:sz w:val="20"/>
          <w:szCs w:val="20"/>
          <w:color w:val="auto"/>
        </w:rPr>
      </w:pPr>
    </w:p>
    <w:p>
      <w:pPr>
        <w:spacing w:after="0"/>
        <w:tabs>
          <w:tab w:leader="none" w:pos="6040" w:val="left"/>
        </w:tabs>
        <w:rPr>
          <w:sz w:val="20"/>
          <w:szCs w:val="20"/>
          <w:color w:val="auto"/>
        </w:rPr>
      </w:pPr>
      <w:r>
        <w:rPr>
          <w:rFonts w:ascii="Arial" w:cs="Arial" w:eastAsia="Arial" w:hAnsi="Arial"/>
          <w:sz w:val="34"/>
          <w:szCs w:val="34"/>
          <w:color w:val="012E6C"/>
          <w:vertAlign w:val="superscript"/>
        </w:rPr>
        <w:t>2018 Focus Areas</w:t>
      </w:r>
      <w:r>
        <w:rPr>
          <w:sz w:val="20"/>
          <w:szCs w:val="20"/>
          <w:color w:val="auto"/>
        </w:rPr>
        <w:tab/>
      </w:r>
      <w:r>
        <w:rPr>
          <w:rFonts w:ascii="Arial" w:cs="Arial" w:eastAsia="Arial" w:hAnsi="Arial"/>
          <w:sz w:val="17"/>
          <w:szCs w:val="17"/>
          <w:color w:val="012E6C"/>
        </w:rPr>
        <w:t>Meetings in 2018: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-24130</wp:posOffset>
            </wp:positionV>
            <wp:extent cx="49911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991100" cy="8890"/>
                    </a:xfrm>
                    <a:prstGeom prst="rect">
                      <a:avLst/>
                    </a:prstGeom>
                    <a:noFill/>
                  </pic:spPr>
                </pic:pic>
              </a:graphicData>
            </a:graphic>
          </wp:anchor>
        </w:drawing>
      </w:r>
    </w:p>
    <w:p>
      <w:pPr>
        <w:spacing w:after="0" w:line="62" w:lineRule="exact"/>
        <w:rPr>
          <w:sz w:val="20"/>
          <w:szCs w:val="20"/>
          <w:color w:val="auto"/>
        </w:rPr>
      </w:pPr>
    </w:p>
    <w:p>
      <w:pPr>
        <w:ind w:left="360" w:hanging="245"/>
        <w:spacing w:after="0"/>
        <w:tabs>
          <w:tab w:leader="none" w:pos="360" w:val="left"/>
        </w:tabs>
        <w:numPr>
          <w:ilvl w:val="0"/>
          <w:numId w:val="51"/>
        </w:numPr>
        <w:rPr>
          <w:rFonts w:ascii="Arial" w:cs="Arial" w:eastAsia="Arial" w:hAnsi="Arial"/>
          <w:sz w:val="17"/>
          <w:szCs w:val="17"/>
          <w:color w:val="012E6C"/>
        </w:rPr>
      </w:pPr>
      <w:r>
        <w:rPr>
          <w:rFonts w:ascii="Arial" w:cs="Arial" w:eastAsia="Arial" w:hAnsi="Arial"/>
          <w:sz w:val="17"/>
          <w:szCs w:val="17"/>
          <w:color w:val="auto"/>
        </w:rPr>
        <w:t>Classified Business and Related Financials</w:t>
      </w:r>
    </w:p>
    <w:p>
      <w:pPr>
        <w:spacing w:after="0" w:line="209" w:lineRule="exact"/>
        <w:rPr>
          <w:rFonts w:ascii="Arial" w:cs="Arial" w:eastAsia="Arial" w:hAnsi="Arial"/>
          <w:sz w:val="17"/>
          <w:szCs w:val="17"/>
          <w:color w:val="012E6C"/>
        </w:rPr>
      </w:pPr>
    </w:p>
    <w:p>
      <w:pPr>
        <w:ind w:left="360" w:hanging="245"/>
        <w:spacing w:after="0"/>
        <w:tabs>
          <w:tab w:leader="none" w:pos="360" w:val="left"/>
        </w:tabs>
        <w:numPr>
          <w:ilvl w:val="0"/>
          <w:numId w:val="51"/>
        </w:numPr>
        <w:rPr>
          <w:rFonts w:ascii="Arial" w:cs="Arial" w:eastAsia="Arial" w:hAnsi="Arial"/>
          <w:sz w:val="17"/>
          <w:szCs w:val="17"/>
          <w:color w:val="012E6C"/>
        </w:rPr>
      </w:pPr>
      <w:r>
        <w:rPr>
          <w:rFonts w:ascii="Arial" w:cs="Arial" w:eastAsia="Arial" w:hAnsi="Arial"/>
          <w:sz w:val="17"/>
          <w:szCs w:val="17"/>
          <w:color w:val="auto"/>
        </w:rPr>
        <w:t>Risks Related to Classified Programs</w:t>
      </w:r>
    </w:p>
    <w:p>
      <w:pPr>
        <w:spacing w:after="0" w:line="209" w:lineRule="exact"/>
        <w:rPr>
          <w:rFonts w:ascii="Arial" w:cs="Arial" w:eastAsia="Arial" w:hAnsi="Arial"/>
          <w:sz w:val="17"/>
          <w:szCs w:val="17"/>
          <w:color w:val="012E6C"/>
        </w:rPr>
      </w:pPr>
    </w:p>
    <w:p>
      <w:pPr>
        <w:ind w:left="360" w:hanging="245"/>
        <w:spacing w:after="0"/>
        <w:tabs>
          <w:tab w:leader="none" w:pos="360" w:val="left"/>
        </w:tabs>
        <w:numPr>
          <w:ilvl w:val="0"/>
          <w:numId w:val="51"/>
        </w:numPr>
        <w:rPr>
          <w:rFonts w:ascii="Arial" w:cs="Arial" w:eastAsia="Arial" w:hAnsi="Arial"/>
          <w:sz w:val="17"/>
          <w:szCs w:val="17"/>
          <w:color w:val="012E6C"/>
        </w:rPr>
      </w:pPr>
      <w:r>
        <w:rPr>
          <w:rFonts w:ascii="Arial" w:cs="Arial" w:eastAsia="Arial" w:hAnsi="Arial"/>
          <w:sz w:val="17"/>
          <w:szCs w:val="17"/>
          <w:color w:val="auto"/>
        </w:rPr>
        <w:t>Security of Personnel and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99695</wp:posOffset>
            </wp:positionV>
            <wp:extent cx="49911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991100" cy="8890"/>
                    </a:xfrm>
                    <a:prstGeom prst="rect">
                      <a:avLst/>
                    </a:prstGeom>
                    <a:noFill/>
                  </pic:spPr>
                </pic:pic>
              </a:graphicData>
            </a:graphic>
          </wp:anchor>
        </w:drawing>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012E6C"/>
        </w:rPr>
        <w:t>Roles and Responsibilities of the Committee</w:t>
      </w:r>
    </w:p>
    <w:p>
      <w:pPr>
        <w:spacing w:after="0" w:line="210"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The CBS Committee assists the Board in fulfilling its oversight responsibilities relating to the Corporation’s classified business activities and the security of personnel, facilities and data (including classified cybersecurity matters). The CBS Committee consists of directors who possess the appropriate security clearance credentials, at least one of whom must be a member of the Audit Committee, and none of whom are officers or employees of the Corporation and are free from any relationship that, in the opinion of the Board, would interfere with the exercise of independent judgment as a member of the CBS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-2267585</wp:posOffset>
            </wp:positionH>
            <wp:positionV relativeFrom="paragraph">
              <wp:posOffset>78740</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40" w:space="340"/>
            <w:col w:w="7840"/>
          </w:cols>
          <w:pgMar w:left="240" w:top="292" w:right="239" w:bottom="1440" w:gutter="0" w:footer="0" w:header="0"/>
          <w:type w:val="continuous"/>
        </w:sectPr>
      </w:pPr>
    </w:p>
    <w:p>
      <w:pPr>
        <w:spacing w:after="0" w:line="245" w:lineRule="exact"/>
        <w:rPr>
          <w:sz w:val="20"/>
          <w:szCs w:val="20"/>
          <w:color w:val="auto"/>
        </w:rPr>
      </w:pPr>
    </w:p>
    <w:p>
      <w:pPr>
        <w:spacing w:after="0"/>
        <w:rPr>
          <w:sz w:val="20"/>
          <w:szCs w:val="20"/>
          <w:color w:val="auto"/>
        </w:rPr>
      </w:pPr>
      <w:r>
        <w:rPr>
          <w:rFonts w:ascii="Arial" w:cs="Arial" w:eastAsia="Arial" w:hAnsi="Arial"/>
          <w:sz w:val="25"/>
          <w:szCs w:val="25"/>
          <w:color w:val="475C90"/>
        </w:rPr>
        <w:t>Management Development and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32931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329311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type w:val="continuous"/>
        </w:sectPr>
      </w:pPr>
    </w:p>
    <w:p>
      <w:pPr>
        <w:spacing w:after="0" w:line="200" w:lineRule="exact"/>
        <w:rPr>
          <w:sz w:val="20"/>
          <w:szCs w:val="20"/>
          <w:color w:val="auto"/>
        </w:rPr>
      </w:pPr>
    </w:p>
    <w:p>
      <w:pPr>
        <w:spacing w:after="0" w:line="379" w:lineRule="exact"/>
        <w:rPr>
          <w:sz w:val="20"/>
          <w:szCs w:val="20"/>
          <w:color w:val="auto"/>
        </w:rPr>
      </w:pPr>
    </w:p>
    <w:p>
      <w:pPr>
        <w:ind w:left="120" w:right="1140"/>
        <w:spacing w:after="0" w:line="276" w:lineRule="auto"/>
        <w:rPr>
          <w:sz w:val="20"/>
          <w:szCs w:val="20"/>
          <w:color w:val="auto"/>
        </w:rPr>
      </w:pPr>
      <w:r>
        <w:rPr>
          <w:rFonts w:ascii="Arial" w:cs="Arial" w:eastAsia="Arial" w:hAnsi="Arial"/>
          <w:sz w:val="17"/>
          <w:szCs w:val="17"/>
          <w:color w:val="012E6C"/>
        </w:rPr>
        <w:t>Daniel F. Akerson, Chair Nolan D. Archibald Thomas J. Falk Ilene S. Gordon Vicki A. Hollub</w:t>
      </w:r>
    </w:p>
    <w:p>
      <w:pPr>
        <w:spacing w:after="0" w:line="51" w:lineRule="exact"/>
        <w:rPr>
          <w:sz w:val="20"/>
          <w:szCs w:val="20"/>
          <w:color w:val="auto"/>
        </w:rPr>
      </w:pPr>
    </w:p>
    <w:p>
      <w:pPr>
        <w:ind w:left="120"/>
        <w:spacing w:after="0" w:line="242" w:lineRule="auto"/>
        <w:rPr>
          <w:sz w:val="20"/>
          <w:szCs w:val="20"/>
          <w:color w:val="auto"/>
        </w:rPr>
      </w:pPr>
      <w:r>
        <w:rPr>
          <w:rFonts w:ascii="Arial" w:cs="Arial" w:eastAsia="Arial" w:hAnsi="Arial"/>
          <w:sz w:val="17"/>
          <w:szCs w:val="17"/>
          <w:color w:val="012E6C"/>
        </w:rPr>
        <w:t>All members of the Compensation Committee are independent within the meaning of the NYSE listing standards, applicable SEC regulations and our Governance Guidelines.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6" w:lineRule="exact"/>
        <w:rPr>
          <w:sz w:val="20"/>
          <w:szCs w:val="20"/>
          <w:color w:val="auto"/>
        </w:rPr>
      </w:pPr>
    </w:p>
    <w:p>
      <w:pPr>
        <w:spacing w:after="0"/>
        <w:tabs>
          <w:tab w:leader="none" w:pos="5800" w:val="left"/>
        </w:tabs>
        <w:rPr>
          <w:sz w:val="20"/>
          <w:szCs w:val="20"/>
          <w:color w:val="auto"/>
        </w:rPr>
      </w:pPr>
      <w:r>
        <w:rPr>
          <w:rFonts w:ascii="Arial" w:cs="Arial" w:eastAsia="Arial" w:hAnsi="Arial"/>
          <w:sz w:val="34"/>
          <w:szCs w:val="34"/>
          <w:color w:val="012E6C"/>
          <w:vertAlign w:val="superscript"/>
        </w:rPr>
        <w:t>2018 Focus Areas</w:t>
      </w:r>
      <w:r>
        <w:rPr>
          <w:sz w:val="20"/>
          <w:szCs w:val="20"/>
          <w:color w:val="auto"/>
        </w:rPr>
        <w:tab/>
      </w:r>
      <w:r>
        <w:rPr>
          <w:rFonts w:ascii="Arial" w:cs="Arial" w:eastAsia="Arial" w:hAnsi="Arial"/>
          <w:sz w:val="16"/>
          <w:szCs w:val="16"/>
          <w:color w:val="012E6C"/>
        </w:rPr>
        <w:t>Meetings in 2018: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-24130</wp:posOffset>
            </wp:positionV>
            <wp:extent cx="49911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991100" cy="8890"/>
                    </a:xfrm>
                    <a:prstGeom prst="rect">
                      <a:avLst/>
                    </a:prstGeom>
                    <a:noFill/>
                  </pic:spPr>
                </pic:pic>
              </a:graphicData>
            </a:graphic>
          </wp:anchor>
        </w:drawing>
      </w:r>
    </w:p>
    <w:p>
      <w:pPr>
        <w:spacing w:after="0" w:line="62" w:lineRule="exact"/>
        <w:rPr>
          <w:sz w:val="20"/>
          <w:szCs w:val="20"/>
          <w:color w:val="auto"/>
        </w:rPr>
      </w:pPr>
    </w:p>
    <w:p>
      <w:pPr>
        <w:ind w:left="360" w:hanging="245"/>
        <w:spacing w:after="0"/>
        <w:tabs>
          <w:tab w:leader="none" w:pos="360" w:val="left"/>
        </w:tabs>
        <w:numPr>
          <w:ilvl w:val="0"/>
          <w:numId w:val="52"/>
        </w:numPr>
        <w:rPr>
          <w:rFonts w:ascii="Arial" w:cs="Arial" w:eastAsia="Arial" w:hAnsi="Arial"/>
          <w:sz w:val="17"/>
          <w:szCs w:val="17"/>
          <w:color w:val="012E6C"/>
        </w:rPr>
      </w:pPr>
      <w:r>
        <w:rPr>
          <w:rFonts w:ascii="Arial" w:cs="Arial" w:eastAsia="Arial" w:hAnsi="Arial"/>
          <w:sz w:val="17"/>
          <w:szCs w:val="17"/>
          <w:color w:val="auto"/>
        </w:rPr>
        <w:t>Human Capital Management</w:t>
      </w:r>
    </w:p>
    <w:p>
      <w:pPr>
        <w:spacing w:after="0" w:line="209" w:lineRule="exact"/>
        <w:rPr>
          <w:rFonts w:ascii="Arial" w:cs="Arial" w:eastAsia="Arial" w:hAnsi="Arial"/>
          <w:sz w:val="17"/>
          <w:szCs w:val="17"/>
          <w:color w:val="012E6C"/>
        </w:rPr>
      </w:pPr>
    </w:p>
    <w:p>
      <w:pPr>
        <w:ind w:left="360" w:hanging="245"/>
        <w:spacing w:after="0"/>
        <w:tabs>
          <w:tab w:leader="none" w:pos="360" w:val="left"/>
        </w:tabs>
        <w:numPr>
          <w:ilvl w:val="0"/>
          <w:numId w:val="52"/>
        </w:numPr>
        <w:rPr>
          <w:rFonts w:ascii="Arial" w:cs="Arial" w:eastAsia="Arial" w:hAnsi="Arial"/>
          <w:sz w:val="17"/>
          <w:szCs w:val="17"/>
          <w:color w:val="012E6C"/>
        </w:rPr>
      </w:pPr>
      <w:r>
        <w:rPr>
          <w:rFonts w:ascii="Arial" w:cs="Arial" w:eastAsia="Arial" w:hAnsi="Arial"/>
          <w:sz w:val="17"/>
          <w:szCs w:val="17"/>
          <w:color w:val="auto"/>
        </w:rPr>
        <w:t>Alignment to Competitive and Best Practices</w:t>
      </w:r>
    </w:p>
    <w:p>
      <w:pPr>
        <w:spacing w:after="0" w:line="209" w:lineRule="exact"/>
        <w:rPr>
          <w:rFonts w:ascii="Arial" w:cs="Arial" w:eastAsia="Arial" w:hAnsi="Arial"/>
          <w:sz w:val="17"/>
          <w:szCs w:val="17"/>
          <w:color w:val="012E6C"/>
        </w:rPr>
      </w:pPr>
    </w:p>
    <w:p>
      <w:pPr>
        <w:ind w:left="360" w:hanging="245"/>
        <w:spacing w:after="0"/>
        <w:tabs>
          <w:tab w:leader="none" w:pos="360" w:val="left"/>
        </w:tabs>
        <w:numPr>
          <w:ilvl w:val="0"/>
          <w:numId w:val="52"/>
        </w:numPr>
        <w:rPr>
          <w:rFonts w:ascii="Arial" w:cs="Arial" w:eastAsia="Arial" w:hAnsi="Arial"/>
          <w:sz w:val="17"/>
          <w:szCs w:val="17"/>
          <w:color w:val="012E6C"/>
        </w:rPr>
      </w:pPr>
      <w:r>
        <w:rPr>
          <w:rFonts w:ascii="Arial" w:cs="Arial" w:eastAsia="Arial" w:hAnsi="Arial"/>
          <w:sz w:val="17"/>
          <w:szCs w:val="17"/>
          <w:color w:val="auto"/>
        </w:rPr>
        <w:t>Incentive Pay Linkage to Stockholder Interests and Long-Term Value Creation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99695</wp:posOffset>
            </wp:positionV>
            <wp:extent cx="49911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991100" cy="8890"/>
                    </a:xfrm>
                    <a:prstGeom prst="rect">
                      <a:avLst/>
                    </a:prstGeom>
                    <a:noFill/>
                  </pic:spPr>
                </pic:pic>
              </a:graphicData>
            </a:graphic>
          </wp:anchor>
        </w:drawing>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012E6C"/>
        </w:rPr>
        <w:t>Roles and Responsibilities of the Committee</w:t>
      </w:r>
    </w:p>
    <w:p>
      <w:pPr>
        <w:spacing w:after="0" w:line="210" w:lineRule="exact"/>
        <w:rPr>
          <w:sz w:val="20"/>
          <w:szCs w:val="20"/>
          <w:color w:val="auto"/>
        </w:rPr>
      </w:pPr>
    </w:p>
    <w:p>
      <w:pPr>
        <w:ind w:right="220"/>
        <w:spacing w:after="0" w:line="238" w:lineRule="auto"/>
        <w:rPr>
          <w:sz w:val="20"/>
          <w:szCs w:val="20"/>
          <w:color w:val="auto"/>
        </w:rPr>
      </w:pPr>
      <w:r>
        <w:rPr>
          <w:rFonts w:ascii="Arial" w:cs="Arial" w:eastAsia="Arial" w:hAnsi="Arial"/>
          <w:sz w:val="17"/>
          <w:szCs w:val="17"/>
          <w:color w:val="auto"/>
        </w:rPr>
        <w:t>The Compensation Committee reviews and approves the corporate goals and objectives relevant to the compensation of the CEO and other elected officers, evaluates the performance of the CEO and, either as a committee or together with the other independent members of the Board, determines and approves the compensation philosophy and levels for the CEO and other executive officers. The Compensation Committee does not delegate its responsibilities with respect to compensation that is specific to the executive officers. For other employees and for broad-based compensation plans, the Compensation Committee may delegate authority to the CEO or the Senior Vice President, Human Resources, subject to certain annual limits.</w:t>
      </w:r>
    </w:p>
    <w:p>
      <w:pPr>
        <w:spacing w:after="0" w:line="178"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Additional information regarding the role of the Compensation Committee and our compensation practices and procedures is provided under the captions “Compensation Committee Report” on page 33, “Compensation Discussion and Analysis (CD&amp;A)” beginning on page 34 and “Other Compensation Matters” on page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-2267585</wp:posOffset>
            </wp:positionH>
            <wp:positionV relativeFrom="paragraph">
              <wp:posOffset>74930</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00" w:space="480"/>
            <w:col w:w="7840"/>
          </w:cols>
          <w:pgMar w:left="240" w:top="292" w:right="239" w:bottom="144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ind w:left="40"/>
        <w:spacing w:after="0"/>
        <w:tabs>
          <w:tab w:leader="none" w:pos="9420" w:val="left"/>
          <w:tab w:leader="none" w:pos="1122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2019 Proxy Statement</w:t>
      </w:r>
      <w:r>
        <w:rPr>
          <w:sz w:val="20"/>
          <w:szCs w:val="20"/>
          <w:color w:val="auto"/>
        </w:rPr>
        <w:tab/>
      </w:r>
      <w:r>
        <w:rPr>
          <w:rFonts w:ascii="Arial" w:cs="Arial" w:eastAsia="Arial" w:hAnsi="Arial"/>
          <w:sz w:val="14"/>
          <w:szCs w:val="14"/>
          <w:b w:val="1"/>
          <w:bCs w:val="1"/>
          <w:color w:val="808080"/>
        </w:rPr>
        <w:t>19</w:t>
      </w:r>
    </w:p>
    <w:p>
      <w:pPr>
        <w:sectPr>
          <w:pgSz w:w="11900" w:h="16838" w:orient="portrait"/>
          <w:cols w:equalWidth="0" w:num="1">
            <w:col w:w="11420"/>
          </w:cols>
          <w:pgMar w:left="240" w:top="292" w:right="2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5"/>
          <w:szCs w:val="15"/>
          <w:color w:val="003478"/>
        </w:rPr>
        <w:t>Corporate Governance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5"/>
          <w:szCs w:val="25"/>
          <w:color w:val="475C90"/>
        </w:rPr>
        <w:t>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246620" cy="38074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3807460"/>
                    </a:xfrm>
                    <a:prstGeom prst="rect">
                      <a:avLst/>
                    </a:prstGeom>
                    <a:noFill/>
                  </pic:spPr>
                </pic:pic>
              </a:graphicData>
            </a:graphic>
          </wp:anchor>
        </w:drawing>
      </w:r>
    </w:p>
    <w:p>
      <w:pPr>
        <w:sectPr>
          <w:pgSz w:w="11900" w:h="16838" w:orient="portrait"/>
          <w:cols w:equalWidth="0" w:num="1">
            <w:col w:w="11380"/>
          </w:cols>
          <w:pgMar w:left="240" w:top="292" w:right="27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ind w:left="120" w:right="1060"/>
        <w:spacing w:after="0" w:line="278" w:lineRule="auto"/>
        <w:rPr>
          <w:sz w:val="20"/>
          <w:szCs w:val="20"/>
          <w:color w:val="auto"/>
        </w:rPr>
      </w:pPr>
      <w:r>
        <w:rPr>
          <w:rFonts w:ascii="Arial" w:cs="Arial" w:eastAsia="Arial" w:hAnsi="Arial"/>
          <w:sz w:val="17"/>
          <w:szCs w:val="17"/>
          <w:color w:val="012E6C"/>
        </w:rPr>
        <w:t>Nolan D. Archibald, Chair Bruce A. Carlson Vicki A. Hollub Jeh C. Johnson James D. Taiclet, Jr.</w:t>
      </w:r>
    </w:p>
    <w:p>
      <w:pPr>
        <w:spacing w:after="0" w:line="269" w:lineRule="exact"/>
        <w:rPr>
          <w:sz w:val="20"/>
          <w:szCs w:val="20"/>
          <w:color w:val="auto"/>
        </w:rPr>
      </w:pPr>
    </w:p>
    <w:p>
      <w:pPr>
        <w:ind w:left="120"/>
        <w:spacing w:after="0" w:line="242" w:lineRule="auto"/>
        <w:rPr>
          <w:sz w:val="20"/>
          <w:szCs w:val="20"/>
          <w:color w:val="auto"/>
        </w:rPr>
      </w:pPr>
      <w:r>
        <w:rPr>
          <w:rFonts w:ascii="Arial" w:cs="Arial" w:eastAsia="Arial" w:hAnsi="Arial"/>
          <w:sz w:val="17"/>
          <w:szCs w:val="17"/>
          <w:color w:val="012E6C"/>
        </w:rPr>
        <w:t>All members of the Governance Committee are independent within the meaning of the NYSE listing standards, applicable SEC regulations and our Governance Guidelines.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spacing w:after="0"/>
        <w:tabs>
          <w:tab w:leader="none" w:pos="5880" w:val="left"/>
        </w:tabs>
        <w:rPr>
          <w:sz w:val="20"/>
          <w:szCs w:val="20"/>
          <w:color w:val="auto"/>
        </w:rPr>
      </w:pPr>
      <w:r>
        <w:rPr>
          <w:rFonts w:ascii="Arial" w:cs="Arial" w:eastAsia="Arial" w:hAnsi="Arial"/>
          <w:sz w:val="34"/>
          <w:szCs w:val="34"/>
          <w:color w:val="012E6C"/>
          <w:vertAlign w:val="superscript"/>
        </w:rPr>
        <w:t>2018 Focus Areas</w:t>
      </w:r>
      <w:r>
        <w:rPr>
          <w:sz w:val="20"/>
          <w:szCs w:val="20"/>
          <w:color w:val="auto"/>
        </w:rPr>
        <w:tab/>
      </w:r>
      <w:r>
        <w:rPr>
          <w:rFonts w:ascii="Arial" w:cs="Arial" w:eastAsia="Arial" w:hAnsi="Arial"/>
          <w:sz w:val="17"/>
          <w:szCs w:val="17"/>
          <w:color w:val="012E6C"/>
        </w:rPr>
        <w:t>Meetings in 2018: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-24130</wp:posOffset>
            </wp:positionV>
            <wp:extent cx="49911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991100" cy="8890"/>
                    </a:xfrm>
                    <a:prstGeom prst="rect">
                      <a:avLst/>
                    </a:prstGeom>
                    <a:noFill/>
                  </pic:spPr>
                </pic:pic>
              </a:graphicData>
            </a:graphic>
          </wp:anchor>
        </w:drawing>
      </w:r>
    </w:p>
    <w:p>
      <w:pPr>
        <w:spacing w:after="0" w:line="62" w:lineRule="exact"/>
        <w:rPr>
          <w:sz w:val="20"/>
          <w:szCs w:val="20"/>
          <w:color w:val="auto"/>
        </w:rPr>
      </w:pPr>
    </w:p>
    <w:p>
      <w:pPr>
        <w:ind w:left="360" w:hanging="245"/>
        <w:spacing w:after="0"/>
        <w:tabs>
          <w:tab w:leader="none" w:pos="360" w:val="left"/>
        </w:tabs>
        <w:numPr>
          <w:ilvl w:val="0"/>
          <w:numId w:val="53"/>
        </w:numPr>
        <w:rPr>
          <w:rFonts w:ascii="Arial" w:cs="Arial" w:eastAsia="Arial" w:hAnsi="Arial"/>
          <w:sz w:val="17"/>
          <w:szCs w:val="17"/>
          <w:color w:val="012E6C"/>
        </w:rPr>
      </w:pPr>
      <w:r>
        <w:rPr>
          <w:rFonts w:ascii="Arial" w:cs="Arial" w:eastAsia="Arial" w:hAnsi="Arial"/>
          <w:sz w:val="17"/>
          <w:szCs w:val="17"/>
          <w:color w:val="auto"/>
        </w:rPr>
        <w:t>Board Responsiveness to Investor Feedback</w:t>
      </w:r>
    </w:p>
    <w:p>
      <w:pPr>
        <w:spacing w:after="0" w:line="209" w:lineRule="exact"/>
        <w:rPr>
          <w:rFonts w:ascii="Arial" w:cs="Arial" w:eastAsia="Arial" w:hAnsi="Arial"/>
          <w:sz w:val="17"/>
          <w:szCs w:val="17"/>
          <w:color w:val="012E6C"/>
        </w:rPr>
      </w:pPr>
    </w:p>
    <w:p>
      <w:pPr>
        <w:ind w:left="360" w:hanging="245"/>
        <w:spacing w:after="0"/>
        <w:tabs>
          <w:tab w:leader="none" w:pos="360" w:val="left"/>
        </w:tabs>
        <w:numPr>
          <w:ilvl w:val="0"/>
          <w:numId w:val="53"/>
        </w:numPr>
        <w:rPr>
          <w:rFonts w:ascii="Arial" w:cs="Arial" w:eastAsia="Arial" w:hAnsi="Arial"/>
          <w:sz w:val="17"/>
          <w:szCs w:val="17"/>
          <w:color w:val="012E6C"/>
        </w:rPr>
      </w:pPr>
      <w:r>
        <w:rPr>
          <w:rFonts w:ascii="Arial" w:cs="Arial" w:eastAsia="Arial" w:hAnsi="Arial"/>
          <w:sz w:val="17"/>
          <w:szCs w:val="17"/>
          <w:color w:val="auto"/>
        </w:rPr>
        <w:t>Board Composition and Diversity</w:t>
      </w:r>
    </w:p>
    <w:p>
      <w:pPr>
        <w:spacing w:after="0" w:line="209" w:lineRule="exact"/>
        <w:rPr>
          <w:rFonts w:ascii="Arial" w:cs="Arial" w:eastAsia="Arial" w:hAnsi="Arial"/>
          <w:sz w:val="17"/>
          <w:szCs w:val="17"/>
          <w:color w:val="012E6C"/>
        </w:rPr>
      </w:pPr>
    </w:p>
    <w:p>
      <w:pPr>
        <w:ind w:left="360" w:hanging="245"/>
        <w:spacing w:after="0"/>
        <w:tabs>
          <w:tab w:leader="none" w:pos="360" w:val="left"/>
        </w:tabs>
        <w:numPr>
          <w:ilvl w:val="0"/>
          <w:numId w:val="53"/>
        </w:numPr>
        <w:rPr>
          <w:rFonts w:ascii="Arial" w:cs="Arial" w:eastAsia="Arial" w:hAnsi="Arial"/>
          <w:sz w:val="17"/>
          <w:szCs w:val="17"/>
          <w:color w:val="012E6C"/>
        </w:rPr>
      </w:pPr>
      <w:r>
        <w:rPr>
          <w:rFonts w:ascii="Arial" w:cs="Arial" w:eastAsia="Arial" w:hAnsi="Arial"/>
          <w:sz w:val="17"/>
          <w:szCs w:val="17"/>
          <w:color w:val="auto"/>
        </w:rPr>
        <w:t>Board and Committee Effectiveness and Performance</w:t>
      </w:r>
    </w:p>
    <w:p>
      <w:pPr>
        <w:spacing w:after="0" w:line="209" w:lineRule="exact"/>
        <w:rPr>
          <w:rFonts w:ascii="Arial" w:cs="Arial" w:eastAsia="Arial" w:hAnsi="Arial"/>
          <w:sz w:val="17"/>
          <w:szCs w:val="17"/>
          <w:color w:val="012E6C"/>
        </w:rPr>
      </w:pPr>
    </w:p>
    <w:p>
      <w:pPr>
        <w:ind w:left="360" w:hanging="245"/>
        <w:spacing w:after="0"/>
        <w:tabs>
          <w:tab w:leader="none" w:pos="360" w:val="left"/>
        </w:tabs>
        <w:numPr>
          <w:ilvl w:val="0"/>
          <w:numId w:val="53"/>
        </w:numPr>
        <w:rPr>
          <w:rFonts w:ascii="Arial" w:cs="Arial" w:eastAsia="Arial" w:hAnsi="Arial"/>
          <w:sz w:val="17"/>
          <w:szCs w:val="17"/>
          <w:color w:val="012E6C"/>
        </w:rPr>
      </w:pPr>
      <w:r>
        <w:rPr>
          <w:rFonts w:ascii="Arial" w:cs="Arial" w:eastAsia="Arial" w:hAnsi="Arial"/>
          <w:sz w:val="17"/>
          <w:szCs w:val="17"/>
          <w:color w:val="auto"/>
        </w:rPr>
        <w:t>Ethics and Sustainability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99695</wp:posOffset>
            </wp:positionV>
            <wp:extent cx="49911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991100" cy="8890"/>
                    </a:xfrm>
                    <a:prstGeom prst="rect">
                      <a:avLst/>
                    </a:prstGeom>
                    <a:noFill/>
                  </pic:spPr>
                </pic:pic>
              </a:graphicData>
            </a:graphic>
          </wp:anchor>
        </w:drawing>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012E6C"/>
        </w:rPr>
        <w:t>Roles and Responsibilities of the Committee</w:t>
      </w:r>
    </w:p>
    <w:p>
      <w:pPr>
        <w:spacing w:after="0" w:line="210" w:lineRule="exact"/>
        <w:rPr>
          <w:sz w:val="20"/>
          <w:szCs w:val="20"/>
          <w:color w:val="auto"/>
        </w:rPr>
      </w:pPr>
    </w:p>
    <w:p>
      <w:pPr>
        <w:ind w:right="200"/>
        <w:spacing w:after="0" w:line="242" w:lineRule="auto"/>
        <w:rPr>
          <w:sz w:val="20"/>
          <w:szCs w:val="20"/>
          <w:color w:val="auto"/>
        </w:rPr>
      </w:pPr>
      <w:r>
        <w:rPr>
          <w:rFonts w:ascii="Arial" w:cs="Arial" w:eastAsia="Arial" w:hAnsi="Arial"/>
          <w:sz w:val="17"/>
          <w:szCs w:val="17"/>
          <w:color w:val="auto"/>
        </w:rPr>
        <w:t>The Governance Committee is responsible for developing and implementing policies and practices relating to corporate governance, including our Governance Guidelines. The Governance Committee assists the Board by selecting candidates to be nominated to the Board, making recommendations concerning the composition of Board committees and overseeing the evaluation of the Board and its committees.</w:t>
      </w:r>
    </w:p>
    <w:p>
      <w:pPr>
        <w:spacing w:after="0" w:line="176"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The Governance Committee reviews and recommends to the Board the compensation of directors. Our executive officers do not play a role in determining director pay other than to gather publicly available information.</w:t>
      </w:r>
    </w:p>
    <w:p>
      <w:pPr>
        <w:spacing w:after="0" w:line="165" w:lineRule="exact"/>
        <w:rPr>
          <w:sz w:val="20"/>
          <w:szCs w:val="20"/>
          <w:color w:val="auto"/>
        </w:rPr>
      </w:pPr>
    </w:p>
    <w:p>
      <w:pPr>
        <w:ind w:right="240"/>
        <w:spacing w:after="0" w:line="242" w:lineRule="auto"/>
        <w:rPr>
          <w:sz w:val="20"/>
          <w:szCs w:val="20"/>
          <w:color w:val="auto"/>
        </w:rPr>
      </w:pPr>
      <w:r>
        <w:rPr>
          <w:rFonts w:ascii="Arial" w:cs="Arial" w:eastAsia="Arial" w:hAnsi="Arial"/>
          <w:sz w:val="17"/>
          <w:szCs w:val="17"/>
          <w:color w:val="auto"/>
        </w:rPr>
        <w:t>In addition, the Governance Committee assists the Board in fulfilling its oversight efforts in corporate responsibility, corporate culture, human rights, environmental stewardship, political contributions, ethical business practices, community outreach, philanthropy, diversity and inclusion and equal opportunity, sustainability, and employee safety and health. The Governance Committee monitors compliance and recommends changes to our Code of 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-2267585</wp:posOffset>
            </wp:positionH>
            <wp:positionV relativeFrom="paragraph">
              <wp:posOffset>78105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00" w:space="480"/>
            <w:col w:w="7800"/>
          </w:cols>
          <w:pgMar w:left="240" w:top="292" w:right="279" w:bottom="1440" w:gutter="0" w:footer="0" w:header="0"/>
          <w:type w:val="continuous"/>
        </w:sectPr>
      </w:pPr>
    </w:p>
    <w:p>
      <w:pPr>
        <w:spacing w:after="0" w:line="230" w:lineRule="exact"/>
        <w:rPr>
          <w:sz w:val="20"/>
          <w:szCs w:val="20"/>
          <w:color w:val="auto"/>
        </w:rPr>
      </w:pPr>
    </w:p>
    <w:p>
      <w:pPr>
        <w:spacing w:after="0"/>
        <w:rPr>
          <w:sz w:val="20"/>
          <w:szCs w:val="20"/>
          <w:color w:val="auto"/>
        </w:rPr>
      </w:pPr>
      <w:r>
        <w:rPr>
          <w:rFonts w:ascii="Arial" w:cs="Arial" w:eastAsia="Arial" w:hAnsi="Arial"/>
          <w:sz w:val="25"/>
          <w:szCs w:val="25"/>
          <w:color w:val="475C90"/>
        </w:rPr>
        <w:t>Strategic Affairs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246620" cy="24352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2435225"/>
                    </a:xfrm>
                    <a:prstGeom prst="rect">
                      <a:avLst/>
                    </a:prstGeom>
                    <a:noFill/>
                  </pic:spPr>
                </pic:pic>
              </a:graphicData>
            </a:graphic>
          </wp:anchor>
        </w:drawing>
      </w:r>
    </w:p>
    <w:p>
      <w:pPr>
        <w:sectPr>
          <w:pgSz w:w="11900" w:h="16838" w:orient="portrait"/>
          <w:cols w:equalWidth="0" w:num="1">
            <w:col w:w="11380"/>
          </w:cols>
          <w:pgMar w:left="240" w:top="292" w:right="279" w:bottom="1440" w:gutter="0" w:footer="0" w:header="0"/>
          <w:type w:val="continuous"/>
        </w:sectPr>
      </w:pPr>
    </w:p>
    <w:p>
      <w:pPr>
        <w:spacing w:after="0" w:line="200" w:lineRule="exact"/>
        <w:rPr>
          <w:sz w:val="20"/>
          <w:szCs w:val="20"/>
          <w:color w:val="auto"/>
        </w:rPr>
      </w:pPr>
    </w:p>
    <w:p>
      <w:pPr>
        <w:spacing w:after="0" w:line="366" w:lineRule="exact"/>
        <w:rPr>
          <w:sz w:val="20"/>
          <w:szCs w:val="20"/>
          <w:color w:val="auto"/>
        </w:rPr>
      </w:pPr>
    </w:p>
    <w:p>
      <w:pPr>
        <w:ind w:left="120" w:right="880"/>
        <w:spacing w:after="0" w:line="276" w:lineRule="auto"/>
        <w:rPr>
          <w:sz w:val="20"/>
          <w:szCs w:val="20"/>
          <w:color w:val="auto"/>
        </w:rPr>
      </w:pPr>
      <w:r>
        <w:rPr>
          <w:rFonts w:ascii="Arial" w:cs="Arial" w:eastAsia="Arial" w:hAnsi="Arial"/>
          <w:sz w:val="17"/>
          <w:szCs w:val="17"/>
          <w:color w:val="012E6C"/>
        </w:rPr>
        <w:t>James O. Ellis, Jr., Chair David B. Burritt James M. Loy* Joseph W. Ralston James D. Taiclet, Jr.</w:t>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4"/>
          <w:szCs w:val="14"/>
          <w:color w:val="012E6C"/>
        </w:rPr>
        <w:t>* Served until his retirement in April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1732915</wp:posOffset>
            </wp:positionV>
            <wp:extent cx="1440815" cy="3257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440815" cy="3257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spacing w:after="0"/>
        <w:tabs>
          <w:tab w:leader="none" w:pos="5800" w:val="left"/>
        </w:tabs>
        <w:rPr>
          <w:sz w:val="20"/>
          <w:szCs w:val="20"/>
          <w:color w:val="auto"/>
        </w:rPr>
      </w:pPr>
      <w:r>
        <w:rPr>
          <w:rFonts w:ascii="Arial" w:cs="Arial" w:eastAsia="Arial" w:hAnsi="Arial"/>
          <w:sz w:val="34"/>
          <w:szCs w:val="34"/>
          <w:color w:val="012E6C"/>
          <w:vertAlign w:val="superscript"/>
        </w:rPr>
        <w:t>2018 Focus Areas</w:t>
      </w:r>
      <w:r>
        <w:rPr>
          <w:sz w:val="20"/>
          <w:szCs w:val="20"/>
          <w:color w:val="auto"/>
        </w:rPr>
        <w:tab/>
      </w:r>
      <w:r>
        <w:rPr>
          <w:rFonts w:ascii="Arial" w:cs="Arial" w:eastAsia="Arial" w:hAnsi="Arial"/>
          <w:sz w:val="16"/>
          <w:szCs w:val="16"/>
          <w:color w:val="012E6C"/>
        </w:rPr>
        <w:t>Meetings in 2018: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-24130</wp:posOffset>
            </wp:positionV>
            <wp:extent cx="49911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991100" cy="8890"/>
                    </a:xfrm>
                    <a:prstGeom prst="rect">
                      <a:avLst/>
                    </a:prstGeom>
                    <a:noFill/>
                  </pic:spPr>
                </pic:pic>
              </a:graphicData>
            </a:graphic>
          </wp:anchor>
        </w:drawing>
      </w:r>
    </w:p>
    <w:p>
      <w:pPr>
        <w:spacing w:after="0" w:line="62" w:lineRule="exact"/>
        <w:rPr>
          <w:sz w:val="20"/>
          <w:szCs w:val="20"/>
          <w:color w:val="auto"/>
        </w:rPr>
      </w:pPr>
    </w:p>
    <w:p>
      <w:pPr>
        <w:ind w:left="360" w:hanging="245"/>
        <w:spacing w:after="0"/>
        <w:tabs>
          <w:tab w:leader="none" w:pos="360" w:val="left"/>
        </w:tabs>
        <w:numPr>
          <w:ilvl w:val="0"/>
          <w:numId w:val="54"/>
        </w:numPr>
        <w:rPr>
          <w:rFonts w:ascii="Arial" w:cs="Arial" w:eastAsia="Arial" w:hAnsi="Arial"/>
          <w:sz w:val="17"/>
          <w:szCs w:val="17"/>
          <w:color w:val="012E6C"/>
        </w:rPr>
      </w:pPr>
      <w:r>
        <w:rPr>
          <w:rFonts w:ascii="Arial" w:cs="Arial" w:eastAsia="Arial" w:hAnsi="Arial"/>
          <w:sz w:val="17"/>
          <w:szCs w:val="17"/>
          <w:color w:val="auto"/>
        </w:rPr>
        <w:t>Technology Strategy and Innovation</w:t>
      </w:r>
    </w:p>
    <w:p>
      <w:pPr>
        <w:spacing w:after="0" w:line="209" w:lineRule="exact"/>
        <w:rPr>
          <w:rFonts w:ascii="Arial" w:cs="Arial" w:eastAsia="Arial" w:hAnsi="Arial"/>
          <w:sz w:val="17"/>
          <w:szCs w:val="17"/>
          <w:color w:val="012E6C"/>
        </w:rPr>
      </w:pPr>
    </w:p>
    <w:p>
      <w:pPr>
        <w:ind w:left="360" w:hanging="245"/>
        <w:spacing w:after="0"/>
        <w:tabs>
          <w:tab w:leader="none" w:pos="360" w:val="left"/>
        </w:tabs>
        <w:numPr>
          <w:ilvl w:val="0"/>
          <w:numId w:val="54"/>
        </w:numPr>
        <w:rPr>
          <w:rFonts w:ascii="Arial" w:cs="Arial" w:eastAsia="Arial" w:hAnsi="Arial"/>
          <w:sz w:val="17"/>
          <w:szCs w:val="17"/>
          <w:color w:val="012E6C"/>
        </w:rPr>
      </w:pPr>
      <w:r>
        <w:rPr>
          <w:rFonts w:ascii="Arial" w:cs="Arial" w:eastAsia="Arial" w:hAnsi="Arial"/>
          <w:sz w:val="17"/>
          <w:szCs w:val="17"/>
          <w:color w:val="auto"/>
        </w:rPr>
        <w:t>Corporation's Strategy and Long-Range Plan</w:t>
      </w:r>
    </w:p>
    <w:p>
      <w:pPr>
        <w:spacing w:after="0" w:line="209" w:lineRule="exact"/>
        <w:rPr>
          <w:rFonts w:ascii="Arial" w:cs="Arial" w:eastAsia="Arial" w:hAnsi="Arial"/>
          <w:sz w:val="17"/>
          <w:szCs w:val="17"/>
          <w:color w:val="012E6C"/>
        </w:rPr>
      </w:pPr>
    </w:p>
    <w:p>
      <w:pPr>
        <w:ind w:left="360" w:hanging="245"/>
        <w:spacing w:after="0"/>
        <w:tabs>
          <w:tab w:leader="none" w:pos="360" w:val="left"/>
        </w:tabs>
        <w:numPr>
          <w:ilvl w:val="0"/>
          <w:numId w:val="54"/>
        </w:numPr>
        <w:rPr>
          <w:rFonts w:ascii="Arial" w:cs="Arial" w:eastAsia="Arial" w:hAnsi="Arial"/>
          <w:sz w:val="17"/>
          <w:szCs w:val="17"/>
          <w:color w:val="012E6C"/>
        </w:rPr>
      </w:pPr>
      <w:r>
        <w:rPr>
          <w:rFonts w:ascii="Arial" w:cs="Arial" w:eastAsia="Arial" w:hAnsi="Arial"/>
          <w:sz w:val="17"/>
          <w:szCs w:val="17"/>
          <w:color w:val="auto"/>
        </w:rPr>
        <w:t>Enterprise Risk Mitigation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99695</wp:posOffset>
            </wp:positionV>
            <wp:extent cx="49911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991100" cy="8890"/>
                    </a:xfrm>
                    <a:prstGeom prst="rect">
                      <a:avLst/>
                    </a:prstGeom>
                    <a:noFill/>
                  </pic:spPr>
                </pic:pic>
              </a:graphicData>
            </a:graphic>
          </wp:anchor>
        </w:drawing>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012E6C"/>
        </w:rPr>
        <w:t>Roles and Responsibilities of the Committee</w:t>
      </w:r>
    </w:p>
    <w:p>
      <w:pPr>
        <w:spacing w:after="0" w:line="210"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The Strategic Affairs Committee reviews management’s long-term strategy for the Corporation and reviews risks and opportunities to the strategy as identified by the Corporation’s Enterprise Risk Management processes. The Strategic Affairs Committee reviews and recommends to the Board certain significant strategic decisions regarding exit from and entry into lines of business, material acquisitions, joint ventures, investments or dispositions of businesses and assets and the financing of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-2267585</wp:posOffset>
            </wp:positionH>
            <wp:positionV relativeFrom="paragraph">
              <wp:posOffset>79375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60" w:space="720"/>
            <w:col w:w="7800"/>
          </w:cols>
          <w:pgMar w:left="240" w:top="292" w:right="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808080"/>
        </w:rPr>
        <w:t>20</w:t>
      </w:r>
    </w:p>
    <w:p>
      <w:pPr>
        <w:sectPr>
          <w:pgSz w:w="11900" w:h="16838" w:orient="portrait"/>
          <w:cols w:equalWidth="0" w:num="1">
            <w:col w:w="11380"/>
          </w:cols>
          <w:pgMar w:left="240" w:top="292" w:right="279" w:bottom="1440" w:gutter="0" w:footer="0" w:header="0"/>
          <w:type w:val="continuous"/>
        </w:sectPr>
      </w:pPr>
    </w:p>
    <w:bookmarkStart w:id="23" w:name="page24"/>
    <w:bookmarkEnd w:id="23"/>
    <w:p>
      <w:pPr>
        <w:jc w:val="right"/>
        <w:spacing w:after="0"/>
        <w:rPr>
          <w:sz w:val="20"/>
          <w:szCs w:val="20"/>
          <w:color w:val="auto"/>
        </w:rPr>
      </w:pPr>
      <w:r>
        <w:rPr>
          <w:rFonts w:ascii="Arial" w:cs="Arial" w:eastAsia="Arial" w:hAnsi="Arial"/>
          <w:sz w:val="15"/>
          <w:szCs w:val="15"/>
          <w:color w:val="003478"/>
        </w:rPr>
        <w:t>Corporate Governance</w:t>
      </w:r>
    </w:p>
    <w:p>
      <w:pPr>
        <w:spacing w:after="0" w:line="334" w:lineRule="exact"/>
        <w:rPr>
          <w:sz w:val="20"/>
          <w:szCs w:val="20"/>
          <w:color w:val="auto"/>
        </w:rPr>
      </w:pPr>
    </w:p>
    <w:p>
      <w:pPr>
        <w:spacing w:after="0"/>
        <w:rPr>
          <w:sz w:val="20"/>
          <w:szCs w:val="20"/>
          <w:color w:val="auto"/>
        </w:rPr>
      </w:pPr>
      <w:r>
        <w:rPr>
          <w:rFonts w:ascii="Arial" w:cs="Arial" w:eastAsia="Arial" w:hAnsi="Arial"/>
          <w:sz w:val="29"/>
          <w:szCs w:val="29"/>
          <w:b w:val="1"/>
          <w:bCs w:val="1"/>
          <w:color w:val="012E6C"/>
        </w:rPr>
        <w:t>Board Role and Responsibilities</w:t>
      </w:r>
    </w:p>
    <w:p>
      <w:pPr>
        <w:spacing w:after="0" w:line="234" w:lineRule="exact"/>
        <w:rPr>
          <w:sz w:val="20"/>
          <w:szCs w:val="20"/>
          <w:color w:val="auto"/>
        </w:rPr>
      </w:pPr>
    </w:p>
    <w:p>
      <w:pPr>
        <w:spacing w:after="0"/>
        <w:rPr>
          <w:sz w:val="20"/>
          <w:szCs w:val="20"/>
          <w:color w:val="auto"/>
        </w:rPr>
      </w:pPr>
      <w:r>
        <w:rPr>
          <w:rFonts w:ascii="Arial" w:cs="Arial" w:eastAsia="Arial" w:hAnsi="Arial"/>
          <w:sz w:val="25"/>
          <w:szCs w:val="25"/>
          <w:color w:val="475C90"/>
        </w:rPr>
        <w:t>Board Role in Strategic Planning</w:t>
      </w:r>
    </w:p>
    <w:p>
      <w:pPr>
        <w:spacing w:after="0" w:line="242"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The Board is involved in strategic planning and review throughout the year. In 2018, the Board met in a half-day session dedicated to a discussion of the Corporation’s strategy and one-year and three-year long-range plans. During 2018, the Chairman, President and CEO regularly reviewed developments against the Corporation’s strategic framework at Board meetings. This schedule corresponds to management’s annual schedule for developing the long-range plan and provides the Board with the opportunity to provide input while the long-range plan is being developed and to monitor progress on the plan.</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In addition:</w:t>
      </w:r>
    </w:p>
    <w:p>
      <w:pPr>
        <w:spacing w:after="0" w:line="237" w:lineRule="exact"/>
        <w:rPr>
          <w:sz w:val="20"/>
          <w:szCs w:val="20"/>
          <w:color w:val="auto"/>
        </w:rPr>
      </w:pPr>
    </w:p>
    <w:p>
      <w:pPr>
        <w:ind w:left="260" w:right="560" w:hanging="130"/>
        <w:spacing w:after="0" w:line="308" w:lineRule="auto"/>
        <w:tabs>
          <w:tab w:leader="none" w:pos="260" w:val="left"/>
        </w:tabs>
        <w:numPr>
          <w:ilvl w:val="0"/>
          <w:numId w:val="55"/>
        </w:numPr>
        <w:rPr>
          <w:rFonts w:ascii="Arial" w:cs="Arial" w:eastAsia="Arial" w:hAnsi="Arial"/>
          <w:sz w:val="17"/>
          <w:szCs w:val="17"/>
          <w:color w:val="012E6C"/>
        </w:rPr>
      </w:pPr>
      <w:r>
        <w:rPr>
          <w:rFonts w:ascii="Arial" w:cs="Arial" w:eastAsia="Arial" w:hAnsi="Arial"/>
          <w:sz w:val="17"/>
          <w:szCs w:val="17"/>
          <w:color w:val="auto"/>
        </w:rPr>
        <w:t>the Board (or the appropriate committee) reviews the progress and challenges to the Corporation’s strategy and approves specific initiatives, including acquisitions and divestitures over a certain monetary threshold;</w:t>
      </w:r>
    </w:p>
    <w:p>
      <w:pPr>
        <w:spacing w:after="0" w:line="146" w:lineRule="exact"/>
        <w:rPr>
          <w:rFonts w:ascii="Arial" w:cs="Arial" w:eastAsia="Arial" w:hAnsi="Arial"/>
          <w:sz w:val="17"/>
          <w:szCs w:val="17"/>
          <w:color w:val="012E6C"/>
        </w:rPr>
      </w:pPr>
    </w:p>
    <w:p>
      <w:pPr>
        <w:ind w:left="260" w:right="200" w:hanging="130"/>
        <w:spacing w:after="0" w:line="308" w:lineRule="auto"/>
        <w:tabs>
          <w:tab w:leader="none" w:pos="260" w:val="left"/>
        </w:tabs>
        <w:numPr>
          <w:ilvl w:val="0"/>
          <w:numId w:val="55"/>
        </w:numPr>
        <w:rPr>
          <w:rFonts w:ascii="Arial" w:cs="Arial" w:eastAsia="Arial" w:hAnsi="Arial"/>
          <w:sz w:val="17"/>
          <w:szCs w:val="17"/>
          <w:color w:val="012E6C"/>
        </w:rPr>
      </w:pPr>
      <w:r>
        <w:rPr>
          <w:rFonts w:ascii="Arial" w:cs="Arial" w:eastAsia="Arial" w:hAnsi="Arial"/>
          <w:sz w:val="17"/>
          <w:szCs w:val="17"/>
          <w:color w:val="auto"/>
        </w:rPr>
        <w:t>the Board (or the appropriate committee) reviews trends identified as significant risks and topical items of strategic interest such as human capital strategy and cybersecurity on a regular basis;</w:t>
      </w:r>
    </w:p>
    <w:p>
      <w:pPr>
        <w:spacing w:after="0" w:line="146" w:lineRule="exact"/>
        <w:rPr>
          <w:rFonts w:ascii="Arial" w:cs="Arial" w:eastAsia="Arial" w:hAnsi="Arial"/>
          <w:sz w:val="17"/>
          <w:szCs w:val="17"/>
          <w:color w:val="012E6C"/>
        </w:rPr>
      </w:pPr>
    </w:p>
    <w:p>
      <w:pPr>
        <w:ind w:left="260" w:right="460" w:hanging="130"/>
        <w:spacing w:after="0" w:line="308" w:lineRule="auto"/>
        <w:tabs>
          <w:tab w:leader="none" w:pos="260" w:val="left"/>
        </w:tabs>
        <w:numPr>
          <w:ilvl w:val="0"/>
          <w:numId w:val="55"/>
        </w:numPr>
        <w:rPr>
          <w:rFonts w:ascii="Arial" w:cs="Arial" w:eastAsia="Arial" w:hAnsi="Arial"/>
          <w:sz w:val="17"/>
          <w:szCs w:val="17"/>
          <w:color w:val="012E6C"/>
        </w:rPr>
      </w:pPr>
      <w:r>
        <w:rPr>
          <w:rFonts w:ascii="Arial" w:cs="Arial" w:eastAsia="Arial" w:hAnsi="Arial"/>
          <w:sz w:val="17"/>
          <w:szCs w:val="17"/>
          <w:color w:val="auto"/>
        </w:rPr>
        <w:t>at least annually, the Board meets at a Corporation facility where directors can tour the operations and engage directly with employees; during 2018, the Board had the opportunity to visit the F-35 production line and the Sikorsky Aircraft production line; and</w:t>
      </w:r>
    </w:p>
    <w:p>
      <w:pPr>
        <w:spacing w:after="0" w:line="146" w:lineRule="exact"/>
        <w:rPr>
          <w:rFonts w:ascii="Arial" w:cs="Arial" w:eastAsia="Arial" w:hAnsi="Arial"/>
          <w:sz w:val="17"/>
          <w:szCs w:val="17"/>
          <w:color w:val="012E6C"/>
        </w:rPr>
      </w:pPr>
    </w:p>
    <w:p>
      <w:pPr>
        <w:ind w:left="260" w:right="140" w:hanging="130"/>
        <w:spacing w:after="0" w:line="308" w:lineRule="auto"/>
        <w:tabs>
          <w:tab w:leader="none" w:pos="260" w:val="left"/>
        </w:tabs>
        <w:numPr>
          <w:ilvl w:val="0"/>
          <w:numId w:val="55"/>
        </w:numPr>
        <w:rPr>
          <w:rFonts w:ascii="Arial" w:cs="Arial" w:eastAsia="Arial" w:hAnsi="Arial"/>
          <w:sz w:val="17"/>
          <w:szCs w:val="17"/>
          <w:color w:val="012E6C"/>
        </w:rPr>
      </w:pPr>
      <w:r>
        <w:rPr>
          <w:rFonts w:ascii="Arial" w:cs="Arial" w:eastAsia="Arial" w:hAnsi="Arial"/>
          <w:sz w:val="17"/>
          <w:szCs w:val="17"/>
          <w:color w:val="auto"/>
        </w:rPr>
        <w:t>each business segment executive vice president presents an operations review to the Board and each business segment financial officer presents a financial review to the Audit Committee on a rotating basis.</w:t>
      </w:r>
    </w:p>
    <w:p>
      <w:pPr>
        <w:spacing w:after="0" w:line="131" w:lineRule="exact"/>
        <w:rPr>
          <w:sz w:val="20"/>
          <w:szCs w:val="20"/>
          <w:color w:val="auto"/>
        </w:rPr>
      </w:pPr>
    </w:p>
    <w:p>
      <w:pPr>
        <w:spacing w:after="0"/>
        <w:rPr>
          <w:sz w:val="20"/>
          <w:szCs w:val="20"/>
          <w:color w:val="auto"/>
        </w:rPr>
      </w:pPr>
      <w:r>
        <w:rPr>
          <w:rFonts w:ascii="Arial" w:cs="Arial" w:eastAsia="Arial" w:hAnsi="Arial"/>
          <w:sz w:val="25"/>
          <w:szCs w:val="25"/>
          <w:color w:val="475C90"/>
        </w:rPr>
        <w:t>Enterprise Risk Management</w:t>
      </w:r>
    </w:p>
    <w:p>
      <w:pPr>
        <w:spacing w:after="0" w:line="242"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Our risk management philosophy is to balance risk and reward within the risk tolerance of management and the Board, taking into account the Corporation's operations and long-term strategy. This is accomplished through risk management practices, our core values and our Code of Conduct, each of which reinforces a risk transparent culture. The Board and its committees receive risk updates throughout the year. Executive management provides updates on risks managed at the Enterprise level. Business segment management provides updates on risks to individual business segment objectives. Additional information regarding the Board's role in enterprise risk management in provided on page 28.</w:t>
      </w:r>
    </w:p>
    <w:p>
      <w:pPr>
        <w:spacing w:after="0" w:line="157" w:lineRule="exact"/>
        <w:rPr>
          <w:sz w:val="20"/>
          <w:szCs w:val="20"/>
          <w:color w:val="auto"/>
        </w:rPr>
      </w:pPr>
    </w:p>
    <w:p>
      <w:pPr>
        <w:spacing w:after="0"/>
        <w:rPr>
          <w:sz w:val="20"/>
          <w:szCs w:val="20"/>
          <w:color w:val="auto"/>
        </w:rPr>
      </w:pPr>
      <w:r>
        <w:rPr>
          <w:rFonts w:ascii="Arial" w:cs="Arial" w:eastAsia="Arial" w:hAnsi="Arial"/>
          <w:sz w:val="25"/>
          <w:szCs w:val="25"/>
          <w:color w:val="475C90"/>
        </w:rPr>
        <w:t>Management Succession Planning</w:t>
      </w:r>
    </w:p>
    <w:p>
      <w:pPr>
        <w:spacing w:after="0" w:line="24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Management has established semi-annual talent reviews. During these reviews, the executive leadership team discusses succession plans for key positions and identifies top talent for development in future leadership roles. The Board of Directors maintains a succession plan for the CEO and other key members of management and has a contingency plan if the CEO were to depart unexpectedly.</w:t>
      </w:r>
    </w:p>
    <w:p>
      <w:pPr>
        <w:spacing w:after="0" w:line="166"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 Corporation has a corporate policy imposing a mandatory retirement age of 65 for all executive officers other than the CEO. The CEO’s tenure is at the discretion of the Board, which is free to consider all relevant factors.</w:t>
      </w:r>
    </w:p>
    <w:p>
      <w:pPr>
        <w:spacing w:after="0" w:line="131" w:lineRule="exact"/>
        <w:rPr>
          <w:sz w:val="20"/>
          <w:szCs w:val="20"/>
          <w:color w:val="auto"/>
        </w:rPr>
      </w:pPr>
    </w:p>
    <w:p>
      <w:pPr>
        <w:spacing w:after="0"/>
        <w:rPr>
          <w:sz w:val="20"/>
          <w:szCs w:val="20"/>
          <w:color w:val="auto"/>
        </w:rPr>
      </w:pPr>
      <w:r>
        <w:rPr>
          <w:rFonts w:ascii="Arial" w:cs="Arial" w:eastAsia="Arial" w:hAnsi="Arial"/>
          <w:sz w:val="25"/>
          <w:szCs w:val="25"/>
          <w:color w:val="475C90"/>
        </w:rPr>
        <w:t>Board Oversight of Human Capital Management</w:t>
      </w:r>
    </w:p>
    <w:p>
      <w:pPr>
        <w:spacing w:after="0" w:line="24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Board also is actively engaged in human capital management. Annually, the Board meets to review our succession strategy and leadership pipeline for key roles, including the CEO, taking into account the Corporation’s long-term corporate strategy. CEO succession planning discussions are led by the independent Lead Director and the directors have direct access to and interaction with members of senior management as part of this succession planning. More broadly, the Board is regularly updated on key talent indicators for the overall workforce, and is updated on the Corporation’s human capital strategy which is refined based on business drivers, the changing internal or external environment and the future of work. Board members also are active partners, engaging and spending time with our high potential leaders throughout the year at Board meetings and other events.</w:t>
      </w:r>
    </w:p>
    <w:p>
      <w:pPr>
        <w:spacing w:after="0" w:line="200" w:lineRule="exact"/>
        <w:rPr>
          <w:sz w:val="20"/>
          <w:szCs w:val="20"/>
          <w:color w:val="auto"/>
        </w:rPr>
      </w:pPr>
    </w:p>
    <w:p>
      <w:pPr>
        <w:spacing w:after="0" w:line="266" w:lineRule="exact"/>
        <w:rPr>
          <w:sz w:val="20"/>
          <w:szCs w:val="20"/>
          <w:color w:val="auto"/>
        </w:rPr>
      </w:pPr>
    </w:p>
    <w:p>
      <w:pPr>
        <w:ind w:left="40"/>
        <w:spacing w:after="0"/>
        <w:tabs>
          <w:tab w:leader="none" w:pos="9420" w:val="left"/>
          <w:tab w:leader="none" w:pos="1122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2019 Proxy Statement</w:t>
      </w:r>
      <w:r>
        <w:rPr>
          <w:sz w:val="20"/>
          <w:szCs w:val="20"/>
          <w:color w:val="auto"/>
        </w:rPr>
        <w:tab/>
      </w:r>
      <w:r>
        <w:rPr>
          <w:rFonts w:ascii="Arial" w:cs="Arial" w:eastAsia="Arial" w:hAnsi="Arial"/>
          <w:sz w:val="14"/>
          <w:szCs w:val="14"/>
          <w:b w:val="1"/>
          <w:bCs w:val="1"/>
          <w:color w:val="808080"/>
        </w:rPr>
        <w:t>21</w:t>
      </w:r>
    </w:p>
    <w:p>
      <w:pPr>
        <w:sectPr>
          <w:pgSz w:w="11900" w:h="16838" w:orient="portrait"/>
          <w:cols w:equalWidth="0" w:num="1">
            <w:col w:w="11420"/>
          </w:cols>
          <w:pgMar w:left="240" w:top="292" w:right="239" w:bottom="1440" w:gutter="0" w:footer="0" w:header="0"/>
        </w:sectPr>
      </w:pPr>
    </w:p>
    <w:bookmarkStart w:id="24" w:name="page25"/>
    <w:bookmarkEnd w:id="24"/>
    <w:p>
      <w:pPr>
        <w:spacing w:after="0"/>
        <w:rPr>
          <w:sz w:val="20"/>
          <w:szCs w:val="20"/>
          <w:color w:val="auto"/>
        </w:rPr>
      </w:pPr>
      <w:r>
        <w:rPr>
          <w:rFonts w:ascii="Arial" w:cs="Arial" w:eastAsia="Arial" w:hAnsi="Arial"/>
          <w:sz w:val="15"/>
          <w:szCs w:val="15"/>
          <w:color w:val="003478"/>
        </w:rPr>
        <w:t>Corporate Governance</w:t>
      </w:r>
    </w:p>
    <w:p>
      <w:pPr>
        <w:spacing w:after="0" w:line="347" w:lineRule="exact"/>
        <w:rPr>
          <w:sz w:val="20"/>
          <w:szCs w:val="20"/>
          <w:color w:val="auto"/>
        </w:rPr>
      </w:pPr>
    </w:p>
    <w:p>
      <w:pPr>
        <w:spacing w:after="0"/>
        <w:rPr>
          <w:sz w:val="20"/>
          <w:szCs w:val="20"/>
          <w:color w:val="auto"/>
        </w:rPr>
      </w:pPr>
      <w:r>
        <w:rPr>
          <w:rFonts w:ascii="Arial" w:cs="Arial" w:eastAsia="Arial" w:hAnsi="Arial"/>
          <w:sz w:val="25"/>
          <w:szCs w:val="25"/>
          <w:color w:val="475C90"/>
        </w:rPr>
        <w:t>Effective Stockholder Engagement</w:t>
      </w:r>
    </w:p>
    <w:p>
      <w:pPr>
        <w:spacing w:after="0" w:line="242"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Accountability to our stockholders is an important component of the Corporation’s success. We recognize the value of building informed relationships with our investors that promote further transparency and accountability. In September 2018, we amended our Governance Guidelines to explicitly memorialize our stockholder engagement program.</w:t>
      </w:r>
    </w:p>
    <w:p>
      <w:pPr>
        <w:spacing w:after="0" w:line="166"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While proxy voting is one direct way to influence corporate behavior, proactive engagement with our investors can be effective and impactful. Investor views are continuously communicated to the Board and are instrumental in the development of our governance, compensation and sustainability policies and inform our business strategy. The Board will continue to seek investor input on a range of ESG issues and practices in furtherance of enhancing long-term stockholder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4" w:lineRule="exact"/>
        <w:rPr>
          <w:sz w:val="20"/>
          <w:szCs w:val="20"/>
          <w:color w:val="auto"/>
        </w:rPr>
      </w:pPr>
    </w:p>
    <w:p>
      <w:pPr>
        <w:ind w:left="40"/>
        <w:spacing w:after="0"/>
        <w:rPr>
          <w:sz w:val="20"/>
          <w:szCs w:val="20"/>
          <w:color w:val="auto"/>
        </w:rPr>
      </w:pPr>
      <w:r>
        <w:rPr>
          <w:rFonts w:ascii="Arial" w:cs="Arial" w:eastAsia="Arial" w:hAnsi="Arial"/>
          <w:sz w:val="16"/>
          <w:szCs w:val="16"/>
          <w:color w:val="003478"/>
        </w:rPr>
        <w:t>Investor Engagement Cycle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66040</wp:posOffset>
            </wp:positionV>
            <wp:extent cx="5231130" cy="15436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231130" cy="1543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9"/>
          <w:szCs w:val="29"/>
          <w:b w:val="1"/>
          <w:bCs w:val="1"/>
          <w:color w:val="012E6C"/>
        </w:rPr>
        <w:t>Board Policies and Processes</w:t>
      </w:r>
    </w:p>
    <w:p>
      <w:pPr>
        <w:spacing w:after="0" w:line="234" w:lineRule="exact"/>
        <w:rPr>
          <w:sz w:val="20"/>
          <w:szCs w:val="20"/>
          <w:color w:val="auto"/>
        </w:rPr>
      </w:pPr>
    </w:p>
    <w:p>
      <w:pPr>
        <w:spacing w:after="0"/>
        <w:rPr>
          <w:sz w:val="20"/>
          <w:szCs w:val="20"/>
          <w:color w:val="auto"/>
        </w:rPr>
      </w:pPr>
      <w:r>
        <w:rPr>
          <w:rFonts w:ascii="Arial" w:cs="Arial" w:eastAsia="Arial" w:hAnsi="Arial"/>
          <w:sz w:val="25"/>
          <w:szCs w:val="25"/>
          <w:color w:val="475C90"/>
        </w:rPr>
        <w:t>Corporate Governance Guidelines</w:t>
      </w:r>
    </w:p>
    <w:p>
      <w:pPr>
        <w:spacing w:after="0" w:line="242"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 xml:space="preserve">The Board has adopted Governance Guidelines that describe the framework within which the Board and its committees oversee the governance of the Corporation. The current Governance Guidelines are available on the Corporation’s website at </w:t>
      </w:r>
      <w:r>
        <w:rPr>
          <w:rFonts w:ascii="Arial" w:cs="Arial" w:eastAsia="Arial" w:hAnsi="Arial"/>
          <w:sz w:val="17"/>
          <w:szCs w:val="17"/>
          <w:i w:val="1"/>
          <w:iCs w:val="1"/>
          <w:color w:val="auto"/>
        </w:rPr>
        <w:t>www.lockheedmartin.com/corporate-governance</w:t>
      </w:r>
      <w:r>
        <w:rPr>
          <w:rFonts w:ascii="Arial" w:cs="Arial" w:eastAsia="Arial" w:hAnsi="Arial"/>
          <w:sz w:val="17"/>
          <w:szCs w:val="17"/>
          <w:color w:val="auto"/>
        </w:rPr>
        <w:t>.</w:t>
      </w:r>
    </w:p>
    <w:p>
      <w:pPr>
        <w:spacing w:after="0" w:line="14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Governance Committee regularly assesses our governance practices considering emerging trends and practices and implements best governance practices that it believes enhance the operation and effectiveness of the Board.</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Our Governance Guidelines cover a wide range of subjects, including:</w:t>
      </w:r>
    </w:p>
    <w:p>
      <w:pPr>
        <w:spacing w:after="0" w:line="237" w:lineRule="exact"/>
        <w:rPr>
          <w:sz w:val="20"/>
          <w:szCs w:val="20"/>
          <w:color w:val="auto"/>
        </w:rPr>
      </w:pPr>
    </w:p>
    <w:p>
      <w:pPr>
        <w:ind w:left="260" w:hanging="130"/>
        <w:spacing w:after="0"/>
        <w:tabs>
          <w:tab w:leader="none" w:pos="260" w:val="left"/>
        </w:tabs>
        <w:numPr>
          <w:ilvl w:val="0"/>
          <w:numId w:val="56"/>
        </w:numPr>
        <w:rPr>
          <w:rFonts w:ascii="Arial" w:cs="Arial" w:eastAsia="Arial" w:hAnsi="Arial"/>
          <w:sz w:val="17"/>
          <w:szCs w:val="17"/>
          <w:color w:val="012E6C"/>
        </w:rPr>
      </w:pPr>
      <w:r>
        <w:rPr>
          <w:rFonts w:ascii="Arial" w:cs="Arial" w:eastAsia="Arial" w:hAnsi="Arial"/>
          <w:sz w:val="17"/>
          <w:szCs w:val="17"/>
          <w:color w:val="auto"/>
        </w:rPr>
        <w:t>the role of the Board and director responsibilities;</w:t>
      </w:r>
    </w:p>
    <w:p>
      <w:pPr>
        <w:spacing w:after="0" w:line="236" w:lineRule="exact"/>
        <w:rPr>
          <w:rFonts w:ascii="Arial" w:cs="Arial" w:eastAsia="Arial" w:hAnsi="Arial"/>
          <w:sz w:val="17"/>
          <w:szCs w:val="17"/>
          <w:color w:val="012E6C"/>
        </w:rPr>
      </w:pPr>
    </w:p>
    <w:p>
      <w:pPr>
        <w:ind w:left="260" w:hanging="130"/>
        <w:spacing w:after="0"/>
        <w:tabs>
          <w:tab w:leader="none" w:pos="260" w:val="left"/>
        </w:tabs>
        <w:numPr>
          <w:ilvl w:val="0"/>
          <w:numId w:val="56"/>
        </w:numPr>
        <w:rPr>
          <w:rFonts w:ascii="Arial" w:cs="Arial" w:eastAsia="Arial" w:hAnsi="Arial"/>
          <w:sz w:val="17"/>
          <w:szCs w:val="17"/>
          <w:color w:val="012E6C"/>
        </w:rPr>
      </w:pPr>
      <w:r>
        <w:rPr>
          <w:rFonts w:ascii="Arial" w:cs="Arial" w:eastAsia="Arial" w:hAnsi="Arial"/>
          <w:sz w:val="17"/>
          <w:szCs w:val="17"/>
          <w:color w:val="auto"/>
        </w:rPr>
        <w:t>the role and responsibilities of the Lead Director;</w:t>
      </w:r>
    </w:p>
    <w:p>
      <w:pPr>
        <w:spacing w:after="0" w:line="236" w:lineRule="exact"/>
        <w:rPr>
          <w:rFonts w:ascii="Arial" w:cs="Arial" w:eastAsia="Arial" w:hAnsi="Arial"/>
          <w:sz w:val="17"/>
          <w:szCs w:val="17"/>
          <w:color w:val="012E6C"/>
        </w:rPr>
      </w:pPr>
    </w:p>
    <w:p>
      <w:pPr>
        <w:ind w:left="260" w:hanging="130"/>
        <w:spacing w:after="0"/>
        <w:tabs>
          <w:tab w:leader="none" w:pos="260" w:val="left"/>
        </w:tabs>
        <w:numPr>
          <w:ilvl w:val="0"/>
          <w:numId w:val="56"/>
        </w:numPr>
        <w:rPr>
          <w:rFonts w:ascii="Arial" w:cs="Arial" w:eastAsia="Arial" w:hAnsi="Arial"/>
          <w:sz w:val="17"/>
          <w:szCs w:val="17"/>
          <w:color w:val="012E6C"/>
        </w:rPr>
      </w:pPr>
      <w:r>
        <w:rPr>
          <w:rFonts w:ascii="Arial" w:cs="Arial" w:eastAsia="Arial" w:hAnsi="Arial"/>
          <w:sz w:val="17"/>
          <w:szCs w:val="17"/>
          <w:color w:val="auto"/>
        </w:rPr>
        <w:t>application of our Code of Ethics and Business Conduct (the Code of Conduct) to the Board;</w:t>
      </w:r>
    </w:p>
    <w:p>
      <w:pPr>
        <w:spacing w:after="0" w:line="236" w:lineRule="exact"/>
        <w:rPr>
          <w:rFonts w:ascii="Arial" w:cs="Arial" w:eastAsia="Arial" w:hAnsi="Arial"/>
          <w:sz w:val="17"/>
          <w:szCs w:val="17"/>
          <w:color w:val="012E6C"/>
        </w:rPr>
      </w:pPr>
    </w:p>
    <w:p>
      <w:pPr>
        <w:ind w:left="260" w:hanging="130"/>
        <w:spacing w:after="0"/>
        <w:tabs>
          <w:tab w:leader="none" w:pos="260" w:val="left"/>
        </w:tabs>
        <w:numPr>
          <w:ilvl w:val="0"/>
          <w:numId w:val="56"/>
        </w:numPr>
        <w:rPr>
          <w:rFonts w:ascii="Arial" w:cs="Arial" w:eastAsia="Arial" w:hAnsi="Arial"/>
          <w:sz w:val="17"/>
          <w:szCs w:val="17"/>
          <w:color w:val="012E6C"/>
        </w:rPr>
      </w:pPr>
      <w:r>
        <w:rPr>
          <w:rFonts w:ascii="Arial" w:cs="Arial" w:eastAsia="Arial" w:hAnsi="Arial"/>
          <w:sz w:val="17"/>
          <w:szCs w:val="17"/>
          <w:color w:val="auto"/>
        </w:rPr>
        <w:t>director nomination procedures and qualifications;</w:t>
      </w:r>
    </w:p>
    <w:p>
      <w:pPr>
        <w:spacing w:after="0" w:line="236" w:lineRule="exact"/>
        <w:rPr>
          <w:rFonts w:ascii="Arial" w:cs="Arial" w:eastAsia="Arial" w:hAnsi="Arial"/>
          <w:sz w:val="17"/>
          <w:szCs w:val="17"/>
          <w:color w:val="012E6C"/>
        </w:rPr>
      </w:pPr>
    </w:p>
    <w:p>
      <w:pPr>
        <w:ind w:left="260" w:hanging="130"/>
        <w:spacing w:after="0"/>
        <w:tabs>
          <w:tab w:leader="none" w:pos="260" w:val="left"/>
        </w:tabs>
        <w:numPr>
          <w:ilvl w:val="0"/>
          <w:numId w:val="56"/>
        </w:numPr>
        <w:rPr>
          <w:rFonts w:ascii="Arial" w:cs="Arial" w:eastAsia="Arial" w:hAnsi="Arial"/>
          <w:sz w:val="17"/>
          <w:szCs w:val="17"/>
          <w:color w:val="012E6C"/>
        </w:rPr>
      </w:pPr>
      <w:r>
        <w:rPr>
          <w:rFonts w:ascii="Arial" w:cs="Arial" w:eastAsia="Arial" w:hAnsi="Arial"/>
          <w:sz w:val="17"/>
          <w:szCs w:val="17"/>
          <w:color w:val="auto"/>
        </w:rPr>
        <w:t>director independence standards;</w:t>
      </w:r>
    </w:p>
    <w:p>
      <w:pPr>
        <w:spacing w:after="0" w:line="236" w:lineRule="exact"/>
        <w:rPr>
          <w:rFonts w:ascii="Arial" w:cs="Arial" w:eastAsia="Arial" w:hAnsi="Arial"/>
          <w:sz w:val="17"/>
          <w:szCs w:val="17"/>
          <w:color w:val="012E6C"/>
        </w:rPr>
      </w:pPr>
    </w:p>
    <w:p>
      <w:pPr>
        <w:ind w:left="260" w:hanging="130"/>
        <w:spacing w:after="0"/>
        <w:tabs>
          <w:tab w:leader="none" w:pos="260" w:val="left"/>
        </w:tabs>
        <w:numPr>
          <w:ilvl w:val="0"/>
          <w:numId w:val="56"/>
        </w:numPr>
        <w:rPr>
          <w:rFonts w:ascii="Arial" w:cs="Arial" w:eastAsia="Arial" w:hAnsi="Arial"/>
          <w:sz w:val="17"/>
          <w:szCs w:val="17"/>
          <w:color w:val="012E6C"/>
        </w:rPr>
      </w:pPr>
      <w:r>
        <w:rPr>
          <w:rFonts w:ascii="Arial" w:cs="Arial" w:eastAsia="Arial" w:hAnsi="Arial"/>
          <w:sz w:val="17"/>
          <w:szCs w:val="17"/>
          <w:color w:val="auto"/>
        </w:rPr>
        <w:t>director overboarding limits;</w:t>
      </w:r>
    </w:p>
    <w:p>
      <w:pPr>
        <w:spacing w:after="0" w:line="236" w:lineRule="exact"/>
        <w:rPr>
          <w:rFonts w:ascii="Arial" w:cs="Arial" w:eastAsia="Arial" w:hAnsi="Arial"/>
          <w:sz w:val="17"/>
          <w:szCs w:val="17"/>
          <w:color w:val="012E6C"/>
        </w:rPr>
      </w:pPr>
    </w:p>
    <w:p>
      <w:pPr>
        <w:ind w:left="260" w:hanging="130"/>
        <w:spacing w:after="0"/>
        <w:tabs>
          <w:tab w:leader="none" w:pos="260" w:val="left"/>
        </w:tabs>
        <w:numPr>
          <w:ilvl w:val="0"/>
          <w:numId w:val="56"/>
        </w:numPr>
        <w:rPr>
          <w:rFonts w:ascii="Arial" w:cs="Arial" w:eastAsia="Arial" w:hAnsi="Arial"/>
          <w:sz w:val="17"/>
          <w:szCs w:val="17"/>
          <w:color w:val="012E6C"/>
        </w:rPr>
      </w:pPr>
      <w:r>
        <w:rPr>
          <w:rFonts w:ascii="Arial" w:cs="Arial" w:eastAsia="Arial" w:hAnsi="Arial"/>
          <w:sz w:val="17"/>
          <w:szCs w:val="17"/>
          <w:color w:val="auto"/>
        </w:rPr>
        <w:t>policies for the review, approval and ratification of related person transactions;</w:t>
      </w:r>
    </w:p>
    <w:p>
      <w:pPr>
        <w:spacing w:after="0" w:line="236" w:lineRule="exact"/>
        <w:rPr>
          <w:rFonts w:ascii="Arial" w:cs="Arial" w:eastAsia="Arial" w:hAnsi="Arial"/>
          <w:sz w:val="17"/>
          <w:szCs w:val="17"/>
          <w:color w:val="012E6C"/>
        </w:rPr>
      </w:pPr>
    </w:p>
    <w:p>
      <w:pPr>
        <w:ind w:left="260" w:hanging="130"/>
        <w:spacing w:after="0"/>
        <w:tabs>
          <w:tab w:leader="none" w:pos="260" w:val="left"/>
        </w:tabs>
        <w:numPr>
          <w:ilvl w:val="0"/>
          <w:numId w:val="56"/>
        </w:numPr>
        <w:rPr>
          <w:rFonts w:ascii="Arial" w:cs="Arial" w:eastAsia="Arial" w:hAnsi="Arial"/>
          <w:sz w:val="17"/>
          <w:szCs w:val="17"/>
          <w:color w:val="012E6C"/>
        </w:rPr>
      </w:pPr>
      <w:r>
        <w:rPr>
          <w:rFonts w:ascii="Arial" w:cs="Arial" w:eastAsia="Arial" w:hAnsi="Arial"/>
          <w:sz w:val="17"/>
          <w:szCs w:val="17"/>
          <w:color w:val="auto"/>
        </w:rPr>
        <w:t>director orientation and continuing education;</w:t>
      </w:r>
    </w:p>
    <w:p>
      <w:pPr>
        <w:spacing w:after="0" w:line="236" w:lineRule="exact"/>
        <w:rPr>
          <w:rFonts w:ascii="Arial" w:cs="Arial" w:eastAsia="Arial" w:hAnsi="Arial"/>
          <w:sz w:val="17"/>
          <w:szCs w:val="17"/>
          <w:color w:val="012E6C"/>
        </w:rPr>
      </w:pPr>
    </w:p>
    <w:p>
      <w:pPr>
        <w:ind w:left="260" w:hanging="130"/>
        <w:spacing w:after="0"/>
        <w:tabs>
          <w:tab w:leader="none" w:pos="260" w:val="left"/>
        </w:tabs>
        <w:numPr>
          <w:ilvl w:val="0"/>
          <w:numId w:val="56"/>
        </w:numPr>
        <w:rPr>
          <w:rFonts w:ascii="Arial" w:cs="Arial" w:eastAsia="Arial" w:hAnsi="Arial"/>
          <w:sz w:val="17"/>
          <w:szCs w:val="17"/>
          <w:color w:val="012E6C"/>
        </w:rPr>
      </w:pPr>
      <w:r>
        <w:rPr>
          <w:rFonts w:ascii="Arial" w:cs="Arial" w:eastAsia="Arial" w:hAnsi="Arial"/>
          <w:sz w:val="17"/>
          <w:szCs w:val="17"/>
          <w:color w:val="auto"/>
        </w:rPr>
        <w:t>review by the Governance Committee of any change in job responsibilities of an incumbent director;</w:t>
      </w:r>
    </w:p>
    <w:p>
      <w:pPr>
        <w:spacing w:after="0" w:line="236" w:lineRule="exact"/>
        <w:rPr>
          <w:rFonts w:ascii="Arial" w:cs="Arial" w:eastAsia="Arial" w:hAnsi="Arial"/>
          <w:sz w:val="17"/>
          <w:szCs w:val="17"/>
          <w:color w:val="012E6C"/>
        </w:rPr>
      </w:pPr>
    </w:p>
    <w:p>
      <w:pPr>
        <w:ind w:left="260" w:hanging="130"/>
        <w:spacing w:after="0"/>
        <w:tabs>
          <w:tab w:leader="none" w:pos="260" w:val="left"/>
        </w:tabs>
        <w:numPr>
          <w:ilvl w:val="0"/>
          <w:numId w:val="56"/>
        </w:numPr>
        <w:rPr>
          <w:rFonts w:ascii="Arial" w:cs="Arial" w:eastAsia="Arial" w:hAnsi="Arial"/>
          <w:sz w:val="17"/>
          <w:szCs w:val="17"/>
          <w:color w:val="012E6C"/>
        </w:rPr>
      </w:pPr>
      <w:r>
        <w:rPr>
          <w:rFonts w:ascii="Arial" w:cs="Arial" w:eastAsia="Arial" w:hAnsi="Arial"/>
          <w:sz w:val="17"/>
          <w:szCs w:val="17"/>
          <w:color w:val="auto"/>
        </w:rPr>
        <w:t>procedures for annual performance evaluations of the Board and its committees;</w:t>
      </w:r>
    </w:p>
    <w:p>
      <w:pPr>
        <w:spacing w:after="0" w:line="236" w:lineRule="exact"/>
        <w:rPr>
          <w:rFonts w:ascii="Arial" w:cs="Arial" w:eastAsia="Arial" w:hAnsi="Arial"/>
          <w:sz w:val="17"/>
          <w:szCs w:val="17"/>
          <w:color w:val="012E6C"/>
        </w:rPr>
      </w:pPr>
    </w:p>
    <w:p>
      <w:pPr>
        <w:ind w:left="260" w:hanging="130"/>
        <w:spacing w:after="0"/>
        <w:tabs>
          <w:tab w:leader="none" w:pos="260" w:val="left"/>
        </w:tabs>
        <w:numPr>
          <w:ilvl w:val="0"/>
          <w:numId w:val="56"/>
        </w:numPr>
        <w:rPr>
          <w:rFonts w:ascii="Arial" w:cs="Arial" w:eastAsia="Arial" w:hAnsi="Arial"/>
          <w:sz w:val="17"/>
          <w:szCs w:val="17"/>
          <w:color w:val="012E6C"/>
        </w:rPr>
      </w:pPr>
      <w:r>
        <w:rPr>
          <w:rFonts w:ascii="Arial" w:cs="Arial" w:eastAsia="Arial" w:hAnsi="Arial"/>
          <w:sz w:val="17"/>
          <w:szCs w:val="17"/>
          <w:color w:val="auto"/>
        </w:rPr>
        <w:t>director stock ownership guidelines (currently, an amount equal to five times the cash portion of the annual retainer);</w:t>
      </w:r>
    </w:p>
    <w:p>
      <w:pPr>
        <w:spacing w:after="0" w:line="236" w:lineRule="exact"/>
        <w:rPr>
          <w:rFonts w:ascii="Arial" w:cs="Arial" w:eastAsia="Arial" w:hAnsi="Arial"/>
          <w:sz w:val="17"/>
          <w:szCs w:val="17"/>
          <w:color w:val="012E6C"/>
        </w:rPr>
      </w:pPr>
    </w:p>
    <w:p>
      <w:pPr>
        <w:ind w:left="260" w:hanging="130"/>
        <w:spacing w:after="0"/>
        <w:tabs>
          <w:tab w:leader="none" w:pos="260" w:val="left"/>
        </w:tabs>
        <w:numPr>
          <w:ilvl w:val="0"/>
          <w:numId w:val="56"/>
        </w:numPr>
        <w:rPr>
          <w:rFonts w:ascii="Arial" w:cs="Arial" w:eastAsia="Arial" w:hAnsi="Arial"/>
          <w:sz w:val="17"/>
          <w:szCs w:val="17"/>
          <w:color w:val="012E6C"/>
        </w:rPr>
      </w:pPr>
      <w:r>
        <w:rPr>
          <w:rFonts w:ascii="Arial" w:cs="Arial" w:eastAsia="Arial" w:hAnsi="Arial"/>
          <w:sz w:val="17"/>
          <w:szCs w:val="17"/>
          <w:color w:val="auto"/>
        </w:rPr>
        <w:t>a clawback policy for executive incentive compensation;</w:t>
      </w:r>
    </w:p>
    <w:p>
      <w:pPr>
        <w:spacing w:after="0" w:line="236" w:lineRule="exact"/>
        <w:rPr>
          <w:rFonts w:ascii="Arial" w:cs="Arial" w:eastAsia="Arial" w:hAnsi="Arial"/>
          <w:sz w:val="17"/>
          <w:szCs w:val="17"/>
          <w:color w:val="012E6C"/>
        </w:rPr>
      </w:pPr>
    </w:p>
    <w:p>
      <w:pPr>
        <w:ind w:left="260" w:hanging="130"/>
        <w:spacing w:after="0"/>
        <w:tabs>
          <w:tab w:leader="none" w:pos="260" w:val="left"/>
        </w:tabs>
        <w:numPr>
          <w:ilvl w:val="0"/>
          <w:numId w:val="56"/>
        </w:numPr>
        <w:rPr>
          <w:rFonts w:ascii="Arial" w:cs="Arial" w:eastAsia="Arial" w:hAnsi="Arial"/>
          <w:sz w:val="17"/>
          <w:szCs w:val="17"/>
          <w:color w:val="012E6C"/>
        </w:rPr>
      </w:pPr>
      <w:r>
        <w:rPr>
          <w:rFonts w:ascii="Arial" w:cs="Arial" w:eastAsia="Arial" w:hAnsi="Arial"/>
          <w:sz w:val="17"/>
          <w:szCs w:val="17"/>
          <w:color w:val="auto"/>
        </w:rPr>
        <w:t>a policy prohibiting hedging and pledging of company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417195</wp:posOffset>
            </wp:positionV>
            <wp:extent cx="1440815" cy="3257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440815" cy="325755"/>
                    </a:xfrm>
                    <a:prstGeom prst="rect">
                      <a:avLst/>
                    </a:prstGeom>
                    <a:noFill/>
                  </pic:spPr>
                </pic:pic>
              </a:graphicData>
            </a:graphic>
          </wp:anchor>
        </w:drawing>
      </w:r>
    </w:p>
    <w:p>
      <w:pPr>
        <w:sectPr>
          <w:pgSz w:w="11900" w:h="16838" w:orient="portrait"/>
          <w:cols w:equalWidth="0" w:num="1">
            <w:col w:w="11420"/>
          </w:cols>
          <w:pgMar w:left="240" w:top="292" w:right="239" w:bottom="8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808080"/>
        </w:rPr>
        <w:t>22</w:t>
      </w:r>
    </w:p>
    <w:p>
      <w:pPr>
        <w:sectPr>
          <w:pgSz w:w="11900" w:h="16838" w:orient="portrait"/>
          <w:cols w:equalWidth="0" w:num="1">
            <w:col w:w="11420"/>
          </w:cols>
          <w:pgMar w:left="240" w:top="292" w:right="239" w:bottom="849" w:gutter="0" w:footer="0" w:header="0"/>
          <w:type w:val="continuous"/>
        </w:sectPr>
      </w:pPr>
    </w:p>
    <w:bookmarkStart w:id="25" w:name="page26"/>
    <w:bookmarkEnd w:id="25"/>
    <w:p>
      <w:pPr>
        <w:jc w:val="right"/>
        <w:spacing w:after="0"/>
        <w:rPr>
          <w:sz w:val="20"/>
          <w:szCs w:val="20"/>
          <w:color w:val="auto"/>
        </w:rPr>
      </w:pPr>
      <w:r>
        <w:rPr>
          <w:rFonts w:ascii="Arial" w:cs="Arial" w:eastAsia="Arial" w:hAnsi="Arial"/>
          <w:sz w:val="15"/>
          <w:szCs w:val="15"/>
          <w:color w:val="003478"/>
        </w:rPr>
        <w:t>Corporate Governance</w:t>
      </w:r>
    </w:p>
    <w:p>
      <w:pPr>
        <w:spacing w:after="0" w:line="363" w:lineRule="exact"/>
        <w:rPr>
          <w:sz w:val="20"/>
          <w:szCs w:val="20"/>
          <w:color w:val="auto"/>
        </w:rPr>
      </w:pPr>
    </w:p>
    <w:p>
      <w:pPr>
        <w:ind w:left="260" w:hanging="130"/>
        <w:spacing w:after="0"/>
        <w:tabs>
          <w:tab w:leader="none" w:pos="260" w:val="left"/>
        </w:tabs>
        <w:numPr>
          <w:ilvl w:val="0"/>
          <w:numId w:val="57"/>
        </w:numPr>
        <w:rPr>
          <w:rFonts w:ascii="Arial" w:cs="Arial" w:eastAsia="Arial" w:hAnsi="Arial"/>
          <w:sz w:val="17"/>
          <w:szCs w:val="17"/>
          <w:color w:val="012E6C"/>
        </w:rPr>
      </w:pPr>
      <w:r>
        <w:rPr>
          <w:rFonts w:ascii="Arial" w:cs="Arial" w:eastAsia="Arial" w:hAnsi="Arial"/>
          <w:sz w:val="17"/>
          <w:szCs w:val="17"/>
          <w:color w:val="auto"/>
        </w:rPr>
        <w:t>majority voting for the election of directors and resignation procedures for directors who fail to receive a majority vote;</w:t>
      </w:r>
    </w:p>
    <w:p>
      <w:pPr>
        <w:spacing w:after="0" w:line="236" w:lineRule="exact"/>
        <w:rPr>
          <w:rFonts w:ascii="Arial" w:cs="Arial" w:eastAsia="Arial" w:hAnsi="Arial"/>
          <w:sz w:val="17"/>
          <w:szCs w:val="17"/>
          <w:color w:val="012E6C"/>
        </w:rPr>
      </w:pPr>
    </w:p>
    <w:p>
      <w:pPr>
        <w:ind w:left="260" w:hanging="130"/>
        <w:spacing w:after="0"/>
        <w:tabs>
          <w:tab w:leader="none" w:pos="260" w:val="left"/>
        </w:tabs>
        <w:numPr>
          <w:ilvl w:val="0"/>
          <w:numId w:val="57"/>
        </w:numPr>
        <w:rPr>
          <w:rFonts w:ascii="Arial" w:cs="Arial" w:eastAsia="Arial" w:hAnsi="Arial"/>
          <w:sz w:val="17"/>
          <w:szCs w:val="17"/>
          <w:color w:val="012E6C"/>
        </w:rPr>
      </w:pPr>
      <w:r>
        <w:rPr>
          <w:rFonts w:ascii="Arial" w:cs="Arial" w:eastAsia="Arial" w:hAnsi="Arial"/>
          <w:sz w:val="17"/>
          <w:szCs w:val="17"/>
          <w:color w:val="auto"/>
        </w:rPr>
        <w:t>process for director compensation review, specifically use of competitive data and input from independent compensation consultant; and</w:t>
      </w:r>
    </w:p>
    <w:p>
      <w:pPr>
        <w:spacing w:after="0" w:line="236" w:lineRule="exact"/>
        <w:rPr>
          <w:rFonts w:ascii="Arial" w:cs="Arial" w:eastAsia="Arial" w:hAnsi="Arial"/>
          <w:sz w:val="17"/>
          <w:szCs w:val="17"/>
          <w:color w:val="012E6C"/>
        </w:rPr>
      </w:pPr>
    </w:p>
    <w:p>
      <w:pPr>
        <w:ind w:left="260" w:right="120" w:hanging="130"/>
        <w:spacing w:after="0" w:line="308" w:lineRule="auto"/>
        <w:tabs>
          <w:tab w:leader="none" w:pos="260" w:val="left"/>
        </w:tabs>
        <w:numPr>
          <w:ilvl w:val="0"/>
          <w:numId w:val="57"/>
        </w:numPr>
        <w:rPr>
          <w:rFonts w:ascii="Arial" w:cs="Arial" w:eastAsia="Arial" w:hAnsi="Arial"/>
          <w:sz w:val="17"/>
          <w:szCs w:val="17"/>
          <w:color w:val="012E6C"/>
        </w:rPr>
      </w:pPr>
      <w:r>
        <w:rPr>
          <w:rFonts w:ascii="Arial" w:cs="Arial" w:eastAsia="Arial" w:hAnsi="Arial"/>
          <w:sz w:val="17"/>
          <w:szCs w:val="17"/>
          <w:color w:val="auto"/>
        </w:rPr>
        <w:t>formalizing our stockholder engagement program; our Lead Director will consider requests to speak to investors and will designate (in consultation with the Senior Vice President, General Counsel and Corporate Secretary) a director to engage with the requesting investors, if appropriate.</w:t>
      </w:r>
    </w:p>
    <w:p>
      <w:pPr>
        <w:spacing w:after="0" w:line="131" w:lineRule="exact"/>
        <w:rPr>
          <w:sz w:val="20"/>
          <w:szCs w:val="20"/>
          <w:color w:val="auto"/>
        </w:rPr>
      </w:pPr>
    </w:p>
    <w:p>
      <w:pPr>
        <w:spacing w:after="0"/>
        <w:rPr>
          <w:sz w:val="20"/>
          <w:szCs w:val="20"/>
          <w:color w:val="auto"/>
        </w:rPr>
      </w:pPr>
      <w:r>
        <w:rPr>
          <w:rFonts w:ascii="Arial" w:cs="Arial" w:eastAsia="Arial" w:hAnsi="Arial"/>
          <w:sz w:val="25"/>
          <w:szCs w:val="25"/>
          <w:color w:val="475C90"/>
        </w:rPr>
        <w:t>Director Overboarding Policy</w:t>
      </w:r>
    </w:p>
    <w:p>
      <w:pPr>
        <w:spacing w:after="0" w:line="242" w:lineRule="exact"/>
        <w:rPr>
          <w:sz w:val="20"/>
          <w:szCs w:val="20"/>
          <w:color w:val="auto"/>
        </w:rPr>
      </w:pPr>
    </w:p>
    <w:p>
      <w:pPr>
        <w:ind w:right="640"/>
        <w:spacing w:after="0" w:line="286" w:lineRule="auto"/>
        <w:rPr>
          <w:sz w:val="20"/>
          <w:szCs w:val="20"/>
          <w:color w:val="auto"/>
        </w:rPr>
      </w:pPr>
      <w:r>
        <w:rPr>
          <w:rFonts w:ascii="Arial" w:cs="Arial" w:eastAsia="Arial" w:hAnsi="Arial"/>
          <w:sz w:val="17"/>
          <w:szCs w:val="17"/>
          <w:color w:val="auto"/>
        </w:rPr>
        <w:t>The Board recognizes that its members benefit from service on the boards of other companies and it encourages such service. The Board also believes, however, that it is critical that directors are able to dedicate sufficient time to their service on the Corporation’s Board. Therefore, the Governance Guidelines provide that, without obtaining the approval of the Governance Committee:</w:t>
      </w:r>
    </w:p>
    <w:p>
      <w:pPr>
        <w:spacing w:after="0" w:line="166" w:lineRule="exact"/>
        <w:rPr>
          <w:sz w:val="20"/>
          <w:szCs w:val="20"/>
          <w:color w:val="auto"/>
        </w:rPr>
      </w:pPr>
    </w:p>
    <w:p>
      <w:pPr>
        <w:ind w:left="260" w:hanging="130"/>
        <w:spacing w:after="0"/>
        <w:tabs>
          <w:tab w:leader="none" w:pos="260" w:val="left"/>
        </w:tabs>
        <w:numPr>
          <w:ilvl w:val="0"/>
          <w:numId w:val="58"/>
        </w:numPr>
        <w:rPr>
          <w:rFonts w:ascii="Arial" w:cs="Arial" w:eastAsia="Arial" w:hAnsi="Arial"/>
          <w:sz w:val="17"/>
          <w:szCs w:val="17"/>
          <w:color w:val="012E6C"/>
        </w:rPr>
      </w:pPr>
      <w:r>
        <w:rPr>
          <w:rFonts w:ascii="Arial" w:cs="Arial" w:eastAsia="Arial" w:hAnsi="Arial"/>
          <w:sz w:val="17"/>
          <w:szCs w:val="17"/>
          <w:color w:val="auto"/>
        </w:rPr>
        <w:t>A director may not serve on the boards of more than four other public companies.</w:t>
      </w:r>
    </w:p>
    <w:p>
      <w:pPr>
        <w:spacing w:after="0" w:line="236" w:lineRule="exact"/>
        <w:rPr>
          <w:rFonts w:ascii="Arial" w:cs="Arial" w:eastAsia="Arial" w:hAnsi="Arial"/>
          <w:sz w:val="17"/>
          <w:szCs w:val="17"/>
          <w:color w:val="012E6C"/>
        </w:rPr>
      </w:pPr>
    </w:p>
    <w:p>
      <w:pPr>
        <w:ind w:left="260" w:right="40" w:hanging="130"/>
        <w:spacing w:after="0" w:line="308" w:lineRule="auto"/>
        <w:tabs>
          <w:tab w:leader="none" w:pos="260" w:val="left"/>
        </w:tabs>
        <w:numPr>
          <w:ilvl w:val="0"/>
          <w:numId w:val="58"/>
        </w:numPr>
        <w:rPr>
          <w:rFonts w:ascii="Arial" w:cs="Arial" w:eastAsia="Arial" w:hAnsi="Arial"/>
          <w:sz w:val="17"/>
          <w:szCs w:val="17"/>
          <w:color w:val="012E6C"/>
        </w:rPr>
      </w:pPr>
      <w:r>
        <w:rPr>
          <w:rFonts w:ascii="Arial" w:cs="Arial" w:eastAsia="Arial" w:hAnsi="Arial"/>
          <w:sz w:val="17"/>
          <w:szCs w:val="17"/>
          <w:color w:val="auto"/>
        </w:rPr>
        <w:t>If the director is an active chief executive officer or equivalent of another public company, the director may not serve on the boards of more than two other public companies.</w:t>
      </w:r>
    </w:p>
    <w:p>
      <w:pPr>
        <w:spacing w:after="0" w:line="146" w:lineRule="exact"/>
        <w:rPr>
          <w:rFonts w:ascii="Arial" w:cs="Arial" w:eastAsia="Arial" w:hAnsi="Arial"/>
          <w:sz w:val="17"/>
          <w:szCs w:val="17"/>
          <w:color w:val="012E6C"/>
        </w:rPr>
      </w:pPr>
    </w:p>
    <w:p>
      <w:pPr>
        <w:ind w:left="260" w:hanging="130"/>
        <w:spacing w:after="0"/>
        <w:tabs>
          <w:tab w:leader="none" w:pos="260" w:val="left"/>
        </w:tabs>
        <w:numPr>
          <w:ilvl w:val="0"/>
          <w:numId w:val="58"/>
        </w:numPr>
        <w:rPr>
          <w:rFonts w:ascii="Arial" w:cs="Arial" w:eastAsia="Arial" w:hAnsi="Arial"/>
          <w:sz w:val="17"/>
          <w:szCs w:val="17"/>
          <w:color w:val="012E6C"/>
        </w:rPr>
      </w:pPr>
      <w:r>
        <w:rPr>
          <w:rFonts w:ascii="Arial" w:cs="Arial" w:eastAsia="Arial" w:hAnsi="Arial"/>
          <w:sz w:val="17"/>
          <w:szCs w:val="17"/>
          <w:color w:val="auto"/>
        </w:rPr>
        <w:t>No member of the Audit Committee may serve on more than two other public company audit committees.</w:t>
      </w:r>
    </w:p>
    <w:p>
      <w:pPr>
        <w:spacing w:after="0" w:line="236" w:lineRule="exact"/>
        <w:rPr>
          <w:rFonts w:ascii="Arial" w:cs="Arial" w:eastAsia="Arial" w:hAnsi="Arial"/>
          <w:sz w:val="17"/>
          <w:szCs w:val="17"/>
          <w:color w:val="012E6C"/>
        </w:rPr>
      </w:pPr>
    </w:p>
    <w:p>
      <w:pPr>
        <w:ind w:left="260" w:hanging="130"/>
        <w:spacing w:after="0"/>
        <w:tabs>
          <w:tab w:leader="none" w:pos="260" w:val="left"/>
        </w:tabs>
        <w:numPr>
          <w:ilvl w:val="0"/>
          <w:numId w:val="58"/>
        </w:numPr>
        <w:rPr>
          <w:rFonts w:ascii="Arial" w:cs="Arial" w:eastAsia="Arial" w:hAnsi="Arial"/>
          <w:sz w:val="17"/>
          <w:szCs w:val="17"/>
          <w:color w:val="012E6C"/>
        </w:rPr>
      </w:pPr>
      <w:r>
        <w:rPr>
          <w:rFonts w:ascii="Arial" w:cs="Arial" w:eastAsia="Arial" w:hAnsi="Arial"/>
          <w:sz w:val="17"/>
          <w:szCs w:val="17"/>
          <w:color w:val="auto"/>
        </w:rPr>
        <w:t>No member of the Compensation Committee may serve on more than three other public company compensation committees.</w:t>
      </w:r>
    </w:p>
    <w:p>
      <w:pPr>
        <w:spacing w:after="0" w:line="23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Directors must notify the CEO, Lead Director and Senior Vice President, General Counsel and Corporate Secretary before accepting an invitation to serve on the board of any other public company. The Governance Committee reviews and determines whether the position would affect the director’s ability to serve on the Corporation’s Board.</w:t>
      </w:r>
    </w:p>
    <w:p>
      <w:pPr>
        <w:spacing w:after="0" w:line="136" w:lineRule="exact"/>
        <w:rPr>
          <w:sz w:val="20"/>
          <w:szCs w:val="20"/>
          <w:color w:val="auto"/>
        </w:rPr>
      </w:pPr>
    </w:p>
    <w:p>
      <w:pPr>
        <w:spacing w:after="0"/>
        <w:rPr>
          <w:sz w:val="20"/>
          <w:szCs w:val="20"/>
          <w:color w:val="auto"/>
        </w:rPr>
      </w:pPr>
      <w:r>
        <w:rPr>
          <w:rFonts w:ascii="Arial" w:cs="Arial" w:eastAsia="Arial" w:hAnsi="Arial"/>
          <w:sz w:val="29"/>
          <w:szCs w:val="29"/>
          <w:b w:val="1"/>
          <w:bCs w:val="1"/>
          <w:color w:val="012E6C"/>
        </w:rPr>
        <w:t>Director Independence</w:t>
      </w:r>
    </w:p>
    <w:p>
      <w:pPr>
        <w:spacing w:after="0" w:line="25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 xml:space="preserve">All of our directors are independent under applicable NYSE listing standards, except Ms. Hewson. Under the NYSE listing standards and our Governance Guidelines, a director is not independent if the director has a direct or indirect material relationship with the Corporation. The Governance Committee annually reviews the independence of all directors and reports its findings to the full Board. To assist in this review, the Board has adopted director independence guidelines that are included in our Governance Guidelines, which are available on the Corporation’s website at </w:t>
      </w:r>
      <w:r>
        <w:rPr>
          <w:rFonts w:ascii="Arial" w:cs="Arial" w:eastAsia="Arial" w:hAnsi="Arial"/>
          <w:sz w:val="17"/>
          <w:szCs w:val="17"/>
          <w:i w:val="1"/>
          <w:iCs w:val="1"/>
          <w:color w:val="auto"/>
        </w:rPr>
        <w:t>www.lockheedmartin.com/corporate-governance</w:t>
      </w:r>
      <w:r>
        <w:rPr>
          <w:rFonts w:ascii="Arial" w:cs="Arial" w:eastAsia="Arial" w:hAnsi="Arial"/>
          <w:sz w:val="17"/>
          <w:szCs w:val="17"/>
          <w:color w:val="auto"/>
        </w:rPr>
        <w:t>.</w:t>
      </w:r>
    </w:p>
    <w:p>
      <w:pPr>
        <w:spacing w:after="0" w:line="173"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Our director independence guidelines set forth certain relationships between the Corporation and directors and their immediate family members or affiliated entities, which the Board, in its judgment, has deemed to be material or immaterial for purposes of assessing a director’s independence. In the event a director has a relationship with the Corporation that is not addressed in the independence guidelines, the independent members of the Board determine whether the relationship is material.</w:t>
      </w:r>
    </w:p>
    <w:p>
      <w:pPr>
        <w:spacing w:after="0" w:line="17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Board has determined that the following directors are independent: Daniel F. Akerson, Nolan D. Archibald, David B. Burritt, Bruce A. Carlson, James O. Ellis, Jr., Thomas J. Falk, Ilene S. Gordon, Vicki A. Hollub, Jeh C. Johnson, Joseph W. Ralston and James D. Taiclet, Jr. The Board determined that James M. Loy who retired in April 2018 was independent while he served on the Board. Marillyn A. Hewson is an employee of the Corporation and is not independent under the NYSE listing standards or our Governance Guidelines. In determining that each of the non-management directors is independent, the Board considered the relationships described under “Certain Relationships and Related Person Transactions of Directors, Executive Officers and 5 Percent Stockholders,” on page 24, which it determined were immaterial to each individual’s independence.</w:t>
      </w:r>
    </w:p>
    <w:p>
      <w:pPr>
        <w:spacing w:after="0" w:line="178" w:lineRule="exact"/>
        <w:rPr>
          <w:sz w:val="20"/>
          <w:szCs w:val="20"/>
          <w:color w:val="auto"/>
        </w:rPr>
      </w:pPr>
    </w:p>
    <w:p>
      <w:pPr>
        <w:jc w:val="both"/>
        <w:ind w:right="20"/>
        <w:spacing w:after="0" w:line="268" w:lineRule="auto"/>
        <w:rPr>
          <w:sz w:val="20"/>
          <w:szCs w:val="20"/>
          <w:color w:val="auto"/>
        </w:rPr>
      </w:pPr>
      <w:r>
        <w:rPr>
          <w:rFonts w:ascii="Arial" w:cs="Arial" w:eastAsia="Arial" w:hAnsi="Arial"/>
          <w:sz w:val="17"/>
          <w:szCs w:val="17"/>
          <w:color w:val="auto"/>
        </w:rPr>
        <w:t>The Governance Committee and Board considered that the Corporation in the ordinary course of business purchases products and services from, or sells products and services to, companies or subsidiaries or parents of companies at which some of our directors (or their immediate family members) are or have been directors or officers and to other institutions with which some of these individuals have or have had relationships. These relationships included: Mr. Akerson (The Carlyle Group and Northrop Grumman Corporation (family member’s employer)); Mr. Carlson (Benchmark Electronics Inc., Johns Hopkins University's Applied Physics Lab and Utah State University Research Foundation); Mr. Ellis (Dominion Energy Inc., Draper Corporation, Stanford University and Blue Origin, LLC (family member’s employer)); Ms. Gordon (International Paper Company and The MIT Corporation); Mr.</w:t>
      </w:r>
    </w:p>
    <w:p>
      <w:pPr>
        <w:spacing w:after="0" w:line="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Johnson (PG&amp;E Corporation); Mr. Loy (PAE); and Mr. Ralston (Lynden Air Cargo and The Timken Company). In determining that these relationships did not affect the independence of those directors, the Board considered that none of the directors had any direct or indirect material interest in, or received any special compensation in connection with, the Corporation’s business relationships with those entities. In addition to their consideration of these ordinary course of business transactions, the Governance Committee and the Board relied upon the director</w:t>
      </w:r>
    </w:p>
    <w:p>
      <w:pPr>
        <w:sectPr>
          <w:pgSz w:w="11900" w:h="16838" w:orient="portrait"/>
          <w:cols w:equalWidth="0" w:num="1">
            <w:col w:w="11420"/>
          </w:cols>
          <w:pgMar w:left="240" w:top="292" w:right="239" w:bottom="1440" w:gutter="0" w:footer="0" w:header="0"/>
        </w:sectPr>
      </w:pPr>
    </w:p>
    <w:p>
      <w:pPr>
        <w:spacing w:after="0" w:line="200" w:lineRule="exact"/>
        <w:rPr>
          <w:sz w:val="20"/>
          <w:szCs w:val="20"/>
          <w:color w:val="auto"/>
        </w:rPr>
      </w:pPr>
    </w:p>
    <w:p>
      <w:pPr>
        <w:spacing w:after="0" w:line="265" w:lineRule="exact"/>
        <w:rPr>
          <w:sz w:val="20"/>
          <w:szCs w:val="20"/>
          <w:color w:val="auto"/>
        </w:rPr>
      </w:pPr>
    </w:p>
    <w:p>
      <w:pPr>
        <w:ind w:left="40"/>
        <w:spacing w:after="0"/>
        <w:tabs>
          <w:tab w:leader="none" w:pos="9420" w:val="left"/>
          <w:tab w:leader="none" w:pos="1122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2019 Proxy Statement</w:t>
      </w:r>
      <w:r>
        <w:rPr>
          <w:sz w:val="20"/>
          <w:szCs w:val="20"/>
          <w:color w:val="auto"/>
        </w:rPr>
        <w:tab/>
      </w:r>
      <w:r>
        <w:rPr>
          <w:rFonts w:ascii="Arial" w:cs="Arial" w:eastAsia="Arial" w:hAnsi="Arial"/>
          <w:sz w:val="14"/>
          <w:szCs w:val="14"/>
          <w:b w:val="1"/>
          <w:bCs w:val="1"/>
          <w:color w:val="808080"/>
        </w:rPr>
        <w:t>23</w:t>
      </w:r>
    </w:p>
    <w:p>
      <w:pPr>
        <w:sectPr>
          <w:pgSz w:w="11900" w:h="16838" w:orient="portrait"/>
          <w:cols w:equalWidth="0" w:num="1">
            <w:col w:w="11420"/>
          </w:cols>
          <w:pgMar w:left="240" w:top="292" w:right="2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5"/>
          <w:szCs w:val="15"/>
          <w:color w:val="003478"/>
        </w:rPr>
        <w:t>Corporate Governance</w:t>
      </w:r>
    </w:p>
    <w:p>
      <w:pPr>
        <w:spacing w:after="0" w:line="363"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independence guidelines included in our Governance Guidelines to conclude that contributions to a tax-exempt organization by the Corporation did not create any direct or indirect material interest for the purpose of assessing director independence.</w:t>
      </w:r>
    </w:p>
    <w:p>
      <w:pPr>
        <w:spacing w:after="0" w:line="147" w:lineRule="exact"/>
        <w:rPr>
          <w:sz w:val="20"/>
          <w:szCs w:val="20"/>
          <w:color w:val="auto"/>
        </w:rPr>
      </w:pPr>
    </w:p>
    <w:p>
      <w:pPr>
        <w:jc w:val="both"/>
        <w:ind w:right="400"/>
        <w:spacing w:after="0" w:line="286" w:lineRule="auto"/>
        <w:rPr>
          <w:sz w:val="20"/>
          <w:szCs w:val="20"/>
          <w:color w:val="auto"/>
        </w:rPr>
      </w:pPr>
      <w:r>
        <w:rPr>
          <w:rFonts w:ascii="Arial" w:cs="Arial" w:eastAsia="Arial" w:hAnsi="Arial"/>
          <w:sz w:val="17"/>
          <w:szCs w:val="17"/>
          <w:color w:val="auto"/>
        </w:rPr>
        <w:t>The Governance Committee also concluded that all members of each of the Audit Committee, the Compensation Committee and the Governance Committee are independent within the meaning of our Governance Guidelines and NYSE listing standards, including the additional independence requirements applicable to members of the Audit Committee, Compensation Committee and Governance Committee.</w:t>
      </w:r>
    </w:p>
    <w:p>
      <w:pPr>
        <w:spacing w:after="0" w:line="136" w:lineRule="exact"/>
        <w:rPr>
          <w:sz w:val="20"/>
          <w:szCs w:val="20"/>
          <w:color w:val="auto"/>
        </w:rPr>
      </w:pPr>
    </w:p>
    <w:p>
      <w:pPr>
        <w:spacing w:after="0"/>
        <w:rPr>
          <w:sz w:val="20"/>
          <w:szCs w:val="20"/>
          <w:color w:val="auto"/>
        </w:rPr>
      </w:pPr>
      <w:r>
        <w:rPr>
          <w:rFonts w:ascii="Arial" w:cs="Arial" w:eastAsia="Arial" w:hAnsi="Arial"/>
          <w:sz w:val="25"/>
          <w:szCs w:val="25"/>
          <w:color w:val="475C90"/>
        </w:rPr>
        <w:t>Related Person Transaction Policy</w:t>
      </w:r>
    </w:p>
    <w:p>
      <w:pPr>
        <w:spacing w:after="0" w:line="20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 xml:space="preserve">The Board has approved a written policy and procedures for the review, approval and ratification of transactions among the Corporation and its directors, executive officers and their related interests. A copy of the policy is available on the Corporation’s website at </w:t>
      </w:r>
      <w:r>
        <w:rPr>
          <w:rFonts w:ascii="Arial" w:cs="Arial" w:eastAsia="Arial" w:hAnsi="Arial"/>
          <w:sz w:val="17"/>
          <w:szCs w:val="17"/>
          <w:i w:val="1"/>
          <w:iCs w:val="1"/>
          <w:color w:val="auto"/>
        </w:rPr>
        <w:t>www.lockheedmartin.com/corporate-governance</w:t>
      </w:r>
      <w:r>
        <w:rPr>
          <w:rFonts w:ascii="Arial" w:cs="Arial" w:eastAsia="Arial" w:hAnsi="Arial"/>
          <w:sz w:val="17"/>
          <w:szCs w:val="17"/>
          <w:color w:val="auto"/>
        </w:rPr>
        <w:t>. Under the policy, all related person transactions (as defined in the policy) are to be reviewed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Governance Committee. The Governance Committee may approve or ratify related person transactions at its discretion if deemed fair and reasonable to the Corporation. This may include situations where the Corporation provides products or services to related persons on an arm’s length basis on terms comparable to those provided to unrelated third parties. Any director who participates in or is the subject of an existing or potential related person transaction may not participate in the decision-making process of the Governance Committee with respect to that transaction.</w:t>
      </w:r>
    </w:p>
    <w:p>
      <w:pPr>
        <w:spacing w:after="0" w:line="12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Under the policy, and consistent with applicable SEC regulations and NYSE listing standards, a related person transaction is any transaction in which the Corporation was, is or will be a participant, where the amount involved exceeds $120,000, and in which a related person had, has, or will have a direct or indirect material interest. A related person includes any director or director-nominee, any executive officer of the Corporation, any person who is known to be the beneficial owner of more than five percent of any class of the Corporation’s voting securities, or an immediate family member of any person described above.</w:t>
      </w:r>
    </w:p>
    <w:p>
      <w:pPr>
        <w:spacing w:after="0" w:line="11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Our policy requires each director and executive officer to complete an annual questionnaire to identify his or her related interests and persons, and to notify the Corporation of changes in that information. Based on that information, the Corporation maintains a master list of related persons for purposes of tracking and reporting related person transactions.</w:t>
      </w:r>
    </w:p>
    <w:p>
      <w:pPr>
        <w:spacing w:after="0" w:line="111"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Because it may not be possible or practical to pre-approve all related person transactions, the policy contemplates that the Governance Committee may ratify transactions after they commence or pre-approve categories of transactions or relationships. If the Governance Committee declines to approve or ratify a transaction, the related person transaction is referred to management to make a recommendation to the Governance Committee concerning whether the transaction should be terminated or amended in a manner that is acceptable to the Governance Committee.</w:t>
      </w:r>
    </w:p>
    <w:p>
      <w:pPr>
        <w:spacing w:after="0" w:line="115" w:lineRule="exact"/>
        <w:rPr>
          <w:sz w:val="20"/>
          <w:szCs w:val="20"/>
          <w:color w:val="auto"/>
        </w:rPr>
      </w:pPr>
    </w:p>
    <w:p>
      <w:pPr>
        <w:ind w:right="40"/>
        <w:spacing w:after="0" w:line="269" w:lineRule="auto"/>
        <w:rPr>
          <w:sz w:val="20"/>
          <w:szCs w:val="20"/>
          <w:color w:val="auto"/>
        </w:rPr>
      </w:pPr>
      <w:r>
        <w:rPr>
          <w:rFonts w:ascii="Arial" w:cs="Arial" w:eastAsia="Arial" w:hAnsi="Arial"/>
          <w:sz w:val="25"/>
          <w:szCs w:val="25"/>
          <w:color w:val="475C90"/>
        </w:rPr>
        <w:t>Certain Relationships and Related Person Transactions of Directors, Executive Officers and 5 Percent Stockholders</w:t>
      </w:r>
    </w:p>
    <w:p>
      <w:pPr>
        <w:spacing w:after="0" w:line="114" w:lineRule="exact"/>
        <w:rPr>
          <w:sz w:val="20"/>
          <w:szCs w:val="20"/>
          <w:color w:val="auto"/>
        </w:rPr>
      </w:pPr>
    </w:p>
    <w:p>
      <w:pPr>
        <w:ind w:right="800"/>
        <w:spacing w:after="0" w:line="308" w:lineRule="auto"/>
        <w:rPr>
          <w:sz w:val="20"/>
          <w:szCs w:val="20"/>
          <w:color w:val="auto"/>
        </w:rPr>
      </w:pPr>
      <w:r>
        <w:rPr>
          <w:rFonts w:ascii="Arial" w:cs="Arial" w:eastAsia="Arial" w:hAnsi="Arial"/>
          <w:sz w:val="17"/>
          <w:szCs w:val="17"/>
          <w:color w:val="auto"/>
        </w:rPr>
        <w:t>The following transactions or relationships are considered to be “related person” transactions under our corporate policy and applicable SEC regulations and NYSE listing standards.</w:t>
      </w:r>
    </w:p>
    <w:p>
      <w:pPr>
        <w:spacing w:after="0" w:line="9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Two of our directors, Mr. Loy (who retired in April 2018) and Mr. Ralston (who is retiring at the Annual Meeting), are employed as Senior Counselor and Vice Chairman, respectively, of The Cohen Group, a consulting business that performs services for the Corporation. In 2018, we paid The Cohen Group $630,271 for consulting services and related expenses. Neither Mr. Loy nor Mr. Ralston’s compensation earned at The Cohen Group is impacted by the consulting services delivered to the Corporation. The Board annually assesses and reviews the Corporation’s relationship with The Cohen Group and has determined that the breadth of military experience coupled with Messrs. Loy and Ralston’s high-level security clearances bring a unique value to the Board, particularly with respect to the oversight of our classified programs. Neither Mr. Loy nor Mr. Ralston served or served on our Audit, Compensation or Governance Committees.</w:t>
      </w:r>
    </w:p>
    <w:p>
      <w:pPr>
        <w:spacing w:after="0" w:line="12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currently employ approximately 105,000 employees and have an active recruitment program for soliciting job applications from qualified candidates. We seek to hire the most qualified candidates and consequently do not preclude the employment of family members of current directors or executive officers. William J. Drennen, III, the brother-in-law of our chief accounting officer, is employed by the Corporation as a senior staff systems engineer. Mr. Drennen’s 2018 base salary was $159,000 and he received an annual cash incentive award of $19,080. His base salary was increased to $166,155 for 2019 and he is eligible to earn an incentive award applicable to employees at his level. Bruce Carlson's son, Dr. Scott Carlson, is employed by the Corporation as a senior staff aeronautical engineer. Dr. Carlson began his employment on August 13, 2018 and his 2018 base salary was $142,000 (his actual salary paid during 2018 was $52,383) and he received an annual cash incentive award of $2,769. His base salary was increased to $144,840 for 2019 and he may be eligible to earn an incentive award applicable to employees at his level. Mr. Drennen and Dr. Carlson may participate in other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382270</wp:posOffset>
            </wp:positionV>
            <wp:extent cx="1440815" cy="3257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44081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808080"/>
        </w:rPr>
        <w:t>24</w:t>
      </w:r>
    </w:p>
    <w:p>
      <w:pPr>
        <w:sectPr>
          <w:pgSz w:w="11900" w:h="16838" w:orient="portrait"/>
          <w:cols w:equalWidth="0" w:num="1">
            <w:col w:w="11400"/>
          </w:cols>
          <w:pgMar w:left="240" w:top="292" w:right="259" w:bottom="1440" w:gutter="0" w:footer="0" w:header="0"/>
        </w:sectPr>
      </w:pPr>
    </w:p>
    <w:bookmarkStart w:id="27" w:name="page28"/>
    <w:bookmarkEnd w:id="27"/>
    <w:p>
      <w:pPr>
        <w:jc w:val="right"/>
        <w:spacing w:after="0"/>
        <w:rPr>
          <w:sz w:val="20"/>
          <w:szCs w:val="20"/>
          <w:color w:val="auto"/>
        </w:rPr>
      </w:pPr>
      <w:r>
        <w:rPr>
          <w:rFonts w:ascii="Arial" w:cs="Arial" w:eastAsia="Arial" w:hAnsi="Arial"/>
          <w:sz w:val="15"/>
          <w:szCs w:val="15"/>
          <w:color w:val="003478"/>
        </w:rPr>
        <w:t>Corporate Governance</w:t>
      </w:r>
    </w:p>
    <w:p>
      <w:pPr>
        <w:spacing w:after="0" w:line="336"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benefit plans and arrangements that generally are made available to other employees at the same level (including health, welfare, vacation, and retirement plans). Their respective compensation was established in accordance with the Corporation’s employment and compensation practices applicable to employees with equivalent qualifications, experience, and responsibilities. Neither Mr. Drennen nor Dr. Carlson served as an executive officer of the Corporation during 2018.</w:t>
      </w:r>
    </w:p>
    <w:p>
      <w:pPr>
        <w:spacing w:after="0" w:line="17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From time to time, the Corporation has purchased services in the ordinary course of business from financial institutions that beneficially own five percent or more of our common stock. In 2018, the Corporation paid approximately $10,972,421 to State Street Corporation and its affiliates (including State Street Bank and Trust Company) (collectively, State Street) for investment management, custodial, benefit plan administration fees and credit facility fees; approximately $927,285 to BlackRock, Inc. and its affiliates for investment management fees; approximately $3,796,206 to Capital Guardian, an affiliate of Capital World Investors, for investment management fees; and approximately $147,834 to The Vanguard Group, Inc., for investment management fees. A portion of the fees included in the amounts paid to State Street, BlackRock, Inc. and Capital Guardian are estimated based on a percentage of net asset value under management.</w:t>
      </w:r>
    </w:p>
    <w:p>
      <w:pPr>
        <w:spacing w:after="0" w:line="148" w:lineRule="exact"/>
        <w:rPr>
          <w:sz w:val="20"/>
          <w:szCs w:val="20"/>
          <w:color w:val="auto"/>
        </w:rPr>
      </w:pPr>
    </w:p>
    <w:p>
      <w:pPr>
        <w:spacing w:after="0"/>
        <w:rPr>
          <w:sz w:val="20"/>
          <w:szCs w:val="20"/>
          <w:color w:val="auto"/>
        </w:rPr>
      </w:pPr>
      <w:r>
        <w:rPr>
          <w:rFonts w:ascii="Arial" w:cs="Arial" w:eastAsia="Arial" w:hAnsi="Arial"/>
          <w:sz w:val="29"/>
          <w:szCs w:val="29"/>
          <w:b w:val="1"/>
          <w:bCs w:val="1"/>
          <w:color w:val="012E6C"/>
        </w:rPr>
        <w:t>Other Governance Practices</w:t>
      </w:r>
    </w:p>
    <w:p>
      <w:pPr>
        <w:spacing w:after="0" w:line="234" w:lineRule="exact"/>
        <w:rPr>
          <w:sz w:val="20"/>
          <w:szCs w:val="20"/>
          <w:color w:val="auto"/>
        </w:rPr>
      </w:pPr>
    </w:p>
    <w:p>
      <w:pPr>
        <w:spacing w:after="0"/>
        <w:rPr>
          <w:sz w:val="20"/>
          <w:szCs w:val="20"/>
          <w:color w:val="auto"/>
        </w:rPr>
      </w:pPr>
      <w:r>
        <w:rPr>
          <w:rFonts w:ascii="Arial" w:cs="Arial" w:eastAsia="Arial" w:hAnsi="Arial"/>
          <w:sz w:val="25"/>
          <w:szCs w:val="25"/>
          <w:color w:val="475C90"/>
        </w:rPr>
        <w:t>Majority Voting Policy for Director Elections</w:t>
      </w:r>
    </w:p>
    <w:p>
      <w:pPr>
        <w:spacing w:after="0" w:line="242" w:lineRule="exact"/>
        <w:rPr>
          <w:sz w:val="20"/>
          <w:szCs w:val="20"/>
          <w:color w:val="auto"/>
        </w:rPr>
      </w:pPr>
    </w:p>
    <w:p>
      <w:pPr>
        <w:ind w:right="520"/>
        <w:spacing w:after="0" w:line="286" w:lineRule="auto"/>
        <w:rPr>
          <w:sz w:val="20"/>
          <w:szCs w:val="20"/>
          <w:color w:val="auto"/>
        </w:rPr>
      </w:pPr>
      <w:r>
        <w:rPr>
          <w:rFonts w:ascii="Arial" w:cs="Arial" w:eastAsia="Arial" w:hAnsi="Arial"/>
          <w:sz w:val="17"/>
          <w:szCs w:val="17"/>
          <w:color w:val="auto"/>
        </w:rPr>
        <w:t>The Corporation’s Charter and Bylaws provide for simple majority voting. Pursuant to the Governance Guidelines, in any uncontested election of directors, any incumbent director who receives more votes “AGAINST” than votes “FOR” is required to offer his or her resignation for Board consideration.</w:t>
      </w:r>
    </w:p>
    <w:p>
      <w:pPr>
        <w:spacing w:after="0" w:line="166"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Upon receipt of a resignation of a director tendered as a result of a failed stockholder vote, the Governance Committee will make a recommendation to the Board as to whether to accept or reject the resignation, or whether other action is recommended. In considering the tendered resignation, the Board will consider the Governance Committee’s recommendation as well as any other factors it deems relevant, which may include:</w:t>
      </w:r>
    </w:p>
    <w:p>
      <w:pPr>
        <w:spacing w:after="0" w:line="166" w:lineRule="exact"/>
        <w:rPr>
          <w:sz w:val="20"/>
          <w:szCs w:val="20"/>
          <w:color w:val="auto"/>
        </w:rPr>
      </w:pPr>
    </w:p>
    <w:p>
      <w:pPr>
        <w:ind w:left="260" w:hanging="130"/>
        <w:spacing w:after="0"/>
        <w:tabs>
          <w:tab w:leader="none" w:pos="260" w:val="left"/>
        </w:tabs>
        <w:numPr>
          <w:ilvl w:val="0"/>
          <w:numId w:val="59"/>
        </w:numPr>
        <w:rPr>
          <w:rFonts w:ascii="Arial" w:cs="Arial" w:eastAsia="Arial" w:hAnsi="Arial"/>
          <w:sz w:val="17"/>
          <w:szCs w:val="17"/>
          <w:color w:val="012E6C"/>
        </w:rPr>
      </w:pPr>
      <w:r>
        <w:rPr>
          <w:rFonts w:ascii="Arial" w:cs="Arial" w:eastAsia="Arial" w:hAnsi="Arial"/>
          <w:sz w:val="17"/>
          <w:szCs w:val="17"/>
          <w:color w:val="auto"/>
        </w:rPr>
        <w:t>the qualifications of the director whose resignation has been tendered;</w:t>
      </w:r>
    </w:p>
    <w:p>
      <w:pPr>
        <w:spacing w:after="0" w:line="236" w:lineRule="exact"/>
        <w:rPr>
          <w:rFonts w:ascii="Arial" w:cs="Arial" w:eastAsia="Arial" w:hAnsi="Arial"/>
          <w:sz w:val="17"/>
          <w:szCs w:val="17"/>
          <w:color w:val="012E6C"/>
        </w:rPr>
      </w:pPr>
    </w:p>
    <w:p>
      <w:pPr>
        <w:ind w:left="260" w:hanging="130"/>
        <w:spacing w:after="0"/>
        <w:tabs>
          <w:tab w:leader="none" w:pos="260" w:val="left"/>
        </w:tabs>
        <w:numPr>
          <w:ilvl w:val="0"/>
          <w:numId w:val="59"/>
        </w:numPr>
        <w:rPr>
          <w:rFonts w:ascii="Arial" w:cs="Arial" w:eastAsia="Arial" w:hAnsi="Arial"/>
          <w:sz w:val="17"/>
          <w:szCs w:val="17"/>
          <w:color w:val="012E6C"/>
        </w:rPr>
      </w:pPr>
      <w:r>
        <w:rPr>
          <w:rFonts w:ascii="Arial" w:cs="Arial" w:eastAsia="Arial" w:hAnsi="Arial"/>
          <w:sz w:val="17"/>
          <w:szCs w:val="17"/>
          <w:color w:val="auto"/>
        </w:rPr>
        <w:t>the director’s past and expected future contributions to the Corporation;</w:t>
      </w:r>
    </w:p>
    <w:p>
      <w:pPr>
        <w:spacing w:after="0" w:line="236" w:lineRule="exact"/>
        <w:rPr>
          <w:rFonts w:ascii="Arial" w:cs="Arial" w:eastAsia="Arial" w:hAnsi="Arial"/>
          <w:sz w:val="17"/>
          <w:szCs w:val="17"/>
          <w:color w:val="012E6C"/>
        </w:rPr>
      </w:pPr>
    </w:p>
    <w:p>
      <w:pPr>
        <w:ind w:left="260" w:hanging="130"/>
        <w:spacing w:after="0"/>
        <w:tabs>
          <w:tab w:leader="none" w:pos="260" w:val="left"/>
        </w:tabs>
        <w:numPr>
          <w:ilvl w:val="0"/>
          <w:numId w:val="59"/>
        </w:numPr>
        <w:rPr>
          <w:rFonts w:ascii="Arial" w:cs="Arial" w:eastAsia="Arial" w:hAnsi="Arial"/>
          <w:sz w:val="17"/>
          <w:szCs w:val="17"/>
          <w:color w:val="012E6C"/>
        </w:rPr>
      </w:pPr>
      <w:r>
        <w:rPr>
          <w:rFonts w:ascii="Arial" w:cs="Arial" w:eastAsia="Arial" w:hAnsi="Arial"/>
          <w:sz w:val="17"/>
          <w:szCs w:val="17"/>
          <w:color w:val="auto"/>
        </w:rPr>
        <w:t>the overall composition of the Board and its committees;</w:t>
      </w:r>
    </w:p>
    <w:p>
      <w:pPr>
        <w:spacing w:after="0" w:line="236" w:lineRule="exact"/>
        <w:rPr>
          <w:rFonts w:ascii="Arial" w:cs="Arial" w:eastAsia="Arial" w:hAnsi="Arial"/>
          <w:sz w:val="17"/>
          <w:szCs w:val="17"/>
          <w:color w:val="012E6C"/>
        </w:rPr>
      </w:pPr>
    </w:p>
    <w:p>
      <w:pPr>
        <w:ind w:left="260" w:right="340" w:hanging="130"/>
        <w:spacing w:after="0" w:line="308" w:lineRule="auto"/>
        <w:tabs>
          <w:tab w:leader="none" w:pos="260" w:val="left"/>
        </w:tabs>
        <w:numPr>
          <w:ilvl w:val="0"/>
          <w:numId w:val="59"/>
        </w:numPr>
        <w:rPr>
          <w:rFonts w:ascii="Arial" w:cs="Arial" w:eastAsia="Arial" w:hAnsi="Arial"/>
          <w:sz w:val="17"/>
          <w:szCs w:val="17"/>
          <w:color w:val="012E6C"/>
        </w:rPr>
      </w:pPr>
      <w:r>
        <w:rPr>
          <w:rFonts w:ascii="Arial" w:cs="Arial" w:eastAsia="Arial" w:hAnsi="Arial"/>
          <w:sz w:val="17"/>
          <w:szCs w:val="17"/>
          <w:color w:val="auto"/>
        </w:rPr>
        <w:t>whether accepting the tendered resignation would cause the Corporation to fail to meet any applicable rule or regulation (including NYSE listing standards and the federal securities laws); and</w:t>
      </w:r>
    </w:p>
    <w:p>
      <w:pPr>
        <w:spacing w:after="0" w:line="146" w:lineRule="exact"/>
        <w:rPr>
          <w:rFonts w:ascii="Arial" w:cs="Arial" w:eastAsia="Arial" w:hAnsi="Arial"/>
          <w:sz w:val="17"/>
          <w:szCs w:val="17"/>
          <w:color w:val="012E6C"/>
        </w:rPr>
      </w:pPr>
    </w:p>
    <w:p>
      <w:pPr>
        <w:ind w:left="260" w:hanging="130"/>
        <w:spacing w:after="0"/>
        <w:tabs>
          <w:tab w:leader="none" w:pos="260" w:val="left"/>
        </w:tabs>
        <w:numPr>
          <w:ilvl w:val="0"/>
          <w:numId w:val="59"/>
        </w:numPr>
        <w:rPr>
          <w:rFonts w:ascii="Arial" w:cs="Arial" w:eastAsia="Arial" w:hAnsi="Arial"/>
          <w:sz w:val="17"/>
          <w:szCs w:val="17"/>
          <w:color w:val="012E6C"/>
        </w:rPr>
      </w:pPr>
      <w:r>
        <w:rPr>
          <w:rFonts w:ascii="Arial" w:cs="Arial" w:eastAsia="Arial" w:hAnsi="Arial"/>
          <w:sz w:val="17"/>
          <w:szCs w:val="17"/>
          <w:color w:val="auto"/>
        </w:rPr>
        <w:t>the percentage of outstanding shares represented by the votes cast at the annual meeting.</w:t>
      </w:r>
    </w:p>
    <w:p>
      <w:pPr>
        <w:spacing w:after="0" w:line="23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Board will act on a tendered resignation within 90 days following certification of the stockholder vote for the annual meeting and will promptly disclose its decision and rationale as to whether to accept the resignation (or the reasons for rejecting the resignation, if applicable) in a press release, in a filing with the SEC, or by other public announcement, including a posting on the Corporation’s website.</w:t>
      </w:r>
    </w:p>
    <w:p>
      <w:pPr>
        <w:spacing w:after="0" w:line="166"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If a director’s resignation is accepted by the Board, or if a nominee for director who is not an incumbent director is not elected, the Board may fill the resulting vacancy or may decrease the size of the Board pursuant to the Corporation’s Bylaws. The Board may not fill any vacancy so created with a director who was nominated but not elected at the annual meeting by the vote required under the Corporation’s Bylaws.</w:t>
      </w:r>
    </w:p>
    <w:p>
      <w:pPr>
        <w:spacing w:after="0" w:line="150" w:lineRule="exact"/>
        <w:rPr>
          <w:sz w:val="20"/>
          <w:szCs w:val="20"/>
          <w:color w:val="auto"/>
        </w:rPr>
      </w:pPr>
    </w:p>
    <w:p>
      <w:pPr>
        <w:spacing w:after="0"/>
        <w:rPr>
          <w:sz w:val="20"/>
          <w:szCs w:val="20"/>
          <w:color w:val="auto"/>
        </w:rPr>
      </w:pPr>
      <w:r>
        <w:rPr>
          <w:rFonts w:ascii="Arial" w:cs="Arial" w:eastAsia="Arial" w:hAnsi="Arial"/>
          <w:sz w:val="25"/>
          <w:szCs w:val="25"/>
          <w:color w:val="475C90"/>
        </w:rPr>
        <w:t>Stockholder Right to Amend Bylaws</w:t>
      </w:r>
    </w:p>
    <w:p>
      <w:pPr>
        <w:spacing w:after="0" w:line="24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 xml:space="preserve">Following a dialogue with many of our largest investors and a deliberative review of the issue, the Board pro-actively changed the Bylaws in December 2017 to give the Corporation’s stockholders the right to amend the Bylaws. The authority of the stockholders and the Board to amend the Bylaws is subject to the provisions of the Corporation’s Charter and applicable statutes. Our Bylaws can be found on the Corporation’s website at </w:t>
      </w:r>
      <w:r>
        <w:rPr>
          <w:rFonts w:ascii="Arial" w:cs="Arial" w:eastAsia="Arial" w:hAnsi="Arial"/>
          <w:sz w:val="17"/>
          <w:szCs w:val="17"/>
          <w:i w:val="1"/>
          <w:iCs w:val="1"/>
          <w:color w:val="auto"/>
        </w:rPr>
        <w:t>www.lockheedmartin.com/corporate-governance</w:t>
      </w:r>
      <w:r>
        <w:rPr>
          <w:rFonts w:ascii="Arial" w:cs="Arial" w:eastAsia="Arial" w:hAnsi="Arial"/>
          <w:sz w:val="17"/>
          <w:szCs w:val="17"/>
          <w:color w:val="auto"/>
        </w:rPr>
        <w:t>.</w:t>
      </w:r>
    </w:p>
    <w:p>
      <w:pPr>
        <w:spacing w:after="0" w:line="156" w:lineRule="exact"/>
        <w:rPr>
          <w:sz w:val="20"/>
          <w:szCs w:val="20"/>
          <w:color w:val="auto"/>
        </w:rPr>
      </w:pPr>
    </w:p>
    <w:p>
      <w:pPr>
        <w:spacing w:after="0"/>
        <w:rPr>
          <w:sz w:val="20"/>
          <w:szCs w:val="20"/>
          <w:color w:val="auto"/>
        </w:rPr>
      </w:pPr>
      <w:r>
        <w:rPr>
          <w:rFonts w:ascii="Arial" w:cs="Arial" w:eastAsia="Arial" w:hAnsi="Arial"/>
          <w:sz w:val="25"/>
          <w:szCs w:val="25"/>
          <w:color w:val="475C90"/>
        </w:rPr>
        <w:t>Proxy Access</w:t>
      </w:r>
    </w:p>
    <w:p>
      <w:pPr>
        <w:spacing w:after="0" w:line="242"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Our Bylaws permit a stockholder or a group of up to 20 stockholders who together have owned at least three percent of the Corporation’s outstanding common stock continuously for three years to nominate for election by the Corporation’s stockholders and include in the Corporation’s proxy solicitation materials for its annual meeting up to the greater of two directors or 20 percent of the number of directors in office at the time of the proxy access deadline described on page 81.</w:t>
      </w:r>
    </w:p>
    <w:p>
      <w:pPr>
        <w:sectPr>
          <w:pgSz w:w="11900" w:h="16838" w:orient="portrait"/>
          <w:cols w:equalWidth="0" w:num="1">
            <w:col w:w="11420"/>
          </w:cols>
          <w:pgMar w:left="240" w:top="292" w:right="239" w:bottom="1440" w:gutter="0" w:footer="0" w:header="0"/>
        </w:sectPr>
      </w:pPr>
    </w:p>
    <w:p>
      <w:pPr>
        <w:spacing w:after="0" w:line="200" w:lineRule="exact"/>
        <w:rPr>
          <w:sz w:val="20"/>
          <w:szCs w:val="20"/>
          <w:color w:val="auto"/>
        </w:rPr>
      </w:pPr>
    </w:p>
    <w:p>
      <w:pPr>
        <w:spacing w:after="0" w:line="260" w:lineRule="exact"/>
        <w:rPr>
          <w:sz w:val="20"/>
          <w:szCs w:val="20"/>
          <w:color w:val="auto"/>
        </w:rPr>
      </w:pPr>
    </w:p>
    <w:p>
      <w:pPr>
        <w:ind w:left="40"/>
        <w:spacing w:after="0"/>
        <w:tabs>
          <w:tab w:leader="none" w:pos="9420" w:val="left"/>
          <w:tab w:leader="none" w:pos="1122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2019 Proxy Statement</w:t>
      </w:r>
      <w:r>
        <w:rPr>
          <w:sz w:val="20"/>
          <w:szCs w:val="20"/>
          <w:color w:val="auto"/>
        </w:rPr>
        <w:tab/>
      </w:r>
      <w:r>
        <w:rPr>
          <w:rFonts w:ascii="Arial" w:cs="Arial" w:eastAsia="Arial" w:hAnsi="Arial"/>
          <w:sz w:val="14"/>
          <w:szCs w:val="14"/>
          <w:b w:val="1"/>
          <w:bCs w:val="1"/>
          <w:color w:val="808080"/>
        </w:rPr>
        <w:t>25</w:t>
      </w:r>
    </w:p>
    <w:p>
      <w:pPr>
        <w:sectPr>
          <w:pgSz w:w="11900" w:h="16838" w:orient="portrait"/>
          <w:cols w:equalWidth="0" w:num="1">
            <w:col w:w="11420"/>
          </w:cols>
          <w:pgMar w:left="240" w:top="292" w:right="2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5"/>
          <w:szCs w:val="15"/>
          <w:color w:val="003478"/>
        </w:rPr>
        <w:t>Corporate Governance</w:t>
      </w:r>
    </w:p>
    <w:p>
      <w:pPr>
        <w:spacing w:after="0" w:line="347" w:lineRule="exact"/>
        <w:rPr>
          <w:sz w:val="20"/>
          <w:szCs w:val="20"/>
          <w:color w:val="auto"/>
        </w:rPr>
      </w:pPr>
    </w:p>
    <w:p>
      <w:pPr>
        <w:spacing w:after="0"/>
        <w:rPr>
          <w:sz w:val="20"/>
          <w:szCs w:val="20"/>
          <w:color w:val="auto"/>
        </w:rPr>
      </w:pPr>
      <w:r>
        <w:rPr>
          <w:rFonts w:ascii="Arial" w:cs="Arial" w:eastAsia="Arial" w:hAnsi="Arial"/>
          <w:sz w:val="25"/>
          <w:szCs w:val="25"/>
          <w:color w:val="475C90"/>
        </w:rPr>
        <w:t>Stockholder Right to Call Special Meeting</w:t>
      </w:r>
    </w:p>
    <w:p>
      <w:pPr>
        <w:spacing w:after="0" w:line="242"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Any stockholder who individually owns 10 percent, or stockholders who in the aggregate own 25 percent, of the outstanding common stock may demand the calling of a special meeting to consider any business properly brought before the stockholders. Our Bylaws do not restrict the timing of a request for a special meeting. The only subject matter restriction is that we are not required to call a special meeting to consider a matter that is substantially the same as a matter voted on at a special meeting within the preceding 12 months unless requested by stockholders entitled to cast a majority of the votes at the special meeting.</w:t>
      </w:r>
    </w:p>
    <w:p>
      <w:pPr>
        <w:spacing w:after="0" w:line="157" w:lineRule="exact"/>
        <w:rPr>
          <w:sz w:val="20"/>
          <w:szCs w:val="20"/>
          <w:color w:val="auto"/>
        </w:rPr>
      </w:pPr>
    </w:p>
    <w:p>
      <w:pPr>
        <w:spacing w:after="0"/>
        <w:rPr>
          <w:sz w:val="20"/>
          <w:szCs w:val="20"/>
          <w:color w:val="auto"/>
        </w:rPr>
      </w:pPr>
      <w:r>
        <w:rPr>
          <w:rFonts w:ascii="Arial" w:cs="Arial" w:eastAsia="Arial" w:hAnsi="Arial"/>
          <w:sz w:val="25"/>
          <w:szCs w:val="25"/>
          <w:color w:val="475C90"/>
        </w:rPr>
        <w:t>No Poison Pill</w:t>
      </w:r>
    </w:p>
    <w:p>
      <w:pPr>
        <w:spacing w:after="0" w:line="24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Corporation does not have a Stockholder Rights Plan, otherwise known as a “Poison Pill.” Through our Governance Guidelines, the Board has communicated that it has no intention of adopting one at this time and if it were to adopt a Stockholder Rights Plan, the Board would seek stockholder ratification within 12 months of the date of adoption.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371475</wp:posOffset>
            </wp:positionV>
            <wp:extent cx="1440815" cy="3257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44081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808080"/>
        </w:rPr>
        <w:t>26</w:t>
      </w:r>
    </w:p>
    <w:p>
      <w:pPr>
        <w:sectPr>
          <w:pgSz w:w="11900" w:h="16838" w:orient="portrait"/>
          <w:cols w:equalWidth="0" w:num="1">
            <w:col w:w="11300"/>
          </w:cols>
          <w:pgMar w:left="240" w:top="292" w:right="359" w:bottom="1440" w:gutter="0" w:footer="0" w:header="0"/>
        </w:sectPr>
      </w:pPr>
    </w:p>
    <w:bookmarkStart w:id="29" w:name="page30"/>
    <w:bookmarkEnd w:id="29"/>
    <w:p>
      <w:pPr>
        <w:jc w:val="right"/>
        <w:spacing w:after="0"/>
        <w:rPr>
          <w:sz w:val="20"/>
          <w:szCs w:val="20"/>
          <w:color w:val="auto"/>
        </w:rPr>
      </w:pPr>
      <w:r>
        <w:rPr>
          <w:rFonts w:ascii="Arial" w:cs="Arial" w:eastAsia="Arial" w:hAnsi="Arial"/>
          <w:sz w:val="15"/>
          <w:szCs w:val="15"/>
          <w:color w:val="003478"/>
        </w:rPr>
        <w:t>Enterprise Risk and Sustainability</w:t>
      </w:r>
    </w:p>
    <w:p>
      <w:pPr>
        <w:spacing w:after="0" w:line="228" w:lineRule="exact"/>
        <w:rPr>
          <w:sz w:val="20"/>
          <w:szCs w:val="20"/>
          <w:color w:val="auto"/>
        </w:rPr>
      </w:pPr>
    </w:p>
    <w:p>
      <w:pPr>
        <w:spacing w:after="0"/>
        <w:rPr>
          <w:sz w:val="20"/>
          <w:szCs w:val="20"/>
          <w:color w:val="auto"/>
        </w:rPr>
      </w:pPr>
      <w:r>
        <w:rPr>
          <w:rFonts w:ascii="Arial" w:cs="Arial" w:eastAsia="Arial" w:hAnsi="Arial"/>
          <w:sz w:val="43"/>
          <w:szCs w:val="43"/>
          <w:color w:val="012E6C"/>
        </w:rPr>
        <w:t>Enterprise Risk and Sustainability</w:t>
      </w:r>
    </w:p>
    <w:p>
      <w:pPr>
        <w:sectPr>
          <w:pgSz w:w="11900" w:h="16838" w:orient="portrait"/>
          <w:cols w:equalWidth="0" w:num="1">
            <w:col w:w="11420"/>
          </w:cols>
          <w:pgMar w:left="240" w:top="292" w:right="239" w:bottom="1440" w:gutter="0" w:footer="0" w:header="0"/>
        </w:sectPr>
      </w:pPr>
    </w:p>
    <w:p>
      <w:pPr>
        <w:spacing w:after="0" w:line="341" w:lineRule="exact"/>
        <w:rPr>
          <w:sz w:val="20"/>
          <w:szCs w:val="20"/>
          <w:color w:val="auto"/>
        </w:rPr>
      </w:pPr>
    </w:p>
    <w:p>
      <w:pPr>
        <w:spacing w:after="0"/>
        <w:rPr>
          <w:sz w:val="20"/>
          <w:szCs w:val="20"/>
          <w:color w:val="auto"/>
        </w:rPr>
      </w:pPr>
      <w:r>
        <w:rPr>
          <w:rFonts w:ascii="Arial" w:cs="Arial" w:eastAsia="Arial" w:hAnsi="Arial"/>
          <w:sz w:val="29"/>
          <w:szCs w:val="29"/>
          <w:b w:val="1"/>
          <w:bCs w:val="1"/>
          <w:color w:val="012E6C"/>
        </w:rPr>
        <w:t>Sustainability Governance Structure</w:t>
      </w:r>
    </w:p>
    <w:p>
      <w:pPr>
        <w:spacing w:after="0" w:line="290" w:lineRule="exact"/>
        <w:rPr>
          <w:sz w:val="20"/>
          <w:szCs w:val="20"/>
          <w:color w:val="auto"/>
        </w:rPr>
      </w:pPr>
    </w:p>
    <w:p>
      <w:pPr>
        <w:ind w:left="40"/>
        <w:spacing w:after="0" w:line="237" w:lineRule="auto"/>
        <w:rPr>
          <w:sz w:val="20"/>
          <w:szCs w:val="20"/>
          <w:color w:val="auto"/>
        </w:rPr>
      </w:pPr>
      <w:r>
        <w:rPr>
          <w:rFonts w:ascii="Arial" w:cs="Arial" w:eastAsia="Arial" w:hAnsi="Arial"/>
          <w:sz w:val="17"/>
          <w:szCs w:val="17"/>
          <w:color w:val="auto"/>
        </w:rPr>
        <w:t>We take an integrated approach to managing a spectrum of corporate culture, ethics and business integrity, governance and sustainability through a risk management lens. Oversight of environmental, social and governance (ESG) matters follows our formal sustainability governance structure. This structure includes our Governance Committee, the executive leadership team and a working group of key functional leaders who partner to implement sustainability policies and processes across our operations. The Governance Committee is chartered by the Board of Directors to lead its oversight responsibilities relating to the Corporation’s ethical conduct, environmental stewardship, corporate culture, philanthropy, workforce diversity, health and safety.</w:t>
      </w:r>
    </w:p>
    <w:p>
      <w:pPr>
        <w:spacing w:after="0" w:line="66" w:lineRule="exact"/>
        <w:rPr>
          <w:sz w:val="20"/>
          <w:szCs w:val="20"/>
          <w:color w:val="auto"/>
        </w:rPr>
      </w:pPr>
    </w:p>
    <w:p>
      <w:pPr>
        <w:ind w:left="40"/>
        <w:spacing w:after="0"/>
        <w:rPr>
          <w:sz w:val="20"/>
          <w:szCs w:val="20"/>
          <w:color w:val="auto"/>
        </w:rPr>
      </w:pPr>
      <w:r>
        <w:rPr>
          <w:rFonts w:ascii="Arial" w:cs="Arial" w:eastAsia="Arial" w:hAnsi="Arial"/>
          <w:sz w:val="25"/>
          <w:szCs w:val="25"/>
          <w:color w:val="475C90"/>
        </w:rPr>
        <w:t>Relevant Issues and Strategic Priorities</w:t>
      </w:r>
    </w:p>
    <w:p>
      <w:pPr>
        <w:spacing w:after="0" w:line="120" w:lineRule="exact"/>
        <w:rPr>
          <w:sz w:val="20"/>
          <w:szCs w:val="20"/>
          <w:color w:val="auto"/>
        </w:rPr>
      </w:pPr>
    </w:p>
    <w:p>
      <w:pPr>
        <w:ind w:left="40" w:right="180"/>
        <w:spacing w:after="0" w:line="253" w:lineRule="auto"/>
        <w:rPr>
          <w:sz w:val="20"/>
          <w:szCs w:val="20"/>
          <w:color w:val="auto"/>
        </w:rPr>
      </w:pPr>
      <w:r>
        <w:rPr>
          <w:rFonts w:ascii="Arial" w:cs="Arial" w:eastAsia="Arial" w:hAnsi="Arial"/>
          <w:sz w:val="17"/>
          <w:szCs w:val="17"/>
          <w:color w:val="auto"/>
        </w:rPr>
        <w:t>We focus on five core sustainability issues and objectives. These five core issues include ESG topics that represent stakeholder priorities and drivers of long-term value creation.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817245</wp:posOffset>
            </wp:positionV>
            <wp:extent cx="2830195" cy="2693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830195" cy="2693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00"/>
        <w:spacing w:after="0"/>
        <w:rPr>
          <w:sz w:val="20"/>
          <w:szCs w:val="20"/>
          <w:color w:val="auto"/>
        </w:rPr>
      </w:pPr>
      <w:r>
        <w:rPr>
          <w:rFonts w:ascii="Arial" w:cs="Arial" w:eastAsia="Arial" w:hAnsi="Arial"/>
          <w:sz w:val="25"/>
          <w:szCs w:val="25"/>
          <w:color w:val="475C90"/>
        </w:rPr>
        <w:t>Sustainability 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-454025</wp:posOffset>
            </wp:positionV>
            <wp:extent cx="3258820" cy="9607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258820" cy="960755"/>
                    </a:xfrm>
                    <a:prstGeom prst="rect">
                      <a:avLst/>
                    </a:prstGeom>
                    <a:noFill/>
                  </pic:spPr>
                </pic:pic>
              </a:graphicData>
            </a:graphic>
          </wp:anchor>
        </w:drawing>
      </w:r>
    </w:p>
    <w:p>
      <w:pPr>
        <w:spacing w:after="0" w:line="100" w:lineRule="exact"/>
        <w:rPr>
          <w:sz w:val="20"/>
          <w:szCs w:val="20"/>
          <w:color w:val="auto"/>
        </w:rPr>
      </w:pPr>
    </w:p>
    <w:p>
      <w:pPr>
        <w:jc w:val="center"/>
        <w:ind w:right="100"/>
        <w:spacing w:after="0" w:line="253" w:lineRule="auto"/>
        <w:rPr>
          <w:sz w:val="20"/>
          <w:szCs w:val="20"/>
          <w:color w:val="auto"/>
        </w:rPr>
      </w:pPr>
      <w:r>
        <w:rPr>
          <w:rFonts w:ascii="Arial" w:cs="Arial" w:eastAsia="Arial" w:hAnsi="Arial"/>
          <w:sz w:val="17"/>
          <w:szCs w:val="17"/>
          <w:color w:val="auto"/>
        </w:rPr>
        <w:t>Our sustainability mission is to foster innovation, integrity and security to protect the environment, strengthen communities and propel responsible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114300</wp:posOffset>
            </wp:positionV>
            <wp:extent cx="3267075" cy="55657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267075" cy="5565775"/>
                    </a:xfrm>
                    <a:prstGeom prst="rect">
                      <a:avLst/>
                    </a:prstGeom>
                    <a:noFill/>
                  </pic:spPr>
                </pic:pic>
              </a:graphicData>
            </a:graphic>
          </wp:anchor>
        </w:drawing>
      </w:r>
    </w:p>
    <w:p>
      <w:pPr>
        <w:spacing w:after="0" w:line="1874" w:lineRule="exact"/>
        <w:rPr>
          <w:sz w:val="20"/>
          <w:szCs w:val="20"/>
          <w:color w:val="auto"/>
        </w:rPr>
      </w:pPr>
    </w:p>
    <w:p>
      <w:pPr>
        <w:sectPr>
          <w:pgSz w:w="11900" w:h="16838" w:orient="portrait"/>
          <w:cols w:equalWidth="0" w:num="2">
            <w:col w:w="6000" w:space="460"/>
            <w:col w:w="4960"/>
          </w:cols>
          <w:pgMar w:left="240" w:top="292"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0" w:right="5440"/>
        <w:spacing w:after="0" w:line="239" w:lineRule="auto"/>
        <w:rPr>
          <w:sz w:val="20"/>
          <w:szCs w:val="20"/>
          <w:color w:val="auto"/>
        </w:rPr>
      </w:pPr>
      <w:r>
        <w:rPr>
          <w:rFonts w:ascii="Arial" w:cs="Arial" w:eastAsia="Arial" w:hAnsi="Arial"/>
          <w:sz w:val="17"/>
          <w:szCs w:val="17"/>
          <w:color w:val="auto"/>
        </w:rPr>
        <w:t xml:space="preserve">Our independent directors who serve on the Governance Committee review performance against the Sustainability Management Plan (SMP), a set of targets that correspond to objectives associated with our five core issues listed above. The Governance Committee also approves the Corporation’s Code of Conduct </w:t>
      </w:r>
      <w:r>
        <w:rPr>
          <w:rFonts w:ascii="Arial" w:cs="Arial" w:eastAsia="Arial" w:hAnsi="Arial"/>
          <w:sz w:val="17"/>
          <w:szCs w:val="17"/>
          <w:i w:val="1"/>
          <w:iCs w:val="1"/>
          <w:color w:val="auto"/>
        </w:rPr>
        <w:t>(www.lockheedmartin.com/en-us/who-we-are/ethics/code-of-ethics.html</w:t>
      </w:r>
      <w:r>
        <w:rPr>
          <w:rFonts w:ascii="Arial" w:cs="Arial" w:eastAsia="Arial" w:hAnsi="Arial"/>
          <w:sz w:val="17"/>
          <w:szCs w:val="17"/>
          <w:color w:val="auto"/>
        </w:rPr>
        <w:t>) and annual Sustainability Report (</w:t>
      </w:r>
      <w:r>
        <w:rPr>
          <w:rFonts w:ascii="Arial" w:cs="Arial" w:eastAsia="Arial" w:hAnsi="Arial"/>
          <w:sz w:val="17"/>
          <w:szCs w:val="17"/>
          <w:i w:val="1"/>
          <w:iCs w:val="1"/>
          <w:color w:val="auto"/>
        </w:rPr>
        <w:t>www.lockheedmartin.com/en-us/who-we-are/sustainability.html).</w:t>
      </w:r>
    </w:p>
    <w:p>
      <w:pPr>
        <w:spacing w:after="0" w:line="177"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Led by our Chairman and CEO, the executive leadership team guides and governs corporate-wide sustainability objectives and initiatives. Our lead sustainability executive is the Senior Vice President, Ethics and Enterprise Assurance, who reports to the Chairman and CEO and the Governance Committee. This role chairs our cross-functional working group chartered by company policy to implement sustainability.</w:t>
      </w:r>
    </w:p>
    <w:p>
      <w:pPr>
        <w:sectPr>
          <w:pgSz w:w="11900" w:h="16838" w:orient="portrait"/>
          <w:cols w:equalWidth="0" w:num="1">
            <w:col w:w="11420"/>
          </w:cols>
          <w:pgMar w:left="240" w:top="292" w:right="239" w:bottom="1440" w:gutter="0" w:footer="0" w:header="0"/>
          <w:type w:val="continuous"/>
        </w:sectPr>
      </w:pPr>
    </w:p>
    <w:p>
      <w:pPr>
        <w:spacing w:after="0" w:line="200" w:lineRule="exact"/>
        <w:rPr>
          <w:sz w:val="20"/>
          <w:szCs w:val="20"/>
          <w:color w:val="auto"/>
        </w:rPr>
      </w:pPr>
    </w:p>
    <w:p>
      <w:pPr>
        <w:spacing w:after="0" w:line="254" w:lineRule="exact"/>
        <w:rPr>
          <w:sz w:val="20"/>
          <w:szCs w:val="20"/>
          <w:color w:val="auto"/>
        </w:rPr>
      </w:pPr>
    </w:p>
    <w:p>
      <w:pPr>
        <w:ind w:left="40"/>
        <w:spacing w:after="0"/>
        <w:tabs>
          <w:tab w:leader="none" w:pos="9420" w:val="left"/>
          <w:tab w:leader="none" w:pos="1122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2019 Proxy Statement</w:t>
      </w:r>
      <w:r>
        <w:rPr>
          <w:sz w:val="20"/>
          <w:szCs w:val="20"/>
          <w:color w:val="auto"/>
        </w:rPr>
        <w:tab/>
      </w:r>
      <w:r>
        <w:rPr>
          <w:rFonts w:ascii="Arial" w:cs="Arial" w:eastAsia="Arial" w:hAnsi="Arial"/>
          <w:sz w:val="14"/>
          <w:szCs w:val="14"/>
          <w:b w:val="1"/>
          <w:bCs w:val="1"/>
          <w:color w:val="808080"/>
        </w:rPr>
        <w:t>27</w:t>
      </w:r>
    </w:p>
    <w:p>
      <w:pPr>
        <w:sectPr>
          <w:pgSz w:w="11900" w:h="16838" w:orient="portrait"/>
          <w:cols w:equalWidth="0" w:num="1">
            <w:col w:w="11420"/>
          </w:cols>
          <w:pgMar w:left="240" w:top="292" w:right="2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5"/>
          <w:szCs w:val="15"/>
          <w:color w:val="003478"/>
        </w:rPr>
        <w:t>Enterprise Risk and Sustainability</w:t>
      </w:r>
    </w:p>
    <w:p>
      <w:pPr>
        <w:spacing w:after="0" w:line="280" w:lineRule="exact"/>
        <w:rPr>
          <w:sz w:val="20"/>
          <w:szCs w:val="20"/>
          <w:color w:val="auto"/>
        </w:rPr>
      </w:pPr>
    </w:p>
    <w:p>
      <w:pPr>
        <w:spacing w:after="0"/>
        <w:rPr>
          <w:sz w:val="20"/>
          <w:szCs w:val="20"/>
          <w:color w:val="auto"/>
        </w:rPr>
      </w:pPr>
      <w:r>
        <w:rPr>
          <w:rFonts w:ascii="Arial" w:cs="Arial" w:eastAsia="Arial" w:hAnsi="Arial"/>
          <w:sz w:val="29"/>
          <w:szCs w:val="29"/>
          <w:b w:val="1"/>
          <w:bCs w:val="1"/>
          <w:color w:val="012E6C"/>
        </w:rPr>
        <w:t>Sustainability Program Highlights</w:t>
      </w:r>
    </w:p>
    <w:p>
      <w:pPr>
        <w:spacing w:after="0" w:line="142"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color w:val="auto"/>
        </w:rPr>
        <w:t>In 2018, Lockheed Martin published its seventh annual Sustainability Report which discloses our ESG performance results, and is prepared in accordance with the Global Reporting Initiative (GRI) Standards: Core option.</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Also in 2018, Lockheed Martin:</w:t>
      </w:r>
    </w:p>
    <w:p>
      <w:pPr>
        <w:spacing w:after="0" w:line="129" w:lineRule="exact"/>
        <w:rPr>
          <w:sz w:val="20"/>
          <w:szCs w:val="20"/>
          <w:color w:val="auto"/>
        </w:rPr>
      </w:pPr>
    </w:p>
    <w:p>
      <w:pPr>
        <w:ind w:left="260" w:right="60" w:hanging="171"/>
        <w:spacing w:after="0" w:line="308" w:lineRule="auto"/>
        <w:tabs>
          <w:tab w:leader="none" w:pos="260" w:val="left"/>
        </w:tabs>
        <w:numPr>
          <w:ilvl w:val="0"/>
          <w:numId w:val="60"/>
        </w:numPr>
        <w:rPr>
          <w:rFonts w:ascii="Arial" w:cs="Arial" w:eastAsia="Arial" w:hAnsi="Arial"/>
          <w:sz w:val="17"/>
          <w:szCs w:val="17"/>
          <w:color w:val="012E6C"/>
        </w:rPr>
      </w:pPr>
      <w:r>
        <w:rPr>
          <w:rFonts w:ascii="Arial" w:cs="Arial" w:eastAsia="Arial" w:hAnsi="Arial"/>
          <w:sz w:val="17"/>
          <w:szCs w:val="17"/>
          <w:color w:val="auto"/>
        </w:rPr>
        <w:t>met 78 percent of our SMP targets, which included 17 new goals and 11 continuing goals aimed at improving enterprise performance in each of our core issues: business integrity, product impact, employee wellbeing, resource efficiency and information security;</w:t>
      </w:r>
    </w:p>
    <w:p>
      <w:pPr>
        <w:spacing w:after="0" w:line="38" w:lineRule="exact"/>
        <w:rPr>
          <w:rFonts w:ascii="Arial" w:cs="Arial" w:eastAsia="Arial" w:hAnsi="Arial"/>
          <w:sz w:val="17"/>
          <w:szCs w:val="17"/>
          <w:color w:val="012E6C"/>
        </w:rPr>
      </w:pPr>
    </w:p>
    <w:p>
      <w:pPr>
        <w:ind w:left="260" w:right="60" w:hanging="171"/>
        <w:spacing w:after="0" w:line="308" w:lineRule="auto"/>
        <w:tabs>
          <w:tab w:leader="none" w:pos="260" w:val="left"/>
        </w:tabs>
        <w:numPr>
          <w:ilvl w:val="0"/>
          <w:numId w:val="60"/>
        </w:numPr>
        <w:rPr>
          <w:rFonts w:ascii="Arial" w:cs="Arial" w:eastAsia="Arial" w:hAnsi="Arial"/>
          <w:sz w:val="17"/>
          <w:szCs w:val="17"/>
          <w:color w:val="012E6C"/>
        </w:rPr>
      </w:pPr>
      <w:r>
        <w:rPr>
          <w:rFonts w:ascii="Arial" w:cs="Arial" w:eastAsia="Arial" w:hAnsi="Arial"/>
          <w:sz w:val="17"/>
          <w:szCs w:val="17"/>
          <w:color w:val="auto"/>
        </w:rPr>
        <w:t>was the only U.S. aerospace and defense company to be named to the RobecoSAM Dow Jones Sustainability World Index. DJSI World represents the top 10 percent of companies globally for excellence in sustainability performance;</w:t>
      </w:r>
    </w:p>
    <w:p>
      <w:pPr>
        <w:spacing w:after="0" w:line="38" w:lineRule="exact"/>
        <w:rPr>
          <w:rFonts w:ascii="Arial" w:cs="Arial" w:eastAsia="Arial" w:hAnsi="Arial"/>
          <w:sz w:val="17"/>
          <w:szCs w:val="17"/>
          <w:color w:val="012E6C"/>
        </w:rPr>
      </w:pPr>
    </w:p>
    <w:p>
      <w:pPr>
        <w:ind w:left="260" w:right="340" w:hanging="171"/>
        <w:spacing w:after="0" w:line="308" w:lineRule="auto"/>
        <w:tabs>
          <w:tab w:leader="none" w:pos="260" w:val="left"/>
        </w:tabs>
        <w:numPr>
          <w:ilvl w:val="0"/>
          <w:numId w:val="60"/>
        </w:numPr>
        <w:rPr>
          <w:rFonts w:ascii="Arial" w:cs="Arial" w:eastAsia="Arial" w:hAnsi="Arial"/>
          <w:sz w:val="17"/>
          <w:szCs w:val="17"/>
          <w:color w:val="012E6C"/>
        </w:rPr>
      </w:pPr>
      <w:r>
        <w:rPr>
          <w:rFonts w:ascii="Arial" w:cs="Arial" w:eastAsia="Arial" w:hAnsi="Arial"/>
          <w:sz w:val="17"/>
          <w:szCs w:val="17"/>
          <w:color w:val="auto"/>
        </w:rPr>
        <w:t>placed 13th on CR Magazine's list of the 100 Best Corporate Citizens for sustainability performance, with our rankings improving in the areas of climate change, corporate governance and human rights;</w:t>
      </w:r>
    </w:p>
    <w:p>
      <w:pPr>
        <w:spacing w:after="0" w:line="38" w:lineRule="exact"/>
        <w:rPr>
          <w:rFonts w:ascii="Arial" w:cs="Arial" w:eastAsia="Arial" w:hAnsi="Arial"/>
          <w:sz w:val="17"/>
          <w:szCs w:val="17"/>
          <w:color w:val="012E6C"/>
        </w:rPr>
      </w:pPr>
    </w:p>
    <w:p>
      <w:pPr>
        <w:ind w:left="260" w:hanging="171"/>
        <w:spacing w:after="0"/>
        <w:tabs>
          <w:tab w:leader="none" w:pos="260" w:val="left"/>
        </w:tabs>
        <w:numPr>
          <w:ilvl w:val="0"/>
          <w:numId w:val="60"/>
        </w:numPr>
        <w:rPr>
          <w:rFonts w:ascii="Arial" w:cs="Arial" w:eastAsia="Arial" w:hAnsi="Arial"/>
          <w:sz w:val="17"/>
          <w:szCs w:val="17"/>
          <w:color w:val="012E6C"/>
        </w:rPr>
      </w:pPr>
      <w:r>
        <w:rPr>
          <w:rFonts w:ascii="Arial" w:cs="Arial" w:eastAsia="Arial" w:hAnsi="Arial"/>
          <w:sz w:val="17"/>
          <w:szCs w:val="17"/>
          <w:color w:val="auto"/>
        </w:rPr>
        <w:t>earned an A rating from MSCI for ESG management and performance; and</w:t>
      </w:r>
    </w:p>
    <w:p>
      <w:pPr>
        <w:spacing w:after="0" w:line="128" w:lineRule="exact"/>
        <w:rPr>
          <w:rFonts w:ascii="Arial" w:cs="Arial" w:eastAsia="Arial" w:hAnsi="Arial"/>
          <w:sz w:val="17"/>
          <w:szCs w:val="17"/>
          <w:color w:val="012E6C"/>
        </w:rPr>
      </w:pPr>
    </w:p>
    <w:p>
      <w:pPr>
        <w:ind w:left="260" w:hanging="171"/>
        <w:spacing w:after="0"/>
        <w:tabs>
          <w:tab w:leader="none" w:pos="260" w:val="left"/>
        </w:tabs>
        <w:numPr>
          <w:ilvl w:val="0"/>
          <w:numId w:val="60"/>
        </w:numPr>
        <w:rPr>
          <w:rFonts w:ascii="Arial" w:cs="Arial" w:eastAsia="Arial" w:hAnsi="Arial"/>
          <w:sz w:val="17"/>
          <w:szCs w:val="17"/>
          <w:color w:val="012E6C"/>
        </w:rPr>
      </w:pPr>
      <w:r>
        <w:rPr>
          <w:rFonts w:ascii="Arial" w:cs="Arial" w:eastAsia="Arial" w:hAnsi="Arial"/>
          <w:sz w:val="17"/>
          <w:szCs w:val="17"/>
          <w:color w:val="auto"/>
        </w:rPr>
        <w:t>was recognized by the Climate Disclosure Project (CDP) within its Climate A 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4612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2461260"/>
                    </a:xfrm>
                    <a:prstGeom prst="rect">
                      <a:avLst/>
                    </a:prstGeom>
                    <a:noFill/>
                  </pic:spPr>
                </pic:pic>
              </a:graphicData>
            </a:graphic>
          </wp:anchor>
        </w:drawing>
      </w:r>
    </w:p>
    <w:p>
      <w:pPr>
        <w:spacing w:after="0" w:line="241"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012E6C"/>
        </w:rPr>
        <w:t>Enterprise Risk and Sustainability Priorities</w:t>
      </w:r>
    </w:p>
    <w:p>
      <w:pPr>
        <w:spacing w:after="0" w:line="128" w:lineRule="exact"/>
        <w:rPr>
          <w:sz w:val="20"/>
          <w:szCs w:val="20"/>
          <w:color w:val="auto"/>
        </w:rPr>
      </w:pPr>
    </w:p>
    <w:p>
      <w:pPr>
        <w:ind w:left="120" w:right="640"/>
        <w:spacing w:after="0" w:line="275" w:lineRule="auto"/>
        <w:rPr>
          <w:sz w:val="20"/>
          <w:szCs w:val="20"/>
          <w:color w:val="auto"/>
        </w:rPr>
      </w:pPr>
      <w:r>
        <w:rPr>
          <w:rFonts w:ascii="Arial" w:cs="Arial" w:eastAsia="Arial" w:hAnsi="Arial"/>
          <w:sz w:val="17"/>
          <w:szCs w:val="17"/>
          <w:color w:val="auto"/>
        </w:rPr>
        <w:t>Our sustainability strategy aligns stakeholder priorities with our Corporation’s ESG impacts. To build integrated assurance, enterprise risk and sustainability are managed jointly in one department and mutually reinforced through the following processes:</w:t>
      </w:r>
    </w:p>
    <w:p>
      <w:pPr>
        <w:spacing w:after="0" w:line="38" w:lineRule="exact"/>
        <w:rPr>
          <w:sz w:val="20"/>
          <w:szCs w:val="20"/>
          <w:color w:val="auto"/>
        </w:rPr>
      </w:pPr>
    </w:p>
    <w:p>
      <w:pPr>
        <w:ind w:left="360" w:right="200" w:hanging="163"/>
        <w:spacing w:after="0" w:line="275" w:lineRule="auto"/>
        <w:tabs>
          <w:tab w:leader="none" w:pos="408" w:val="left"/>
        </w:tabs>
        <w:numPr>
          <w:ilvl w:val="0"/>
          <w:numId w:val="61"/>
        </w:numPr>
        <w:rPr>
          <w:rFonts w:ascii="Arial" w:cs="Arial" w:eastAsia="Arial" w:hAnsi="Arial"/>
          <w:sz w:val="14"/>
          <w:szCs w:val="14"/>
          <w:color w:val="012E6C"/>
        </w:rPr>
      </w:pPr>
      <w:r>
        <w:rPr>
          <w:rFonts w:ascii="Arial" w:cs="Arial" w:eastAsia="Arial" w:hAnsi="Arial"/>
          <w:sz w:val="17"/>
          <w:szCs w:val="17"/>
          <w:color w:val="012E6C"/>
        </w:rPr>
        <w:t xml:space="preserve">Risk Identification: </w:t>
      </w:r>
      <w:r>
        <w:rPr>
          <w:rFonts w:ascii="Arial" w:cs="Arial" w:eastAsia="Arial" w:hAnsi="Arial"/>
          <w:sz w:val="17"/>
          <w:szCs w:val="17"/>
          <w:color w:val="000000"/>
        </w:rPr>
        <w:t>We monitor a dynamic risk universe that includes ESG topics prevalent in voluntary frameworks, mandatory regulations, and</w:t>
      </w:r>
      <w:r>
        <w:rPr>
          <w:rFonts w:ascii="Arial" w:cs="Arial" w:eastAsia="Arial" w:hAnsi="Arial"/>
          <w:sz w:val="17"/>
          <w:szCs w:val="17"/>
          <w:color w:val="012E6C"/>
        </w:rPr>
        <w:t xml:space="preserve"> </w:t>
      </w:r>
      <w:r>
        <w:rPr>
          <w:rFonts w:ascii="Arial" w:cs="Arial" w:eastAsia="Arial" w:hAnsi="Arial"/>
          <w:sz w:val="17"/>
          <w:szCs w:val="17"/>
          <w:color w:val="000000"/>
        </w:rPr>
        <w:t>internally identified sources.</w:t>
      </w:r>
    </w:p>
    <w:p>
      <w:pPr>
        <w:spacing w:after="0" w:line="38" w:lineRule="exact"/>
        <w:rPr>
          <w:rFonts w:ascii="Arial" w:cs="Arial" w:eastAsia="Arial" w:hAnsi="Arial"/>
          <w:sz w:val="14"/>
          <w:szCs w:val="14"/>
          <w:color w:val="012E6C"/>
        </w:rPr>
      </w:pPr>
    </w:p>
    <w:p>
      <w:pPr>
        <w:ind w:left="360" w:right="840" w:hanging="163"/>
        <w:spacing w:after="0" w:line="275" w:lineRule="auto"/>
        <w:tabs>
          <w:tab w:leader="none" w:pos="408" w:val="left"/>
        </w:tabs>
        <w:numPr>
          <w:ilvl w:val="0"/>
          <w:numId w:val="61"/>
        </w:numPr>
        <w:rPr>
          <w:rFonts w:ascii="Arial" w:cs="Arial" w:eastAsia="Arial" w:hAnsi="Arial"/>
          <w:sz w:val="14"/>
          <w:szCs w:val="14"/>
          <w:color w:val="012E6C"/>
        </w:rPr>
      </w:pPr>
      <w:r>
        <w:rPr>
          <w:rFonts w:ascii="Arial" w:cs="Arial" w:eastAsia="Arial" w:hAnsi="Arial"/>
          <w:sz w:val="17"/>
          <w:szCs w:val="17"/>
          <w:color w:val="012E6C"/>
        </w:rPr>
        <w:t xml:space="preserve">Risk Assessment: </w:t>
      </w:r>
      <w:r>
        <w:rPr>
          <w:rFonts w:ascii="Arial" w:cs="Arial" w:eastAsia="Arial" w:hAnsi="Arial"/>
          <w:sz w:val="17"/>
          <w:szCs w:val="17"/>
          <w:color w:val="000000"/>
        </w:rPr>
        <w:t>We prioritize and evaluate assumptions from a diverse set of risk topics that are relevant to strategic and operational</w:t>
      </w:r>
      <w:r>
        <w:rPr>
          <w:rFonts w:ascii="Arial" w:cs="Arial" w:eastAsia="Arial" w:hAnsi="Arial"/>
          <w:sz w:val="17"/>
          <w:szCs w:val="17"/>
          <w:color w:val="012E6C"/>
        </w:rPr>
        <w:t xml:space="preserve"> </w:t>
      </w:r>
      <w:r>
        <w:rPr>
          <w:rFonts w:ascii="Arial" w:cs="Arial" w:eastAsia="Arial" w:hAnsi="Arial"/>
          <w:sz w:val="17"/>
          <w:szCs w:val="17"/>
          <w:color w:val="000000"/>
        </w:rPr>
        <w:t>objectives. This includes examining environmental and social factors applicable to risk topics in our business.</w:t>
      </w:r>
    </w:p>
    <w:p>
      <w:pPr>
        <w:spacing w:after="0" w:line="38" w:lineRule="exact"/>
        <w:rPr>
          <w:rFonts w:ascii="Arial" w:cs="Arial" w:eastAsia="Arial" w:hAnsi="Arial"/>
          <w:sz w:val="14"/>
          <w:szCs w:val="14"/>
          <w:color w:val="012E6C"/>
        </w:rPr>
      </w:pPr>
    </w:p>
    <w:p>
      <w:pPr>
        <w:ind w:left="360" w:right="40" w:hanging="163"/>
        <w:spacing w:after="0" w:line="246" w:lineRule="auto"/>
        <w:tabs>
          <w:tab w:leader="none" w:pos="408" w:val="left"/>
        </w:tabs>
        <w:numPr>
          <w:ilvl w:val="0"/>
          <w:numId w:val="61"/>
        </w:numPr>
        <w:rPr>
          <w:rFonts w:ascii="Arial" w:cs="Arial" w:eastAsia="Arial" w:hAnsi="Arial"/>
          <w:sz w:val="14"/>
          <w:szCs w:val="14"/>
          <w:color w:val="012E6C"/>
        </w:rPr>
      </w:pPr>
      <w:r>
        <w:rPr>
          <w:rFonts w:ascii="Arial" w:cs="Arial" w:eastAsia="Arial" w:hAnsi="Arial"/>
          <w:sz w:val="17"/>
          <w:szCs w:val="17"/>
          <w:color w:val="012E6C"/>
        </w:rPr>
        <w:t xml:space="preserve">Risk Controls and Mitigation: </w:t>
      </w:r>
      <w:r>
        <w:rPr>
          <w:rFonts w:ascii="Arial" w:cs="Arial" w:eastAsia="Arial" w:hAnsi="Arial"/>
          <w:sz w:val="17"/>
          <w:szCs w:val="17"/>
          <w:color w:val="000000"/>
        </w:rPr>
        <w:t>Through the Risk Audit Strategy Board (a periodic, rigorous examination of intersection between our Enterprise Risk</w:t>
      </w:r>
      <w:r>
        <w:rPr>
          <w:rFonts w:ascii="Arial" w:cs="Arial" w:eastAsia="Arial" w:hAnsi="Arial"/>
          <w:sz w:val="17"/>
          <w:szCs w:val="17"/>
          <w:color w:val="012E6C"/>
        </w:rPr>
        <w:t xml:space="preserve"> </w:t>
      </w:r>
      <w:r>
        <w:rPr>
          <w:rFonts w:ascii="Arial" w:cs="Arial" w:eastAsia="Arial" w:hAnsi="Arial"/>
          <w:sz w:val="17"/>
          <w:szCs w:val="17"/>
          <w:color w:val="000000"/>
        </w:rPr>
        <w:t>heat map index and our internal audit plan) we mitigate risk related to several ESG factors, and we track, measure and report our performance for greater transparency. This process also informs how we evaluate the effectiveness of controls for risk elements identified through our enterprise risk assessments, corporate policies and internal audits.</w:t>
      </w:r>
    </w:p>
    <w:p>
      <w:pPr>
        <w:spacing w:after="0" w:line="63" w:lineRule="exact"/>
        <w:rPr>
          <w:sz w:val="20"/>
          <w:szCs w:val="20"/>
          <w:color w:val="auto"/>
        </w:rPr>
      </w:pPr>
    </w:p>
    <w:p>
      <w:pPr>
        <w:ind w:left="120" w:right="100"/>
        <w:spacing w:after="0" w:line="241" w:lineRule="auto"/>
        <w:rPr>
          <w:sz w:val="20"/>
          <w:szCs w:val="20"/>
          <w:color w:val="auto"/>
        </w:rPr>
      </w:pPr>
      <w:r>
        <w:rPr>
          <w:rFonts w:ascii="Arial" w:cs="Arial" w:eastAsia="Arial" w:hAnsi="Arial"/>
          <w:sz w:val="17"/>
          <w:szCs w:val="17"/>
          <w:color w:val="auto"/>
        </w:rPr>
        <w:t xml:space="preserve">These linkages extend to operational elements of our business. Our Employee Wellbeing core issue emphasizes talent recruitment and talent development, two factors essential to identifying critical skills and helping employees reach their full potential. In alignment with our Information Security core issue, we educate and direct suppliers to resources to strengthen their abilities to counter data security and privacy threats, which are integral to our buying decisions. We teach small and disadvantaged businesses how to increase operational efficiency, secure contracts and </w:t>
      </w:r>
      <w:r>
        <w:rPr>
          <w:rFonts w:ascii="Arial" w:cs="Arial" w:eastAsia="Arial" w:hAnsi="Arial"/>
          <w:sz w:val="16"/>
          <w:szCs w:val="16"/>
          <w:color w:val="auto"/>
        </w:rPr>
        <w:t>manage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ethics and sustainability impacts as stressed in our Business Integrity core issue.</w:t>
      </w:r>
    </w:p>
    <w:p>
      <w:pPr>
        <w:spacing w:after="0" w:line="94" w:lineRule="exact"/>
        <w:rPr>
          <w:sz w:val="20"/>
          <w:szCs w:val="20"/>
          <w:color w:val="auto"/>
        </w:rPr>
      </w:pPr>
    </w:p>
    <w:p>
      <w:pPr>
        <w:spacing w:after="0"/>
        <w:rPr>
          <w:sz w:val="20"/>
          <w:szCs w:val="20"/>
          <w:color w:val="auto"/>
        </w:rPr>
      </w:pPr>
      <w:r>
        <w:rPr>
          <w:rFonts w:ascii="Arial" w:cs="Arial" w:eastAsia="Arial" w:hAnsi="Arial"/>
          <w:sz w:val="29"/>
          <w:szCs w:val="29"/>
          <w:b w:val="1"/>
          <w:bCs w:val="1"/>
          <w:color w:val="012E6C"/>
        </w:rPr>
        <w:t>Enterprise Risk Management Highlights</w:t>
      </w:r>
    </w:p>
    <w:p>
      <w:pPr>
        <w:spacing w:after="0" w:line="142"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 prominent oversight responsibility of the Board concerns management of corporate risk-taking to achieve strategic objectives and monitoring of risk mitigation effectiveness. The Audit Committee reviews the state of enterprise risk governance; assessments of risks that may impact achievement of strategy and business objectives; risk disclosures and reporting; and management evaluations of risk mitigation performance. Other Board committees also supervise management's execution of additional subject-specific risk elements relevant to their responsibilities, such as cybersecurity and ethical business 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7" w:lineRule="exact"/>
        <w:rPr>
          <w:sz w:val="20"/>
          <w:szCs w:val="20"/>
          <w:color w:val="auto"/>
        </w:rPr>
      </w:pPr>
    </w:p>
    <w:p>
      <w:pPr>
        <w:ind w:left="40"/>
        <w:spacing w:after="0"/>
        <w:rPr>
          <w:sz w:val="20"/>
          <w:szCs w:val="20"/>
          <w:color w:val="auto"/>
        </w:rPr>
      </w:pPr>
      <w:r>
        <w:rPr>
          <w:rFonts w:ascii="Arial" w:cs="Arial" w:eastAsia="Arial" w:hAnsi="Arial"/>
          <w:sz w:val="16"/>
          <w:szCs w:val="16"/>
          <w:color w:val="003478"/>
        </w:rPr>
        <w:t>Risk Governance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20" w:type="dxa"/>
            <w:vAlign w:val="bottom"/>
            <w:tcBorders>
              <w:bottom w:val="single" w:sz="8" w:color="959595"/>
            </w:tcBorders>
            <w:shd w:val="clear" w:color="auto" w:fill="ECECEC"/>
          </w:tcPr>
          <w:p>
            <w:pPr>
              <w:ind w:left="40"/>
              <w:spacing w:after="0"/>
              <w:rPr>
                <w:sz w:val="20"/>
                <w:szCs w:val="20"/>
                <w:color w:val="auto"/>
              </w:rPr>
            </w:pPr>
            <w:r>
              <w:rPr>
                <w:rFonts w:ascii="Arial" w:cs="Arial" w:eastAsia="Arial" w:hAnsi="Arial"/>
                <w:sz w:val="13"/>
                <w:szCs w:val="13"/>
                <w:color w:val="auto"/>
              </w:rPr>
              <w:t>Board Committee</w:t>
            </w:r>
          </w:p>
        </w:tc>
        <w:tc>
          <w:tcPr>
            <w:tcW w:w="8600" w:type="dxa"/>
            <w:vAlign w:val="bottom"/>
            <w:tcBorders>
              <w:bottom w:val="single" w:sz="8" w:color="959595"/>
            </w:tcBorders>
            <w:shd w:val="clear" w:color="auto" w:fill="ECECEC"/>
          </w:tcPr>
          <w:p>
            <w:pPr>
              <w:ind w:left="80"/>
              <w:spacing w:after="0"/>
              <w:rPr>
                <w:sz w:val="20"/>
                <w:szCs w:val="20"/>
                <w:color w:val="auto"/>
              </w:rPr>
            </w:pPr>
            <w:r>
              <w:rPr>
                <w:rFonts w:ascii="Arial" w:cs="Arial" w:eastAsia="Arial" w:hAnsi="Arial"/>
                <w:sz w:val="13"/>
                <w:szCs w:val="13"/>
                <w:color w:val="auto"/>
              </w:rPr>
              <w:t>Risk Mitigation Purview</w:t>
            </w:r>
          </w:p>
        </w:tc>
      </w:tr>
      <w:tr>
        <w:trPr>
          <w:trHeight w:val="236"/>
        </w:trPr>
        <w:tc>
          <w:tcPr>
            <w:tcW w:w="2820" w:type="dxa"/>
            <w:vAlign w:val="bottom"/>
            <w:tcBorders>
              <w:bottom w:val="single" w:sz="8" w:color="959595"/>
            </w:tcBorders>
          </w:tcPr>
          <w:p>
            <w:pPr>
              <w:ind w:left="40"/>
              <w:spacing w:after="0"/>
              <w:rPr>
                <w:sz w:val="20"/>
                <w:szCs w:val="20"/>
                <w:color w:val="auto"/>
              </w:rPr>
            </w:pPr>
            <w:r>
              <w:rPr>
                <w:rFonts w:ascii="Arial" w:cs="Arial" w:eastAsia="Arial" w:hAnsi="Arial"/>
                <w:sz w:val="17"/>
                <w:szCs w:val="17"/>
                <w:b w:val="1"/>
                <w:bCs w:val="1"/>
                <w:color w:val="012E6C"/>
              </w:rPr>
              <w:t>Audit</w:t>
            </w:r>
          </w:p>
        </w:tc>
        <w:tc>
          <w:tcPr>
            <w:tcW w:w="8600" w:type="dxa"/>
            <w:vAlign w:val="bottom"/>
            <w:tcBorders>
              <w:bottom w:val="single" w:sz="8" w:color="959595"/>
            </w:tcBorders>
          </w:tcPr>
          <w:p>
            <w:pPr>
              <w:ind w:left="80"/>
              <w:spacing w:after="0"/>
              <w:rPr>
                <w:sz w:val="20"/>
                <w:szCs w:val="20"/>
                <w:color w:val="auto"/>
              </w:rPr>
            </w:pPr>
            <w:r>
              <w:rPr>
                <w:rFonts w:ascii="Arial" w:cs="Arial" w:eastAsia="Arial" w:hAnsi="Arial"/>
                <w:sz w:val="17"/>
                <w:szCs w:val="17"/>
                <w:color w:val="auto"/>
              </w:rPr>
              <w:t>Financial and compliance risks and risk identification process</w:t>
            </w:r>
          </w:p>
        </w:tc>
      </w:tr>
      <w:tr>
        <w:trPr>
          <w:trHeight w:val="237"/>
        </w:trPr>
        <w:tc>
          <w:tcPr>
            <w:tcW w:w="2820" w:type="dxa"/>
            <w:vAlign w:val="bottom"/>
            <w:tcBorders>
              <w:bottom w:val="single" w:sz="8" w:color="959595"/>
            </w:tcBorders>
          </w:tcPr>
          <w:p>
            <w:pPr>
              <w:ind w:left="40"/>
              <w:spacing w:after="0"/>
              <w:rPr>
                <w:sz w:val="20"/>
                <w:szCs w:val="20"/>
                <w:color w:val="auto"/>
              </w:rPr>
            </w:pPr>
            <w:r>
              <w:rPr>
                <w:rFonts w:ascii="Arial" w:cs="Arial" w:eastAsia="Arial" w:hAnsi="Arial"/>
                <w:sz w:val="17"/>
                <w:szCs w:val="17"/>
                <w:b w:val="1"/>
                <w:bCs w:val="1"/>
                <w:color w:val="012E6C"/>
              </w:rPr>
              <w:t>Classified Business and Security</w:t>
            </w:r>
          </w:p>
        </w:tc>
        <w:tc>
          <w:tcPr>
            <w:tcW w:w="8600" w:type="dxa"/>
            <w:vAlign w:val="bottom"/>
            <w:tcBorders>
              <w:bottom w:val="single" w:sz="8" w:color="959595"/>
            </w:tcBorders>
          </w:tcPr>
          <w:p>
            <w:pPr>
              <w:ind w:left="80"/>
              <w:spacing w:after="0"/>
              <w:rPr>
                <w:sz w:val="20"/>
                <w:szCs w:val="20"/>
                <w:color w:val="auto"/>
              </w:rPr>
            </w:pPr>
            <w:r>
              <w:rPr>
                <w:rFonts w:ascii="Arial" w:cs="Arial" w:eastAsia="Arial" w:hAnsi="Arial"/>
                <w:sz w:val="17"/>
                <w:szCs w:val="17"/>
                <w:color w:val="auto"/>
              </w:rPr>
              <w:t>Classified programs and security of personnel, facilities and data-related risks including cybersecurity</w:t>
            </w:r>
          </w:p>
        </w:tc>
      </w:tr>
      <w:tr>
        <w:trPr>
          <w:trHeight w:val="180"/>
        </w:trPr>
        <w:tc>
          <w:tcPr>
            <w:tcW w:w="2820" w:type="dxa"/>
            <w:vAlign w:val="bottom"/>
          </w:tcPr>
          <w:p>
            <w:pPr>
              <w:ind w:left="40"/>
              <w:spacing w:after="0" w:line="180" w:lineRule="exact"/>
              <w:rPr>
                <w:sz w:val="20"/>
                <w:szCs w:val="20"/>
                <w:color w:val="auto"/>
              </w:rPr>
            </w:pPr>
            <w:r>
              <w:rPr>
                <w:rFonts w:ascii="Arial" w:cs="Arial" w:eastAsia="Arial" w:hAnsi="Arial"/>
                <w:sz w:val="17"/>
                <w:szCs w:val="17"/>
                <w:b w:val="1"/>
                <w:bCs w:val="1"/>
                <w:color w:val="012E6C"/>
              </w:rPr>
              <w:t>Nominating and Corporate</w:t>
            </w:r>
          </w:p>
        </w:tc>
        <w:tc>
          <w:tcPr>
            <w:tcW w:w="8600" w:type="dxa"/>
            <w:vAlign w:val="bottom"/>
          </w:tcPr>
          <w:p>
            <w:pPr>
              <w:ind w:left="80"/>
              <w:spacing w:after="0" w:line="180" w:lineRule="exact"/>
              <w:rPr>
                <w:sz w:val="20"/>
                <w:szCs w:val="20"/>
                <w:color w:val="auto"/>
              </w:rPr>
            </w:pPr>
            <w:r>
              <w:rPr>
                <w:rFonts w:ascii="Arial" w:cs="Arial" w:eastAsia="Arial" w:hAnsi="Arial"/>
                <w:sz w:val="17"/>
                <w:szCs w:val="17"/>
                <w:color w:val="auto"/>
              </w:rPr>
              <w:t>Board composition, corporate governance, employee safety and health, ethical conduct, culture, human capital</w:t>
            </w:r>
          </w:p>
        </w:tc>
      </w:tr>
      <w:tr>
        <w:trPr>
          <w:trHeight w:val="244"/>
        </w:trPr>
        <w:tc>
          <w:tcPr>
            <w:tcW w:w="2820" w:type="dxa"/>
            <w:vAlign w:val="bottom"/>
            <w:tcBorders>
              <w:bottom w:val="single" w:sz="8" w:color="959595"/>
            </w:tcBorders>
          </w:tcPr>
          <w:p>
            <w:pPr>
              <w:ind w:left="40"/>
              <w:spacing w:after="0"/>
              <w:rPr>
                <w:sz w:val="20"/>
                <w:szCs w:val="20"/>
                <w:color w:val="auto"/>
              </w:rPr>
            </w:pPr>
            <w:r>
              <w:rPr>
                <w:rFonts w:ascii="Arial" w:cs="Arial" w:eastAsia="Arial" w:hAnsi="Arial"/>
                <w:sz w:val="17"/>
                <w:szCs w:val="17"/>
                <w:b w:val="1"/>
                <w:bCs w:val="1"/>
                <w:color w:val="012E6C"/>
              </w:rPr>
              <w:t>Governance</w:t>
            </w:r>
          </w:p>
        </w:tc>
        <w:tc>
          <w:tcPr>
            <w:tcW w:w="8600" w:type="dxa"/>
            <w:vAlign w:val="bottom"/>
            <w:tcBorders>
              <w:bottom w:val="single" w:sz="8" w:color="959595"/>
            </w:tcBorders>
          </w:tcPr>
          <w:p>
            <w:pPr>
              <w:ind w:left="80"/>
              <w:spacing w:after="0"/>
              <w:rPr>
                <w:sz w:val="20"/>
                <w:szCs w:val="20"/>
                <w:color w:val="auto"/>
              </w:rPr>
            </w:pPr>
            <w:r>
              <w:rPr>
                <w:rFonts w:ascii="Arial" w:cs="Arial" w:eastAsia="Arial" w:hAnsi="Arial"/>
                <w:sz w:val="17"/>
                <w:szCs w:val="17"/>
                <w:color w:val="auto"/>
              </w:rPr>
              <w:t>and environmental risks</w:t>
            </w:r>
          </w:p>
        </w:tc>
      </w:tr>
      <w:tr>
        <w:trPr>
          <w:trHeight w:val="238"/>
        </w:trPr>
        <w:tc>
          <w:tcPr>
            <w:tcW w:w="2820" w:type="dxa"/>
            <w:vAlign w:val="bottom"/>
            <w:tcBorders>
              <w:bottom w:val="single" w:sz="8" w:color="959595"/>
            </w:tcBorders>
          </w:tcPr>
          <w:p>
            <w:pPr>
              <w:ind w:left="40"/>
              <w:spacing w:after="0"/>
              <w:rPr>
                <w:sz w:val="20"/>
                <w:szCs w:val="20"/>
                <w:color w:val="auto"/>
              </w:rPr>
            </w:pPr>
            <w:r>
              <w:rPr>
                <w:rFonts w:ascii="Arial" w:cs="Arial" w:eastAsia="Arial" w:hAnsi="Arial"/>
                <w:sz w:val="17"/>
                <w:szCs w:val="17"/>
                <w:b w:val="1"/>
                <w:bCs w:val="1"/>
                <w:color w:val="012E6C"/>
              </w:rPr>
              <w:t>Compensation</w:t>
            </w:r>
          </w:p>
        </w:tc>
        <w:tc>
          <w:tcPr>
            <w:tcW w:w="8600" w:type="dxa"/>
            <w:vAlign w:val="bottom"/>
            <w:tcBorders>
              <w:bottom w:val="single" w:sz="8" w:color="959595"/>
            </w:tcBorders>
          </w:tcPr>
          <w:p>
            <w:pPr>
              <w:ind w:left="80"/>
              <w:spacing w:after="0"/>
              <w:rPr>
                <w:sz w:val="20"/>
                <w:szCs w:val="20"/>
                <w:color w:val="auto"/>
              </w:rPr>
            </w:pPr>
            <w:r>
              <w:rPr>
                <w:rFonts w:ascii="Arial" w:cs="Arial" w:eastAsia="Arial" w:hAnsi="Arial"/>
                <w:sz w:val="17"/>
                <w:szCs w:val="17"/>
                <w:color w:val="auto"/>
              </w:rPr>
              <w:t>Talent, workforce and incentive compensation risks</w:t>
            </w:r>
          </w:p>
        </w:tc>
      </w:tr>
      <w:tr>
        <w:trPr>
          <w:trHeight w:val="236"/>
        </w:trPr>
        <w:tc>
          <w:tcPr>
            <w:tcW w:w="2820" w:type="dxa"/>
            <w:vAlign w:val="bottom"/>
          </w:tcPr>
          <w:p>
            <w:pPr>
              <w:ind w:left="40"/>
              <w:spacing w:after="0"/>
              <w:rPr>
                <w:sz w:val="20"/>
                <w:szCs w:val="20"/>
                <w:color w:val="auto"/>
              </w:rPr>
            </w:pPr>
            <w:r>
              <w:rPr>
                <w:rFonts w:ascii="Arial" w:cs="Arial" w:eastAsia="Arial" w:hAnsi="Arial"/>
                <w:sz w:val="17"/>
                <w:szCs w:val="17"/>
                <w:b w:val="1"/>
                <w:bCs w:val="1"/>
                <w:color w:val="012E6C"/>
              </w:rPr>
              <w:t>Strategic Affairs*</w:t>
            </w:r>
          </w:p>
        </w:tc>
        <w:tc>
          <w:tcPr>
            <w:tcW w:w="8600" w:type="dxa"/>
            <w:vAlign w:val="bottom"/>
          </w:tcPr>
          <w:p>
            <w:pPr>
              <w:ind w:left="80"/>
              <w:spacing w:after="0"/>
              <w:rPr>
                <w:sz w:val="20"/>
                <w:szCs w:val="20"/>
                <w:color w:val="auto"/>
              </w:rPr>
            </w:pPr>
            <w:r>
              <w:rPr>
                <w:rFonts w:ascii="Arial" w:cs="Arial" w:eastAsia="Arial" w:hAnsi="Arial"/>
                <w:sz w:val="17"/>
                <w:szCs w:val="17"/>
                <w:color w:val="auto"/>
              </w:rPr>
              <w:t>Risks related to business strategy and identified enterprise risk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  To be included in the Audit Committee purview following the committee consolidation effective following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377825</wp:posOffset>
            </wp:positionV>
            <wp:extent cx="1440815" cy="3257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44081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808080"/>
        </w:rPr>
        <w:t>28</w:t>
      </w:r>
    </w:p>
    <w:p>
      <w:pPr>
        <w:sectPr>
          <w:pgSz w:w="11900" w:h="16838" w:orient="portrait"/>
          <w:cols w:equalWidth="0" w:num="1">
            <w:col w:w="11420"/>
          </w:cols>
          <w:pgMar w:left="240" w:top="292" w:right="239" w:bottom="1440" w:gutter="0" w:footer="0" w:header="0"/>
        </w:sectPr>
      </w:pPr>
    </w:p>
    <w:bookmarkStart w:id="31" w:name="page32"/>
    <w:bookmarkEnd w:id="31"/>
    <w:p>
      <w:pPr>
        <w:jc w:val="right"/>
        <w:ind w:right="20"/>
        <w:spacing w:after="0"/>
        <w:rPr>
          <w:sz w:val="20"/>
          <w:szCs w:val="20"/>
          <w:color w:val="auto"/>
        </w:rPr>
      </w:pPr>
      <w:r>
        <w:rPr>
          <w:rFonts w:ascii="Arial" w:cs="Arial" w:eastAsia="Arial" w:hAnsi="Arial"/>
          <w:sz w:val="15"/>
          <w:szCs w:val="15"/>
          <w:color w:val="003478"/>
        </w:rPr>
        <w:t>Enterprise Risk and Sustainability</w:t>
      </w: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color w:val="auto"/>
        </w:rPr>
        <w:t>Our enterprise risk management process involves providing the Board with regular, periodic reports on:</w:t>
      </w:r>
    </w:p>
    <w:p>
      <w:pPr>
        <w:spacing w:after="0" w:line="237" w:lineRule="exact"/>
        <w:rPr>
          <w:sz w:val="20"/>
          <w:szCs w:val="20"/>
          <w:color w:val="auto"/>
        </w:rPr>
      </w:pPr>
    </w:p>
    <w:p>
      <w:pPr>
        <w:ind w:left="260" w:right="280" w:hanging="171"/>
        <w:spacing w:after="0" w:line="308" w:lineRule="auto"/>
        <w:tabs>
          <w:tab w:leader="none" w:pos="260" w:val="left"/>
        </w:tabs>
        <w:numPr>
          <w:ilvl w:val="0"/>
          <w:numId w:val="62"/>
        </w:numPr>
        <w:rPr>
          <w:rFonts w:ascii="Arial" w:cs="Arial" w:eastAsia="Arial" w:hAnsi="Arial"/>
          <w:sz w:val="17"/>
          <w:szCs w:val="17"/>
          <w:color w:val="012E6C"/>
        </w:rPr>
      </w:pPr>
      <w:r>
        <w:rPr>
          <w:rFonts w:ascii="Arial" w:cs="Arial" w:eastAsia="Arial" w:hAnsi="Arial"/>
          <w:sz w:val="17"/>
          <w:szCs w:val="17"/>
          <w:color w:val="auto"/>
        </w:rPr>
        <w:t>The categories of risks the Corporation faces, including any significant drivers or inter-relationships to meeting strategic objectives or compliance standards;</w:t>
      </w:r>
    </w:p>
    <w:p>
      <w:pPr>
        <w:spacing w:after="0" w:line="146" w:lineRule="exact"/>
        <w:rPr>
          <w:rFonts w:ascii="Arial" w:cs="Arial" w:eastAsia="Arial" w:hAnsi="Arial"/>
          <w:sz w:val="17"/>
          <w:szCs w:val="17"/>
          <w:color w:val="012E6C"/>
        </w:rPr>
      </w:pPr>
    </w:p>
    <w:p>
      <w:pPr>
        <w:ind w:left="260" w:right="560" w:hanging="171"/>
        <w:spacing w:after="0" w:line="308" w:lineRule="auto"/>
        <w:tabs>
          <w:tab w:leader="none" w:pos="260" w:val="left"/>
        </w:tabs>
        <w:numPr>
          <w:ilvl w:val="0"/>
          <w:numId w:val="62"/>
        </w:numPr>
        <w:rPr>
          <w:rFonts w:ascii="Arial" w:cs="Arial" w:eastAsia="Arial" w:hAnsi="Arial"/>
          <w:sz w:val="17"/>
          <w:szCs w:val="17"/>
          <w:color w:val="012E6C"/>
        </w:rPr>
      </w:pPr>
      <w:r>
        <w:rPr>
          <w:rFonts w:ascii="Arial" w:cs="Arial" w:eastAsia="Arial" w:hAnsi="Arial"/>
          <w:sz w:val="17"/>
          <w:szCs w:val="17"/>
          <w:color w:val="auto"/>
        </w:rPr>
        <w:t>A clear framework for accountability that illustrates mitigating measures and action plans, and how the Chairman and CEO and the executive leadership team are involved in reviewing and executing such activities;</w:t>
      </w:r>
    </w:p>
    <w:p>
      <w:pPr>
        <w:spacing w:after="0" w:line="146" w:lineRule="exact"/>
        <w:rPr>
          <w:rFonts w:ascii="Arial" w:cs="Arial" w:eastAsia="Arial" w:hAnsi="Arial"/>
          <w:sz w:val="17"/>
          <w:szCs w:val="17"/>
          <w:color w:val="012E6C"/>
        </w:rPr>
      </w:pPr>
    </w:p>
    <w:p>
      <w:pPr>
        <w:ind w:left="260" w:right="120" w:hanging="171"/>
        <w:spacing w:after="0" w:line="308" w:lineRule="auto"/>
        <w:tabs>
          <w:tab w:leader="none" w:pos="260" w:val="left"/>
        </w:tabs>
        <w:numPr>
          <w:ilvl w:val="0"/>
          <w:numId w:val="62"/>
        </w:numPr>
        <w:rPr>
          <w:rFonts w:ascii="Arial" w:cs="Arial" w:eastAsia="Arial" w:hAnsi="Arial"/>
          <w:sz w:val="17"/>
          <w:szCs w:val="17"/>
          <w:color w:val="012E6C"/>
        </w:rPr>
      </w:pPr>
      <w:r>
        <w:rPr>
          <w:rFonts w:ascii="Arial" w:cs="Arial" w:eastAsia="Arial" w:hAnsi="Arial"/>
          <w:sz w:val="17"/>
          <w:szCs w:val="17"/>
          <w:color w:val="auto"/>
        </w:rPr>
        <w:t>The ways in which risks are measured on an enterprise basis, the setting of aggregate and subject-specific risk indicators, and related policies and procedures in place to control risks;</w:t>
      </w:r>
    </w:p>
    <w:p>
      <w:pPr>
        <w:spacing w:after="0" w:line="146" w:lineRule="exact"/>
        <w:rPr>
          <w:rFonts w:ascii="Arial" w:cs="Arial" w:eastAsia="Arial" w:hAnsi="Arial"/>
          <w:sz w:val="17"/>
          <w:szCs w:val="17"/>
          <w:color w:val="012E6C"/>
        </w:rPr>
      </w:pPr>
    </w:p>
    <w:p>
      <w:pPr>
        <w:ind w:left="260" w:right="160" w:hanging="171"/>
        <w:spacing w:after="0" w:line="279" w:lineRule="auto"/>
        <w:tabs>
          <w:tab w:leader="none" w:pos="260" w:val="left"/>
        </w:tabs>
        <w:numPr>
          <w:ilvl w:val="0"/>
          <w:numId w:val="62"/>
        </w:numPr>
        <w:rPr>
          <w:rFonts w:ascii="Arial" w:cs="Arial" w:eastAsia="Arial" w:hAnsi="Arial"/>
          <w:sz w:val="17"/>
          <w:szCs w:val="17"/>
          <w:color w:val="012E6C"/>
        </w:rPr>
      </w:pPr>
      <w:r>
        <w:rPr>
          <w:rFonts w:ascii="Arial" w:cs="Arial" w:eastAsia="Arial" w:hAnsi="Arial"/>
          <w:sz w:val="17"/>
          <w:szCs w:val="17"/>
          <w:color w:val="auto"/>
        </w:rPr>
        <w:t>The analysis underpinning prioritizations of key risks and the tools for risk observation to ensure that new or shifting risks are readily identified and addressed by management. This includes understanding risks inherent in the Corporation’s strategic plans, risks arising from the competitive landscape and the potential for technology and other ESG developments to impact profitability and prospects for sustainable, long-term value creation;</w:t>
      </w:r>
    </w:p>
    <w:p>
      <w:pPr>
        <w:spacing w:after="0" w:line="171" w:lineRule="exact"/>
        <w:rPr>
          <w:rFonts w:ascii="Arial" w:cs="Arial" w:eastAsia="Arial" w:hAnsi="Arial"/>
          <w:sz w:val="17"/>
          <w:szCs w:val="17"/>
          <w:color w:val="012E6C"/>
        </w:rPr>
      </w:pPr>
    </w:p>
    <w:p>
      <w:pPr>
        <w:ind w:left="260" w:right="560" w:hanging="171"/>
        <w:spacing w:after="0" w:line="308" w:lineRule="auto"/>
        <w:tabs>
          <w:tab w:leader="none" w:pos="260" w:val="left"/>
        </w:tabs>
        <w:numPr>
          <w:ilvl w:val="0"/>
          <w:numId w:val="62"/>
        </w:numPr>
        <w:rPr>
          <w:rFonts w:ascii="Arial" w:cs="Arial" w:eastAsia="Arial" w:hAnsi="Arial"/>
          <w:sz w:val="17"/>
          <w:szCs w:val="17"/>
          <w:color w:val="012E6C"/>
        </w:rPr>
      </w:pPr>
      <w:r>
        <w:rPr>
          <w:rFonts w:ascii="Arial" w:cs="Arial" w:eastAsia="Arial" w:hAnsi="Arial"/>
          <w:sz w:val="17"/>
          <w:szCs w:val="17"/>
          <w:color w:val="auto"/>
        </w:rPr>
        <w:t>The steps taken by management to ensure adequate independence of the internal audit function and accountability mechanisms designed to encourage risk-informed decision making; and</w:t>
      </w:r>
    </w:p>
    <w:p>
      <w:pPr>
        <w:spacing w:after="0" w:line="146" w:lineRule="exact"/>
        <w:rPr>
          <w:rFonts w:ascii="Arial" w:cs="Arial" w:eastAsia="Arial" w:hAnsi="Arial"/>
          <w:sz w:val="17"/>
          <w:szCs w:val="17"/>
          <w:color w:val="012E6C"/>
        </w:rPr>
      </w:pPr>
    </w:p>
    <w:p>
      <w:pPr>
        <w:ind w:left="260" w:right="100" w:hanging="171"/>
        <w:spacing w:after="0" w:line="286" w:lineRule="auto"/>
        <w:tabs>
          <w:tab w:leader="none" w:pos="260" w:val="left"/>
        </w:tabs>
        <w:numPr>
          <w:ilvl w:val="0"/>
          <w:numId w:val="62"/>
        </w:numPr>
        <w:rPr>
          <w:rFonts w:ascii="Arial" w:cs="Arial" w:eastAsia="Arial" w:hAnsi="Arial"/>
          <w:sz w:val="17"/>
          <w:szCs w:val="17"/>
          <w:color w:val="012E6C"/>
        </w:rPr>
      </w:pPr>
      <w:r>
        <w:rPr>
          <w:rFonts w:ascii="Arial" w:cs="Arial" w:eastAsia="Arial" w:hAnsi="Arial"/>
          <w:sz w:val="17"/>
          <w:szCs w:val="17"/>
          <w:color w:val="auto"/>
        </w:rPr>
        <w:t>The design of the new Ethics and Enterprise Assurance organization (joining energy and environment, safety and health (ESH) corporate functions to Internal Audit, Ethics, and Sustainability) and how it encourages the prompt and coherent flow of risk-related information within and across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246620" cy="1200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0"/>
        <w:spacing w:after="0"/>
        <w:rPr>
          <w:sz w:val="20"/>
          <w:szCs w:val="20"/>
          <w:color w:val="auto"/>
        </w:rPr>
      </w:pPr>
      <w:r>
        <w:rPr>
          <w:rFonts w:ascii="Arial" w:cs="Arial" w:eastAsia="Arial" w:hAnsi="Arial"/>
          <w:sz w:val="29"/>
          <w:szCs w:val="29"/>
          <w:b w:val="1"/>
          <w:bCs w:val="1"/>
          <w:color w:val="012E6C"/>
        </w:rPr>
        <w:t>Supplier and Community Engagement</w:t>
      </w:r>
    </w:p>
    <w:p>
      <w:pPr>
        <w:spacing w:after="0" w:line="277"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Lockheed Martin partners with suppliers, the community and nongovernmental organizations (NGOs) to strengthen our communities and foster responsible growth. Lockheed Martin's efforts and accomplishments in these areas in 2018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254875" cy="20237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4875" cy="2023745"/>
                    </a:xfrm>
                    <a:prstGeom prst="rect">
                      <a:avLst/>
                    </a:prstGeom>
                    <a:noFill/>
                  </pic:spPr>
                </pic:pic>
              </a:graphicData>
            </a:graphic>
          </wp:anchor>
        </w:drawing>
      </w:r>
    </w:p>
    <w:p>
      <w:pPr>
        <w:spacing w:after="0" w:line="158" w:lineRule="exact"/>
        <w:rPr>
          <w:sz w:val="20"/>
          <w:szCs w:val="20"/>
          <w:color w:val="auto"/>
        </w:rPr>
      </w:pPr>
    </w:p>
    <w:tbl>
      <w:tblPr>
        <w:tblLayout w:type="fixed"/>
        <w:tblInd w:w="120" w:type="dxa"/>
        <w:tblCellMar>
          <w:top w:w="0" w:type="dxa"/>
          <w:left w:w="0" w:type="dxa"/>
          <w:bottom w:w="0" w:type="dxa"/>
          <w:right w:w="0" w:type="dxa"/>
        </w:tblCellMar>
      </w:tblPr>
      <w:tr>
        <w:trPr>
          <w:trHeight w:val="253"/>
        </w:trPr>
        <w:tc>
          <w:tcPr>
            <w:tcW w:w="2760" w:type="dxa"/>
            <w:vAlign w:val="bottom"/>
          </w:tcPr>
          <w:p>
            <w:pPr>
              <w:spacing w:after="0"/>
              <w:rPr>
                <w:sz w:val="20"/>
                <w:szCs w:val="20"/>
                <w:color w:val="auto"/>
              </w:rPr>
            </w:pPr>
            <w:r>
              <w:rPr>
                <w:rFonts w:ascii="Arial" w:cs="Arial" w:eastAsia="Arial" w:hAnsi="Arial"/>
                <w:sz w:val="17"/>
                <w:szCs w:val="17"/>
                <w:b w:val="1"/>
                <w:bCs w:val="1"/>
                <w:color w:val="012E6C"/>
              </w:rPr>
              <w:t>Earned an "exceptional" rating</w:t>
            </w:r>
          </w:p>
        </w:tc>
        <w:tc>
          <w:tcPr>
            <w:tcW w:w="2860" w:type="dxa"/>
            <w:vAlign w:val="bottom"/>
          </w:tcPr>
          <w:p>
            <w:pPr>
              <w:ind w:left="100"/>
              <w:spacing w:after="0"/>
              <w:rPr>
                <w:sz w:val="20"/>
                <w:szCs w:val="20"/>
                <w:color w:val="auto"/>
              </w:rPr>
            </w:pPr>
            <w:r>
              <w:rPr>
                <w:rFonts w:ascii="Arial" w:cs="Arial" w:eastAsia="Arial" w:hAnsi="Arial"/>
                <w:sz w:val="22"/>
                <w:szCs w:val="22"/>
                <w:b w:val="1"/>
                <w:bCs w:val="1"/>
                <w:color w:val="003478"/>
              </w:rPr>
              <w:t>&gt;$574 thousand</w:t>
            </w:r>
          </w:p>
        </w:tc>
        <w:tc>
          <w:tcPr>
            <w:tcW w:w="2860" w:type="dxa"/>
            <w:vAlign w:val="bottom"/>
          </w:tcPr>
          <w:p>
            <w:pPr>
              <w:ind w:left="80"/>
              <w:spacing w:after="0"/>
              <w:rPr>
                <w:sz w:val="20"/>
                <w:szCs w:val="20"/>
                <w:color w:val="auto"/>
              </w:rPr>
            </w:pPr>
            <w:r>
              <w:rPr>
                <w:rFonts w:ascii="Arial" w:cs="Arial" w:eastAsia="Arial" w:hAnsi="Arial"/>
                <w:sz w:val="17"/>
                <w:szCs w:val="17"/>
                <w:b w:val="1"/>
                <w:bCs w:val="1"/>
                <w:color w:val="012E6C"/>
              </w:rPr>
              <w:t>Announced 200 renewable STEM</w:t>
            </w:r>
          </w:p>
        </w:tc>
        <w:tc>
          <w:tcPr>
            <w:tcW w:w="2660" w:type="dxa"/>
            <w:vAlign w:val="bottom"/>
          </w:tcPr>
          <w:p>
            <w:pPr>
              <w:ind w:left="80"/>
              <w:spacing w:after="0"/>
              <w:rPr>
                <w:sz w:val="20"/>
                <w:szCs w:val="20"/>
                <w:color w:val="auto"/>
              </w:rPr>
            </w:pPr>
            <w:r>
              <w:rPr>
                <w:rFonts w:ascii="Arial" w:cs="Arial" w:eastAsia="Arial" w:hAnsi="Arial"/>
                <w:sz w:val="17"/>
                <w:szCs w:val="17"/>
                <w:b w:val="1"/>
                <w:bCs w:val="1"/>
                <w:color w:val="003478"/>
                <w:w w:val="99"/>
              </w:rPr>
              <w:t>Shaped new standard, IPC 1754</w:t>
            </w:r>
          </w:p>
        </w:tc>
      </w:tr>
      <w:tr>
        <w:trPr>
          <w:trHeight w:val="203"/>
        </w:trPr>
        <w:tc>
          <w:tcPr>
            <w:tcW w:w="2760" w:type="dxa"/>
            <w:vAlign w:val="bottom"/>
          </w:tcPr>
          <w:p>
            <w:pPr>
              <w:spacing w:after="0"/>
              <w:rPr>
                <w:sz w:val="20"/>
                <w:szCs w:val="20"/>
                <w:color w:val="auto"/>
              </w:rPr>
            </w:pPr>
            <w:r>
              <w:rPr>
                <w:rFonts w:ascii="Arial" w:cs="Arial" w:eastAsia="Arial" w:hAnsi="Arial"/>
                <w:sz w:val="17"/>
                <w:szCs w:val="17"/>
                <w:b w:val="1"/>
                <w:bCs w:val="1"/>
                <w:color w:val="012E6C"/>
              </w:rPr>
              <w:t>from the Defense Contract</w:t>
            </w:r>
          </w:p>
        </w:tc>
        <w:tc>
          <w:tcPr>
            <w:tcW w:w="2860" w:type="dxa"/>
            <w:vAlign w:val="bottom"/>
          </w:tcPr>
          <w:p>
            <w:pPr>
              <w:ind w:left="100"/>
              <w:spacing w:after="0"/>
              <w:rPr>
                <w:sz w:val="20"/>
                <w:szCs w:val="20"/>
                <w:color w:val="auto"/>
              </w:rPr>
            </w:pPr>
            <w:r>
              <w:rPr>
                <w:rFonts w:ascii="Arial" w:cs="Arial" w:eastAsia="Arial" w:hAnsi="Arial"/>
                <w:sz w:val="17"/>
                <w:szCs w:val="17"/>
                <w:color w:val="auto"/>
              </w:rPr>
              <w:t>directed towards disaster relief and</w:t>
            </w:r>
          </w:p>
        </w:tc>
        <w:tc>
          <w:tcPr>
            <w:tcW w:w="2860" w:type="dxa"/>
            <w:vAlign w:val="bottom"/>
          </w:tcPr>
          <w:p>
            <w:pPr>
              <w:ind w:left="80"/>
              <w:spacing w:after="0"/>
              <w:rPr>
                <w:sz w:val="20"/>
                <w:szCs w:val="20"/>
                <w:color w:val="auto"/>
              </w:rPr>
            </w:pPr>
            <w:r>
              <w:rPr>
                <w:rFonts w:ascii="Arial" w:cs="Arial" w:eastAsia="Arial" w:hAnsi="Arial"/>
                <w:sz w:val="17"/>
                <w:szCs w:val="17"/>
                <w:b w:val="1"/>
                <w:bCs w:val="1"/>
                <w:color w:val="012E6C"/>
              </w:rPr>
              <w:t xml:space="preserve">scholarships of $10,000 </w:t>
            </w:r>
            <w:r>
              <w:rPr>
                <w:rFonts w:ascii="Arial" w:cs="Arial" w:eastAsia="Arial" w:hAnsi="Arial"/>
                <w:sz w:val="17"/>
                <w:szCs w:val="17"/>
                <w:color w:val="000000"/>
              </w:rPr>
              <w:t>per year</w:t>
            </w:r>
          </w:p>
        </w:tc>
        <w:tc>
          <w:tcPr>
            <w:tcW w:w="2660" w:type="dxa"/>
            <w:vAlign w:val="bottom"/>
          </w:tcPr>
          <w:p>
            <w:pPr>
              <w:ind w:left="80"/>
              <w:spacing w:after="0"/>
              <w:rPr>
                <w:sz w:val="20"/>
                <w:szCs w:val="20"/>
                <w:color w:val="auto"/>
              </w:rPr>
            </w:pPr>
            <w:r>
              <w:rPr>
                <w:rFonts w:ascii="Arial" w:cs="Arial" w:eastAsia="Arial" w:hAnsi="Arial"/>
                <w:sz w:val="17"/>
                <w:szCs w:val="17"/>
                <w:color w:val="auto"/>
              </w:rPr>
              <w:t>for Materials and Substances</w:t>
            </w:r>
          </w:p>
        </w:tc>
      </w:tr>
      <w:tr>
        <w:trPr>
          <w:trHeight w:val="189"/>
        </w:trPr>
        <w:tc>
          <w:tcPr>
            <w:tcW w:w="2760" w:type="dxa"/>
            <w:vAlign w:val="bottom"/>
          </w:tcPr>
          <w:p>
            <w:pPr>
              <w:spacing w:after="0" w:line="189" w:lineRule="exact"/>
              <w:rPr>
                <w:sz w:val="20"/>
                <w:szCs w:val="20"/>
                <w:color w:val="auto"/>
              </w:rPr>
            </w:pPr>
            <w:r>
              <w:rPr>
                <w:rFonts w:ascii="Arial" w:cs="Arial" w:eastAsia="Arial" w:hAnsi="Arial"/>
                <w:sz w:val="17"/>
                <w:szCs w:val="17"/>
                <w:b w:val="1"/>
                <w:bCs w:val="1"/>
                <w:color w:val="012E6C"/>
              </w:rPr>
              <w:t xml:space="preserve">Management Agency </w:t>
            </w:r>
            <w:r>
              <w:rPr>
                <w:rFonts w:ascii="Arial" w:cs="Arial" w:eastAsia="Arial" w:hAnsi="Arial"/>
                <w:sz w:val="17"/>
                <w:szCs w:val="17"/>
                <w:color w:val="000000"/>
              </w:rPr>
              <w:t>for small</w:t>
            </w:r>
          </w:p>
        </w:tc>
        <w:tc>
          <w:tcPr>
            <w:tcW w:w="2860" w:type="dxa"/>
            <w:vAlign w:val="bottom"/>
          </w:tcPr>
          <w:p>
            <w:pPr>
              <w:ind w:left="100"/>
              <w:spacing w:after="0" w:line="189" w:lineRule="exact"/>
              <w:rPr>
                <w:sz w:val="20"/>
                <w:szCs w:val="20"/>
                <w:color w:val="auto"/>
              </w:rPr>
            </w:pPr>
            <w:r>
              <w:rPr>
                <w:rFonts w:ascii="Arial" w:cs="Arial" w:eastAsia="Arial" w:hAnsi="Arial"/>
                <w:sz w:val="17"/>
                <w:szCs w:val="17"/>
                <w:color w:val="auto"/>
              </w:rPr>
              <w:t>recovery efforts, including matching</w:t>
            </w:r>
          </w:p>
        </w:tc>
        <w:tc>
          <w:tcPr>
            <w:tcW w:w="2860" w:type="dxa"/>
            <w:vAlign w:val="bottom"/>
          </w:tcPr>
          <w:p>
            <w:pPr>
              <w:ind w:left="80"/>
              <w:spacing w:after="0" w:line="189" w:lineRule="exact"/>
              <w:rPr>
                <w:sz w:val="20"/>
                <w:szCs w:val="20"/>
                <w:color w:val="auto"/>
              </w:rPr>
            </w:pPr>
            <w:r>
              <w:rPr>
                <w:rFonts w:ascii="Arial" w:cs="Arial" w:eastAsia="Arial" w:hAnsi="Arial"/>
                <w:sz w:val="17"/>
                <w:szCs w:val="17"/>
                <w:color w:val="auto"/>
              </w:rPr>
              <w:t>for college students majoring in</w:t>
            </w:r>
          </w:p>
        </w:tc>
        <w:tc>
          <w:tcPr>
            <w:tcW w:w="2660" w:type="dxa"/>
            <w:vAlign w:val="bottom"/>
          </w:tcPr>
          <w:p>
            <w:pPr>
              <w:ind w:left="80"/>
              <w:spacing w:after="0" w:line="189" w:lineRule="exact"/>
              <w:rPr>
                <w:sz w:val="20"/>
                <w:szCs w:val="20"/>
                <w:color w:val="auto"/>
              </w:rPr>
            </w:pPr>
            <w:r>
              <w:rPr>
                <w:rFonts w:ascii="Arial" w:cs="Arial" w:eastAsia="Arial" w:hAnsi="Arial"/>
                <w:sz w:val="17"/>
                <w:szCs w:val="17"/>
                <w:color w:val="auto"/>
              </w:rPr>
              <w:t>Declaration for the Aerospace,</w:t>
            </w:r>
          </w:p>
        </w:tc>
      </w:tr>
      <w:tr>
        <w:trPr>
          <w:trHeight w:val="189"/>
        </w:trPr>
        <w:tc>
          <w:tcPr>
            <w:tcW w:w="2760" w:type="dxa"/>
            <w:vAlign w:val="bottom"/>
          </w:tcPr>
          <w:p>
            <w:pPr>
              <w:spacing w:after="0" w:line="189" w:lineRule="exact"/>
              <w:rPr>
                <w:sz w:val="20"/>
                <w:szCs w:val="20"/>
                <w:color w:val="auto"/>
              </w:rPr>
            </w:pPr>
            <w:r>
              <w:rPr>
                <w:rFonts w:ascii="Arial" w:cs="Arial" w:eastAsia="Arial" w:hAnsi="Arial"/>
                <w:sz w:val="17"/>
                <w:szCs w:val="17"/>
                <w:color w:val="auto"/>
              </w:rPr>
              <w:t>business performance on</w:t>
            </w:r>
          </w:p>
        </w:tc>
        <w:tc>
          <w:tcPr>
            <w:tcW w:w="2860" w:type="dxa"/>
            <w:vAlign w:val="bottom"/>
          </w:tcPr>
          <w:p>
            <w:pPr>
              <w:ind w:left="100"/>
              <w:spacing w:after="0" w:line="189" w:lineRule="exact"/>
              <w:rPr>
                <w:sz w:val="20"/>
                <w:szCs w:val="20"/>
                <w:color w:val="auto"/>
              </w:rPr>
            </w:pPr>
            <w:r>
              <w:rPr>
                <w:rFonts w:ascii="Arial" w:cs="Arial" w:eastAsia="Arial" w:hAnsi="Arial"/>
                <w:sz w:val="17"/>
                <w:szCs w:val="17"/>
                <w:color w:val="auto"/>
              </w:rPr>
              <w:t>$161 thousand in employee</w:t>
            </w:r>
          </w:p>
        </w:tc>
        <w:tc>
          <w:tcPr>
            <w:tcW w:w="2860" w:type="dxa"/>
            <w:vAlign w:val="bottom"/>
          </w:tcPr>
          <w:p>
            <w:pPr>
              <w:ind w:left="80"/>
              <w:spacing w:after="0" w:line="189" w:lineRule="exact"/>
              <w:rPr>
                <w:sz w:val="20"/>
                <w:szCs w:val="20"/>
                <w:color w:val="auto"/>
              </w:rPr>
            </w:pPr>
            <w:r>
              <w:rPr>
                <w:rFonts w:ascii="Arial" w:cs="Arial" w:eastAsia="Arial" w:hAnsi="Arial"/>
                <w:sz w:val="17"/>
                <w:szCs w:val="17"/>
                <w:color w:val="auto"/>
              </w:rPr>
              <w:t>STEM fields</w:t>
            </w:r>
          </w:p>
        </w:tc>
        <w:tc>
          <w:tcPr>
            <w:tcW w:w="2660" w:type="dxa"/>
            <w:vAlign w:val="bottom"/>
          </w:tcPr>
          <w:p>
            <w:pPr>
              <w:ind w:left="80"/>
              <w:spacing w:after="0" w:line="189" w:lineRule="exact"/>
              <w:rPr>
                <w:sz w:val="20"/>
                <w:szCs w:val="20"/>
                <w:color w:val="auto"/>
              </w:rPr>
            </w:pPr>
            <w:r>
              <w:rPr>
                <w:rFonts w:ascii="Arial" w:cs="Arial" w:eastAsia="Arial" w:hAnsi="Arial"/>
                <w:sz w:val="17"/>
                <w:szCs w:val="17"/>
                <w:color w:val="auto"/>
              </w:rPr>
              <w:t>Defense and other industries</w:t>
            </w:r>
          </w:p>
        </w:tc>
      </w:tr>
      <w:tr>
        <w:trPr>
          <w:trHeight w:val="189"/>
        </w:trPr>
        <w:tc>
          <w:tcPr>
            <w:tcW w:w="2760" w:type="dxa"/>
            <w:vAlign w:val="bottom"/>
          </w:tcPr>
          <w:p>
            <w:pPr>
              <w:spacing w:after="0" w:line="189" w:lineRule="exact"/>
              <w:rPr>
                <w:sz w:val="20"/>
                <w:szCs w:val="20"/>
                <w:color w:val="auto"/>
              </w:rPr>
            </w:pPr>
            <w:r>
              <w:rPr>
                <w:rFonts w:ascii="Arial" w:cs="Arial" w:eastAsia="Arial" w:hAnsi="Arial"/>
                <w:sz w:val="17"/>
                <w:szCs w:val="17"/>
                <w:color w:val="auto"/>
              </w:rPr>
              <w:t>Department of Defense Contracts</w:t>
            </w:r>
          </w:p>
        </w:tc>
        <w:tc>
          <w:tcPr>
            <w:tcW w:w="2860" w:type="dxa"/>
            <w:vAlign w:val="bottom"/>
          </w:tcPr>
          <w:p>
            <w:pPr>
              <w:ind w:left="100"/>
              <w:spacing w:after="0" w:line="189" w:lineRule="exact"/>
              <w:rPr>
                <w:sz w:val="20"/>
                <w:szCs w:val="20"/>
                <w:color w:val="auto"/>
              </w:rPr>
            </w:pPr>
            <w:r>
              <w:rPr>
                <w:rFonts w:ascii="Arial" w:cs="Arial" w:eastAsia="Arial" w:hAnsi="Arial"/>
                <w:sz w:val="17"/>
                <w:szCs w:val="17"/>
                <w:color w:val="auto"/>
              </w:rPr>
              <w:t>donations</w:t>
            </w:r>
          </w:p>
        </w:tc>
        <w:tc>
          <w:tcPr>
            <w:tcW w:w="2860" w:type="dxa"/>
            <w:vAlign w:val="bottom"/>
          </w:tcPr>
          <w:p>
            <w:pPr>
              <w:spacing w:after="0"/>
              <w:rPr>
                <w:sz w:val="16"/>
                <w:szCs w:val="16"/>
                <w:color w:val="auto"/>
              </w:rPr>
            </w:pPr>
          </w:p>
        </w:tc>
        <w:tc>
          <w:tcPr>
            <w:tcW w:w="2660" w:type="dxa"/>
            <w:vAlign w:val="bottom"/>
          </w:tcPr>
          <w:p>
            <w:pPr>
              <w:spacing w:after="0"/>
              <w:rPr>
                <w:sz w:val="16"/>
                <w:szCs w:val="16"/>
                <w:color w:val="auto"/>
              </w:rPr>
            </w:pPr>
          </w:p>
        </w:tc>
      </w:tr>
      <w:tr>
        <w:trPr>
          <w:trHeight w:val="147"/>
        </w:trPr>
        <w:tc>
          <w:tcPr>
            <w:tcW w:w="2760" w:type="dxa"/>
            <w:vAlign w:val="bottom"/>
          </w:tcPr>
          <w:p>
            <w:pPr>
              <w:spacing w:after="0" w:line="147" w:lineRule="exact"/>
              <w:rPr>
                <w:sz w:val="20"/>
                <w:szCs w:val="20"/>
                <w:color w:val="auto"/>
              </w:rPr>
            </w:pPr>
            <w:r>
              <w:rPr>
                <w:rFonts w:ascii="Arial" w:cs="Arial" w:eastAsia="Arial" w:hAnsi="Arial"/>
                <w:sz w:val="17"/>
                <w:szCs w:val="17"/>
                <w:color w:val="auto"/>
              </w:rPr>
              <w:t>with a strategic focus on advancing</w:t>
            </w:r>
          </w:p>
        </w:tc>
        <w:tc>
          <w:tcPr>
            <w:tcW w:w="28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660" w:type="dxa"/>
            <w:vAlign w:val="bottom"/>
          </w:tcPr>
          <w:p>
            <w:pPr>
              <w:spacing w:after="0"/>
              <w:rPr>
                <w:sz w:val="12"/>
                <w:szCs w:val="12"/>
                <w:color w:val="auto"/>
              </w:rPr>
            </w:pPr>
          </w:p>
        </w:tc>
      </w:tr>
      <w:tr>
        <w:trPr>
          <w:trHeight w:val="189"/>
        </w:trPr>
        <w:tc>
          <w:tcPr>
            <w:tcW w:w="2760" w:type="dxa"/>
            <w:vAlign w:val="bottom"/>
          </w:tcPr>
          <w:p>
            <w:pPr>
              <w:spacing w:after="0" w:line="189" w:lineRule="exact"/>
              <w:rPr>
                <w:sz w:val="20"/>
                <w:szCs w:val="20"/>
                <w:color w:val="auto"/>
              </w:rPr>
            </w:pPr>
            <w:r>
              <w:rPr>
                <w:rFonts w:ascii="Arial" w:cs="Arial" w:eastAsia="Arial" w:hAnsi="Arial"/>
                <w:sz w:val="17"/>
                <w:szCs w:val="17"/>
                <w:color w:val="auto"/>
              </w:rPr>
              <w:t>STEM education and supporting</w:t>
            </w:r>
          </w:p>
        </w:tc>
        <w:tc>
          <w:tcPr>
            <w:tcW w:w="286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660" w:type="dxa"/>
            <w:vAlign w:val="bottom"/>
          </w:tcPr>
          <w:p>
            <w:pPr>
              <w:spacing w:after="0"/>
              <w:rPr>
                <w:sz w:val="16"/>
                <w:szCs w:val="16"/>
                <w:color w:val="auto"/>
              </w:rPr>
            </w:pPr>
          </w:p>
        </w:tc>
      </w:tr>
      <w:tr>
        <w:trPr>
          <w:trHeight w:val="231"/>
        </w:trPr>
        <w:tc>
          <w:tcPr>
            <w:tcW w:w="2760" w:type="dxa"/>
            <w:vAlign w:val="bottom"/>
          </w:tcPr>
          <w:p>
            <w:pPr>
              <w:spacing w:after="0"/>
              <w:rPr>
                <w:sz w:val="20"/>
                <w:szCs w:val="20"/>
                <w:color w:val="auto"/>
              </w:rPr>
            </w:pPr>
            <w:r>
              <w:rPr>
                <w:rFonts w:ascii="Arial" w:cs="Arial" w:eastAsia="Arial" w:hAnsi="Arial"/>
                <w:sz w:val="17"/>
                <w:szCs w:val="17"/>
                <w:color w:val="auto"/>
              </w:rPr>
              <w:t>military and veteran causes</w:t>
            </w:r>
          </w:p>
        </w:tc>
        <w:tc>
          <w:tcPr>
            <w:tcW w:w="28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660" w:type="dxa"/>
            <w:vAlign w:val="bottom"/>
          </w:tcPr>
          <w:p>
            <w:pPr>
              <w:spacing w:after="0"/>
              <w:rPr>
                <w:sz w:val="20"/>
                <w:szCs w:val="20"/>
                <w:color w:val="auto"/>
              </w:rPr>
            </w:pPr>
          </w:p>
        </w:tc>
      </w:tr>
    </w:tbl>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900" w:type="dxa"/>
            <w:vAlign w:val="bottom"/>
          </w:tcPr>
          <w:p>
            <w:pPr>
              <w:ind w:left="120"/>
              <w:spacing w:after="0"/>
              <w:rPr>
                <w:sz w:val="20"/>
                <w:szCs w:val="20"/>
                <w:color w:val="auto"/>
              </w:rPr>
            </w:pPr>
            <w:r>
              <w:rPr>
                <w:rFonts w:ascii="Arial" w:cs="Arial" w:eastAsia="Arial" w:hAnsi="Arial"/>
                <w:sz w:val="22"/>
                <w:szCs w:val="22"/>
                <w:b w:val="1"/>
                <w:bCs w:val="1"/>
                <w:color w:val="003478"/>
              </w:rPr>
              <w:t>&gt;$716 million</w:t>
            </w:r>
          </w:p>
        </w:tc>
        <w:tc>
          <w:tcPr>
            <w:tcW w:w="2800" w:type="dxa"/>
            <w:vAlign w:val="bottom"/>
          </w:tcPr>
          <w:p>
            <w:pPr>
              <w:ind w:left="80"/>
              <w:spacing w:after="0"/>
              <w:rPr>
                <w:sz w:val="20"/>
                <w:szCs w:val="20"/>
                <w:color w:val="auto"/>
              </w:rPr>
            </w:pPr>
            <w:r>
              <w:rPr>
                <w:rFonts w:ascii="Arial" w:cs="Arial" w:eastAsia="Arial" w:hAnsi="Arial"/>
                <w:sz w:val="22"/>
                <w:szCs w:val="22"/>
                <w:b w:val="1"/>
                <w:bCs w:val="1"/>
                <w:color w:val="003478"/>
              </w:rPr>
              <w:t>&gt;$4.46 billion</w:t>
            </w:r>
          </w:p>
        </w:tc>
        <w:tc>
          <w:tcPr>
            <w:tcW w:w="2760" w:type="dxa"/>
            <w:vAlign w:val="bottom"/>
          </w:tcPr>
          <w:p>
            <w:pPr>
              <w:ind w:left="120"/>
              <w:spacing w:after="0"/>
              <w:rPr>
                <w:sz w:val="20"/>
                <w:szCs w:val="20"/>
                <w:color w:val="auto"/>
              </w:rPr>
            </w:pPr>
            <w:r>
              <w:rPr>
                <w:rFonts w:ascii="Arial" w:cs="Arial" w:eastAsia="Arial" w:hAnsi="Arial"/>
                <w:sz w:val="22"/>
                <w:szCs w:val="22"/>
                <w:b w:val="1"/>
                <w:bCs w:val="1"/>
                <w:color w:val="003478"/>
              </w:rPr>
              <w:t>&gt;$233 million</w:t>
            </w:r>
          </w:p>
        </w:tc>
        <w:tc>
          <w:tcPr>
            <w:tcW w:w="2980" w:type="dxa"/>
            <w:vAlign w:val="bottom"/>
          </w:tcPr>
          <w:p>
            <w:pPr>
              <w:ind w:left="220"/>
              <w:spacing w:after="0"/>
              <w:rPr>
                <w:sz w:val="20"/>
                <w:szCs w:val="20"/>
                <w:color w:val="auto"/>
              </w:rPr>
            </w:pPr>
            <w:r>
              <w:rPr>
                <w:rFonts w:ascii="Arial" w:cs="Arial" w:eastAsia="Arial" w:hAnsi="Arial"/>
                <w:sz w:val="22"/>
                <w:szCs w:val="22"/>
                <w:b w:val="1"/>
                <w:bCs w:val="1"/>
                <w:color w:val="003478"/>
              </w:rPr>
              <w:t>&gt;$268 million</w:t>
            </w:r>
          </w:p>
        </w:tc>
      </w:tr>
      <w:tr>
        <w:trPr>
          <w:trHeight w:val="189"/>
        </w:trPr>
        <w:tc>
          <w:tcPr>
            <w:tcW w:w="2900" w:type="dxa"/>
            <w:vAlign w:val="bottom"/>
          </w:tcPr>
          <w:p>
            <w:pPr>
              <w:ind w:left="120"/>
              <w:spacing w:after="0" w:line="189" w:lineRule="exact"/>
              <w:rPr>
                <w:sz w:val="20"/>
                <w:szCs w:val="20"/>
                <w:color w:val="auto"/>
              </w:rPr>
            </w:pPr>
            <w:r>
              <w:rPr>
                <w:rFonts w:ascii="Arial" w:cs="Arial" w:eastAsia="Arial" w:hAnsi="Arial"/>
                <w:sz w:val="17"/>
                <w:szCs w:val="17"/>
                <w:color w:val="auto"/>
              </w:rPr>
              <w:t>spent with more than 1,311 woman-</w:t>
            </w:r>
          </w:p>
        </w:tc>
        <w:tc>
          <w:tcPr>
            <w:tcW w:w="2800" w:type="dxa"/>
            <w:vAlign w:val="bottom"/>
          </w:tcPr>
          <w:p>
            <w:pPr>
              <w:ind w:left="80"/>
              <w:spacing w:after="0" w:line="189" w:lineRule="exact"/>
              <w:rPr>
                <w:sz w:val="20"/>
                <w:szCs w:val="20"/>
                <w:color w:val="auto"/>
              </w:rPr>
            </w:pPr>
            <w:r>
              <w:rPr>
                <w:rFonts w:ascii="Arial" w:cs="Arial" w:eastAsia="Arial" w:hAnsi="Arial"/>
                <w:sz w:val="17"/>
                <w:szCs w:val="17"/>
                <w:color w:val="auto"/>
              </w:rPr>
              <w:t>spent with over 8,400 small</w:t>
            </w:r>
          </w:p>
        </w:tc>
        <w:tc>
          <w:tcPr>
            <w:tcW w:w="2760" w:type="dxa"/>
            <w:vAlign w:val="bottom"/>
          </w:tcPr>
          <w:p>
            <w:pPr>
              <w:ind w:left="120"/>
              <w:spacing w:after="0" w:line="189" w:lineRule="exact"/>
              <w:rPr>
                <w:sz w:val="20"/>
                <w:szCs w:val="20"/>
                <w:color w:val="auto"/>
              </w:rPr>
            </w:pPr>
            <w:r>
              <w:rPr>
                <w:rFonts w:ascii="Arial" w:cs="Arial" w:eastAsia="Arial" w:hAnsi="Arial"/>
                <w:sz w:val="17"/>
                <w:szCs w:val="17"/>
                <w:color w:val="auto"/>
              </w:rPr>
              <w:t>spent with more than 174 HUB</w:t>
            </w:r>
          </w:p>
        </w:tc>
        <w:tc>
          <w:tcPr>
            <w:tcW w:w="2980" w:type="dxa"/>
            <w:vAlign w:val="bottom"/>
          </w:tcPr>
          <w:p>
            <w:pPr>
              <w:ind w:left="220"/>
              <w:spacing w:after="0" w:line="189" w:lineRule="exact"/>
              <w:rPr>
                <w:sz w:val="20"/>
                <w:szCs w:val="20"/>
                <w:color w:val="auto"/>
              </w:rPr>
            </w:pPr>
            <w:r>
              <w:rPr>
                <w:rFonts w:ascii="Arial" w:cs="Arial" w:eastAsia="Arial" w:hAnsi="Arial"/>
                <w:sz w:val="17"/>
                <w:szCs w:val="17"/>
                <w:color w:val="auto"/>
              </w:rPr>
              <w:t>spent with 230 service-disabled,</w:t>
            </w:r>
          </w:p>
        </w:tc>
      </w:tr>
      <w:tr>
        <w:trPr>
          <w:trHeight w:val="231"/>
        </w:trPr>
        <w:tc>
          <w:tcPr>
            <w:tcW w:w="2900" w:type="dxa"/>
            <w:vAlign w:val="bottom"/>
          </w:tcPr>
          <w:p>
            <w:pPr>
              <w:ind w:left="120"/>
              <w:spacing w:after="0"/>
              <w:rPr>
                <w:sz w:val="20"/>
                <w:szCs w:val="20"/>
                <w:color w:val="auto"/>
              </w:rPr>
            </w:pPr>
            <w:r>
              <w:rPr>
                <w:rFonts w:ascii="Arial" w:cs="Arial" w:eastAsia="Arial" w:hAnsi="Arial"/>
                <w:sz w:val="17"/>
                <w:szCs w:val="17"/>
                <w:color w:val="auto"/>
              </w:rPr>
              <w:t>owned small businesses</w:t>
            </w:r>
          </w:p>
        </w:tc>
        <w:tc>
          <w:tcPr>
            <w:tcW w:w="2800" w:type="dxa"/>
            <w:vAlign w:val="bottom"/>
          </w:tcPr>
          <w:p>
            <w:pPr>
              <w:ind w:left="80"/>
              <w:spacing w:after="0"/>
              <w:rPr>
                <w:sz w:val="20"/>
                <w:szCs w:val="20"/>
                <w:color w:val="auto"/>
              </w:rPr>
            </w:pPr>
            <w:r>
              <w:rPr>
                <w:rFonts w:ascii="Arial" w:cs="Arial" w:eastAsia="Arial" w:hAnsi="Arial"/>
                <w:sz w:val="17"/>
                <w:szCs w:val="17"/>
                <w:color w:val="auto"/>
              </w:rPr>
              <w:t>businesses</w:t>
            </w:r>
          </w:p>
        </w:tc>
        <w:tc>
          <w:tcPr>
            <w:tcW w:w="2760" w:type="dxa"/>
            <w:vAlign w:val="bottom"/>
          </w:tcPr>
          <w:p>
            <w:pPr>
              <w:ind w:left="120"/>
              <w:spacing w:after="0"/>
              <w:rPr>
                <w:sz w:val="20"/>
                <w:szCs w:val="20"/>
                <w:color w:val="auto"/>
              </w:rPr>
            </w:pPr>
            <w:r>
              <w:rPr>
                <w:rFonts w:ascii="Arial" w:cs="Arial" w:eastAsia="Arial" w:hAnsi="Arial"/>
                <w:sz w:val="17"/>
                <w:szCs w:val="17"/>
                <w:color w:val="auto"/>
              </w:rPr>
              <w:t>Zone businesses</w:t>
            </w:r>
          </w:p>
        </w:tc>
        <w:tc>
          <w:tcPr>
            <w:tcW w:w="2980" w:type="dxa"/>
            <w:vAlign w:val="bottom"/>
          </w:tcPr>
          <w:p>
            <w:pPr>
              <w:ind w:left="220"/>
              <w:spacing w:after="0"/>
              <w:rPr>
                <w:sz w:val="20"/>
                <w:szCs w:val="20"/>
                <w:color w:val="auto"/>
              </w:rPr>
            </w:pPr>
            <w:r>
              <w:rPr>
                <w:rFonts w:ascii="Arial" w:cs="Arial" w:eastAsia="Arial" w:hAnsi="Arial"/>
                <w:sz w:val="17"/>
                <w:szCs w:val="17"/>
                <w:color w:val="auto"/>
              </w:rPr>
              <w:t>veteran-owned small businesses</w:t>
            </w:r>
          </w:p>
        </w:tc>
      </w:tr>
      <w:tr>
        <w:trPr>
          <w:trHeight w:val="255"/>
        </w:trPr>
        <w:tc>
          <w:tcPr>
            <w:tcW w:w="2900" w:type="dxa"/>
            <w:vAlign w:val="bottom"/>
          </w:tcPr>
          <w:p>
            <w:pPr>
              <w:ind w:left="120"/>
              <w:spacing w:after="0"/>
              <w:rPr>
                <w:sz w:val="20"/>
                <w:szCs w:val="20"/>
                <w:color w:val="auto"/>
              </w:rPr>
            </w:pPr>
            <w:r>
              <w:rPr>
                <w:rFonts w:ascii="Arial" w:cs="Arial" w:eastAsia="Arial" w:hAnsi="Arial"/>
                <w:sz w:val="22"/>
                <w:szCs w:val="22"/>
                <w:b w:val="1"/>
                <w:bCs w:val="1"/>
                <w:color w:val="003478"/>
              </w:rPr>
              <w:t>&gt;20.5 percent</w:t>
            </w:r>
          </w:p>
        </w:tc>
        <w:tc>
          <w:tcPr>
            <w:tcW w:w="2800" w:type="dxa"/>
            <w:vAlign w:val="bottom"/>
          </w:tcPr>
          <w:p>
            <w:pPr>
              <w:ind w:left="80"/>
              <w:spacing w:after="0"/>
              <w:rPr>
                <w:sz w:val="20"/>
                <w:szCs w:val="20"/>
                <w:color w:val="auto"/>
              </w:rPr>
            </w:pPr>
            <w:r>
              <w:rPr>
                <w:rFonts w:ascii="Arial" w:cs="Arial" w:eastAsia="Arial" w:hAnsi="Arial"/>
                <w:sz w:val="22"/>
                <w:szCs w:val="22"/>
                <w:b w:val="1"/>
                <w:bCs w:val="1"/>
                <w:color w:val="003478"/>
              </w:rPr>
              <w:t>&gt;$595 million</w:t>
            </w:r>
          </w:p>
        </w:tc>
        <w:tc>
          <w:tcPr>
            <w:tcW w:w="2760" w:type="dxa"/>
            <w:vAlign w:val="bottom"/>
          </w:tcPr>
          <w:p>
            <w:pPr>
              <w:ind w:left="120"/>
              <w:spacing w:after="0"/>
              <w:rPr>
                <w:sz w:val="20"/>
                <w:szCs w:val="20"/>
                <w:color w:val="auto"/>
              </w:rPr>
            </w:pPr>
            <w:r>
              <w:rPr>
                <w:rFonts w:ascii="Arial" w:cs="Arial" w:eastAsia="Arial" w:hAnsi="Arial"/>
                <w:sz w:val="22"/>
                <w:szCs w:val="22"/>
                <w:b w:val="1"/>
                <w:bCs w:val="1"/>
                <w:color w:val="003478"/>
              </w:rPr>
              <w:t>&gt;$11.0 million</w:t>
            </w:r>
          </w:p>
        </w:tc>
        <w:tc>
          <w:tcPr>
            <w:tcW w:w="2980" w:type="dxa"/>
            <w:vAlign w:val="bottom"/>
          </w:tcPr>
          <w:p>
            <w:pPr>
              <w:ind w:left="220"/>
              <w:spacing w:after="0"/>
              <w:rPr>
                <w:sz w:val="20"/>
                <w:szCs w:val="20"/>
                <w:color w:val="auto"/>
              </w:rPr>
            </w:pPr>
            <w:r>
              <w:rPr>
                <w:rFonts w:ascii="Arial" w:cs="Arial" w:eastAsia="Arial" w:hAnsi="Arial"/>
                <w:sz w:val="22"/>
                <w:szCs w:val="22"/>
                <w:b w:val="1"/>
                <w:bCs w:val="1"/>
                <w:color w:val="003478"/>
              </w:rPr>
              <w:t>&gt;$110.9 million</w:t>
            </w:r>
          </w:p>
        </w:tc>
      </w:tr>
      <w:tr>
        <w:trPr>
          <w:trHeight w:val="189"/>
        </w:trPr>
        <w:tc>
          <w:tcPr>
            <w:tcW w:w="2900" w:type="dxa"/>
            <w:vAlign w:val="bottom"/>
          </w:tcPr>
          <w:p>
            <w:pPr>
              <w:ind w:left="120"/>
              <w:spacing w:after="0" w:line="189" w:lineRule="exact"/>
              <w:rPr>
                <w:sz w:val="20"/>
                <w:szCs w:val="20"/>
                <w:color w:val="auto"/>
              </w:rPr>
            </w:pPr>
            <w:r>
              <w:rPr>
                <w:rFonts w:ascii="Arial" w:cs="Arial" w:eastAsia="Arial" w:hAnsi="Arial"/>
                <w:sz w:val="17"/>
                <w:szCs w:val="17"/>
                <w:color w:val="auto"/>
              </w:rPr>
              <w:t>of supplier partnerships selected</w:t>
            </w:r>
          </w:p>
        </w:tc>
        <w:tc>
          <w:tcPr>
            <w:tcW w:w="2800" w:type="dxa"/>
            <w:vAlign w:val="bottom"/>
          </w:tcPr>
          <w:p>
            <w:pPr>
              <w:ind w:left="80"/>
              <w:spacing w:after="0" w:line="189" w:lineRule="exact"/>
              <w:rPr>
                <w:sz w:val="20"/>
                <w:szCs w:val="20"/>
                <w:color w:val="auto"/>
              </w:rPr>
            </w:pPr>
            <w:r>
              <w:rPr>
                <w:rFonts w:ascii="Arial" w:cs="Arial" w:eastAsia="Arial" w:hAnsi="Arial"/>
                <w:sz w:val="17"/>
                <w:szCs w:val="17"/>
                <w:color w:val="auto"/>
              </w:rPr>
              <w:t>spent with more than 899 veteran-</w:t>
            </w:r>
          </w:p>
        </w:tc>
        <w:tc>
          <w:tcPr>
            <w:tcW w:w="2760" w:type="dxa"/>
            <w:vAlign w:val="bottom"/>
          </w:tcPr>
          <w:p>
            <w:pPr>
              <w:ind w:left="120"/>
              <w:spacing w:after="0" w:line="189" w:lineRule="exact"/>
              <w:rPr>
                <w:sz w:val="20"/>
                <w:szCs w:val="20"/>
                <w:color w:val="auto"/>
              </w:rPr>
            </w:pPr>
            <w:r>
              <w:rPr>
                <w:rFonts w:ascii="Arial" w:cs="Arial" w:eastAsia="Arial" w:hAnsi="Arial"/>
                <w:sz w:val="17"/>
                <w:szCs w:val="17"/>
                <w:color w:val="auto"/>
              </w:rPr>
              <w:t>recorded in employee donations</w:t>
            </w:r>
          </w:p>
        </w:tc>
        <w:tc>
          <w:tcPr>
            <w:tcW w:w="2980" w:type="dxa"/>
            <w:vAlign w:val="bottom"/>
          </w:tcPr>
          <w:p>
            <w:pPr>
              <w:ind w:left="220"/>
              <w:spacing w:after="0" w:line="189" w:lineRule="exact"/>
              <w:rPr>
                <w:sz w:val="20"/>
                <w:szCs w:val="20"/>
                <w:color w:val="auto"/>
              </w:rPr>
            </w:pPr>
            <w:r>
              <w:rPr>
                <w:rFonts w:ascii="Arial" w:cs="Arial" w:eastAsia="Arial" w:hAnsi="Arial"/>
                <w:sz w:val="17"/>
                <w:szCs w:val="17"/>
                <w:color w:val="auto"/>
              </w:rPr>
              <w:t>spent with Alaskan Native and</w:t>
            </w:r>
          </w:p>
        </w:tc>
      </w:tr>
      <w:tr>
        <w:trPr>
          <w:trHeight w:val="231"/>
        </w:trPr>
        <w:tc>
          <w:tcPr>
            <w:tcW w:w="2900" w:type="dxa"/>
            <w:vAlign w:val="bottom"/>
          </w:tcPr>
          <w:p>
            <w:pPr>
              <w:ind w:left="120"/>
              <w:spacing w:after="0"/>
              <w:rPr>
                <w:sz w:val="20"/>
                <w:szCs w:val="20"/>
                <w:color w:val="auto"/>
              </w:rPr>
            </w:pPr>
            <w:r>
              <w:rPr>
                <w:rFonts w:ascii="Arial" w:cs="Arial" w:eastAsia="Arial" w:hAnsi="Arial"/>
                <w:sz w:val="17"/>
                <w:szCs w:val="17"/>
                <w:color w:val="auto"/>
              </w:rPr>
              <w:t>were small businesses</w:t>
            </w:r>
          </w:p>
        </w:tc>
        <w:tc>
          <w:tcPr>
            <w:tcW w:w="2800" w:type="dxa"/>
            <w:vAlign w:val="bottom"/>
          </w:tcPr>
          <w:p>
            <w:pPr>
              <w:ind w:left="80"/>
              <w:spacing w:after="0"/>
              <w:rPr>
                <w:sz w:val="20"/>
                <w:szCs w:val="20"/>
                <w:color w:val="auto"/>
              </w:rPr>
            </w:pPr>
            <w:r>
              <w:rPr>
                <w:rFonts w:ascii="Arial" w:cs="Arial" w:eastAsia="Arial" w:hAnsi="Arial"/>
                <w:sz w:val="17"/>
                <w:szCs w:val="17"/>
                <w:color w:val="auto"/>
              </w:rPr>
              <w:t>owned small businesses</w:t>
            </w:r>
          </w:p>
        </w:tc>
        <w:tc>
          <w:tcPr>
            <w:tcW w:w="2760" w:type="dxa"/>
            <w:vAlign w:val="bottom"/>
          </w:tcPr>
          <w:p>
            <w:pPr>
              <w:spacing w:after="0"/>
              <w:rPr>
                <w:sz w:val="20"/>
                <w:szCs w:val="20"/>
                <w:color w:val="auto"/>
              </w:rPr>
            </w:pPr>
          </w:p>
        </w:tc>
        <w:tc>
          <w:tcPr>
            <w:tcW w:w="2980" w:type="dxa"/>
            <w:vAlign w:val="bottom"/>
          </w:tcPr>
          <w:p>
            <w:pPr>
              <w:ind w:left="220"/>
              <w:spacing w:after="0"/>
              <w:rPr>
                <w:sz w:val="20"/>
                <w:szCs w:val="20"/>
                <w:color w:val="auto"/>
              </w:rPr>
            </w:pPr>
            <w:r>
              <w:rPr>
                <w:rFonts w:ascii="Arial" w:cs="Arial" w:eastAsia="Arial" w:hAnsi="Arial"/>
                <w:sz w:val="17"/>
                <w:szCs w:val="17"/>
                <w:color w:val="auto"/>
              </w:rPr>
              <w:t>Tribally Owned Corporations</w:t>
            </w:r>
          </w:p>
        </w:tc>
      </w:tr>
      <w:tr>
        <w:trPr>
          <w:trHeight w:val="135"/>
        </w:trPr>
        <w:tc>
          <w:tcPr>
            <w:tcW w:w="2900" w:type="dxa"/>
            <w:vAlign w:val="bottom"/>
            <w:tcBorders>
              <w:bottom w:val="single" w:sz="8" w:color="012E6C"/>
            </w:tcBorders>
          </w:tcPr>
          <w:p>
            <w:pPr>
              <w:spacing w:after="0"/>
              <w:rPr>
                <w:sz w:val="11"/>
                <w:szCs w:val="11"/>
                <w:color w:val="auto"/>
              </w:rPr>
            </w:pPr>
          </w:p>
        </w:tc>
        <w:tc>
          <w:tcPr>
            <w:tcW w:w="2800" w:type="dxa"/>
            <w:vAlign w:val="bottom"/>
            <w:tcBorders>
              <w:bottom w:val="single" w:sz="8" w:color="012E6C"/>
            </w:tcBorders>
          </w:tcPr>
          <w:p>
            <w:pPr>
              <w:spacing w:after="0"/>
              <w:rPr>
                <w:sz w:val="11"/>
                <w:szCs w:val="11"/>
                <w:color w:val="auto"/>
              </w:rPr>
            </w:pPr>
          </w:p>
        </w:tc>
        <w:tc>
          <w:tcPr>
            <w:tcW w:w="2760" w:type="dxa"/>
            <w:vAlign w:val="bottom"/>
            <w:tcBorders>
              <w:bottom w:val="single" w:sz="8" w:color="012E6C"/>
            </w:tcBorders>
          </w:tcPr>
          <w:p>
            <w:pPr>
              <w:spacing w:after="0"/>
              <w:rPr>
                <w:sz w:val="11"/>
                <w:szCs w:val="11"/>
                <w:color w:val="auto"/>
              </w:rPr>
            </w:pPr>
          </w:p>
        </w:tc>
        <w:tc>
          <w:tcPr>
            <w:tcW w:w="2980" w:type="dxa"/>
            <w:vAlign w:val="bottom"/>
            <w:tcBorders>
              <w:bottom w:val="single" w:sz="8" w:color="012E6C"/>
            </w:tcBorders>
          </w:tcPr>
          <w:p>
            <w:pPr>
              <w:spacing w:after="0"/>
              <w:rPr>
                <w:sz w:val="11"/>
                <w:szCs w:val="11"/>
                <w:color w:val="auto"/>
              </w:rPr>
            </w:pPr>
          </w:p>
        </w:tc>
      </w:tr>
      <w:tr>
        <w:trPr>
          <w:trHeight w:val="694"/>
        </w:trPr>
        <w:tc>
          <w:tcPr>
            <w:tcW w:w="2900" w:type="dxa"/>
            <w:vAlign w:val="bottom"/>
          </w:tcPr>
          <w:p>
            <w:pPr>
              <w:ind w:left="40"/>
              <w:spacing w:after="0"/>
              <w:rPr>
                <w:sz w:val="20"/>
                <w:szCs w:val="20"/>
                <w:color w:val="auto"/>
              </w:rPr>
            </w:pPr>
            <w:r>
              <w:rPr>
                <w:rFonts w:ascii="Arial" w:cs="Arial" w:eastAsia="Arial" w:hAnsi="Arial"/>
                <w:sz w:val="15"/>
                <w:szCs w:val="15"/>
                <w:color w:val="003478"/>
              </w:rPr>
              <w:t>www.lockheedmartin.com</w:t>
            </w:r>
          </w:p>
        </w:tc>
        <w:tc>
          <w:tcPr>
            <w:tcW w:w="28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980" w:type="dxa"/>
            <w:vAlign w:val="bottom"/>
          </w:tcPr>
          <w:p>
            <w:pPr>
              <w:ind w:left="980"/>
              <w:spacing w:after="0"/>
              <w:rPr>
                <w:sz w:val="20"/>
                <w:szCs w:val="20"/>
                <w:color w:val="auto"/>
              </w:rPr>
            </w:pPr>
            <w:r>
              <w:rPr>
                <w:rFonts w:ascii="Arial" w:cs="Arial" w:eastAsia="Arial" w:hAnsi="Arial"/>
                <w:sz w:val="15"/>
                <w:szCs w:val="15"/>
                <w:color w:val="003478"/>
              </w:rPr>
              <w:t xml:space="preserve">2019 Proxy Statement    </w:t>
            </w:r>
            <w:r>
              <w:rPr>
                <w:rFonts w:ascii="Arial" w:cs="Arial" w:eastAsia="Arial" w:hAnsi="Arial"/>
                <w:sz w:val="14"/>
                <w:szCs w:val="14"/>
                <w:b w:val="1"/>
                <w:bCs w:val="1"/>
                <w:color w:val="808080"/>
              </w:rPr>
              <w:t>29</w:t>
            </w:r>
          </w:p>
        </w:tc>
      </w:tr>
    </w:tbl>
    <w:p>
      <w:pPr>
        <w:sectPr>
          <w:pgSz w:w="11900" w:h="16838" w:orient="portrait"/>
          <w:cols w:equalWidth="0" w:num="1">
            <w:col w:w="11440"/>
          </w:cols>
          <w:pgMar w:left="240" w:top="292" w:right="219" w:bottom="1440" w:gutter="0" w:footer="0" w:header="0"/>
        </w:sectPr>
      </w:pPr>
    </w:p>
    <w:bookmarkStart w:id="32" w:name="page33"/>
    <w:bookmarkEnd w:id="32"/>
    <w:p>
      <w:pPr>
        <w:spacing w:after="0"/>
        <w:rPr>
          <w:sz w:val="20"/>
          <w:szCs w:val="20"/>
          <w:color w:val="auto"/>
        </w:rPr>
      </w:pPr>
      <w:r>
        <w:rPr>
          <w:rFonts w:ascii="Arial" w:cs="Arial" w:eastAsia="Arial" w:hAnsi="Arial"/>
          <w:sz w:val="43"/>
          <w:szCs w:val="43"/>
          <w:color w:val="012E6C"/>
        </w:rPr>
        <w:t>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5969000" cy="21266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69000" cy="212661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40"/>
        <w:spacing w:after="0"/>
        <w:tabs>
          <w:tab w:leader="none" w:pos="1240" w:val="left"/>
        </w:tabs>
        <w:rPr>
          <w:sz w:val="20"/>
          <w:szCs w:val="20"/>
          <w:color w:val="auto"/>
        </w:rPr>
      </w:pPr>
      <w:r>
        <w:rPr>
          <w:rFonts w:ascii="Arial" w:cs="Arial" w:eastAsia="Arial" w:hAnsi="Arial"/>
          <w:sz w:val="20"/>
          <w:szCs w:val="20"/>
          <w:color w:val="012E6C"/>
        </w:rPr>
        <w:t>Proposal</w:t>
      </w:r>
      <w:r>
        <w:rPr>
          <w:sz w:val="20"/>
          <w:szCs w:val="20"/>
          <w:color w:val="auto"/>
        </w:rPr>
        <w:tab/>
      </w:r>
      <w:r>
        <w:rPr>
          <w:rFonts w:ascii="Arial" w:cs="Arial" w:eastAsia="Arial" w:hAnsi="Arial"/>
          <w:sz w:val="29"/>
          <w:szCs w:val="29"/>
          <w:b w:val="1"/>
          <w:bCs w:val="1"/>
          <w:color w:val="012E6C"/>
        </w:rPr>
        <w:t>Ratification of</w:t>
      </w:r>
    </w:p>
    <w:p>
      <w:pPr>
        <w:spacing w:after="0" w:line="31" w:lineRule="exact"/>
        <w:rPr>
          <w:sz w:val="20"/>
          <w:szCs w:val="20"/>
          <w:color w:val="auto"/>
        </w:rPr>
      </w:pPr>
    </w:p>
    <w:p>
      <w:pPr>
        <w:ind w:left="1260" w:right="220" w:hanging="305"/>
        <w:spacing w:after="0" w:line="287" w:lineRule="auto"/>
        <w:tabs>
          <w:tab w:leader="none" w:pos="1260" w:val="left"/>
        </w:tabs>
        <w:numPr>
          <w:ilvl w:val="0"/>
          <w:numId w:val="63"/>
        </w:numPr>
        <w:rPr>
          <w:rFonts w:ascii="Arial" w:cs="Arial" w:eastAsia="Arial" w:hAnsi="Arial"/>
          <w:sz w:val="28"/>
          <w:szCs w:val="28"/>
          <w:color w:val="012E6C"/>
        </w:rPr>
      </w:pPr>
      <w:r>
        <w:rPr>
          <w:rFonts w:ascii="Arial" w:cs="Arial" w:eastAsia="Arial" w:hAnsi="Arial"/>
          <w:sz w:val="28"/>
          <w:szCs w:val="28"/>
          <w:b w:val="1"/>
          <w:bCs w:val="1"/>
          <w:color w:val="012E6C"/>
        </w:rPr>
        <w:t>Appointment of Independent Auditors</w:t>
      </w:r>
    </w:p>
    <w:p>
      <w:pPr>
        <w:spacing w:after="0" w:line="2" w:lineRule="exact"/>
        <w:rPr>
          <w:rFonts w:ascii="Arial" w:cs="Arial" w:eastAsia="Arial" w:hAnsi="Arial"/>
          <w:sz w:val="28"/>
          <w:szCs w:val="28"/>
          <w:color w:val="012E6C"/>
        </w:rPr>
      </w:pPr>
    </w:p>
    <w:p>
      <w:pPr>
        <w:ind w:left="1420" w:right="140" w:hanging="169"/>
        <w:spacing w:after="0" w:line="253" w:lineRule="auto"/>
        <w:tabs>
          <w:tab w:leader="none" w:pos="1508" w:val="left"/>
        </w:tabs>
        <w:numPr>
          <w:ilvl w:val="1"/>
          <w:numId w:val="63"/>
        </w:numPr>
        <w:rPr>
          <w:rFonts w:ascii="Arial" w:cs="Arial" w:eastAsia="Arial" w:hAnsi="Arial"/>
          <w:sz w:val="17"/>
          <w:szCs w:val="17"/>
          <w:color w:val="003478"/>
        </w:rPr>
      </w:pPr>
      <w:r>
        <w:rPr>
          <w:rFonts w:ascii="Arial" w:cs="Arial" w:eastAsia="Arial" w:hAnsi="Arial"/>
          <w:sz w:val="17"/>
          <w:szCs w:val="17"/>
          <w:color w:val="003478"/>
        </w:rPr>
        <w:t>Independent accounting firm with the breadth of knowledge, support and expertise of its national office.</w:t>
      </w:r>
    </w:p>
    <w:p>
      <w:pPr>
        <w:spacing w:after="0" w:line="57" w:lineRule="exact"/>
        <w:rPr>
          <w:rFonts w:ascii="Arial" w:cs="Arial" w:eastAsia="Arial" w:hAnsi="Arial"/>
          <w:sz w:val="17"/>
          <w:szCs w:val="17"/>
          <w:color w:val="003478"/>
        </w:rPr>
      </w:pPr>
    </w:p>
    <w:p>
      <w:pPr>
        <w:ind w:left="1420" w:right="220" w:hanging="169"/>
        <w:spacing w:after="0" w:line="275" w:lineRule="auto"/>
        <w:tabs>
          <w:tab w:leader="none" w:pos="1508" w:val="left"/>
        </w:tabs>
        <w:numPr>
          <w:ilvl w:val="1"/>
          <w:numId w:val="63"/>
        </w:numPr>
        <w:rPr>
          <w:rFonts w:ascii="Arial" w:cs="Arial" w:eastAsia="Arial" w:hAnsi="Arial"/>
          <w:sz w:val="17"/>
          <w:szCs w:val="17"/>
          <w:color w:val="003478"/>
        </w:rPr>
      </w:pPr>
      <w:r>
        <w:rPr>
          <w:rFonts w:ascii="Arial" w:cs="Arial" w:eastAsia="Arial" w:hAnsi="Arial"/>
          <w:sz w:val="17"/>
          <w:szCs w:val="17"/>
          <w:color w:val="003478"/>
        </w:rPr>
        <w:t>Significant industry and government contracting expertise.</w:t>
      </w:r>
    </w:p>
    <w:p>
      <w:pPr>
        <w:spacing w:after="0" w:line="38" w:lineRule="exact"/>
        <w:rPr>
          <w:rFonts w:ascii="Arial" w:cs="Arial" w:eastAsia="Arial" w:hAnsi="Arial"/>
          <w:sz w:val="17"/>
          <w:szCs w:val="17"/>
          <w:color w:val="003478"/>
        </w:rPr>
      </w:pPr>
    </w:p>
    <w:p>
      <w:pPr>
        <w:ind w:left="1420" w:hanging="169"/>
        <w:spacing w:after="0" w:line="275" w:lineRule="auto"/>
        <w:tabs>
          <w:tab w:leader="none" w:pos="1508" w:val="left"/>
        </w:tabs>
        <w:numPr>
          <w:ilvl w:val="1"/>
          <w:numId w:val="63"/>
        </w:numPr>
        <w:rPr>
          <w:rFonts w:ascii="Arial" w:cs="Arial" w:eastAsia="Arial" w:hAnsi="Arial"/>
          <w:sz w:val="17"/>
          <w:szCs w:val="17"/>
          <w:color w:val="003478"/>
        </w:rPr>
      </w:pPr>
      <w:r>
        <w:rPr>
          <w:rFonts w:ascii="Arial" w:cs="Arial" w:eastAsia="Arial" w:hAnsi="Arial"/>
          <w:sz w:val="17"/>
          <w:szCs w:val="17"/>
          <w:color w:val="003478"/>
        </w:rPr>
        <w:t>Periodic mandated rotation of the audit firm’s lead engagement partner.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280"/>
        <w:spacing w:after="0" w:line="253" w:lineRule="auto"/>
        <w:rPr>
          <w:sz w:val="20"/>
          <w:szCs w:val="20"/>
          <w:color w:val="auto"/>
        </w:rPr>
      </w:pPr>
      <w:r>
        <w:rPr>
          <w:rFonts w:ascii="Arial" w:cs="Arial" w:eastAsia="Arial" w:hAnsi="Arial"/>
          <w:sz w:val="17"/>
          <w:szCs w:val="17"/>
          <w:color w:val="012E6C"/>
        </w:rPr>
        <w:t>The Board unanimously recommends that you vote FOR the ratification of the appointment of Ernst &amp; Young as independent auditors for 2019.</w:t>
      </w:r>
    </w:p>
    <w:p>
      <w:pPr>
        <w:spacing w:after="0" w:line="1137" w:lineRule="exact"/>
        <w:rPr>
          <w:sz w:val="20"/>
          <w:szCs w:val="20"/>
          <w:color w:val="auto"/>
        </w:rPr>
      </w:pPr>
    </w:p>
    <w:p>
      <w:pPr>
        <w:sectPr>
          <w:pgSz w:w="11900" w:h="16838" w:orient="portrait"/>
          <w:cols w:equalWidth="0" w:num="2">
            <w:col w:w="4440" w:space="420"/>
            <w:col w:w="6560"/>
          </w:cols>
          <w:pgMar w:left="240" w:top="341" w:right="239" w:bottom="1440" w:gutter="0" w:footer="0" w:header="0"/>
          <w:type w:val="continuous"/>
        </w:sectPr>
      </w:pPr>
    </w:p>
    <w:p>
      <w:pPr>
        <w:spacing w:after="0" w:line="243"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 Audit Committee has appointed Ernst &amp; Young LLP (Ernst &amp; Young), an independent registered public accounting firm, as the independent auditors to perform an integrated audit of the Corporation’s consolidated financial statements and internal control over financial reporting for the year ending December 31, 2019. The services provided to the Corporation by Ernst &amp; Young for the last two fiscal years are described under the caption “Fees Paid to Independent Auditors” on page 31.</w:t>
      </w:r>
    </w:p>
    <w:p>
      <w:pPr>
        <w:spacing w:after="0" w:line="17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Audit Committee is directly responsible for the appointment, compensation, retention, oversight and termination of the Corporation’s independent auditors in accordance with the NYSE listing standards. The Audit Committee also is responsible for the audit fee negotiations associated with the retention of Ernst &amp; Young. The Audit Committee and its Chairman are involved in the selection of Ernst &amp; Young’s lead engagement partner. The Audit Committee regularly meets with Ernst &amp; Young without management present.</w:t>
      </w:r>
    </w:p>
    <w:p>
      <w:pPr>
        <w:spacing w:after="0" w:line="171" w:lineRule="exact"/>
        <w:rPr>
          <w:sz w:val="20"/>
          <w:szCs w:val="20"/>
          <w:color w:val="auto"/>
        </w:rPr>
      </w:pPr>
    </w:p>
    <w:p>
      <w:pPr>
        <w:ind w:right="420"/>
        <w:spacing w:after="0" w:line="279" w:lineRule="auto"/>
        <w:rPr>
          <w:sz w:val="20"/>
          <w:szCs w:val="20"/>
          <w:color w:val="auto"/>
        </w:rPr>
      </w:pPr>
      <w:r>
        <w:rPr>
          <w:rFonts w:ascii="Arial" w:cs="Arial" w:eastAsia="Arial" w:hAnsi="Arial"/>
          <w:sz w:val="17"/>
          <w:szCs w:val="17"/>
          <w:color w:val="auto"/>
        </w:rPr>
        <w:t>Ernst &amp; Young has served as the Corporation’s independent auditors since 1994. The Audit Committee reviews the engagement of Ernst &amp; Young annually following completion of Ernst &amp; Young’s audit of the prior year’s financial statements. The Audit Committee also conducts a mid-year assessment of the quality of Ernst &amp; Young’s work. As part of its annual and mid-year assessment of Ernst &amp; Young, the Audit Committee has considered:</w:t>
      </w:r>
    </w:p>
    <w:p>
      <w:pPr>
        <w:spacing w:after="0" w:line="171" w:lineRule="exact"/>
        <w:rPr>
          <w:sz w:val="20"/>
          <w:szCs w:val="20"/>
          <w:color w:val="auto"/>
        </w:rPr>
      </w:pPr>
    </w:p>
    <w:p>
      <w:pPr>
        <w:ind w:left="260" w:hanging="130"/>
        <w:spacing w:after="0"/>
        <w:tabs>
          <w:tab w:leader="none" w:pos="260" w:val="left"/>
        </w:tabs>
        <w:numPr>
          <w:ilvl w:val="0"/>
          <w:numId w:val="64"/>
        </w:numPr>
        <w:rPr>
          <w:rFonts w:ascii="Arial" w:cs="Arial" w:eastAsia="Arial" w:hAnsi="Arial"/>
          <w:sz w:val="17"/>
          <w:szCs w:val="17"/>
          <w:color w:val="012E6C"/>
        </w:rPr>
      </w:pPr>
      <w:r>
        <w:rPr>
          <w:rFonts w:ascii="Arial" w:cs="Arial" w:eastAsia="Arial" w:hAnsi="Arial"/>
          <w:sz w:val="17"/>
          <w:szCs w:val="17"/>
          <w:color w:val="auto"/>
        </w:rPr>
        <w:t>the materials on independence provided by Ernst &amp; Young;</w:t>
      </w:r>
    </w:p>
    <w:p>
      <w:pPr>
        <w:spacing w:after="0" w:line="236" w:lineRule="exact"/>
        <w:rPr>
          <w:rFonts w:ascii="Arial" w:cs="Arial" w:eastAsia="Arial" w:hAnsi="Arial"/>
          <w:sz w:val="17"/>
          <w:szCs w:val="17"/>
          <w:color w:val="012E6C"/>
        </w:rPr>
      </w:pPr>
    </w:p>
    <w:p>
      <w:pPr>
        <w:ind w:left="260" w:hanging="130"/>
        <w:spacing w:after="0"/>
        <w:tabs>
          <w:tab w:leader="none" w:pos="260" w:val="left"/>
        </w:tabs>
        <w:numPr>
          <w:ilvl w:val="0"/>
          <w:numId w:val="64"/>
        </w:numPr>
        <w:rPr>
          <w:rFonts w:ascii="Arial" w:cs="Arial" w:eastAsia="Arial" w:hAnsi="Arial"/>
          <w:sz w:val="17"/>
          <w:szCs w:val="17"/>
          <w:color w:val="012E6C"/>
        </w:rPr>
      </w:pPr>
      <w:r>
        <w:rPr>
          <w:rFonts w:ascii="Arial" w:cs="Arial" w:eastAsia="Arial" w:hAnsi="Arial"/>
          <w:sz w:val="17"/>
          <w:szCs w:val="17"/>
          <w:color w:val="auto"/>
        </w:rPr>
        <w:t>work quality;</w:t>
      </w:r>
    </w:p>
    <w:p>
      <w:pPr>
        <w:spacing w:after="0" w:line="236" w:lineRule="exact"/>
        <w:rPr>
          <w:rFonts w:ascii="Arial" w:cs="Arial" w:eastAsia="Arial" w:hAnsi="Arial"/>
          <w:sz w:val="17"/>
          <w:szCs w:val="17"/>
          <w:color w:val="012E6C"/>
        </w:rPr>
      </w:pPr>
    </w:p>
    <w:p>
      <w:pPr>
        <w:ind w:left="260" w:hanging="130"/>
        <w:spacing w:after="0"/>
        <w:tabs>
          <w:tab w:leader="none" w:pos="260" w:val="left"/>
        </w:tabs>
        <w:numPr>
          <w:ilvl w:val="0"/>
          <w:numId w:val="64"/>
        </w:numPr>
        <w:rPr>
          <w:rFonts w:ascii="Arial" w:cs="Arial" w:eastAsia="Arial" w:hAnsi="Arial"/>
          <w:sz w:val="17"/>
          <w:szCs w:val="17"/>
          <w:color w:val="012E6C"/>
        </w:rPr>
      </w:pPr>
      <w:r>
        <w:rPr>
          <w:rFonts w:ascii="Arial" w:cs="Arial" w:eastAsia="Arial" w:hAnsi="Arial"/>
          <w:sz w:val="17"/>
          <w:szCs w:val="17"/>
          <w:color w:val="auto"/>
        </w:rPr>
        <w:t>management’s level of satisfaction with its services;</w:t>
      </w:r>
    </w:p>
    <w:p>
      <w:pPr>
        <w:spacing w:after="0" w:line="236" w:lineRule="exact"/>
        <w:rPr>
          <w:rFonts w:ascii="Arial" w:cs="Arial" w:eastAsia="Arial" w:hAnsi="Arial"/>
          <w:sz w:val="17"/>
          <w:szCs w:val="17"/>
          <w:color w:val="012E6C"/>
        </w:rPr>
      </w:pPr>
    </w:p>
    <w:p>
      <w:pPr>
        <w:ind w:left="260" w:hanging="130"/>
        <w:spacing w:after="0"/>
        <w:tabs>
          <w:tab w:leader="none" w:pos="260" w:val="left"/>
        </w:tabs>
        <w:numPr>
          <w:ilvl w:val="0"/>
          <w:numId w:val="64"/>
        </w:numPr>
        <w:rPr>
          <w:rFonts w:ascii="Arial" w:cs="Arial" w:eastAsia="Arial" w:hAnsi="Arial"/>
          <w:sz w:val="17"/>
          <w:szCs w:val="17"/>
          <w:color w:val="012E6C"/>
        </w:rPr>
      </w:pPr>
      <w:r>
        <w:rPr>
          <w:rFonts w:ascii="Arial" w:cs="Arial" w:eastAsia="Arial" w:hAnsi="Arial"/>
          <w:sz w:val="17"/>
          <w:szCs w:val="17"/>
          <w:color w:val="auto"/>
        </w:rPr>
        <w:t>the adequacy of Ernst &amp; Young’s staffing;</w:t>
      </w:r>
    </w:p>
    <w:p>
      <w:pPr>
        <w:spacing w:after="0" w:line="236" w:lineRule="exact"/>
        <w:rPr>
          <w:rFonts w:ascii="Arial" w:cs="Arial" w:eastAsia="Arial" w:hAnsi="Arial"/>
          <w:sz w:val="17"/>
          <w:szCs w:val="17"/>
          <w:color w:val="012E6C"/>
        </w:rPr>
      </w:pPr>
    </w:p>
    <w:p>
      <w:pPr>
        <w:ind w:left="260" w:hanging="130"/>
        <w:spacing w:after="0"/>
        <w:tabs>
          <w:tab w:leader="none" w:pos="260" w:val="left"/>
        </w:tabs>
        <w:numPr>
          <w:ilvl w:val="0"/>
          <w:numId w:val="64"/>
        </w:numPr>
        <w:rPr>
          <w:rFonts w:ascii="Arial" w:cs="Arial" w:eastAsia="Arial" w:hAnsi="Arial"/>
          <w:sz w:val="17"/>
          <w:szCs w:val="17"/>
          <w:color w:val="012E6C"/>
        </w:rPr>
      </w:pPr>
      <w:r>
        <w:rPr>
          <w:rFonts w:ascii="Arial" w:cs="Arial" w:eastAsia="Arial" w:hAnsi="Arial"/>
          <w:sz w:val="17"/>
          <w:szCs w:val="17"/>
          <w:color w:val="auto"/>
        </w:rPr>
        <w:t>the breadth of knowledge, support and expertise of its national office;</w:t>
      </w:r>
    </w:p>
    <w:p>
      <w:pPr>
        <w:spacing w:after="0" w:line="236" w:lineRule="exact"/>
        <w:rPr>
          <w:rFonts w:ascii="Arial" w:cs="Arial" w:eastAsia="Arial" w:hAnsi="Arial"/>
          <w:sz w:val="17"/>
          <w:szCs w:val="17"/>
          <w:color w:val="012E6C"/>
        </w:rPr>
      </w:pPr>
    </w:p>
    <w:p>
      <w:pPr>
        <w:ind w:left="260" w:hanging="130"/>
        <w:spacing w:after="0"/>
        <w:tabs>
          <w:tab w:leader="none" w:pos="260" w:val="left"/>
        </w:tabs>
        <w:numPr>
          <w:ilvl w:val="0"/>
          <w:numId w:val="64"/>
        </w:numPr>
        <w:rPr>
          <w:rFonts w:ascii="Arial" w:cs="Arial" w:eastAsia="Arial" w:hAnsi="Arial"/>
          <w:sz w:val="17"/>
          <w:szCs w:val="17"/>
          <w:color w:val="012E6C"/>
        </w:rPr>
      </w:pPr>
      <w:r>
        <w:rPr>
          <w:rFonts w:ascii="Arial" w:cs="Arial" w:eastAsia="Arial" w:hAnsi="Arial"/>
          <w:sz w:val="17"/>
          <w:szCs w:val="17"/>
          <w:color w:val="auto"/>
        </w:rPr>
        <w:t>the length of time Ernst &amp; Young has been engaged;</w:t>
      </w:r>
    </w:p>
    <w:p>
      <w:pPr>
        <w:spacing w:after="0" w:line="236" w:lineRule="exact"/>
        <w:rPr>
          <w:rFonts w:ascii="Arial" w:cs="Arial" w:eastAsia="Arial" w:hAnsi="Arial"/>
          <w:sz w:val="17"/>
          <w:szCs w:val="17"/>
          <w:color w:val="012E6C"/>
        </w:rPr>
      </w:pPr>
    </w:p>
    <w:p>
      <w:pPr>
        <w:ind w:left="260" w:right="340" w:hanging="130"/>
        <w:spacing w:after="0" w:line="308" w:lineRule="auto"/>
        <w:tabs>
          <w:tab w:leader="none" w:pos="260" w:val="left"/>
        </w:tabs>
        <w:numPr>
          <w:ilvl w:val="0"/>
          <w:numId w:val="64"/>
        </w:numPr>
        <w:rPr>
          <w:rFonts w:ascii="Arial" w:cs="Arial" w:eastAsia="Arial" w:hAnsi="Arial"/>
          <w:sz w:val="17"/>
          <w:szCs w:val="17"/>
          <w:color w:val="012E6C"/>
        </w:rPr>
      </w:pPr>
      <w:r>
        <w:rPr>
          <w:rFonts w:ascii="Arial" w:cs="Arial" w:eastAsia="Arial" w:hAnsi="Arial"/>
          <w:sz w:val="17"/>
          <w:szCs w:val="17"/>
          <w:color w:val="auto"/>
        </w:rPr>
        <w:t>external data regarding Ernst &amp; Young’s audit quality and performance, including recent Public Company Accounting Oversight Board (PCAOB) reports on Ernst &amp; Young and its peer firms;</w:t>
      </w:r>
    </w:p>
    <w:p>
      <w:pPr>
        <w:spacing w:after="0" w:line="146" w:lineRule="exact"/>
        <w:rPr>
          <w:rFonts w:ascii="Arial" w:cs="Arial" w:eastAsia="Arial" w:hAnsi="Arial"/>
          <w:sz w:val="17"/>
          <w:szCs w:val="17"/>
          <w:color w:val="012E6C"/>
        </w:rPr>
      </w:pPr>
    </w:p>
    <w:p>
      <w:pPr>
        <w:ind w:left="260" w:right="80" w:hanging="130"/>
        <w:spacing w:after="0" w:line="308" w:lineRule="auto"/>
        <w:tabs>
          <w:tab w:leader="none" w:pos="260" w:val="left"/>
        </w:tabs>
        <w:numPr>
          <w:ilvl w:val="0"/>
          <w:numId w:val="64"/>
        </w:numPr>
        <w:rPr>
          <w:rFonts w:ascii="Arial" w:cs="Arial" w:eastAsia="Arial" w:hAnsi="Arial"/>
          <w:sz w:val="17"/>
          <w:szCs w:val="17"/>
          <w:color w:val="012E6C"/>
        </w:rPr>
      </w:pPr>
      <w:r>
        <w:rPr>
          <w:rFonts w:ascii="Arial" w:cs="Arial" w:eastAsia="Arial" w:hAnsi="Arial"/>
          <w:sz w:val="17"/>
          <w:szCs w:val="17"/>
          <w:color w:val="auto"/>
        </w:rPr>
        <w:t>Ernst &amp; Young’s institutional knowledge and expertise with respect to the Corporation’s business and government contracting practices, quality and cost-effective services;</w:t>
      </w:r>
    </w:p>
    <w:p>
      <w:pPr>
        <w:spacing w:after="0" w:line="146" w:lineRule="exact"/>
        <w:rPr>
          <w:rFonts w:ascii="Arial" w:cs="Arial" w:eastAsia="Arial" w:hAnsi="Arial"/>
          <w:sz w:val="17"/>
          <w:szCs w:val="17"/>
          <w:color w:val="012E6C"/>
        </w:rPr>
      </w:pPr>
    </w:p>
    <w:p>
      <w:pPr>
        <w:ind w:left="260" w:hanging="130"/>
        <w:spacing w:after="0"/>
        <w:tabs>
          <w:tab w:leader="none" w:pos="260" w:val="left"/>
        </w:tabs>
        <w:numPr>
          <w:ilvl w:val="0"/>
          <w:numId w:val="64"/>
        </w:numPr>
        <w:rPr>
          <w:rFonts w:ascii="Arial" w:cs="Arial" w:eastAsia="Arial" w:hAnsi="Arial"/>
          <w:sz w:val="17"/>
          <w:szCs w:val="17"/>
          <w:color w:val="012E6C"/>
        </w:rPr>
      </w:pPr>
      <w:r>
        <w:rPr>
          <w:rFonts w:ascii="Arial" w:cs="Arial" w:eastAsia="Arial" w:hAnsi="Arial"/>
          <w:sz w:val="17"/>
          <w:szCs w:val="17"/>
          <w:color w:val="auto"/>
        </w:rPr>
        <w:t>familiarity with the Corporation’s account;</w:t>
      </w:r>
    </w:p>
    <w:p>
      <w:pPr>
        <w:spacing w:after="0" w:line="236" w:lineRule="exact"/>
        <w:rPr>
          <w:rFonts w:ascii="Arial" w:cs="Arial" w:eastAsia="Arial" w:hAnsi="Arial"/>
          <w:sz w:val="17"/>
          <w:szCs w:val="17"/>
          <w:color w:val="012E6C"/>
        </w:rPr>
      </w:pPr>
    </w:p>
    <w:p>
      <w:pPr>
        <w:ind w:left="260" w:hanging="130"/>
        <w:spacing w:after="0"/>
        <w:tabs>
          <w:tab w:leader="none" w:pos="260" w:val="left"/>
        </w:tabs>
        <w:numPr>
          <w:ilvl w:val="0"/>
          <w:numId w:val="64"/>
        </w:numPr>
        <w:rPr>
          <w:rFonts w:ascii="Arial" w:cs="Arial" w:eastAsia="Arial" w:hAnsi="Arial"/>
          <w:sz w:val="17"/>
          <w:szCs w:val="17"/>
          <w:color w:val="012E6C"/>
        </w:rPr>
      </w:pPr>
      <w:r>
        <w:rPr>
          <w:rFonts w:ascii="Arial" w:cs="Arial" w:eastAsia="Arial" w:hAnsi="Arial"/>
          <w:sz w:val="17"/>
          <w:szCs w:val="17"/>
          <w:color w:val="auto"/>
        </w:rPr>
        <w:t>level of expertise in accounting issues relating to government contracts; and</w:t>
      </w:r>
    </w:p>
    <w:p>
      <w:pPr>
        <w:spacing w:after="0" w:line="236" w:lineRule="exact"/>
        <w:rPr>
          <w:rFonts w:ascii="Arial" w:cs="Arial" w:eastAsia="Arial" w:hAnsi="Arial"/>
          <w:sz w:val="17"/>
          <w:szCs w:val="17"/>
          <w:color w:val="012E6C"/>
        </w:rPr>
      </w:pPr>
    </w:p>
    <w:p>
      <w:pPr>
        <w:ind w:left="260" w:hanging="130"/>
        <w:spacing w:after="0"/>
        <w:tabs>
          <w:tab w:leader="none" w:pos="260" w:val="left"/>
        </w:tabs>
        <w:numPr>
          <w:ilvl w:val="0"/>
          <w:numId w:val="64"/>
        </w:numPr>
        <w:rPr>
          <w:rFonts w:ascii="Arial" w:cs="Arial" w:eastAsia="Arial" w:hAnsi="Arial"/>
          <w:sz w:val="17"/>
          <w:szCs w:val="17"/>
          <w:color w:val="012E6C"/>
        </w:rPr>
      </w:pPr>
      <w:r>
        <w:rPr>
          <w:rFonts w:ascii="Arial" w:cs="Arial" w:eastAsia="Arial" w:hAnsi="Arial"/>
          <w:sz w:val="17"/>
          <w:szCs w:val="17"/>
          <w:color w:val="auto"/>
        </w:rPr>
        <w:t>Ernst &amp; Young’s performance in providing independent analysis of management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417195</wp:posOffset>
            </wp:positionV>
            <wp:extent cx="1440815" cy="3257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440815" cy="32575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808080"/>
        </w:rPr>
        <w:t>30</w:t>
      </w:r>
    </w:p>
    <w:p>
      <w:pPr>
        <w:sectPr>
          <w:pgSz w:w="11900" w:h="16838" w:orient="portrait"/>
          <w:cols w:equalWidth="0" w:num="1">
            <w:col w:w="11420"/>
          </w:cols>
          <w:pgMar w:left="240" w:top="341" w:right="239" w:bottom="1440" w:gutter="0" w:footer="0" w:header="0"/>
          <w:type w:val="continuous"/>
        </w:sectPr>
      </w:pPr>
    </w:p>
    <w:bookmarkStart w:id="33" w:name="page34"/>
    <w:bookmarkEnd w:id="33"/>
    <w:p>
      <w:pPr>
        <w:jc w:val="right"/>
        <w:spacing w:after="0"/>
        <w:rPr>
          <w:sz w:val="20"/>
          <w:szCs w:val="20"/>
          <w:color w:val="auto"/>
        </w:rPr>
      </w:pPr>
      <w:r>
        <w:rPr>
          <w:rFonts w:ascii="Arial" w:cs="Arial" w:eastAsia="Arial" w:hAnsi="Arial"/>
          <w:sz w:val="15"/>
          <w:szCs w:val="15"/>
          <w:color w:val="003478"/>
        </w:rPr>
        <w:t>Audit Matters</w:t>
      </w:r>
    </w:p>
    <w:p>
      <w:pPr>
        <w:spacing w:after="0" w:line="363"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Stockholder approval of the appointment is not required. However, the Board believes that obtaining stockholder ratification of the appointment is a sound corporate governance practice. If the stockholders do not vote on an advisory basis in favor of Ernst &amp; Young, the Audit Committee will reconsider whether to hire the firm and may retain Ernst &amp; Young or hire another firm without resubmitting the matter for stockholders’ approval. The Audit Committee retains the discretion at any time to appoint a different independent auditor.</w:t>
      </w:r>
    </w:p>
    <w:p>
      <w:pPr>
        <w:spacing w:after="0" w:line="171" w:lineRule="exact"/>
        <w:rPr>
          <w:sz w:val="20"/>
          <w:szCs w:val="20"/>
          <w:color w:val="auto"/>
        </w:rPr>
      </w:pPr>
    </w:p>
    <w:p>
      <w:pPr>
        <w:ind w:right="760"/>
        <w:spacing w:after="0" w:line="308" w:lineRule="auto"/>
        <w:rPr>
          <w:sz w:val="20"/>
          <w:szCs w:val="20"/>
          <w:color w:val="auto"/>
        </w:rPr>
      </w:pPr>
      <w:r>
        <w:rPr>
          <w:rFonts w:ascii="Arial" w:cs="Arial" w:eastAsia="Arial" w:hAnsi="Arial"/>
          <w:sz w:val="17"/>
          <w:szCs w:val="17"/>
          <w:color w:val="auto"/>
        </w:rPr>
        <w:t>Representatives of Ernst &amp; Young are expected to be present at the Annual Meeting, and such representatives will be available to respond to appropriate questions and will have the opportunity to make a statement if they desire.</w:t>
      </w:r>
    </w:p>
    <w:p>
      <w:pPr>
        <w:spacing w:after="0" w:line="131" w:lineRule="exact"/>
        <w:rPr>
          <w:sz w:val="20"/>
          <w:szCs w:val="20"/>
          <w:color w:val="auto"/>
        </w:rPr>
      </w:pPr>
    </w:p>
    <w:p>
      <w:pPr>
        <w:spacing w:after="0"/>
        <w:rPr>
          <w:sz w:val="20"/>
          <w:szCs w:val="20"/>
          <w:color w:val="auto"/>
        </w:rPr>
      </w:pPr>
      <w:r>
        <w:rPr>
          <w:rFonts w:ascii="Arial" w:cs="Arial" w:eastAsia="Arial" w:hAnsi="Arial"/>
          <w:sz w:val="25"/>
          <w:szCs w:val="25"/>
          <w:color w:val="475C90"/>
        </w:rPr>
        <w:t>Pre-Approval of Independent Auditors Services</w:t>
      </w:r>
    </w:p>
    <w:p>
      <w:pPr>
        <w:spacing w:after="0" w:line="24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Audit Committee pre-approves all audit, audit-related, tax and other services performed by the independent auditors. The Audit Committee pre-approves specific categories of services up to pre-established fee thresholds. Unless the type of service has previously been pre-approved, the Audit Committee must approve that specific service before the independent auditors may perform such service. In addition, separate approval is required if the amount of fees for any pre-approved category of service exceeds the fee thresholds established by the Audit Committee. The Audit Committee also has delegated to the Committee Chairman or any member pre-approval authority with respect to permitted services up to $500,000, provided that the Committee Chairman or any committee member must report any pre-approval decisions to the Audit Committee at its next scheduled meeting.</w:t>
      </w:r>
    </w:p>
    <w:p>
      <w:pPr>
        <w:spacing w:after="0" w:line="163" w:lineRule="exact"/>
        <w:rPr>
          <w:sz w:val="20"/>
          <w:szCs w:val="20"/>
          <w:color w:val="auto"/>
        </w:rPr>
      </w:pPr>
    </w:p>
    <w:p>
      <w:pPr>
        <w:spacing w:after="0"/>
        <w:rPr>
          <w:sz w:val="20"/>
          <w:szCs w:val="20"/>
          <w:color w:val="auto"/>
        </w:rPr>
      </w:pPr>
      <w:r>
        <w:rPr>
          <w:rFonts w:ascii="Arial" w:cs="Arial" w:eastAsia="Arial" w:hAnsi="Arial"/>
          <w:sz w:val="25"/>
          <w:szCs w:val="25"/>
          <w:color w:val="475C90"/>
        </w:rPr>
        <w:t>Fees Paid to Independent Auditors</w:t>
      </w:r>
    </w:p>
    <w:p>
      <w:pPr>
        <w:spacing w:after="0" w:line="24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following table sets forth the fees billed by Ernst &amp; Young, the Corporation’s independent auditors, for audit services, audit-related services, tax services and all other services rendered for 2018 and 2017. All fees were pre-approved in accordance with the Audit Committee’s pre-approval policy. The Audit Committee considered and concluded that the provision of these services by Ernst &amp; Young was compatible with the maintenance of the auditor’s independence.</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9160" w:type="dxa"/>
            <w:vAlign w:val="bottom"/>
            <w:shd w:val="clear" w:color="auto" w:fill="ECECEC"/>
          </w:tcPr>
          <w:p>
            <w:pPr>
              <w:spacing w:after="0"/>
              <w:rPr>
                <w:sz w:val="22"/>
                <w:szCs w:val="22"/>
                <w:color w:val="auto"/>
              </w:rPr>
            </w:pPr>
          </w:p>
        </w:tc>
        <w:tc>
          <w:tcPr>
            <w:tcW w:w="1300" w:type="dxa"/>
            <w:vAlign w:val="bottom"/>
            <w:shd w:val="clear" w:color="auto" w:fill="ECECEC"/>
          </w:tcPr>
          <w:p>
            <w:pPr>
              <w:jc w:val="right"/>
              <w:ind w:right="131"/>
              <w:spacing w:after="0"/>
              <w:rPr>
                <w:sz w:val="20"/>
                <w:szCs w:val="20"/>
                <w:color w:val="auto"/>
              </w:rPr>
            </w:pPr>
            <w:r>
              <w:rPr>
                <w:rFonts w:ascii="Arial" w:cs="Arial" w:eastAsia="Arial" w:hAnsi="Arial"/>
                <w:sz w:val="13"/>
                <w:szCs w:val="13"/>
                <w:color w:val="auto"/>
              </w:rPr>
              <w:t>2017</w:t>
            </w:r>
          </w:p>
        </w:tc>
        <w:tc>
          <w:tcPr>
            <w:tcW w:w="960" w:type="dxa"/>
            <w:vAlign w:val="bottom"/>
            <w:shd w:val="clear" w:color="auto" w:fill="ECECEC"/>
          </w:tcPr>
          <w:p>
            <w:pPr>
              <w:jc w:val="right"/>
              <w:spacing w:after="0"/>
              <w:rPr>
                <w:sz w:val="20"/>
                <w:szCs w:val="20"/>
                <w:color w:val="auto"/>
              </w:rPr>
            </w:pPr>
            <w:r>
              <w:rPr>
                <w:rFonts w:ascii="Arial" w:cs="Arial" w:eastAsia="Arial" w:hAnsi="Arial"/>
                <w:sz w:val="13"/>
                <w:szCs w:val="13"/>
                <w:color w:val="auto"/>
              </w:rPr>
              <w:t>2018</w:t>
            </w:r>
          </w:p>
        </w:tc>
      </w:tr>
      <w:tr>
        <w:trPr>
          <w:trHeight w:val="278"/>
        </w:trPr>
        <w:tc>
          <w:tcPr>
            <w:tcW w:w="9160" w:type="dxa"/>
            <w:vAlign w:val="bottom"/>
            <w:tcBorders>
              <w:bottom w:val="single" w:sz="8" w:color="959595"/>
            </w:tcBorders>
            <w:shd w:val="clear" w:color="auto" w:fill="ECECEC"/>
          </w:tcPr>
          <w:p>
            <w:pPr>
              <w:spacing w:after="0"/>
              <w:rPr>
                <w:sz w:val="24"/>
                <w:szCs w:val="24"/>
                <w:color w:val="auto"/>
              </w:rPr>
            </w:pPr>
          </w:p>
        </w:tc>
        <w:tc>
          <w:tcPr>
            <w:tcW w:w="1300" w:type="dxa"/>
            <w:vAlign w:val="bottom"/>
            <w:tcBorders>
              <w:bottom w:val="single" w:sz="8" w:color="959595"/>
            </w:tcBorders>
            <w:shd w:val="clear" w:color="auto" w:fill="ECECEC"/>
          </w:tcPr>
          <w:p>
            <w:pPr>
              <w:jc w:val="right"/>
              <w:ind w:right="131"/>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959595"/>
            </w:tcBorders>
            <w:shd w:val="clear" w:color="auto" w:fill="ECECEC"/>
          </w:tcPr>
          <w:p>
            <w:pPr>
              <w:jc w:val="right"/>
              <w:spacing w:after="0"/>
              <w:rPr>
                <w:sz w:val="20"/>
                <w:szCs w:val="20"/>
                <w:color w:val="auto"/>
              </w:rPr>
            </w:pPr>
            <w:r>
              <w:rPr>
                <w:rFonts w:ascii="Arial" w:cs="Arial" w:eastAsia="Arial" w:hAnsi="Arial"/>
                <w:sz w:val="13"/>
                <w:szCs w:val="13"/>
                <w:color w:val="auto"/>
              </w:rPr>
              <w:t>($)</w:t>
            </w:r>
          </w:p>
        </w:tc>
      </w:tr>
      <w:tr>
        <w:trPr>
          <w:trHeight w:val="216"/>
        </w:trPr>
        <w:tc>
          <w:tcPr>
            <w:tcW w:w="9160" w:type="dxa"/>
            <w:vAlign w:val="bottom"/>
            <w:tcBorders>
              <w:bottom w:val="single" w:sz="8" w:color="959595"/>
            </w:tcBorders>
          </w:tcPr>
          <w:p>
            <w:pPr>
              <w:ind w:left="40"/>
              <w:spacing w:after="0" w:line="216" w:lineRule="exact"/>
              <w:rPr>
                <w:sz w:val="20"/>
                <w:szCs w:val="20"/>
                <w:color w:val="auto"/>
              </w:rPr>
            </w:pPr>
            <w:r>
              <w:rPr>
                <w:rFonts w:ascii="Arial" w:cs="Arial" w:eastAsia="Arial" w:hAnsi="Arial"/>
                <w:sz w:val="14"/>
                <w:szCs w:val="14"/>
                <w:color w:val="auto"/>
              </w:rPr>
              <w:t>Audit Fees</w:t>
            </w:r>
            <w:r>
              <w:rPr>
                <w:rFonts w:ascii="Arial" w:cs="Arial" w:eastAsia="Arial" w:hAnsi="Arial"/>
                <w:sz w:val="23"/>
                <w:szCs w:val="23"/>
                <w:color w:val="auto"/>
                <w:vertAlign w:val="superscript"/>
              </w:rPr>
              <w:t>(a)</w:t>
            </w:r>
          </w:p>
        </w:tc>
        <w:tc>
          <w:tcPr>
            <w:tcW w:w="1300" w:type="dxa"/>
            <w:vAlign w:val="bottom"/>
            <w:tcBorders>
              <w:bottom w:val="single" w:sz="8" w:color="959595"/>
            </w:tcBorders>
          </w:tcPr>
          <w:p>
            <w:pPr>
              <w:jc w:val="right"/>
              <w:ind w:right="131"/>
              <w:spacing w:after="0"/>
              <w:rPr>
                <w:sz w:val="20"/>
                <w:szCs w:val="20"/>
                <w:color w:val="auto"/>
              </w:rPr>
            </w:pPr>
            <w:r>
              <w:rPr>
                <w:rFonts w:ascii="Arial" w:cs="Arial" w:eastAsia="Arial" w:hAnsi="Arial"/>
                <w:sz w:val="14"/>
                <w:szCs w:val="14"/>
                <w:color w:val="auto"/>
              </w:rPr>
              <w:t>27,265,000</w:t>
            </w:r>
          </w:p>
        </w:tc>
        <w:tc>
          <w:tcPr>
            <w:tcW w:w="9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23,150,000</w:t>
            </w:r>
          </w:p>
        </w:tc>
      </w:tr>
      <w:tr>
        <w:trPr>
          <w:trHeight w:val="210"/>
        </w:trPr>
        <w:tc>
          <w:tcPr>
            <w:tcW w:w="9160" w:type="dxa"/>
            <w:vAlign w:val="bottom"/>
            <w:tcBorders>
              <w:bottom w:val="single" w:sz="8" w:color="959595"/>
            </w:tcBorders>
          </w:tcPr>
          <w:p>
            <w:pPr>
              <w:ind w:left="40"/>
              <w:spacing w:after="0" w:line="210" w:lineRule="exact"/>
              <w:rPr>
                <w:sz w:val="20"/>
                <w:szCs w:val="20"/>
                <w:color w:val="auto"/>
              </w:rPr>
            </w:pPr>
            <w:r>
              <w:rPr>
                <w:rFonts w:ascii="Arial" w:cs="Arial" w:eastAsia="Arial" w:hAnsi="Arial"/>
                <w:sz w:val="14"/>
                <w:szCs w:val="14"/>
                <w:color w:val="auto"/>
              </w:rPr>
              <w:t>Audit-Related Fees</w:t>
            </w:r>
            <w:r>
              <w:rPr>
                <w:rFonts w:ascii="Arial" w:cs="Arial" w:eastAsia="Arial" w:hAnsi="Arial"/>
                <w:sz w:val="23"/>
                <w:szCs w:val="23"/>
                <w:color w:val="auto"/>
                <w:vertAlign w:val="superscript"/>
              </w:rPr>
              <w:t>(b)</w:t>
            </w:r>
          </w:p>
        </w:tc>
        <w:tc>
          <w:tcPr>
            <w:tcW w:w="1300" w:type="dxa"/>
            <w:vAlign w:val="bottom"/>
            <w:tcBorders>
              <w:bottom w:val="single" w:sz="8" w:color="959595"/>
            </w:tcBorders>
          </w:tcPr>
          <w:p>
            <w:pPr>
              <w:jc w:val="right"/>
              <w:ind w:right="131"/>
              <w:spacing w:after="0"/>
              <w:rPr>
                <w:sz w:val="20"/>
                <w:szCs w:val="20"/>
                <w:color w:val="auto"/>
              </w:rPr>
            </w:pPr>
            <w:r>
              <w:rPr>
                <w:rFonts w:ascii="Arial" w:cs="Arial" w:eastAsia="Arial" w:hAnsi="Arial"/>
                <w:sz w:val="14"/>
                <w:szCs w:val="14"/>
                <w:color w:val="auto"/>
              </w:rPr>
              <w:t>35,000</w:t>
            </w:r>
          </w:p>
        </w:tc>
        <w:tc>
          <w:tcPr>
            <w:tcW w:w="9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75,000</w:t>
            </w:r>
          </w:p>
        </w:tc>
      </w:tr>
      <w:tr>
        <w:trPr>
          <w:trHeight w:val="210"/>
        </w:trPr>
        <w:tc>
          <w:tcPr>
            <w:tcW w:w="9160" w:type="dxa"/>
            <w:vAlign w:val="bottom"/>
            <w:tcBorders>
              <w:bottom w:val="single" w:sz="8" w:color="959595"/>
            </w:tcBorders>
          </w:tcPr>
          <w:p>
            <w:pPr>
              <w:ind w:left="40"/>
              <w:spacing w:after="0" w:line="210" w:lineRule="exact"/>
              <w:rPr>
                <w:sz w:val="20"/>
                <w:szCs w:val="20"/>
                <w:color w:val="auto"/>
              </w:rPr>
            </w:pPr>
            <w:r>
              <w:rPr>
                <w:rFonts w:ascii="Arial" w:cs="Arial" w:eastAsia="Arial" w:hAnsi="Arial"/>
                <w:sz w:val="14"/>
                <w:szCs w:val="14"/>
                <w:color w:val="auto"/>
              </w:rPr>
              <w:t>Tax Fees</w:t>
            </w:r>
            <w:r>
              <w:rPr>
                <w:rFonts w:ascii="Arial" w:cs="Arial" w:eastAsia="Arial" w:hAnsi="Arial"/>
                <w:sz w:val="23"/>
                <w:szCs w:val="23"/>
                <w:color w:val="auto"/>
                <w:vertAlign w:val="superscript"/>
              </w:rPr>
              <w:t>(c)</w:t>
            </w:r>
          </w:p>
        </w:tc>
        <w:tc>
          <w:tcPr>
            <w:tcW w:w="1300" w:type="dxa"/>
            <w:vAlign w:val="bottom"/>
            <w:tcBorders>
              <w:bottom w:val="single" w:sz="8" w:color="959595"/>
            </w:tcBorders>
          </w:tcPr>
          <w:p>
            <w:pPr>
              <w:jc w:val="right"/>
              <w:ind w:right="131"/>
              <w:spacing w:after="0"/>
              <w:rPr>
                <w:sz w:val="20"/>
                <w:szCs w:val="20"/>
                <w:color w:val="auto"/>
              </w:rPr>
            </w:pPr>
            <w:r>
              <w:rPr>
                <w:rFonts w:ascii="Arial" w:cs="Arial" w:eastAsia="Arial" w:hAnsi="Arial"/>
                <w:sz w:val="14"/>
                <w:szCs w:val="14"/>
                <w:color w:val="auto"/>
              </w:rPr>
              <w:t>2,200,000</w:t>
            </w:r>
          </w:p>
        </w:tc>
        <w:tc>
          <w:tcPr>
            <w:tcW w:w="9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2,000,000</w:t>
            </w:r>
          </w:p>
        </w:tc>
      </w:tr>
      <w:tr>
        <w:trPr>
          <w:trHeight w:val="223"/>
        </w:trPr>
        <w:tc>
          <w:tcPr>
            <w:tcW w:w="9160" w:type="dxa"/>
            <w:vAlign w:val="bottom"/>
          </w:tcPr>
          <w:p>
            <w:pPr>
              <w:ind w:left="40"/>
              <w:spacing w:after="0" w:line="222" w:lineRule="exact"/>
              <w:rPr>
                <w:sz w:val="20"/>
                <w:szCs w:val="20"/>
                <w:color w:val="auto"/>
              </w:rPr>
            </w:pPr>
            <w:r>
              <w:rPr>
                <w:rFonts w:ascii="Arial" w:cs="Arial" w:eastAsia="Arial" w:hAnsi="Arial"/>
                <w:sz w:val="14"/>
                <w:szCs w:val="14"/>
                <w:color w:val="auto"/>
              </w:rPr>
              <w:t>All Other Fees</w:t>
            </w:r>
            <w:r>
              <w:rPr>
                <w:rFonts w:ascii="Arial" w:cs="Arial" w:eastAsia="Arial" w:hAnsi="Arial"/>
                <w:sz w:val="23"/>
                <w:szCs w:val="23"/>
                <w:color w:val="auto"/>
                <w:vertAlign w:val="superscript"/>
              </w:rPr>
              <w:t>(d)</w:t>
            </w:r>
          </w:p>
        </w:tc>
        <w:tc>
          <w:tcPr>
            <w:tcW w:w="1300" w:type="dxa"/>
            <w:vAlign w:val="bottom"/>
          </w:tcPr>
          <w:p>
            <w:pPr>
              <w:jc w:val="right"/>
              <w:ind w:right="131"/>
              <w:spacing w:after="0"/>
              <w:rPr>
                <w:sz w:val="20"/>
                <w:szCs w:val="20"/>
                <w:color w:val="auto"/>
              </w:rPr>
            </w:pPr>
            <w:r>
              <w:rPr>
                <w:rFonts w:ascii="Arial" w:cs="Arial" w:eastAsia="Arial" w:hAnsi="Arial"/>
                <w:sz w:val="14"/>
                <w:szCs w:val="14"/>
                <w:color w:val="auto"/>
              </w:rPr>
              <w:t>10,000</w:t>
            </w:r>
          </w:p>
        </w:tc>
        <w:tc>
          <w:tcPr>
            <w:tcW w:w="960" w:type="dxa"/>
            <w:vAlign w:val="bottom"/>
          </w:tcPr>
          <w:p>
            <w:pPr>
              <w:jc w:val="right"/>
              <w:spacing w:after="0"/>
              <w:rPr>
                <w:sz w:val="20"/>
                <w:szCs w:val="20"/>
                <w:color w:val="auto"/>
              </w:rPr>
            </w:pPr>
            <w:r>
              <w:rPr>
                <w:rFonts w:ascii="Arial" w:cs="Arial" w:eastAsia="Arial" w:hAnsi="Arial"/>
                <w:sz w:val="14"/>
                <w:szCs w:val="14"/>
                <w:color w:val="auto"/>
              </w:rPr>
              <w:t>15,000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40" w:right="100" w:hanging="332"/>
        <w:spacing w:after="0" w:line="230" w:lineRule="auto"/>
        <w:tabs>
          <w:tab w:leader="none" w:pos="340" w:val="left"/>
        </w:tabs>
        <w:numPr>
          <w:ilvl w:val="0"/>
          <w:numId w:val="65"/>
        </w:numPr>
        <w:rPr>
          <w:rFonts w:ascii="Arial" w:cs="Arial" w:eastAsia="Arial" w:hAnsi="Arial"/>
          <w:sz w:val="24"/>
          <w:szCs w:val="24"/>
          <w:color w:val="auto"/>
          <w:vertAlign w:val="superscript"/>
        </w:rPr>
      </w:pPr>
      <w:r>
        <w:rPr>
          <w:rFonts w:ascii="Arial" w:cs="Arial" w:eastAsia="Arial" w:hAnsi="Arial"/>
          <w:sz w:val="14"/>
          <w:szCs w:val="14"/>
          <w:color w:val="auto"/>
        </w:rPr>
        <w:t>Audit fees are for services related to the annual audit of the Corporation’s consolidated financial statements, including the audit of internal control over financial reporting, the interim reviews of the Corporation’s quarterly financial statements, statutory audits of the Corporation’s foreign subsidiaries, consultations on accounting matters and registration statements and other documents filed by the Corporation with the SEC. Audit fees for 2018 include fees related to the Corporation's adoption of Accounting Standards Update (ASU) No. 2016-02, Leases, as amended, which the Corporation adopted on January 1, 2019. Audit fees for 2017 also include fees related to the Corporation’s adoption of ASU No. 2014-09, Revenue from Contracts with Customers, as amended, which the Corporation adopted on January 1, 2018.</w:t>
      </w:r>
    </w:p>
    <w:p>
      <w:pPr>
        <w:spacing w:after="0" w:line="2" w:lineRule="exact"/>
        <w:rPr>
          <w:rFonts w:ascii="Arial" w:cs="Arial" w:eastAsia="Arial" w:hAnsi="Arial"/>
          <w:sz w:val="24"/>
          <w:szCs w:val="24"/>
          <w:color w:val="auto"/>
          <w:vertAlign w:val="superscript"/>
        </w:rPr>
      </w:pPr>
    </w:p>
    <w:p>
      <w:pPr>
        <w:ind w:left="340" w:hanging="332"/>
        <w:spacing w:after="0" w:line="199" w:lineRule="auto"/>
        <w:tabs>
          <w:tab w:leader="none" w:pos="340" w:val="left"/>
        </w:tabs>
        <w:numPr>
          <w:ilvl w:val="0"/>
          <w:numId w:val="65"/>
        </w:numPr>
        <w:rPr>
          <w:rFonts w:ascii="Arial" w:cs="Arial" w:eastAsia="Arial" w:hAnsi="Arial"/>
          <w:sz w:val="24"/>
          <w:szCs w:val="24"/>
          <w:color w:val="auto"/>
          <w:vertAlign w:val="superscript"/>
        </w:rPr>
      </w:pPr>
      <w:r>
        <w:rPr>
          <w:rFonts w:ascii="Arial" w:cs="Arial" w:eastAsia="Arial" w:hAnsi="Arial"/>
          <w:sz w:val="14"/>
          <w:szCs w:val="14"/>
          <w:color w:val="auto"/>
        </w:rPr>
        <w:t>Audit-related fees are related to audits of the Corporation’s employee benefit plans.</w:t>
      </w:r>
    </w:p>
    <w:p>
      <w:pPr>
        <w:spacing w:after="0" w:line="54" w:lineRule="exact"/>
        <w:rPr>
          <w:rFonts w:ascii="Arial" w:cs="Arial" w:eastAsia="Arial" w:hAnsi="Arial"/>
          <w:sz w:val="24"/>
          <w:szCs w:val="24"/>
          <w:color w:val="auto"/>
          <w:vertAlign w:val="superscript"/>
        </w:rPr>
      </w:pPr>
    </w:p>
    <w:p>
      <w:pPr>
        <w:ind w:left="340" w:hanging="332"/>
        <w:spacing w:after="0" w:line="183" w:lineRule="auto"/>
        <w:tabs>
          <w:tab w:leader="none" w:pos="340" w:val="left"/>
        </w:tabs>
        <w:numPr>
          <w:ilvl w:val="0"/>
          <w:numId w:val="65"/>
        </w:numPr>
        <w:rPr>
          <w:rFonts w:ascii="Arial" w:cs="Arial" w:eastAsia="Arial" w:hAnsi="Arial"/>
          <w:sz w:val="20"/>
          <w:szCs w:val="20"/>
          <w:color w:val="auto"/>
          <w:vertAlign w:val="superscript"/>
        </w:rPr>
      </w:pPr>
      <w:r>
        <w:rPr>
          <w:rFonts w:ascii="Arial" w:cs="Arial" w:eastAsia="Arial" w:hAnsi="Arial"/>
          <w:sz w:val="12"/>
          <w:szCs w:val="12"/>
          <w:color w:val="auto"/>
        </w:rPr>
        <w:t>Tax fees are for domestic and international tax compliance and advisory services.</w:t>
      </w:r>
    </w:p>
    <w:p>
      <w:pPr>
        <w:spacing w:after="0" w:line="54" w:lineRule="exact"/>
        <w:rPr>
          <w:rFonts w:ascii="Arial" w:cs="Arial" w:eastAsia="Arial" w:hAnsi="Arial"/>
          <w:sz w:val="20"/>
          <w:szCs w:val="20"/>
          <w:color w:val="auto"/>
          <w:vertAlign w:val="superscript"/>
        </w:rPr>
      </w:pPr>
    </w:p>
    <w:p>
      <w:pPr>
        <w:ind w:left="340" w:hanging="332"/>
        <w:spacing w:after="0" w:line="183" w:lineRule="auto"/>
        <w:tabs>
          <w:tab w:leader="none" w:pos="340" w:val="left"/>
        </w:tabs>
        <w:numPr>
          <w:ilvl w:val="0"/>
          <w:numId w:val="65"/>
        </w:numPr>
        <w:rPr>
          <w:rFonts w:ascii="Arial" w:cs="Arial" w:eastAsia="Arial" w:hAnsi="Arial"/>
          <w:sz w:val="20"/>
          <w:szCs w:val="20"/>
          <w:color w:val="auto"/>
          <w:vertAlign w:val="superscript"/>
        </w:rPr>
      </w:pPr>
      <w:r>
        <w:rPr>
          <w:rFonts w:ascii="Arial" w:cs="Arial" w:eastAsia="Arial" w:hAnsi="Arial"/>
          <w:sz w:val="12"/>
          <w:szCs w:val="12"/>
          <w:color w:val="auto"/>
        </w:rPr>
        <w:t>All other fees are primarily for subscriptions to Ernst &amp; Young’s online research tools and training courses for professional qualifications.</w:t>
      </w:r>
    </w:p>
    <w:p>
      <w:pPr>
        <w:spacing w:after="0" w:line="200" w:lineRule="exact"/>
        <w:rPr>
          <w:sz w:val="20"/>
          <w:szCs w:val="20"/>
          <w:color w:val="auto"/>
        </w:rPr>
      </w:pPr>
    </w:p>
    <w:p>
      <w:pPr>
        <w:spacing w:after="0" w:line="231" w:lineRule="exact"/>
        <w:rPr>
          <w:sz w:val="20"/>
          <w:szCs w:val="20"/>
          <w:color w:val="auto"/>
        </w:rPr>
      </w:pPr>
    </w:p>
    <w:p>
      <w:pPr>
        <w:ind w:left="40"/>
        <w:spacing w:after="0"/>
        <w:tabs>
          <w:tab w:leader="none" w:pos="9420" w:val="left"/>
          <w:tab w:leader="none" w:pos="1122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2019 Proxy Statement</w:t>
      </w:r>
      <w:r>
        <w:rPr>
          <w:sz w:val="20"/>
          <w:szCs w:val="20"/>
          <w:color w:val="auto"/>
        </w:rPr>
        <w:tab/>
      </w:r>
      <w:r>
        <w:rPr>
          <w:rFonts w:ascii="Arial" w:cs="Arial" w:eastAsia="Arial" w:hAnsi="Arial"/>
          <w:sz w:val="14"/>
          <w:szCs w:val="14"/>
          <w:b w:val="1"/>
          <w:bCs w:val="1"/>
          <w:color w:val="808080"/>
        </w:rPr>
        <w:t>31</w:t>
      </w:r>
    </w:p>
    <w:p>
      <w:pPr>
        <w:sectPr>
          <w:pgSz w:w="11900" w:h="16838" w:orient="portrait"/>
          <w:cols w:equalWidth="0" w:num="1">
            <w:col w:w="11420"/>
          </w:cols>
          <w:pgMar w:left="240" w:top="292" w:right="239" w:bottom="1440" w:gutter="0" w:footer="0" w:header="0"/>
        </w:sectPr>
      </w:pPr>
    </w:p>
    <w:bookmarkStart w:id="34" w:name="page35"/>
    <w:bookmarkEnd w:id="34"/>
    <w:p>
      <w:pPr>
        <w:spacing w:after="0"/>
        <w:rPr>
          <w:sz w:val="20"/>
          <w:szCs w:val="20"/>
          <w:color w:val="auto"/>
        </w:rPr>
      </w:pPr>
      <w:r>
        <w:rPr>
          <w:rFonts w:ascii="Arial" w:cs="Arial" w:eastAsia="Arial" w:hAnsi="Arial"/>
          <w:sz w:val="15"/>
          <w:szCs w:val="15"/>
          <w:color w:val="003478"/>
        </w:rPr>
        <w:t>Audit Matters</w:t>
      </w:r>
    </w:p>
    <w:p>
      <w:pPr>
        <w:spacing w:after="0" w:line="334" w:lineRule="exact"/>
        <w:rPr>
          <w:sz w:val="20"/>
          <w:szCs w:val="20"/>
          <w:color w:val="auto"/>
        </w:rPr>
      </w:pPr>
    </w:p>
    <w:p>
      <w:pPr>
        <w:spacing w:after="0"/>
        <w:rPr>
          <w:sz w:val="20"/>
          <w:szCs w:val="20"/>
          <w:color w:val="auto"/>
        </w:rPr>
      </w:pPr>
      <w:r>
        <w:rPr>
          <w:rFonts w:ascii="Arial" w:cs="Arial" w:eastAsia="Arial" w:hAnsi="Arial"/>
          <w:sz w:val="29"/>
          <w:szCs w:val="29"/>
          <w:b w:val="1"/>
          <w:bCs w:val="1"/>
          <w:color w:val="012E6C"/>
        </w:rPr>
        <w:t>Audit Committee Report</w:t>
      </w:r>
    </w:p>
    <w:p>
      <w:pPr>
        <w:spacing w:after="0" w:line="250"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The Audit Committee of the Board of Directors is responsible for overseeing the Corporation’s accounting, auditing and financial reporting process, financial risk assessment and management process and for monitoring compliance with certain regulatory and compliance matters, on behalf of the Board of Directors.</w:t>
      </w:r>
    </w:p>
    <w:p>
      <w:pPr>
        <w:spacing w:after="0" w:line="166"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Corporation’s management is responsible for preparing the quarterly and annual consolidated financial statements, the financial reporting process, and maintaining and evaluating disclosure controls and procedures and a system of internal control over financial reporting.</w:t>
      </w:r>
    </w:p>
    <w:p>
      <w:pPr>
        <w:spacing w:after="0" w:line="14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addition to its oversight of the Corporation’s internal audit organization, the Audit Committee is directly responsible for the appointment, compensation, retention, oversight and termination of the Corporation’s independent auditors, Ernst &amp; Young, an independent registered public accounting firm. The independent auditors are responsible for performing an independent audit of the Corporation’s annual consolidated financial statements and internal control over financial reporting and expressing an opinion on the material conformity of those consolidated financial statements with U.S. generally accepted accounting principles and on the effectiveness of the Corporation’s internal control over financial reporting.</w:t>
      </w:r>
    </w:p>
    <w:p>
      <w:pPr>
        <w:spacing w:after="0" w:line="17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In connection with the preparation of the Corporation’s consolidated financial statements as of and for the year ended December 31, 2018, the Audit Committee reviewed and discussed with management and Ernst &amp; Young the Corporation’s audited consolidated financial statements, including discussions regarding critical accounting policies, financial accounting and reporting principles and practices, the quality of such principles and practices, the reasonableness of significant judgments and estimates, and the effectiveness of internal control over financial reporting. The Audit Committee also discussed with Ernst &amp; Young, with and without management, the quality of the financial statements, clarity of the related disclosures, effectiveness of internal control over financial reporting and other items required under Public Company Accounting Oversight Board (PCAOB) Auditing Standard No. 1301, </w:t>
      </w:r>
      <w:r>
        <w:rPr>
          <w:rFonts w:ascii="Arial" w:cs="Arial" w:eastAsia="Arial" w:hAnsi="Arial"/>
          <w:sz w:val="17"/>
          <w:szCs w:val="17"/>
          <w:i w:val="1"/>
          <w:iCs w:val="1"/>
          <w:color w:val="auto"/>
        </w:rPr>
        <w:t>Communications with Audit Committees</w:t>
      </w:r>
      <w:r>
        <w:rPr>
          <w:rFonts w:ascii="Arial" w:cs="Arial" w:eastAsia="Arial" w:hAnsi="Arial"/>
          <w:sz w:val="17"/>
          <w:szCs w:val="17"/>
          <w:color w:val="auto"/>
        </w:rPr>
        <w:t xml:space="preserve">. Additionally, the Audit Committee received and reviewed the written disclosures and letter from Ernst &amp; Young regarding its independence from the Corporation required by PCAOB Ethics and Independence Rule 3526, </w:t>
      </w:r>
      <w:r>
        <w:rPr>
          <w:rFonts w:ascii="Arial" w:cs="Arial" w:eastAsia="Arial" w:hAnsi="Arial"/>
          <w:sz w:val="17"/>
          <w:szCs w:val="17"/>
          <w:i w:val="1"/>
          <w:iCs w:val="1"/>
          <w:color w:val="auto"/>
        </w:rPr>
        <w:t>Communications with</w:t>
      </w:r>
      <w:r>
        <w:rPr>
          <w:rFonts w:ascii="Arial" w:cs="Arial" w:eastAsia="Arial" w:hAnsi="Arial"/>
          <w:sz w:val="17"/>
          <w:szCs w:val="17"/>
          <w:color w:val="auto"/>
        </w:rPr>
        <w:t xml:space="preserve"> </w:t>
      </w:r>
      <w:r>
        <w:rPr>
          <w:rFonts w:ascii="Arial" w:cs="Arial" w:eastAsia="Arial" w:hAnsi="Arial"/>
          <w:sz w:val="17"/>
          <w:szCs w:val="17"/>
          <w:i w:val="1"/>
          <w:iCs w:val="1"/>
          <w:color w:val="auto"/>
        </w:rPr>
        <w:t>Audit Committees Concerning Independence</w:t>
      </w:r>
      <w:r>
        <w:rPr>
          <w:rFonts w:ascii="Arial" w:cs="Arial" w:eastAsia="Arial" w:hAnsi="Arial"/>
          <w:sz w:val="17"/>
          <w:szCs w:val="17"/>
          <w:color w:val="auto"/>
        </w:rPr>
        <w:t>. The Audit Committee has also discussed with Ernst &amp; Young any matters affecting its independence</w:t>
      </w:r>
      <w:r>
        <w:rPr>
          <w:rFonts w:ascii="Arial" w:cs="Arial" w:eastAsia="Arial" w:hAnsi="Arial"/>
          <w:sz w:val="17"/>
          <w:szCs w:val="17"/>
          <w:i w:val="1"/>
          <w:iCs w:val="1"/>
          <w:color w:val="auto"/>
        </w:rPr>
        <w:t xml:space="preserve"> </w:t>
      </w:r>
      <w:r>
        <w:rPr>
          <w:rFonts w:ascii="Arial" w:cs="Arial" w:eastAsia="Arial" w:hAnsi="Arial"/>
          <w:sz w:val="17"/>
          <w:szCs w:val="17"/>
          <w:color w:val="auto"/>
        </w:rPr>
        <w:t>from the Corporation.</w:t>
      </w:r>
    </w:p>
    <w:p>
      <w:pPr>
        <w:spacing w:after="0" w:line="17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Based on the Audit Committee’s reviews and discussions described in this report, the Audit Committee recommended to the Board of Directors that the audited consolidated financial statements as of and for the year ended December 31, 2018 be included in Lockheed Martin Corporation’s Annual Report on Form 10-K for 2018 for filing with the SEC. The Audit Committee also reappointed Ernst &amp; Young to serve as the Corporation’s independent auditors for 2019, and requested that this appointment be submitted to the Corporation’s stockholders for ratification at the Annual Meeting. The Board of Directors approved the Audit Committee’s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221615</wp:posOffset>
            </wp:positionV>
            <wp:extent cx="771525" cy="7715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1525" cy="771525"/>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221615</wp:posOffset>
            </wp:positionV>
            <wp:extent cx="771525" cy="7715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1525" cy="771525"/>
                    </a:xfrm>
                    <a:prstGeom prst="rect">
                      <a:avLst/>
                    </a:prstGeom>
                    <a:noFill/>
                  </pic:spPr>
                </pic:pic>
              </a:graphicData>
            </a:graphic>
          </wp:anchor>
        </w:drawing>
        <w:drawing>
          <wp:anchor simplePos="0" relativeHeight="251657728" behindDoc="1" locked="0" layoutInCell="0" allowOverlap="1">
            <wp:simplePos x="0" y="0"/>
            <wp:positionH relativeFrom="column">
              <wp:posOffset>3649980</wp:posOffset>
            </wp:positionH>
            <wp:positionV relativeFrom="paragraph">
              <wp:posOffset>221615</wp:posOffset>
            </wp:positionV>
            <wp:extent cx="771525" cy="7715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1525" cy="771525"/>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221615</wp:posOffset>
            </wp:positionV>
            <wp:extent cx="771525" cy="7715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1525"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280"/>
        <w:spacing w:after="0"/>
        <w:tabs>
          <w:tab w:leader="none" w:pos="3500" w:val="left"/>
          <w:tab w:leader="none" w:pos="5720" w:val="left"/>
          <w:tab w:leader="none" w:pos="7940" w:val="left"/>
        </w:tabs>
        <w:rPr>
          <w:sz w:val="20"/>
          <w:szCs w:val="20"/>
          <w:color w:val="auto"/>
        </w:rPr>
      </w:pPr>
      <w:r>
        <w:rPr>
          <w:rFonts w:ascii="Arial" w:cs="Arial" w:eastAsia="Arial" w:hAnsi="Arial"/>
          <w:sz w:val="17"/>
          <w:szCs w:val="17"/>
          <w:b w:val="1"/>
          <w:bCs w:val="1"/>
          <w:color w:val="012E6C"/>
        </w:rPr>
        <w:t>Thomas J. Falk</w:t>
      </w:r>
      <w:r>
        <w:rPr>
          <w:sz w:val="20"/>
          <w:szCs w:val="20"/>
          <w:color w:val="auto"/>
        </w:rPr>
        <w:tab/>
      </w:r>
      <w:r>
        <w:rPr>
          <w:rFonts w:ascii="Arial" w:cs="Arial" w:eastAsia="Arial" w:hAnsi="Arial"/>
          <w:sz w:val="17"/>
          <w:szCs w:val="17"/>
          <w:b w:val="1"/>
          <w:bCs w:val="1"/>
          <w:color w:val="012E6C"/>
        </w:rPr>
        <w:t>Daniel F. Akerson</w:t>
      </w:r>
      <w:r>
        <w:rPr>
          <w:sz w:val="20"/>
          <w:szCs w:val="20"/>
          <w:color w:val="auto"/>
        </w:rPr>
        <w:tab/>
      </w:r>
      <w:r>
        <w:rPr>
          <w:rFonts w:ascii="Arial" w:cs="Arial" w:eastAsia="Arial" w:hAnsi="Arial"/>
          <w:sz w:val="17"/>
          <w:szCs w:val="17"/>
          <w:b w:val="1"/>
          <w:bCs w:val="1"/>
          <w:color w:val="012E6C"/>
        </w:rPr>
        <w:t>David B. Burritt</w:t>
      </w:r>
      <w:r>
        <w:rPr>
          <w:sz w:val="20"/>
          <w:szCs w:val="20"/>
          <w:color w:val="auto"/>
        </w:rPr>
        <w:tab/>
      </w:r>
      <w:r>
        <w:rPr>
          <w:rFonts w:ascii="Arial" w:cs="Arial" w:eastAsia="Arial" w:hAnsi="Arial"/>
          <w:sz w:val="17"/>
          <w:szCs w:val="17"/>
          <w:b w:val="1"/>
          <w:bCs w:val="1"/>
          <w:color w:val="012E6C"/>
        </w:rPr>
        <w:t>Ilene S. Gordon</w:t>
      </w:r>
    </w:p>
    <w:p>
      <w:pPr>
        <w:spacing w:after="0" w:line="18"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720090</wp:posOffset>
            </wp:positionV>
            <wp:extent cx="1440815" cy="3257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44081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808080"/>
        </w:rPr>
        <w:t>32</w:t>
      </w:r>
    </w:p>
    <w:p>
      <w:pPr>
        <w:sectPr>
          <w:pgSz w:w="11900" w:h="16838" w:orient="portrait"/>
          <w:cols w:equalWidth="0" w:num="1">
            <w:col w:w="11420"/>
          </w:cols>
          <w:pgMar w:left="240" w:top="292" w:right="239" w:bottom="1440" w:gutter="0" w:footer="0" w:header="0"/>
        </w:sectPr>
      </w:pPr>
    </w:p>
    <w:bookmarkStart w:id="35" w:name="page36"/>
    <w:bookmarkEnd w:id="35"/>
    <w:p>
      <w:pPr>
        <w:spacing w:after="0"/>
        <w:rPr>
          <w:sz w:val="20"/>
          <w:szCs w:val="20"/>
          <w:color w:val="auto"/>
        </w:rPr>
      </w:pPr>
      <w:r>
        <w:rPr>
          <w:rFonts w:ascii="Arial" w:cs="Arial" w:eastAsia="Arial" w:hAnsi="Arial"/>
          <w:sz w:val="43"/>
          <w:szCs w:val="43"/>
          <w:color w:val="012E6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5969000" cy="23837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969000" cy="23837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100"/>
        <w:spacing w:after="0"/>
        <w:rPr>
          <w:sz w:val="20"/>
          <w:szCs w:val="20"/>
          <w:color w:val="auto"/>
        </w:rPr>
      </w:pPr>
      <w:r>
        <w:rPr>
          <w:rFonts w:ascii="Arial" w:cs="Arial" w:eastAsia="Arial" w:hAnsi="Arial"/>
          <w:sz w:val="19"/>
          <w:szCs w:val="19"/>
          <w:color w:val="012E6C"/>
        </w:rPr>
        <w:t>Proposal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29"/>
          <w:szCs w:val="29"/>
          <w:color w:val="012E6C"/>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right="400"/>
        <w:spacing w:after="0" w:line="283" w:lineRule="auto"/>
        <w:rPr>
          <w:sz w:val="20"/>
          <w:szCs w:val="20"/>
          <w:color w:val="auto"/>
        </w:rPr>
      </w:pPr>
      <w:r>
        <w:rPr>
          <w:rFonts w:ascii="Arial" w:cs="Arial" w:eastAsia="Arial" w:hAnsi="Arial"/>
          <w:sz w:val="28"/>
          <w:szCs w:val="28"/>
          <w:b w:val="1"/>
          <w:bCs w:val="1"/>
          <w:color w:val="012E6C"/>
        </w:rPr>
        <w:t>Advisory Vote to Approve the Compensation of Our NEOs (Say-on-Pay)</w:t>
      </w:r>
    </w:p>
    <w:p>
      <w:pPr>
        <w:spacing w:after="0" w:line="106" w:lineRule="exact"/>
        <w:rPr>
          <w:sz w:val="20"/>
          <w:szCs w:val="20"/>
          <w:color w:val="auto"/>
        </w:rPr>
      </w:pPr>
    </w:p>
    <w:p>
      <w:pPr>
        <w:ind w:left="160" w:right="40" w:hanging="142"/>
        <w:spacing w:after="0" w:line="253" w:lineRule="auto"/>
        <w:tabs>
          <w:tab w:leader="none" w:pos="275" w:val="left"/>
        </w:tabs>
        <w:numPr>
          <w:ilvl w:val="0"/>
          <w:numId w:val="66"/>
        </w:numPr>
        <w:rPr>
          <w:rFonts w:ascii="Arial" w:cs="Arial" w:eastAsia="Arial" w:hAnsi="Arial"/>
          <w:sz w:val="17"/>
          <w:szCs w:val="17"/>
          <w:color w:val="003478"/>
        </w:rPr>
      </w:pPr>
      <w:r>
        <w:rPr>
          <w:rFonts w:ascii="Arial" w:cs="Arial" w:eastAsia="Arial" w:hAnsi="Arial"/>
          <w:sz w:val="17"/>
          <w:szCs w:val="17"/>
          <w:color w:val="003478"/>
        </w:rPr>
        <w:t>Independent oversight by Management Development and Compensation Committee with the assistance of an independent consultant.</w:t>
      </w:r>
    </w:p>
    <w:p>
      <w:pPr>
        <w:spacing w:after="0" w:line="57" w:lineRule="exact"/>
        <w:rPr>
          <w:rFonts w:ascii="Arial" w:cs="Arial" w:eastAsia="Arial" w:hAnsi="Arial"/>
          <w:sz w:val="17"/>
          <w:szCs w:val="17"/>
          <w:color w:val="003478"/>
        </w:rPr>
      </w:pPr>
    </w:p>
    <w:p>
      <w:pPr>
        <w:ind w:left="160" w:right="180" w:hanging="142"/>
        <w:spacing w:after="0" w:line="253" w:lineRule="auto"/>
        <w:tabs>
          <w:tab w:leader="none" w:pos="275" w:val="left"/>
        </w:tabs>
        <w:numPr>
          <w:ilvl w:val="0"/>
          <w:numId w:val="66"/>
        </w:numPr>
        <w:rPr>
          <w:rFonts w:ascii="Arial" w:cs="Arial" w:eastAsia="Arial" w:hAnsi="Arial"/>
          <w:sz w:val="17"/>
          <w:szCs w:val="17"/>
          <w:color w:val="003478"/>
        </w:rPr>
      </w:pPr>
      <w:r>
        <w:rPr>
          <w:rFonts w:ascii="Arial" w:cs="Arial" w:eastAsia="Arial" w:hAnsi="Arial"/>
          <w:sz w:val="17"/>
          <w:szCs w:val="17"/>
          <w:color w:val="003478"/>
        </w:rPr>
        <w:t>Executive compensation targets are set by reference to 50</w:t>
      </w:r>
      <w:r>
        <w:rPr>
          <w:rFonts w:ascii="Arial" w:cs="Arial" w:eastAsia="Arial" w:hAnsi="Arial"/>
          <w:sz w:val="14"/>
          <w:szCs w:val="14"/>
          <w:color w:val="003478"/>
        </w:rPr>
        <w:t>th</w:t>
      </w:r>
      <w:r>
        <w:rPr>
          <w:rFonts w:ascii="Arial" w:cs="Arial" w:eastAsia="Arial" w:hAnsi="Arial"/>
          <w:sz w:val="17"/>
          <w:szCs w:val="17"/>
          <w:color w:val="003478"/>
        </w:rPr>
        <w:t xml:space="preserve"> percentile of peers with actual payouts dependent on performance.</w:t>
      </w:r>
    </w:p>
    <w:p>
      <w:pPr>
        <w:spacing w:after="0" w:line="57" w:lineRule="exact"/>
        <w:rPr>
          <w:rFonts w:ascii="Arial" w:cs="Arial" w:eastAsia="Arial" w:hAnsi="Arial"/>
          <w:sz w:val="17"/>
          <w:szCs w:val="17"/>
          <w:color w:val="003478"/>
        </w:rPr>
      </w:pPr>
    </w:p>
    <w:p>
      <w:pPr>
        <w:ind w:left="160" w:hanging="142"/>
        <w:spacing w:after="0" w:line="275" w:lineRule="auto"/>
        <w:tabs>
          <w:tab w:leader="none" w:pos="275" w:val="left"/>
        </w:tabs>
        <w:numPr>
          <w:ilvl w:val="0"/>
          <w:numId w:val="66"/>
        </w:numPr>
        <w:rPr>
          <w:rFonts w:ascii="Arial" w:cs="Arial" w:eastAsia="Arial" w:hAnsi="Arial"/>
          <w:sz w:val="17"/>
          <w:szCs w:val="17"/>
          <w:color w:val="003478"/>
        </w:rPr>
      </w:pPr>
      <w:r>
        <w:rPr>
          <w:rFonts w:ascii="Arial" w:cs="Arial" w:eastAsia="Arial" w:hAnsi="Arial"/>
          <w:sz w:val="17"/>
          <w:szCs w:val="17"/>
          <w:color w:val="003478"/>
        </w:rPr>
        <w:t>More than 93% of votes cast at the 2018 annual meeting approved Say-on-Pay.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2060"/>
        <w:spacing w:after="0" w:line="253" w:lineRule="auto"/>
        <w:rPr>
          <w:sz w:val="20"/>
          <w:szCs w:val="20"/>
          <w:color w:val="auto"/>
        </w:rPr>
      </w:pPr>
      <w:r>
        <w:rPr>
          <w:rFonts w:ascii="Arial" w:cs="Arial" w:eastAsia="Arial" w:hAnsi="Arial"/>
          <w:sz w:val="17"/>
          <w:szCs w:val="17"/>
          <w:color w:val="012E6C"/>
        </w:rPr>
        <w:t>The Board unanimously recommends that you vote FOR the advisory vote to approve the compensation of our named executive officers.</w:t>
      </w:r>
    </w:p>
    <w:p>
      <w:pPr>
        <w:spacing w:after="0" w:line="1326" w:lineRule="exact"/>
        <w:rPr>
          <w:sz w:val="20"/>
          <w:szCs w:val="20"/>
          <w:color w:val="auto"/>
        </w:rPr>
      </w:pPr>
    </w:p>
    <w:p>
      <w:pPr>
        <w:sectPr>
          <w:pgSz w:w="11900" w:h="16838" w:orient="portrait"/>
          <w:cols w:equalWidth="0" w:num="3">
            <w:col w:w="1120" w:space="140"/>
            <w:col w:w="3900" w:space="320"/>
            <w:col w:w="5920"/>
          </w:cols>
          <w:pgMar w:left="240" w:top="341" w:right="259" w:bottom="1440" w:gutter="0" w:footer="0" w:header="0"/>
          <w:type w:val="continuous"/>
        </w:sectPr>
      </w:pPr>
    </w:p>
    <w:p>
      <w:pPr>
        <w:spacing w:after="0" w:line="24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ask our stockholders to vote annually to approve, on an advisory (non-binding) basis, the compensation of our named executive officers (NEOs) as described in detail in the Compensation Discussion and Analysis (CD&amp;A) and the accompanying tables in the Executive Compensation section of this Proxy Statement beginning on page 34. This vote is commonly known as Say-on-Pay.</w:t>
      </w:r>
    </w:p>
    <w:p>
      <w:pPr>
        <w:spacing w:after="0" w:line="16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Stockholders should review the entire Proxy Statement and, in particular, the CD&amp;A for information on our executive compensation programs and other important items.</w:t>
      </w:r>
    </w:p>
    <w:p>
      <w:pPr>
        <w:spacing w:after="0" w:line="14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We believe that the information provided in this Proxy Statement demonstrates that our executive compensation programs are designed to link pay to performance. Accordingly, the Board recommends that stockholders approve the compensation of our NEOs by approving the following Say-on-Pay resolution:</w:t>
      </w:r>
    </w:p>
    <w:p>
      <w:pPr>
        <w:spacing w:after="0" w:line="166"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RESOLVED, that the stockholders of Lockheed Martin Corporation approve, on an advisory basis, the compensation of the named executive officers identified in the “Summary Compensation Table,” as disclosed in the Lockheed Martin Corporation 2019 Proxy Statement pursuant to Item 402 of Regulation S-K, including the Compensation Discussion and Analysis, the compensation tables and the accompanying footnotes and narratives. This vote is not intended to address any specific item of compensation, but rather our overall compensation policies and procedures related to the NEOs. Although the results of the Say-on-Pay vote do not bind the Corporation, the Board will, as it does each year, continue to review the results carefully and plans to continue to seek the views of our stockholders throughout the year.</w:t>
      </w:r>
    </w:p>
    <w:p>
      <w:pPr>
        <w:spacing w:after="0" w:line="41" w:lineRule="exact"/>
        <w:rPr>
          <w:sz w:val="20"/>
          <w:szCs w:val="20"/>
          <w:color w:val="auto"/>
        </w:rPr>
      </w:pPr>
    </w:p>
    <w:p>
      <w:pPr>
        <w:spacing w:after="0"/>
        <w:rPr>
          <w:sz w:val="20"/>
          <w:szCs w:val="20"/>
          <w:color w:val="auto"/>
        </w:rPr>
      </w:pPr>
      <w:r>
        <w:rPr>
          <w:rFonts w:ascii="Arial" w:cs="Arial" w:eastAsia="Arial" w:hAnsi="Arial"/>
          <w:sz w:val="29"/>
          <w:szCs w:val="29"/>
          <w:b w:val="1"/>
          <w:bCs w:val="1"/>
          <w:color w:val="012E6C"/>
        </w:rPr>
        <w:t>Compensation Committee Report</w:t>
      </w:r>
    </w:p>
    <w:p>
      <w:pPr>
        <w:spacing w:after="0" w:line="25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Management Development and Compensation Committee makes recommendations to the Board of Directors concerning the compensation of the Corporation’s NEOs. We have reviewed and discussed with management the Compensation Discussion and Analysis that will be included in the Corporation’s Schedule 14A Proxy Statement, filed pursuant to Section 14(a) of the Securities Exchange Act of 1934, as amended. Based on that review and discussion, we recommended to the Board of Directors that the Compensation Discussion and Analysis be included in the Proxy Statement. The Board approved our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221615</wp:posOffset>
            </wp:positionV>
            <wp:extent cx="771525" cy="7715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1525" cy="771525"/>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221615</wp:posOffset>
            </wp:positionV>
            <wp:extent cx="771525" cy="7715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1525" cy="771525"/>
                    </a:xfrm>
                    <a:prstGeom prst="rect">
                      <a:avLst/>
                    </a:prstGeom>
                    <a:noFill/>
                  </pic:spPr>
                </pic:pic>
              </a:graphicData>
            </a:graphic>
          </wp:anchor>
        </w:drawing>
        <w:drawing>
          <wp:anchor simplePos="0" relativeHeight="251657728" behindDoc="1" locked="0" layoutInCell="0" allowOverlap="1">
            <wp:simplePos x="0" y="0"/>
            <wp:positionH relativeFrom="column">
              <wp:posOffset>2912110</wp:posOffset>
            </wp:positionH>
            <wp:positionV relativeFrom="paragraph">
              <wp:posOffset>221615</wp:posOffset>
            </wp:positionV>
            <wp:extent cx="771525" cy="7715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1525" cy="771525"/>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221615</wp:posOffset>
            </wp:positionV>
            <wp:extent cx="771525" cy="7715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1525" cy="771525"/>
                    </a:xfrm>
                    <a:prstGeom prst="rect">
                      <a:avLst/>
                    </a:prstGeom>
                    <a:noFill/>
                  </pic:spPr>
                </pic:pic>
              </a:graphicData>
            </a:graphic>
          </wp:anchor>
        </w:drawing>
        <w:drawing>
          <wp:anchor simplePos="0" relativeHeight="251657728" behindDoc="1" locked="0" layoutInCell="0" allowOverlap="1">
            <wp:simplePos x="0" y="0"/>
            <wp:positionH relativeFrom="column">
              <wp:posOffset>5793740</wp:posOffset>
            </wp:positionH>
            <wp:positionV relativeFrom="paragraph">
              <wp:posOffset>221615</wp:posOffset>
            </wp:positionV>
            <wp:extent cx="763270" cy="7715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3270"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0"/>
        <w:spacing w:after="0"/>
        <w:tabs>
          <w:tab w:leader="none" w:pos="2300" w:val="left"/>
          <w:tab w:leader="none" w:pos="4560" w:val="left"/>
          <w:tab w:leader="none" w:pos="6840" w:val="left"/>
          <w:tab w:leader="none" w:pos="9100" w:val="left"/>
        </w:tabs>
        <w:rPr>
          <w:sz w:val="20"/>
          <w:szCs w:val="20"/>
          <w:color w:val="auto"/>
        </w:rPr>
      </w:pPr>
      <w:r>
        <w:rPr>
          <w:rFonts w:ascii="Arial" w:cs="Arial" w:eastAsia="Arial" w:hAnsi="Arial"/>
          <w:sz w:val="17"/>
          <w:szCs w:val="17"/>
          <w:b w:val="1"/>
          <w:bCs w:val="1"/>
          <w:color w:val="012E6C"/>
        </w:rPr>
        <w:t>Daniel F. Akerson</w:t>
      </w:r>
      <w:r>
        <w:rPr>
          <w:sz w:val="20"/>
          <w:szCs w:val="20"/>
          <w:color w:val="auto"/>
        </w:rPr>
        <w:tab/>
      </w:r>
      <w:r>
        <w:rPr>
          <w:rFonts w:ascii="Arial" w:cs="Arial" w:eastAsia="Arial" w:hAnsi="Arial"/>
          <w:sz w:val="17"/>
          <w:szCs w:val="17"/>
          <w:b w:val="1"/>
          <w:bCs w:val="1"/>
          <w:color w:val="012E6C"/>
        </w:rPr>
        <w:t>Nolan D. Archibald</w:t>
      </w:r>
      <w:r>
        <w:rPr>
          <w:sz w:val="20"/>
          <w:szCs w:val="20"/>
          <w:color w:val="auto"/>
        </w:rPr>
        <w:tab/>
      </w:r>
      <w:r>
        <w:rPr>
          <w:rFonts w:ascii="Arial" w:cs="Arial" w:eastAsia="Arial" w:hAnsi="Arial"/>
          <w:sz w:val="17"/>
          <w:szCs w:val="17"/>
          <w:b w:val="1"/>
          <w:bCs w:val="1"/>
          <w:color w:val="012E6C"/>
        </w:rPr>
        <w:t>Thomas J. Falk</w:t>
      </w:r>
      <w:r>
        <w:rPr>
          <w:sz w:val="20"/>
          <w:szCs w:val="20"/>
          <w:color w:val="auto"/>
        </w:rPr>
        <w:tab/>
      </w:r>
      <w:r>
        <w:rPr>
          <w:rFonts w:ascii="Arial" w:cs="Arial" w:eastAsia="Arial" w:hAnsi="Arial"/>
          <w:sz w:val="17"/>
          <w:szCs w:val="17"/>
          <w:b w:val="1"/>
          <w:bCs w:val="1"/>
          <w:color w:val="012E6C"/>
        </w:rPr>
        <w:t>Ilene S. Gordon</w:t>
      </w:r>
      <w:r>
        <w:rPr>
          <w:sz w:val="20"/>
          <w:szCs w:val="20"/>
          <w:color w:val="auto"/>
        </w:rPr>
        <w:tab/>
      </w:r>
      <w:r>
        <w:rPr>
          <w:rFonts w:ascii="Arial" w:cs="Arial" w:eastAsia="Arial" w:hAnsi="Arial"/>
          <w:sz w:val="17"/>
          <w:szCs w:val="17"/>
          <w:b w:val="1"/>
          <w:bCs w:val="1"/>
          <w:color w:val="012E6C"/>
        </w:rPr>
        <w:t>Vicki A. Hollub</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color w:val="auto"/>
        </w:rPr>
        <w:t>Chairman</w:t>
      </w:r>
    </w:p>
    <w:p>
      <w:pPr>
        <w:spacing w:after="0" w:line="200" w:lineRule="exact"/>
        <w:rPr>
          <w:sz w:val="20"/>
          <w:szCs w:val="20"/>
          <w:color w:val="auto"/>
        </w:rPr>
      </w:pPr>
    </w:p>
    <w:p>
      <w:pPr>
        <w:spacing w:after="0" w:line="317" w:lineRule="exact"/>
        <w:rPr>
          <w:sz w:val="20"/>
          <w:szCs w:val="20"/>
          <w:color w:val="auto"/>
        </w:rPr>
      </w:pPr>
    </w:p>
    <w:p>
      <w:pPr>
        <w:ind w:left="40"/>
        <w:spacing w:after="0"/>
        <w:tabs>
          <w:tab w:leader="none" w:pos="9420" w:val="left"/>
          <w:tab w:leader="none" w:pos="1122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2019 Proxy Statement</w:t>
      </w:r>
      <w:r>
        <w:rPr>
          <w:sz w:val="20"/>
          <w:szCs w:val="20"/>
          <w:color w:val="auto"/>
        </w:rPr>
        <w:tab/>
      </w:r>
      <w:r>
        <w:rPr>
          <w:rFonts w:ascii="Arial" w:cs="Arial" w:eastAsia="Arial" w:hAnsi="Arial"/>
          <w:sz w:val="14"/>
          <w:szCs w:val="14"/>
          <w:b w:val="1"/>
          <w:bCs w:val="1"/>
          <w:color w:val="808080"/>
        </w:rPr>
        <w:t>33</w:t>
      </w:r>
    </w:p>
    <w:p>
      <w:pPr>
        <w:sectPr>
          <w:pgSz w:w="11900" w:h="16838" w:orient="portrait"/>
          <w:cols w:equalWidth="0" w:num="1">
            <w:col w:w="11400"/>
          </w:cols>
          <w:pgMar w:left="240" w:top="341" w:right="25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5"/>
          <w:szCs w:val="15"/>
          <w:color w:val="003478"/>
        </w:rPr>
        <w:t>Executive Compensation</w:t>
      </w:r>
    </w:p>
    <w:p>
      <w:pPr>
        <w:spacing w:after="0" w:line="334" w:lineRule="exact"/>
        <w:rPr>
          <w:sz w:val="20"/>
          <w:szCs w:val="20"/>
          <w:color w:val="auto"/>
        </w:rPr>
      </w:pPr>
    </w:p>
    <w:p>
      <w:pPr>
        <w:spacing w:after="0"/>
        <w:rPr>
          <w:sz w:val="20"/>
          <w:szCs w:val="20"/>
          <w:color w:val="auto"/>
        </w:rPr>
      </w:pPr>
      <w:r>
        <w:rPr>
          <w:rFonts w:ascii="Arial" w:cs="Arial" w:eastAsia="Arial" w:hAnsi="Arial"/>
          <w:sz w:val="29"/>
          <w:szCs w:val="29"/>
          <w:b w:val="1"/>
          <w:bCs w:val="1"/>
          <w:color w:val="012E6C"/>
        </w:rPr>
        <w:t>Compensation Discussion and Analysis (CD&amp;A)</w:t>
      </w:r>
    </w:p>
    <w:p>
      <w:pPr>
        <w:spacing w:after="0" w:line="25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This CD&amp;A discusses the compensation decisions for the NEOs listed in the Summary Compensation Table on page 52. Mr. Orlando P. Carvalho retired as Executive Vice President, Aeronautics, effective October 1, 2018. Effective January 8, 2018, Mr. Frank A. St. John was appointed Executive Vice President, Missiles and Fire Control and Mr. Richard H. Edwards became Executive Vice President, Lockheed Martin International and is no longer considered an executive officer of the Corporation given his change in responsibilities. Although neither Mr. Edwards nor Mr. Carvalho served as executive officers of the Corporation at the end of 2018, they are included among our 2018 NEOs, as shown below, as they were among our top five most highly compensated employees who served as an executive officer during some portion of 2018:</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20" w:type="dxa"/>
            <w:vAlign w:val="bottom"/>
            <w:shd w:val="clear" w:color="auto" w:fill="ECECEC"/>
          </w:tcPr>
          <w:p>
            <w:pPr>
              <w:spacing w:after="0"/>
              <w:rPr>
                <w:sz w:val="13"/>
                <w:szCs w:val="13"/>
                <w:color w:val="auto"/>
              </w:rPr>
            </w:pPr>
          </w:p>
        </w:tc>
        <w:tc>
          <w:tcPr>
            <w:tcW w:w="5100" w:type="dxa"/>
            <w:vAlign w:val="bottom"/>
            <w:shd w:val="clear" w:color="auto" w:fill="ECECEC"/>
          </w:tcPr>
          <w:p>
            <w:pPr>
              <w:spacing w:after="0"/>
              <w:rPr>
                <w:sz w:val="13"/>
                <w:szCs w:val="13"/>
                <w:color w:val="auto"/>
              </w:rPr>
            </w:pPr>
          </w:p>
        </w:tc>
        <w:tc>
          <w:tcPr>
            <w:tcW w:w="2700" w:type="dxa"/>
            <w:vAlign w:val="bottom"/>
            <w:shd w:val="clear" w:color="auto" w:fill="ECECEC"/>
          </w:tcPr>
          <w:p>
            <w:pPr>
              <w:jc w:val="right"/>
              <w:ind w:right="691"/>
              <w:spacing w:after="0"/>
              <w:rPr>
                <w:sz w:val="20"/>
                <w:szCs w:val="20"/>
                <w:color w:val="auto"/>
              </w:rPr>
            </w:pPr>
            <w:r>
              <w:rPr>
                <w:rFonts w:ascii="Arial" w:cs="Arial" w:eastAsia="Arial" w:hAnsi="Arial"/>
                <w:sz w:val="13"/>
                <w:szCs w:val="13"/>
                <w:color w:val="auto"/>
              </w:rPr>
              <w:t>Years in Position</w:t>
            </w:r>
          </w:p>
        </w:tc>
        <w:tc>
          <w:tcPr>
            <w:tcW w:w="1700" w:type="dxa"/>
            <w:vAlign w:val="bottom"/>
            <w:shd w:val="clear" w:color="auto" w:fill="ECECEC"/>
          </w:tcPr>
          <w:p>
            <w:pPr>
              <w:jc w:val="right"/>
              <w:spacing w:after="0"/>
              <w:rPr>
                <w:sz w:val="20"/>
                <w:szCs w:val="20"/>
                <w:color w:val="auto"/>
              </w:rPr>
            </w:pPr>
            <w:r>
              <w:rPr>
                <w:rFonts w:ascii="Arial" w:cs="Arial" w:eastAsia="Arial" w:hAnsi="Arial"/>
                <w:sz w:val="13"/>
                <w:szCs w:val="13"/>
                <w:color w:val="auto"/>
              </w:rPr>
              <w:t>Years of Service</w:t>
            </w:r>
          </w:p>
        </w:tc>
        <w:tc>
          <w:tcPr>
            <w:tcW w:w="0" w:type="dxa"/>
            <w:vAlign w:val="bottom"/>
          </w:tcPr>
          <w:p>
            <w:pPr>
              <w:spacing w:after="0"/>
              <w:rPr>
                <w:sz w:val="1"/>
                <w:szCs w:val="1"/>
                <w:color w:val="auto"/>
              </w:rPr>
            </w:pPr>
          </w:p>
        </w:tc>
      </w:tr>
      <w:tr>
        <w:trPr>
          <w:trHeight w:val="135"/>
        </w:trPr>
        <w:tc>
          <w:tcPr>
            <w:tcW w:w="1920" w:type="dxa"/>
            <w:vAlign w:val="bottom"/>
            <w:vMerge w:val="restart"/>
            <w:shd w:val="clear" w:color="auto" w:fill="ECECEC"/>
          </w:tcPr>
          <w:p>
            <w:pPr>
              <w:ind w:left="40"/>
              <w:spacing w:after="0"/>
              <w:rPr>
                <w:sz w:val="20"/>
                <w:szCs w:val="20"/>
                <w:color w:val="auto"/>
              </w:rPr>
            </w:pPr>
            <w:r>
              <w:rPr>
                <w:rFonts w:ascii="Arial" w:cs="Arial" w:eastAsia="Arial" w:hAnsi="Arial"/>
                <w:sz w:val="13"/>
                <w:szCs w:val="13"/>
                <w:color w:val="auto"/>
              </w:rPr>
              <w:t>NEO</w:t>
            </w:r>
          </w:p>
        </w:tc>
        <w:tc>
          <w:tcPr>
            <w:tcW w:w="5100" w:type="dxa"/>
            <w:vAlign w:val="bottom"/>
            <w:vMerge w:val="restart"/>
            <w:shd w:val="clear" w:color="auto" w:fill="ECECEC"/>
          </w:tcPr>
          <w:p>
            <w:pPr>
              <w:ind w:left="520"/>
              <w:spacing w:after="0"/>
              <w:rPr>
                <w:sz w:val="20"/>
                <w:szCs w:val="20"/>
                <w:color w:val="auto"/>
              </w:rPr>
            </w:pPr>
            <w:r>
              <w:rPr>
                <w:rFonts w:ascii="Arial" w:cs="Arial" w:eastAsia="Arial" w:hAnsi="Arial"/>
                <w:sz w:val="13"/>
                <w:szCs w:val="13"/>
                <w:color w:val="auto"/>
              </w:rPr>
              <w:t>Title</w:t>
            </w:r>
          </w:p>
        </w:tc>
        <w:tc>
          <w:tcPr>
            <w:tcW w:w="2700" w:type="dxa"/>
            <w:vAlign w:val="bottom"/>
            <w:shd w:val="clear" w:color="auto" w:fill="ECECEC"/>
          </w:tcPr>
          <w:p>
            <w:pPr>
              <w:jc w:val="right"/>
              <w:ind w:right="691"/>
              <w:spacing w:after="0" w:line="135" w:lineRule="exact"/>
              <w:rPr>
                <w:sz w:val="20"/>
                <w:szCs w:val="20"/>
                <w:color w:val="auto"/>
              </w:rPr>
            </w:pPr>
            <w:r>
              <w:rPr>
                <w:rFonts w:ascii="Arial" w:cs="Arial" w:eastAsia="Arial" w:hAnsi="Arial"/>
                <w:sz w:val="13"/>
                <w:szCs w:val="13"/>
                <w:color w:val="auto"/>
              </w:rPr>
              <w:t>At End of 2018</w:t>
            </w:r>
          </w:p>
        </w:tc>
        <w:tc>
          <w:tcPr>
            <w:tcW w:w="1700" w:type="dxa"/>
            <w:vAlign w:val="bottom"/>
            <w:shd w:val="clear" w:color="auto" w:fill="ECECEC"/>
          </w:tcPr>
          <w:p>
            <w:pPr>
              <w:jc w:val="right"/>
              <w:spacing w:after="0" w:line="135" w:lineRule="exact"/>
              <w:rPr>
                <w:sz w:val="20"/>
                <w:szCs w:val="20"/>
                <w:color w:val="auto"/>
              </w:rPr>
            </w:pPr>
            <w:r>
              <w:rPr>
                <w:rFonts w:ascii="Arial" w:cs="Arial" w:eastAsia="Arial" w:hAnsi="Arial"/>
                <w:sz w:val="13"/>
                <w:szCs w:val="13"/>
                <w:color w:val="auto"/>
              </w:rPr>
              <w:t>At End of 2018</w:t>
            </w:r>
          </w:p>
        </w:tc>
        <w:tc>
          <w:tcPr>
            <w:tcW w:w="0" w:type="dxa"/>
            <w:vAlign w:val="bottom"/>
          </w:tcPr>
          <w:p>
            <w:pPr>
              <w:spacing w:after="0"/>
              <w:rPr>
                <w:sz w:val="1"/>
                <w:szCs w:val="1"/>
                <w:color w:val="auto"/>
              </w:rPr>
            </w:pPr>
          </w:p>
        </w:tc>
      </w:tr>
      <w:tr>
        <w:trPr>
          <w:trHeight w:val="178"/>
        </w:trPr>
        <w:tc>
          <w:tcPr>
            <w:tcW w:w="1920" w:type="dxa"/>
            <w:vAlign w:val="bottom"/>
            <w:tcBorders>
              <w:bottom w:val="single" w:sz="8" w:color="959595"/>
            </w:tcBorders>
            <w:vMerge w:val="continue"/>
            <w:shd w:val="clear" w:color="auto" w:fill="ECECEC"/>
          </w:tcPr>
          <w:p>
            <w:pPr>
              <w:spacing w:after="0"/>
              <w:rPr>
                <w:sz w:val="15"/>
                <w:szCs w:val="15"/>
                <w:color w:val="auto"/>
              </w:rPr>
            </w:pPr>
          </w:p>
        </w:tc>
        <w:tc>
          <w:tcPr>
            <w:tcW w:w="5100" w:type="dxa"/>
            <w:vAlign w:val="bottom"/>
            <w:tcBorders>
              <w:bottom w:val="single" w:sz="8" w:color="959595"/>
            </w:tcBorders>
            <w:vMerge w:val="continue"/>
            <w:shd w:val="clear" w:color="auto" w:fill="ECECEC"/>
          </w:tcPr>
          <w:p>
            <w:pPr>
              <w:spacing w:after="0"/>
              <w:rPr>
                <w:sz w:val="15"/>
                <w:szCs w:val="15"/>
                <w:color w:val="auto"/>
              </w:rPr>
            </w:pPr>
          </w:p>
        </w:tc>
        <w:tc>
          <w:tcPr>
            <w:tcW w:w="2700" w:type="dxa"/>
            <w:vAlign w:val="bottom"/>
            <w:tcBorders>
              <w:bottom w:val="single" w:sz="8" w:color="959595"/>
            </w:tcBorders>
            <w:shd w:val="clear" w:color="auto" w:fill="ECECEC"/>
          </w:tcPr>
          <w:p>
            <w:pPr>
              <w:jc w:val="right"/>
              <w:ind w:right="651"/>
              <w:spacing w:after="0"/>
              <w:rPr>
                <w:sz w:val="20"/>
                <w:szCs w:val="20"/>
                <w:color w:val="auto"/>
              </w:rPr>
            </w:pPr>
            <w:r>
              <w:rPr>
                <w:rFonts w:ascii="Arial" w:cs="Arial" w:eastAsia="Arial" w:hAnsi="Arial"/>
                <w:sz w:val="13"/>
                <w:szCs w:val="13"/>
                <w:color w:val="auto"/>
              </w:rPr>
              <w:t>(rounded)</w:t>
            </w:r>
          </w:p>
        </w:tc>
        <w:tc>
          <w:tcPr>
            <w:tcW w:w="1700" w:type="dxa"/>
            <w:vAlign w:val="bottom"/>
            <w:tcBorders>
              <w:bottom w:val="single" w:sz="8" w:color="959595"/>
            </w:tcBorders>
            <w:shd w:val="clear" w:color="auto" w:fill="ECECEC"/>
          </w:tcPr>
          <w:p>
            <w:pPr>
              <w:ind w:left="1120"/>
              <w:spacing w:after="0"/>
              <w:rPr>
                <w:sz w:val="20"/>
                <w:szCs w:val="20"/>
                <w:color w:val="auto"/>
              </w:rPr>
            </w:pPr>
            <w:r>
              <w:rPr>
                <w:rFonts w:ascii="Arial" w:cs="Arial" w:eastAsia="Arial" w:hAnsi="Arial"/>
                <w:sz w:val="13"/>
                <w:szCs w:val="13"/>
                <w:color w:val="auto"/>
                <w:w w:val="99"/>
              </w:rPr>
              <w:t>(rounded)</w:t>
            </w:r>
          </w:p>
        </w:tc>
        <w:tc>
          <w:tcPr>
            <w:tcW w:w="0" w:type="dxa"/>
            <w:vAlign w:val="bottom"/>
          </w:tcPr>
          <w:p>
            <w:pPr>
              <w:spacing w:after="0"/>
              <w:rPr>
                <w:sz w:val="1"/>
                <w:szCs w:val="1"/>
                <w:color w:val="auto"/>
              </w:rPr>
            </w:pPr>
          </w:p>
        </w:tc>
      </w:tr>
      <w:tr>
        <w:trPr>
          <w:trHeight w:val="176"/>
        </w:trPr>
        <w:tc>
          <w:tcPr>
            <w:tcW w:w="1920" w:type="dxa"/>
            <w:vAlign w:val="bottom"/>
          </w:tcPr>
          <w:p>
            <w:pPr>
              <w:ind w:left="40"/>
              <w:spacing w:after="0"/>
              <w:rPr>
                <w:sz w:val="20"/>
                <w:szCs w:val="20"/>
                <w:color w:val="auto"/>
              </w:rPr>
            </w:pPr>
            <w:r>
              <w:rPr>
                <w:rFonts w:ascii="Arial" w:cs="Arial" w:eastAsia="Arial" w:hAnsi="Arial"/>
                <w:sz w:val="14"/>
                <w:szCs w:val="14"/>
                <w:b w:val="1"/>
                <w:bCs w:val="1"/>
                <w:color w:val="012E6C"/>
              </w:rPr>
              <w:t>Marillyn A. Hewson</w:t>
            </w:r>
          </w:p>
        </w:tc>
        <w:tc>
          <w:tcPr>
            <w:tcW w:w="5100" w:type="dxa"/>
            <w:vAlign w:val="bottom"/>
          </w:tcPr>
          <w:p>
            <w:pPr>
              <w:ind w:left="520"/>
              <w:spacing w:after="0"/>
              <w:rPr>
                <w:sz w:val="20"/>
                <w:szCs w:val="20"/>
                <w:color w:val="auto"/>
              </w:rPr>
            </w:pPr>
            <w:r>
              <w:rPr>
                <w:rFonts w:ascii="Arial" w:cs="Arial" w:eastAsia="Arial" w:hAnsi="Arial"/>
                <w:sz w:val="14"/>
                <w:szCs w:val="14"/>
                <w:color w:val="auto"/>
              </w:rPr>
              <w:t>Chairman of the Board,</w:t>
            </w:r>
          </w:p>
        </w:tc>
        <w:tc>
          <w:tcPr>
            <w:tcW w:w="2700" w:type="dxa"/>
            <w:vAlign w:val="bottom"/>
          </w:tcPr>
          <w:p>
            <w:pPr>
              <w:jc w:val="right"/>
              <w:ind w:right="651"/>
              <w:spacing w:after="0"/>
              <w:rPr>
                <w:sz w:val="20"/>
                <w:szCs w:val="20"/>
                <w:color w:val="auto"/>
              </w:rPr>
            </w:pPr>
            <w:r>
              <w:rPr>
                <w:rFonts w:ascii="Arial" w:cs="Arial" w:eastAsia="Arial" w:hAnsi="Arial"/>
                <w:sz w:val="14"/>
                <w:szCs w:val="14"/>
                <w:color w:val="auto"/>
              </w:rPr>
              <w:t>6 years</w:t>
            </w:r>
          </w:p>
        </w:tc>
        <w:tc>
          <w:tcPr>
            <w:tcW w:w="1700" w:type="dxa"/>
            <w:vAlign w:val="bottom"/>
          </w:tcPr>
          <w:p>
            <w:pPr>
              <w:ind w:left="1120"/>
              <w:spacing w:after="0"/>
              <w:rPr>
                <w:sz w:val="20"/>
                <w:szCs w:val="20"/>
                <w:color w:val="auto"/>
              </w:rPr>
            </w:pPr>
            <w:r>
              <w:rPr>
                <w:rFonts w:ascii="Arial" w:cs="Arial" w:eastAsia="Arial" w:hAnsi="Arial"/>
                <w:sz w:val="14"/>
                <w:szCs w:val="14"/>
                <w:color w:val="auto"/>
              </w:rPr>
              <w:t>36 years</w:t>
            </w:r>
          </w:p>
        </w:tc>
        <w:tc>
          <w:tcPr>
            <w:tcW w:w="0" w:type="dxa"/>
            <w:vAlign w:val="bottom"/>
          </w:tcPr>
          <w:p>
            <w:pPr>
              <w:spacing w:after="0"/>
              <w:rPr>
                <w:sz w:val="1"/>
                <w:szCs w:val="1"/>
                <w:color w:val="auto"/>
              </w:rPr>
            </w:pPr>
          </w:p>
        </w:tc>
      </w:tr>
      <w:tr>
        <w:trPr>
          <w:trHeight w:val="198"/>
        </w:trPr>
        <w:tc>
          <w:tcPr>
            <w:tcW w:w="1920" w:type="dxa"/>
            <w:vAlign w:val="bottom"/>
            <w:tcBorders>
              <w:bottom w:val="single" w:sz="8" w:color="959595"/>
            </w:tcBorders>
          </w:tcPr>
          <w:p>
            <w:pPr>
              <w:spacing w:after="0"/>
              <w:rPr>
                <w:sz w:val="17"/>
                <w:szCs w:val="17"/>
                <w:color w:val="auto"/>
              </w:rPr>
            </w:pPr>
          </w:p>
        </w:tc>
        <w:tc>
          <w:tcPr>
            <w:tcW w:w="5100" w:type="dxa"/>
            <w:vAlign w:val="bottom"/>
            <w:tcBorders>
              <w:bottom w:val="single" w:sz="8" w:color="959595"/>
            </w:tcBorders>
          </w:tcPr>
          <w:p>
            <w:pPr>
              <w:ind w:left="520"/>
              <w:spacing w:after="0"/>
              <w:rPr>
                <w:sz w:val="20"/>
                <w:szCs w:val="20"/>
                <w:color w:val="auto"/>
              </w:rPr>
            </w:pPr>
            <w:r>
              <w:rPr>
                <w:rFonts w:ascii="Arial" w:cs="Arial" w:eastAsia="Arial" w:hAnsi="Arial"/>
                <w:sz w:val="14"/>
                <w:szCs w:val="14"/>
                <w:color w:val="auto"/>
              </w:rPr>
              <w:t>President and Chief Executive Officer</w:t>
            </w:r>
          </w:p>
        </w:tc>
        <w:tc>
          <w:tcPr>
            <w:tcW w:w="2700" w:type="dxa"/>
            <w:vAlign w:val="bottom"/>
            <w:tcBorders>
              <w:bottom w:val="single" w:sz="8" w:color="959595"/>
            </w:tcBorders>
          </w:tcPr>
          <w:p>
            <w:pPr>
              <w:spacing w:after="0"/>
              <w:rPr>
                <w:sz w:val="17"/>
                <w:szCs w:val="17"/>
                <w:color w:val="auto"/>
              </w:rPr>
            </w:pPr>
          </w:p>
        </w:tc>
        <w:tc>
          <w:tcPr>
            <w:tcW w:w="1700" w:type="dxa"/>
            <w:vAlign w:val="bottom"/>
            <w:tcBorders>
              <w:bottom w:val="single" w:sz="8" w:color="959595"/>
            </w:tcBorders>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920" w:type="dxa"/>
            <w:vAlign w:val="bottom"/>
          </w:tcPr>
          <w:p>
            <w:pPr>
              <w:ind w:left="40"/>
              <w:spacing w:after="0"/>
              <w:rPr>
                <w:sz w:val="20"/>
                <w:szCs w:val="20"/>
                <w:color w:val="auto"/>
              </w:rPr>
            </w:pPr>
            <w:r>
              <w:rPr>
                <w:rFonts w:ascii="Arial" w:cs="Arial" w:eastAsia="Arial" w:hAnsi="Arial"/>
                <w:sz w:val="14"/>
                <w:szCs w:val="14"/>
                <w:b w:val="1"/>
                <w:bCs w:val="1"/>
                <w:color w:val="012E6C"/>
              </w:rPr>
              <w:t>Bruce L. Tanner</w:t>
            </w:r>
          </w:p>
        </w:tc>
        <w:tc>
          <w:tcPr>
            <w:tcW w:w="5100" w:type="dxa"/>
            <w:vAlign w:val="bottom"/>
          </w:tcPr>
          <w:p>
            <w:pPr>
              <w:ind w:left="520"/>
              <w:spacing w:after="0"/>
              <w:rPr>
                <w:sz w:val="20"/>
                <w:szCs w:val="20"/>
                <w:color w:val="auto"/>
              </w:rPr>
            </w:pPr>
            <w:r>
              <w:rPr>
                <w:rFonts w:ascii="Arial" w:cs="Arial" w:eastAsia="Arial" w:hAnsi="Arial"/>
                <w:sz w:val="14"/>
                <w:szCs w:val="14"/>
                <w:color w:val="auto"/>
              </w:rPr>
              <w:t>Executive Vice President and</w:t>
            </w:r>
          </w:p>
        </w:tc>
        <w:tc>
          <w:tcPr>
            <w:tcW w:w="2700" w:type="dxa"/>
            <w:vAlign w:val="bottom"/>
          </w:tcPr>
          <w:p>
            <w:pPr>
              <w:jc w:val="right"/>
              <w:ind w:right="651"/>
              <w:spacing w:after="0"/>
              <w:rPr>
                <w:sz w:val="20"/>
                <w:szCs w:val="20"/>
                <w:color w:val="auto"/>
              </w:rPr>
            </w:pPr>
            <w:r>
              <w:rPr>
                <w:rFonts w:ascii="Arial" w:cs="Arial" w:eastAsia="Arial" w:hAnsi="Arial"/>
                <w:sz w:val="14"/>
                <w:szCs w:val="14"/>
                <w:color w:val="auto"/>
              </w:rPr>
              <w:t>11 years</w:t>
            </w:r>
          </w:p>
        </w:tc>
        <w:tc>
          <w:tcPr>
            <w:tcW w:w="1700" w:type="dxa"/>
            <w:vAlign w:val="bottom"/>
          </w:tcPr>
          <w:p>
            <w:pPr>
              <w:ind w:left="1120"/>
              <w:spacing w:after="0"/>
              <w:rPr>
                <w:sz w:val="20"/>
                <w:szCs w:val="20"/>
                <w:color w:val="auto"/>
              </w:rPr>
            </w:pPr>
            <w:r>
              <w:rPr>
                <w:rFonts w:ascii="Arial" w:cs="Arial" w:eastAsia="Arial" w:hAnsi="Arial"/>
                <w:sz w:val="14"/>
                <w:szCs w:val="14"/>
                <w:color w:val="auto"/>
              </w:rPr>
              <w:t>37 years</w:t>
            </w:r>
          </w:p>
        </w:tc>
        <w:tc>
          <w:tcPr>
            <w:tcW w:w="0" w:type="dxa"/>
            <w:vAlign w:val="bottom"/>
          </w:tcPr>
          <w:p>
            <w:pPr>
              <w:spacing w:after="0"/>
              <w:rPr>
                <w:sz w:val="1"/>
                <w:szCs w:val="1"/>
                <w:color w:val="auto"/>
              </w:rPr>
            </w:pPr>
          </w:p>
        </w:tc>
      </w:tr>
      <w:tr>
        <w:trPr>
          <w:trHeight w:val="198"/>
        </w:trPr>
        <w:tc>
          <w:tcPr>
            <w:tcW w:w="1920" w:type="dxa"/>
            <w:vAlign w:val="bottom"/>
            <w:tcBorders>
              <w:bottom w:val="single" w:sz="8" w:color="959595"/>
            </w:tcBorders>
          </w:tcPr>
          <w:p>
            <w:pPr>
              <w:spacing w:after="0"/>
              <w:rPr>
                <w:sz w:val="17"/>
                <w:szCs w:val="17"/>
                <w:color w:val="auto"/>
              </w:rPr>
            </w:pPr>
          </w:p>
        </w:tc>
        <w:tc>
          <w:tcPr>
            <w:tcW w:w="5100" w:type="dxa"/>
            <w:vAlign w:val="bottom"/>
            <w:tcBorders>
              <w:bottom w:val="single" w:sz="8" w:color="959595"/>
            </w:tcBorders>
          </w:tcPr>
          <w:p>
            <w:pPr>
              <w:ind w:left="520"/>
              <w:spacing w:after="0"/>
              <w:rPr>
                <w:sz w:val="20"/>
                <w:szCs w:val="20"/>
                <w:color w:val="auto"/>
              </w:rPr>
            </w:pPr>
            <w:r>
              <w:rPr>
                <w:rFonts w:ascii="Arial" w:cs="Arial" w:eastAsia="Arial" w:hAnsi="Arial"/>
                <w:sz w:val="14"/>
                <w:szCs w:val="14"/>
                <w:color w:val="auto"/>
              </w:rPr>
              <w:t>Chief Financial Officer</w:t>
            </w:r>
          </w:p>
        </w:tc>
        <w:tc>
          <w:tcPr>
            <w:tcW w:w="2700" w:type="dxa"/>
            <w:vAlign w:val="bottom"/>
            <w:tcBorders>
              <w:bottom w:val="single" w:sz="8" w:color="959595"/>
            </w:tcBorders>
          </w:tcPr>
          <w:p>
            <w:pPr>
              <w:spacing w:after="0"/>
              <w:rPr>
                <w:sz w:val="17"/>
                <w:szCs w:val="17"/>
                <w:color w:val="auto"/>
              </w:rPr>
            </w:pPr>
          </w:p>
        </w:tc>
        <w:tc>
          <w:tcPr>
            <w:tcW w:w="1700" w:type="dxa"/>
            <w:vAlign w:val="bottom"/>
            <w:tcBorders>
              <w:bottom w:val="single" w:sz="8" w:color="959595"/>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92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012E6C"/>
              </w:rPr>
              <w:t>Richard F. Ambrose</w:t>
            </w:r>
          </w:p>
        </w:tc>
        <w:tc>
          <w:tcPr>
            <w:tcW w:w="5100" w:type="dxa"/>
            <w:vAlign w:val="bottom"/>
            <w:tcBorders>
              <w:bottom w:val="single" w:sz="8" w:color="959595"/>
            </w:tcBorders>
          </w:tcPr>
          <w:p>
            <w:pPr>
              <w:ind w:left="520"/>
              <w:spacing w:after="0"/>
              <w:rPr>
                <w:sz w:val="20"/>
                <w:szCs w:val="20"/>
                <w:color w:val="auto"/>
              </w:rPr>
            </w:pPr>
            <w:r>
              <w:rPr>
                <w:rFonts w:ascii="Arial" w:cs="Arial" w:eastAsia="Arial" w:hAnsi="Arial"/>
                <w:sz w:val="14"/>
                <w:szCs w:val="14"/>
                <w:color w:val="auto"/>
              </w:rPr>
              <w:t>Executive Vice President, Space</w:t>
            </w:r>
          </w:p>
        </w:tc>
        <w:tc>
          <w:tcPr>
            <w:tcW w:w="2700" w:type="dxa"/>
            <w:vAlign w:val="bottom"/>
            <w:tcBorders>
              <w:bottom w:val="single" w:sz="8" w:color="959595"/>
            </w:tcBorders>
          </w:tcPr>
          <w:p>
            <w:pPr>
              <w:jc w:val="right"/>
              <w:ind w:right="651"/>
              <w:spacing w:after="0"/>
              <w:rPr>
                <w:sz w:val="20"/>
                <w:szCs w:val="20"/>
                <w:color w:val="auto"/>
              </w:rPr>
            </w:pPr>
            <w:r>
              <w:rPr>
                <w:rFonts w:ascii="Arial" w:cs="Arial" w:eastAsia="Arial" w:hAnsi="Arial"/>
                <w:sz w:val="14"/>
                <w:szCs w:val="14"/>
                <w:color w:val="auto"/>
              </w:rPr>
              <w:t>6 years</w:t>
            </w:r>
          </w:p>
        </w:tc>
        <w:tc>
          <w:tcPr>
            <w:tcW w:w="1700" w:type="dxa"/>
            <w:vAlign w:val="bottom"/>
            <w:tcBorders>
              <w:bottom w:val="single" w:sz="8" w:color="959595"/>
            </w:tcBorders>
          </w:tcPr>
          <w:p>
            <w:pPr>
              <w:ind w:left="1120"/>
              <w:spacing w:after="0"/>
              <w:rPr>
                <w:sz w:val="20"/>
                <w:szCs w:val="20"/>
                <w:color w:val="auto"/>
              </w:rPr>
            </w:pPr>
            <w:r>
              <w:rPr>
                <w:rFonts w:ascii="Arial" w:cs="Arial" w:eastAsia="Arial" w:hAnsi="Arial"/>
                <w:sz w:val="14"/>
                <w:szCs w:val="14"/>
                <w:color w:val="auto"/>
              </w:rPr>
              <w:t>18 years</w:t>
            </w:r>
          </w:p>
        </w:tc>
        <w:tc>
          <w:tcPr>
            <w:tcW w:w="0" w:type="dxa"/>
            <w:vAlign w:val="bottom"/>
          </w:tcPr>
          <w:p>
            <w:pPr>
              <w:spacing w:after="0"/>
              <w:rPr>
                <w:sz w:val="1"/>
                <w:szCs w:val="1"/>
                <w:color w:val="auto"/>
              </w:rPr>
            </w:pPr>
          </w:p>
        </w:tc>
      </w:tr>
      <w:tr>
        <w:trPr>
          <w:trHeight w:val="210"/>
        </w:trPr>
        <w:tc>
          <w:tcPr>
            <w:tcW w:w="192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012E6C"/>
              </w:rPr>
              <w:t>Dale P. Bennett</w:t>
            </w:r>
          </w:p>
        </w:tc>
        <w:tc>
          <w:tcPr>
            <w:tcW w:w="5100" w:type="dxa"/>
            <w:vAlign w:val="bottom"/>
            <w:tcBorders>
              <w:bottom w:val="single" w:sz="8" w:color="959595"/>
            </w:tcBorders>
          </w:tcPr>
          <w:p>
            <w:pPr>
              <w:ind w:left="520"/>
              <w:spacing w:after="0"/>
              <w:rPr>
                <w:sz w:val="20"/>
                <w:szCs w:val="20"/>
                <w:color w:val="auto"/>
              </w:rPr>
            </w:pPr>
            <w:r>
              <w:rPr>
                <w:rFonts w:ascii="Arial" w:cs="Arial" w:eastAsia="Arial" w:hAnsi="Arial"/>
                <w:sz w:val="14"/>
                <w:szCs w:val="14"/>
                <w:color w:val="auto"/>
              </w:rPr>
              <w:t>Executive Vice President, Rotary and Mission Systems</w:t>
            </w:r>
          </w:p>
        </w:tc>
        <w:tc>
          <w:tcPr>
            <w:tcW w:w="2700" w:type="dxa"/>
            <w:vAlign w:val="bottom"/>
            <w:tcBorders>
              <w:bottom w:val="single" w:sz="8" w:color="959595"/>
            </w:tcBorders>
          </w:tcPr>
          <w:p>
            <w:pPr>
              <w:jc w:val="right"/>
              <w:ind w:right="651"/>
              <w:spacing w:after="0"/>
              <w:rPr>
                <w:sz w:val="20"/>
                <w:szCs w:val="20"/>
                <w:color w:val="auto"/>
              </w:rPr>
            </w:pPr>
            <w:r>
              <w:rPr>
                <w:rFonts w:ascii="Arial" w:cs="Arial" w:eastAsia="Arial" w:hAnsi="Arial"/>
                <w:sz w:val="14"/>
                <w:szCs w:val="14"/>
                <w:color w:val="auto"/>
              </w:rPr>
              <w:t>6 years</w:t>
            </w:r>
          </w:p>
        </w:tc>
        <w:tc>
          <w:tcPr>
            <w:tcW w:w="1700" w:type="dxa"/>
            <w:vAlign w:val="bottom"/>
            <w:tcBorders>
              <w:bottom w:val="single" w:sz="8" w:color="959595"/>
            </w:tcBorders>
          </w:tcPr>
          <w:p>
            <w:pPr>
              <w:ind w:left="1120"/>
              <w:spacing w:after="0"/>
              <w:rPr>
                <w:sz w:val="20"/>
                <w:szCs w:val="20"/>
                <w:color w:val="auto"/>
              </w:rPr>
            </w:pPr>
            <w:r>
              <w:rPr>
                <w:rFonts w:ascii="Arial" w:cs="Arial" w:eastAsia="Arial" w:hAnsi="Arial"/>
                <w:sz w:val="14"/>
                <w:szCs w:val="14"/>
                <w:color w:val="auto"/>
              </w:rPr>
              <w:t>38 years</w:t>
            </w:r>
          </w:p>
        </w:tc>
        <w:tc>
          <w:tcPr>
            <w:tcW w:w="0" w:type="dxa"/>
            <w:vAlign w:val="bottom"/>
          </w:tcPr>
          <w:p>
            <w:pPr>
              <w:spacing w:after="0"/>
              <w:rPr>
                <w:sz w:val="1"/>
                <w:szCs w:val="1"/>
                <w:color w:val="auto"/>
              </w:rPr>
            </w:pPr>
          </w:p>
        </w:tc>
      </w:tr>
      <w:tr>
        <w:trPr>
          <w:trHeight w:val="210"/>
        </w:trPr>
        <w:tc>
          <w:tcPr>
            <w:tcW w:w="192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012E6C"/>
              </w:rPr>
              <w:t>Frank A. St. John</w:t>
            </w:r>
          </w:p>
        </w:tc>
        <w:tc>
          <w:tcPr>
            <w:tcW w:w="5100" w:type="dxa"/>
            <w:vAlign w:val="bottom"/>
            <w:tcBorders>
              <w:bottom w:val="single" w:sz="8" w:color="959595"/>
            </w:tcBorders>
          </w:tcPr>
          <w:p>
            <w:pPr>
              <w:ind w:left="520"/>
              <w:spacing w:after="0"/>
              <w:rPr>
                <w:sz w:val="20"/>
                <w:szCs w:val="20"/>
                <w:color w:val="auto"/>
              </w:rPr>
            </w:pPr>
            <w:r>
              <w:rPr>
                <w:rFonts w:ascii="Arial" w:cs="Arial" w:eastAsia="Arial" w:hAnsi="Arial"/>
                <w:sz w:val="14"/>
                <w:szCs w:val="14"/>
                <w:color w:val="auto"/>
              </w:rPr>
              <w:t>Executive Vice President, Missiles and Fire Control</w:t>
            </w:r>
          </w:p>
        </w:tc>
        <w:tc>
          <w:tcPr>
            <w:tcW w:w="2700" w:type="dxa"/>
            <w:vAlign w:val="bottom"/>
            <w:tcBorders>
              <w:bottom w:val="single" w:sz="8" w:color="959595"/>
            </w:tcBorders>
          </w:tcPr>
          <w:p>
            <w:pPr>
              <w:jc w:val="right"/>
              <w:ind w:right="651"/>
              <w:spacing w:after="0"/>
              <w:rPr>
                <w:sz w:val="20"/>
                <w:szCs w:val="20"/>
                <w:color w:val="auto"/>
              </w:rPr>
            </w:pPr>
            <w:r>
              <w:rPr>
                <w:rFonts w:ascii="Arial" w:cs="Arial" w:eastAsia="Arial" w:hAnsi="Arial"/>
                <w:sz w:val="14"/>
                <w:szCs w:val="14"/>
                <w:color w:val="auto"/>
              </w:rPr>
              <w:t>1 year</w:t>
            </w:r>
          </w:p>
        </w:tc>
        <w:tc>
          <w:tcPr>
            <w:tcW w:w="1700" w:type="dxa"/>
            <w:vAlign w:val="bottom"/>
            <w:tcBorders>
              <w:bottom w:val="single" w:sz="8" w:color="959595"/>
            </w:tcBorders>
          </w:tcPr>
          <w:p>
            <w:pPr>
              <w:ind w:left="1120"/>
              <w:spacing w:after="0"/>
              <w:rPr>
                <w:sz w:val="20"/>
                <w:szCs w:val="20"/>
                <w:color w:val="auto"/>
              </w:rPr>
            </w:pPr>
            <w:r>
              <w:rPr>
                <w:rFonts w:ascii="Arial" w:cs="Arial" w:eastAsia="Arial" w:hAnsi="Arial"/>
                <w:sz w:val="14"/>
                <w:szCs w:val="14"/>
                <w:color w:val="auto"/>
              </w:rPr>
              <w:t>32 years</w:t>
            </w:r>
          </w:p>
        </w:tc>
        <w:tc>
          <w:tcPr>
            <w:tcW w:w="0" w:type="dxa"/>
            <w:vAlign w:val="bottom"/>
          </w:tcPr>
          <w:p>
            <w:pPr>
              <w:spacing w:after="0"/>
              <w:rPr>
                <w:sz w:val="1"/>
                <w:szCs w:val="1"/>
                <w:color w:val="auto"/>
              </w:rPr>
            </w:pPr>
          </w:p>
        </w:tc>
      </w:tr>
      <w:tr>
        <w:trPr>
          <w:trHeight w:val="210"/>
        </w:trPr>
        <w:tc>
          <w:tcPr>
            <w:tcW w:w="192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012E6C"/>
              </w:rPr>
              <w:t>Orlando P. Carvalho</w:t>
            </w:r>
          </w:p>
        </w:tc>
        <w:tc>
          <w:tcPr>
            <w:tcW w:w="5100" w:type="dxa"/>
            <w:vAlign w:val="bottom"/>
            <w:tcBorders>
              <w:bottom w:val="single" w:sz="8" w:color="959595"/>
            </w:tcBorders>
          </w:tcPr>
          <w:p>
            <w:pPr>
              <w:ind w:left="520"/>
              <w:spacing w:after="0"/>
              <w:rPr>
                <w:sz w:val="20"/>
                <w:szCs w:val="20"/>
                <w:color w:val="auto"/>
              </w:rPr>
            </w:pPr>
            <w:r>
              <w:rPr>
                <w:rFonts w:ascii="Arial" w:cs="Arial" w:eastAsia="Arial" w:hAnsi="Arial"/>
                <w:sz w:val="14"/>
                <w:szCs w:val="14"/>
                <w:color w:val="auto"/>
              </w:rPr>
              <w:t>Retired Executive Vice President, Aeronautics</w:t>
            </w:r>
          </w:p>
        </w:tc>
        <w:tc>
          <w:tcPr>
            <w:tcW w:w="2700" w:type="dxa"/>
            <w:vAlign w:val="bottom"/>
            <w:tcBorders>
              <w:bottom w:val="single" w:sz="8" w:color="959595"/>
            </w:tcBorders>
          </w:tcPr>
          <w:p>
            <w:pPr>
              <w:jc w:val="right"/>
              <w:ind w:right="651"/>
              <w:spacing w:after="0"/>
              <w:rPr>
                <w:sz w:val="20"/>
                <w:szCs w:val="20"/>
                <w:color w:val="auto"/>
              </w:rPr>
            </w:pPr>
            <w:r>
              <w:rPr>
                <w:rFonts w:ascii="Arial" w:cs="Arial" w:eastAsia="Arial" w:hAnsi="Arial"/>
                <w:sz w:val="14"/>
                <w:szCs w:val="14"/>
                <w:color w:val="auto"/>
              </w:rPr>
              <w:t>6 years</w:t>
            </w:r>
          </w:p>
        </w:tc>
        <w:tc>
          <w:tcPr>
            <w:tcW w:w="1700" w:type="dxa"/>
            <w:vAlign w:val="bottom"/>
            <w:tcBorders>
              <w:bottom w:val="single" w:sz="8" w:color="959595"/>
            </w:tcBorders>
          </w:tcPr>
          <w:p>
            <w:pPr>
              <w:ind w:left="1120"/>
              <w:spacing w:after="0"/>
              <w:rPr>
                <w:sz w:val="20"/>
                <w:szCs w:val="20"/>
                <w:color w:val="auto"/>
              </w:rPr>
            </w:pPr>
            <w:r>
              <w:rPr>
                <w:rFonts w:ascii="Arial" w:cs="Arial" w:eastAsia="Arial" w:hAnsi="Arial"/>
                <w:sz w:val="14"/>
                <w:szCs w:val="14"/>
                <w:color w:val="auto"/>
              </w:rPr>
              <w:t>39 years</w:t>
            </w:r>
          </w:p>
        </w:tc>
        <w:tc>
          <w:tcPr>
            <w:tcW w:w="0" w:type="dxa"/>
            <w:vAlign w:val="bottom"/>
          </w:tcPr>
          <w:p>
            <w:pPr>
              <w:spacing w:after="0"/>
              <w:rPr>
                <w:sz w:val="1"/>
                <w:szCs w:val="1"/>
                <w:color w:val="auto"/>
              </w:rPr>
            </w:pPr>
          </w:p>
        </w:tc>
      </w:tr>
      <w:tr>
        <w:trPr>
          <w:trHeight w:val="210"/>
        </w:trPr>
        <w:tc>
          <w:tcPr>
            <w:tcW w:w="192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012E6C"/>
              </w:rPr>
              <w:t>Richard H. Edwards</w:t>
            </w:r>
          </w:p>
        </w:tc>
        <w:tc>
          <w:tcPr>
            <w:tcW w:w="5100" w:type="dxa"/>
            <w:vAlign w:val="bottom"/>
            <w:tcBorders>
              <w:bottom w:val="single" w:sz="8" w:color="959595"/>
            </w:tcBorders>
          </w:tcPr>
          <w:p>
            <w:pPr>
              <w:ind w:left="520"/>
              <w:spacing w:after="0"/>
              <w:rPr>
                <w:sz w:val="20"/>
                <w:szCs w:val="20"/>
                <w:color w:val="auto"/>
              </w:rPr>
            </w:pPr>
            <w:r>
              <w:rPr>
                <w:rFonts w:ascii="Arial" w:cs="Arial" w:eastAsia="Arial" w:hAnsi="Arial"/>
                <w:sz w:val="14"/>
                <w:szCs w:val="14"/>
                <w:color w:val="auto"/>
              </w:rPr>
              <w:t>Executive Vice President, Lockheed Martin International</w:t>
            </w:r>
          </w:p>
        </w:tc>
        <w:tc>
          <w:tcPr>
            <w:tcW w:w="2700" w:type="dxa"/>
            <w:vAlign w:val="bottom"/>
            <w:tcBorders>
              <w:bottom w:val="single" w:sz="8" w:color="959595"/>
            </w:tcBorders>
          </w:tcPr>
          <w:p>
            <w:pPr>
              <w:jc w:val="right"/>
              <w:ind w:right="651"/>
              <w:spacing w:after="0"/>
              <w:rPr>
                <w:sz w:val="20"/>
                <w:szCs w:val="20"/>
                <w:color w:val="auto"/>
              </w:rPr>
            </w:pPr>
            <w:r>
              <w:rPr>
                <w:rFonts w:ascii="Arial" w:cs="Arial" w:eastAsia="Arial" w:hAnsi="Arial"/>
                <w:sz w:val="14"/>
                <w:szCs w:val="14"/>
                <w:color w:val="auto"/>
              </w:rPr>
              <w:t>1 year</w:t>
            </w:r>
          </w:p>
        </w:tc>
        <w:tc>
          <w:tcPr>
            <w:tcW w:w="1700" w:type="dxa"/>
            <w:vAlign w:val="bottom"/>
            <w:tcBorders>
              <w:bottom w:val="single" w:sz="8" w:color="959595"/>
            </w:tcBorders>
          </w:tcPr>
          <w:p>
            <w:pPr>
              <w:ind w:left="11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bl>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378"/>
        </w:trPr>
        <w:tc>
          <w:tcPr>
            <w:tcW w:w="4360" w:type="dxa"/>
            <w:vAlign w:val="bottom"/>
            <w:vMerge w:val="restart"/>
            <w:shd w:val="clear" w:color="auto" w:fill="E6E7EF"/>
          </w:tcPr>
          <w:p>
            <w:pPr>
              <w:ind w:left="120"/>
              <w:spacing w:after="0"/>
              <w:rPr>
                <w:sz w:val="20"/>
                <w:szCs w:val="20"/>
                <w:color w:val="auto"/>
              </w:rPr>
            </w:pPr>
            <w:r>
              <w:rPr>
                <w:rFonts w:ascii="Arial" w:cs="Arial" w:eastAsia="Arial" w:hAnsi="Arial"/>
                <w:sz w:val="17"/>
                <w:szCs w:val="17"/>
                <w:color w:val="auto"/>
              </w:rPr>
              <w:t>To assist stockholders in finding important information,</w:t>
            </w:r>
          </w:p>
        </w:tc>
        <w:tc>
          <w:tcPr>
            <w:tcW w:w="800" w:type="dxa"/>
            <w:vAlign w:val="bottom"/>
            <w:shd w:val="clear" w:color="auto" w:fill="E6E7EF"/>
          </w:tcPr>
          <w:p>
            <w:pPr>
              <w:jc w:val="center"/>
              <w:spacing w:after="0"/>
              <w:rPr>
                <w:sz w:val="20"/>
                <w:szCs w:val="20"/>
                <w:color w:val="auto"/>
              </w:rPr>
            </w:pPr>
            <w:r>
              <w:rPr>
                <w:rFonts w:ascii="Arial" w:cs="Arial" w:eastAsia="Arial" w:hAnsi="Arial"/>
                <w:sz w:val="17"/>
                <w:szCs w:val="17"/>
                <w:color w:val="auto"/>
              </w:rPr>
              <w:t>Page</w:t>
            </w:r>
          </w:p>
        </w:tc>
        <w:tc>
          <w:tcPr>
            <w:tcW w:w="420" w:type="dxa"/>
            <w:vAlign w:val="bottom"/>
            <w:shd w:val="clear" w:color="auto" w:fill="E6E7EF"/>
          </w:tcPr>
          <w:p>
            <w:pPr>
              <w:spacing w:after="0"/>
              <w:rPr>
                <w:sz w:val="24"/>
                <w:szCs w:val="24"/>
                <w:color w:val="auto"/>
              </w:rPr>
            </w:pPr>
          </w:p>
        </w:tc>
        <w:tc>
          <w:tcPr>
            <w:tcW w:w="5840" w:type="dxa"/>
            <w:vAlign w:val="bottom"/>
            <w:shd w:val="clear" w:color="auto" w:fill="E6E7EF"/>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4360" w:type="dxa"/>
            <w:vAlign w:val="bottom"/>
            <w:vMerge w:val="continue"/>
            <w:shd w:val="clear" w:color="auto" w:fill="E6E7EF"/>
          </w:tcPr>
          <w:p>
            <w:pPr>
              <w:spacing w:after="0"/>
              <w:rPr>
                <w:sz w:val="3"/>
                <w:szCs w:val="3"/>
                <w:color w:val="auto"/>
              </w:rPr>
            </w:pPr>
          </w:p>
        </w:tc>
        <w:tc>
          <w:tcPr>
            <w:tcW w:w="800" w:type="dxa"/>
            <w:vAlign w:val="bottom"/>
            <w:vMerge w:val="restart"/>
            <w:shd w:val="clear" w:color="auto" w:fill="E6E7EF"/>
          </w:tcPr>
          <w:p>
            <w:pPr>
              <w:jc w:val="center"/>
              <w:spacing w:after="0"/>
              <w:rPr>
                <w:sz w:val="20"/>
                <w:szCs w:val="20"/>
                <w:color w:val="auto"/>
              </w:rPr>
            </w:pPr>
            <w:r>
              <w:rPr>
                <w:rFonts w:ascii="Arial" w:cs="Arial" w:eastAsia="Arial" w:hAnsi="Arial"/>
                <w:sz w:val="17"/>
                <w:szCs w:val="17"/>
                <w:b w:val="1"/>
                <w:bCs w:val="1"/>
                <w:color w:val="012E6C"/>
              </w:rPr>
              <w:t>35</w:t>
            </w:r>
          </w:p>
        </w:tc>
        <w:tc>
          <w:tcPr>
            <w:tcW w:w="6260" w:type="dxa"/>
            <w:vAlign w:val="bottom"/>
            <w:gridSpan w:val="2"/>
            <w:vMerge w:val="restart"/>
            <w:shd w:val="clear" w:color="auto" w:fill="E6E7EF"/>
          </w:tcPr>
          <w:p>
            <w:pPr>
              <w:ind w:left="20"/>
              <w:spacing w:after="0"/>
              <w:rPr>
                <w:sz w:val="20"/>
                <w:szCs w:val="20"/>
                <w:color w:val="auto"/>
              </w:rPr>
            </w:pPr>
            <w:r>
              <w:rPr>
                <w:rFonts w:ascii="Arial" w:cs="Arial" w:eastAsia="Arial" w:hAnsi="Arial"/>
                <w:sz w:val="17"/>
                <w:szCs w:val="17"/>
                <w:color w:val="auto"/>
              </w:rPr>
              <w:t>Executive Summary</w:t>
            </w:r>
          </w:p>
        </w:tc>
        <w:tc>
          <w:tcPr>
            <w:tcW w:w="0" w:type="dxa"/>
            <w:vAlign w:val="bottom"/>
          </w:tcPr>
          <w:p>
            <w:pPr>
              <w:spacing w:after="0" w:line="20" w:lineRule="exact"/>
              <w:rPr>
                <w:sz w:val="1"/>
                <w:szCs w:val="1"/>
                <w:color w:val="auto"/>
              </w:rPr>
            </w:pPr>
          </w:p>
        </w:tc>
      </w:tr>
      <w:tr>
        <w:trPr>
          <w:trHeight w:val="214"/>
        </w:trPr>
        <w:tc>
          <w:tcPr>
            <w:tcW w:w="4360" w:type="dxa"/>
            <w:vAlign w:val="bottom"/>
            <w:shd w:val="clear" w:color="auto" w:fill="E6E7EF"/>
          </w:tcPr>
          <w:p>
            <w:pPr>
              <w:ind w:left="120"/>
              <w:spacing w:after="0"/>
              <w:rPr>
                <w:sz w:val="20"/>
                <w:szCs w:val="20"/>
                <w:color w:val="auto"/>
              </w:rPr>
            </w:pPr>
            <w:r>
              <w:rPr>
                <w:rFonts w:ascii="Arial" w:cs="Arial" w:eastAsia="Arial" w:hAnsi="Arial"/>
                <w:sz w:val="17"/>
                <w:szCs w:val="17"/>
                <w:color w:val="auto"/>
              </w:rPr>
              <w:t>this CD&amp;A is organized as follows:</w:t>
            </w:r>
          </w:p>
        </w:tc>
        <w:tc>
          <w:tcPr>
            <w:tcW w:w="800" w:type="dxa"/>
            <w:vAlign w:val="bottom"/>
            <w:vMerge w:val="continue"/>
            <w:shd w:val="clear" w:color="auto" w:fill="E6E7EF"/>
          </w:tcPr>
          <w:p>
            <w:pPr>
              <w:spacing w:after="0"/>
              <w:rPr>
                <w:sz w:val="18"/>
                <w:szCs w:val="18"/>
                <w:color w:val="auto"/>
              </w:rPr>
            </w:pPr>
          </w:p>
        </w:tc>
        <w:tc>
          <w:tcPr>
            <w:tcW w:w="6260" w:type="dxa"/>
            <w:vAlign w:val="bottom"/>
            <w:gridSpan w:val="2"/>
            <w:vMerge w:val="continue"/>
            <w:shd w:val="clear" w:color="auto" w:fill="E6E7E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360" w:type="dxa"/>
            <w:vAlign w:val="bottom"/>
            <w:shd w:val="clear" w:color="auto" w:fill="E6E7EF"/>
          </w:tcPr>
          <w:p>
            <w:pPr>
              <w:spacing w:after="0"/>
              <w:rPr>
                <w:sz w:val="21"/>
                <w:szCs w:val="21"/>
                <w:color w:val="auto"/>
              </w:rPr>
            </w:pPr>
          </w:p>
        </w:tc>
        <w:tc>
          <w:tcPr>
            <w:tcW w:w="800" w:type="dxa"/>
            <w:vAlign w:val="bottom"/>
            <w:shd w:val="clear" w:color="auto" w:fill="E6E7EF"/>
          </w:tcPr>
          <w:p>
            <w:pPr>
              <w:jc w:val="center"/>
              <w:spacing w:after="0"/>
              <w:rPr>
                <w:sz w:val="20"/>
                <w:szCs w:val="20"/>
                <w:color w:val="auto"/>
              </w:rPr>
            </w:pPr>
            <w:r>
              <w:rPr>
                <w:rFonts w:ascii="Arial" w:cs="Arial" w:eastAsia="Arial" w:hAnsi="Arial"/>
                <w:sz w:val="17"/>
                <w:szCs w:val="17"/>
                <w:b w:val="1"/>
                <w:bCs w:val="1"/>
                <w:color w:val="012E6C"/>
              </w:rPr>
              <w:t>37</w:t>
            </w:r>
          </w:p>
        </w:tc>
        <w:tc>
          <w:tcPr>
            <w:tcW w:w="6260" w:type="dxa"/>
            <w:vAlign w:val="bottom"/>
            <w:gridSpan w:val="2"/>
            <w:shd w:val="clear" w:color="auto" w:fill="E6E7EF"/>
          </w:tcPr>
          <w:p>
            <w:pPr>
              <w:ind w:left="20"/>
              <w:spacing w:after="0"/>
              <w:rPr>
                <w:sz w:val="20"/>
                <w:szCs w:val="20"/>
                <w:color w:val="auto"/>
              </w:rPr>
            </w:pPr>
            <w:r>
              <w:rPr>
                <w:rFonts w:ascii="Arial" w:cs="Arial" w:eastAsia="Arial" w:hAnsi="Arial"/>
                <w:sz w:val="17"/>
                <w:szCs w:val="17"/>
                <w:color w:val="auto"/>
              </w:rPr>
              <w:t>Summary of Compensation Approach</w:t>
            </w:r>
          </w:p>
        </w:tc>
        <w:tc>
          <w:tcPr>
            <w:tcW w:w="0" w:type="dxa"/>
            <w:vAlign w:val="bottom"/>
          </w:tcPr>
          <w:p>
            <w:pPr>
              <w:spacing w:after="0"/>
              <w:rPr>
                <w:sz w:val="1"/>
                <w:szCs w:val="1"/>
                <w:color w:val="auto"/>
              </w:rPr>
            </w:pPr>
          </w:p>
        </w:tc>
      </w:tr>
      <w:tr>
        <w:trPr>
          <w:trHeight w:val="243"/>
        </w:trPr>
        <w:tc>
          <w:tcPr>
            <w:tcW w:w="4360" w:type="dxa"/>
            <w:vAlign w:val="bottom"/>
            <w:shd w:val="clear" w:color="auto" w:fill="E6E7EF"/>
          </w:tcPr>
          <w:p>
            <w:pPr>
              <w:spacing w:after="0"/>
              <w:rPr>
                <w:sz w:val="21"/>
                <w:szCs w:val="21"/>
                <w:color w:val="auto"/>
              </w:rPr>
            </w:pPr>
          </w:p>
        </w:tc>
        <w:tc>
          <w:tcPr>
            <w:tcW w:w="800" w:type="dxa"/>
            <w:vAlign w:val="bottom"/>
            <w:shd w:val="clear" w:color="auto" w:fill="E6E7EF"/>
          </w:tcPr>
          <w:p>
            <w:pPr>
              <w:jc w:val="center"/>
              <w:spacing w:after="0"/>
              <w:rPr>
                <w:sz w:val="20"/>
                <w:szCs w:val="20"/>
                <w:color w:val="auto"/>
              </w:rPr>
            </w:pPr>
            <w:r>
              <w:rPr>
                <w:rFonts w:ascii="Arial" w:cs="Arial" w:eastAsia="Arial" w:hAnsi="Arial"/>
                <w:sz w:val="17"/>
                <w:szCs w:val="17"/>
                <w:b w:val="1"/>
                <w:bCs w:val="1"/>
                <w:color w:val="012E6C"/>
              </w:rPr>
              <w:t>40</w:t>
            </w:r>
          </w:p>
        </w:tc>
        <w:tc>
          <w:tcPr>
            <w:tcW w:w="420" w:type="dxa"/>
            <w:vAlign w:val="bottom"/>
            <w:shd w:val="clear" w:color="auto" w:fill="E6E7EF"/>
          </w:tcPr>
          <w:p>
            <w:pPr>
              <w:ind w:left="20"/>
              <w:spacing w:after="0"/>
              <w:rPr>
                <w:sz w:val="20"/>
                <w:szCs w:val="20"/>
                <w:color w:val="auto"/>
              </w:rPr>
            </w:pPr>
            <w:r>
              <w:rPr>
                <w:rFonts w:ascii="Arial" w:cs="Arial" w:eastAsia="Arial" w:hAnsi="Arial"/>
                <w:sz w:val="17"/>
                <w:szCs w:val="17"/>
                <w:color w:val="auto"/>
              </w:rPr>
              <w:t>2018</w:t>
            </w:r>
          </w:p>
        </w:tc>
        <w:tc>
          <w:tcPr>
            <w:tcW w:w="5840" w:type="dxa"/>
            <w:vAlign w:val="bottom"/>
            <w:shd w:val="clear" w:color="auto" w:fill="E6E7EF"/>
          </w:tcPr>
          <w:p>
            <w:pPr>
              <w:ind w:left="20"/>
              <w:spacing w:after="0"/>
              <w:rPr>
                <w:sz w:val="20"/>
                <w:szCs w:val="20"/>
                <w:color w:val="auto"/>
              </w:rPr>
            </w:pPr>
            <w:r>
              <w:rPr>
                <w:rFonts w:ascii="Arial" w:cs="Arial" w:eastAsia="Arial" w:hAnsi="Arial"/>
                <w:sz w:val="17"/>
                <w:szCs w:val="17"/>
                <w:color w:val="auto"/>
              </w:rPr>
              <w:t>Named Executive Officers’ Compensation</w:t>
            </w:r>
          </w:p>
        </w:tc>
        <w:tc>
          <w:tcPr>
            <w:tcW w:w="0" w:type="dxa"/>
            <w:vAlign w:val="bottom"/>
          </w:tcPr>
          <w:p>
            <w:pPr>
              <w:spacing w:after="0"/>
              <w:rPr>
                <w:sz w:val="1"/>
                <w:szCs w:val="1"/>
                <w:color w:val="auto"/>
              </w:rPr>
            </w:pPr>
          </w:p>
        </w:tc>
      </w:tr>
      <w:tr>
        <w:trPr>
          <w:trHeight w:val="243"/>
        </w:trPr>
        <w:tc>
          <w:tcPr>
            <w:tcW w:w="4360" w:type="dxa"/>
            <w:vAlign w:val="bottom"/>
            <w:shd w:val="clear" w:color="auto" w:fill="E6E7EF"/>
          </w:tcPr>
          <w:p>
            <w:pPr>
              <w:spacing w:after="0"/>
              <w:rPr>
                <w:sz w:val="21"/>
                <w:szCs w:val="21"/>
                <w:color w:val="auto"/>
              </w:rPr>
            </w:pPr>
          </w:p>
        </w:tc>
        <w:tc>
          <w:tcPr>
            <w:tcW w:w="800" w:type="dxa"/>
            <w:vAlign w:val="bottom"/>
            <w:shd w:val="clear" w:color="auto" w:fill="E6E7EF"/>
          </w:tcPr>
          <w:p>
            <w:pPr>
              <w:jc w:val="center"/>
              <w:spacing w:after="0"/>
              <w:rPr>
                <w:sz w:val="20"/>
                <w:szCs w:val="20"/>
                <w:color w:val="auto"/>
              </w:rPr>
            </w:pPr>
            <w:r>
              <w:rPr>
                <w:rFonts w:ascii="Arial" w:cs="Arial" w:eastAsia="Arial" w:hAnsi="Arial"/>
                <w:sz w:val="17"/>
                <w:szCs w:val="17"/>
                <w:b w:val="1"/>
                <w:bCs w:val="1"/>
                <w:color w:val="012E6C"/>
              </w:rPr>
              <w:t>47</w:t>
            </w:r>
          </w:p>
        </w:tc>
        <w:tc>
          <w:tcPr>
            <w:tcW w:w="420" w:type="dxa"/>
            <w:vAlign w:val="bottom"/>
            <w:shd w:val="clear" w:color="auto" w:fill="E6E7EF"/>
          </w:tcPr>
          <w:p>
            <w:pPr>
              <w:ind w:left="20"/>
              <w:spacing w:after="0"/>
              <w:rPr>
                <w:sz w:val="20"/>
                <w:szCs w:val="20"/>
                <w:color w:val="auto"/>
              </w:rPr>
            </w:pPr>
            <w:r>
              <w:rPr>
                <w:rFonts w:ascii="Arial" w:cs="Arial" w:eastAsia="Arial" w:hAnsi="Arial"/>
                <w:sz w:val="17"/>
                <w:szCs w:val="17"/>
                <w:color w:val="auto"/>
              </w:rPr>
              <w:t>2019</w:t>
            </w:r>
          </w:p>
        </w:tc>
        <w:tc>
          <w:tcPr>
            <w:tcW w:w="5840" w:type="dxa"/>
            <w:vAlign w:val="bottom"/>
            <w:shd w:val="clear" w:color="auto" w:fill="E6E7EF"/>
          </w:tcPr>
          <w:p>
            <w:pPr>
              <w:ind w:left="20"/>
              <w:spacing w:after="0"/>
              <w:rPr>
                <w:sz w:val="20"/>
                <w:szCs w:val="20"/>
                <w:color w:val="auto"/>
              </w:rPr>
            </w:pPr>
            <w:r>
              <w:rPr>
                <w:rFonts w:ascii="Arial" w:cs="Arial" w:eastAsia="Arial" w:hAnsi="Arial"/>
                <w:sz w:val="17"/>
                <w:szCs w:val="17"/>
                <w:color w:val="auto"/>
              </w:rPr>
              <w:t>Compensation Decisions</w:t>
            </w:r>
          </w:p>
        </w:tc>
        <w:tc>
          <w:tcPr>
            <w:tcW w:w="0" w:type="dxa"/>
            <w:vAlign w:val="bottom"/>
          </w:tcPr>
          <w:p>
            <w:pPr>
              <w:spacing w:after="0"/>
              <w:rPr>
                <w:sz w:val="1"/>
                <w:szCs w:val="1"/>
                <w:color w:val="auto"/>
              </w:rPr>
            </w:pPr>
          </w:p>
        </w:tc>
      </w:tr>
      <w:tr>
        <w:trPr>
          <w:trHeight w:val="243"/>
        </w:trPr>
        <w:tc>
          <w:tcPr>
            <w:tcW w:w="4360" w:type="dxa"/>
            <w:vAlign w:val="bottom"/>
            <w:shd w:val="clear" w:color="auto" w:fill="E6E7EF"/>
          </w:tcPr>
          <w:p>
            <w:pPr>
              <w:spacing w:after="0"/>
              <w:rPr>
                <w:sz w:val="21"/>
                <w:szCs w:val="21"/>
                <w:color w:val="auto"/>
              </w:rPr>
            </w:pPr>
          </w:p>
        </w:tc>
        <w:tc>
          <w:tcPr>
            <w:tcW w:w="800" w:type="dxa"/>
            <w:vAlign w:val="bottom"/>
            <w:shd w:val="clear" w:color="auto" w:fill="E6E7EF"/>
          </w:tcPr>
          <w:p>
            <w:pPr>
              <w:jc w:val="center"/>
              <w:spacing w:after="0"/>
              <w:rPr>
                <w:sz w:val="20"/>
                <w:szCs w:val="20"/>
                <w:color w:val="auto"/>
              </w:rPr>
            </w:pPr>
            <w:r>
              <w:rPr>
                <w:rFonts w:ascii="Arial" w:cs="Arial" w:eastAsia="Arial" w:hAnsi="Arial"/>
                <w:sz w:val="17"/>
                <w:szCs w:val="17"/>
                <w:b w:val="1"/>
                <w:bCs w:val="1"/>
                <w:color w:val="012E6C"/>
              </w:rPr>
              <w:t>48</w:t>
            </w:r>
          </w:p>
        </w:tc>
        <w:tc>
          <w:tcPr>
            <w:tcW w:w="6260" w:type="dxa"/>
            <w:vAlign w:val="bottom"/>
            <w:gridSpan w:val="2"/>
            <w:shd w:val="clear" w:color="auto" w:fill="E6E7EF"/>
          </w:tcPr>
          <w:p>
            <w:pPr>
              <w:ind w:left="20"/>
              <w:spacing w:after="0"/>
              <w:rPr>
                <w:sz w:val="20"/>
                <w:szCs w:val="20"/>
                <w:color w:val="auto"/>
              </w:rPr>
            </w:pPr>
            <w:r>
              <w:rPr>
                <w:rFonts w:ascii="Arial" w:cs="Arial" w:eastAsia="Arial" w:hAnsi="Arial"/>
                <w:sz w:val="17"/>
                <w:szCs w:val="17"/>
                <w:color w:val="auto"/>
              </w:rPr>
              <w:t>Other Compensation Matters</w:t>
            </w:r>
          </w:p>
        </w:tc>
        <w:tc>
          <w:tcPr>
            <w:tcW w:w="0" w:type="dxa"/>
            <w:vAlign w:val="bottom"/>
          </w:tcPr>
          <w:p>
            <w:pPr>
              <w:spacing w:after="0"/>
              <w:rPr>
                <w:sz w:val="1"/>
                <w:szCs w:val="1"/>
                <w:color w:val="auto"/>
              </w:rPr>
            </w:pPr>
          </w:p>
        </w:tc>
      </w:tr>
      <w:tr>
        <w:trPr>
          <w:trHeight w:val="125"/>
        </w:trPr>
        <w:tc>
          <w:tcPr>
            <w:tcW w:w="4360" w:type="dxa"/>
            <w:vAlign w:val="bottom"/>
            <w:shd w:val="clear" w:color="auto" w:fill="E6E7EF"/>
          </w:tcPr>
          <w:p>
            <w:pPr>
              <w:spacing w:after="0"/>
              <w:rPr>
                <w:sz w:val="10"/>
                <w:szCs w:val="10"/>
                <w:color w:val="auto"/>
              </w:rPr>
            </w:pPr>
          </w:p>
        </w:tc>
        <w:tc>
          <w:tcPr>
            <w:tcW w:w="800" w:type="dxa"/>
            <w:vAlign w:val="bottom"/>
            <w:shd w:val="clear" w:color="auto" w:fill="E6E7EF"/>
          </w:tcPr>
          <w:p>
            <w:pPr>
              <w:spacing w:after="0"/>
              <w:rPr>
                <w:sz w:val="10"/>
                <w:szCs w:val="10"/>
                <w:color w:val="auto"/>
              </w:rPr>
            </w:pPr>
          </w:p>
        </w:tc>
        <w:tc>
          <w:tcPr>
            <w:tcW w:w="420" w:type="dxa"/>
            <w:vAlign w:val="bottom"/>
            <w:shd w:val="clear" w:color="auto" w:fill="E6E7EF"/>
          </w:tcPr>
          <w:p>
            <w:pPr>
              <w:spacing w:after="0"/>
              <w:rPr>
                <w:sz w:val="10"/>
                <w:szCs w:val="10"/>
                <w:color w:val="auto"/>
              </w:rPr>
            </w:pPr>
          </w:p>
        </w:tc>
        <w:tc>
          <w:tcPr>
            <w:tcW w:w="5840" w:type="dxa"/>
            <w:vAlign w:val="bottom"/>
            <w:shd w:val="clear" w:color="auto" w:fill="E6E7EF"/>
          </w:tcPr>
          <w:p>
            <w:pPr>
              <w:spacing w:after="0"/>
              <w:rPr>
                <w:sz w:val="10"/>
                <w:szCs w:val="10"/>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25"/>
          <w:szCs w:val="25"/>
          <w:color w:val="475C90"/>
        </w:rPr>
        <w:t>2018 Say-on-Pay Votes</w:t>
      </w:r>
    </w:p>
    <w:p>
      <w:pPr>
        <w:spacing w:after="0" w:line="24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At our 2018 annual meeting, more than 93% of the votes cast by our stockholders approved our Say-on-Pay proposal. We meet with our key investors throughout the year to understand the topics that matter most to them as they relate to executive compensation. We consider the input of our stockholders, along with emerging best practices, to ensure alignment with our executive pay programs. Most investors with whom we engaged in 2018 reacted positively to our pay governance and executive compensation programs.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We welcome feedback regarding our executive compensation programs and will continue to engage with our stockholders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417195</wp:posOffset>
            </wp:positionV>
            <wp:extent cx="1440815" cy="3257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44081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808080"/>
        </w:rPr>
        <w:t>34</w:t>
      </w:r>
    </w:p>
    <w:p>
      <w:pPr>
        <w:sectPr>
          <w:pgSz w:w="11900" w:h="16838" w:orient="portrait"/>
          <w:cols w:equalWidth="0" w:num="1">
            <w:col w:w="11420"/>
          </w:cols>
          <w:pgMar w:left="240" w:top="292" w:right="239" w:bottom="1440" w:gutter="0" w:footer="0" w:header="0"/>
        </w:sectPr>
      </w:pPr>
    </w:p>
    <w:bookmarkStart w:id="37" w:name="page38"/>
    <w:bookmarkEnd w:id="37"/>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5"/>
          <w:szCs w:val="25"/>
          <w:color w:val="475C90"/>
        </w:rPr>
        <w:t>Executive Summary</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848EB4"/>
        </w:rPr>
        <w:t>Our 2018 Performance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40" w:type="dxa"/>
            <w:vAlign w:val="bottom"/>
            <w:shd w:val="clear" w:color="auto" w:fill="475C90"/>
          </w:tcPr>
          <w:p>
            <w:pPr>
              <w:spacing w:after="0"/>
              <w:rPr>
                <w:sz w:val="14"/>
                <w:szCs w:val="14"/>
                <w:color w:val="auto"/>
              </w:rPr>
            </w:pPr>
          </w:p>
        </w:tc>
        <w:tc>
          <w:tcPr>
            <w:tcW w:w="140" w:type="dxa"/>
            <w:vAlign w:val="bottom"/>
          </w:tcPr>
          <w:p>
            <w:pPr>
              <w:spacing w:after="0"/>
              <w:rPr>
                <w:sz w:val="14"/>
                <w:szCs w:val="14"/>
                <w:color w:val="auto"/>
              </w:rPr>
            </w:pPr>
          </w:p>
        </w:tc>
        <w:tc>
          <w:tcPr>
            <w:tcW w:w="2860" w:type="dxa"/>
            <w:vAlign w:val="bottom"/>
            <w:shd w:val="clear" w:color="auto" w:fill="475C90"/>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shd w:val="clear" w:color="auto" w:fill="475C90"/>
          </w:tcPr>
          <w:p>
            <w:pPr>
              <w:spacing w:after="0"/>
              <w:rPr>
                <w:sz w:val="14"/>
                <w:szCs w:val="14"/>
                <w:color w:val="auto"/>
              </w:rPr>
            </w:pPr>
          </w:p>
        </w:tc>
      </w:tr>
      <w:tr>
        <w:trPr>
          <w:trHeight w:val="188"/>
        </w:trPr>
        <w:tc>
          <w:tcPr>
            <w:tcW w:w="2740" w:type="dxa"/>
            <w:vAlign w:val="bottom"/>
            <w:shd w:val="clear" w:color="auto" w:fill="E6E7EF"/>
          </w:tcPr>
          <w:p>
            <w:pPr>
              <w:ind w:left="40"/>
              <w:spacing w:after="0" w:line="188" w:lineRule="exact"/>
              <w:rPr>
                <w:sz w:val="20"/>
                <w:szCs w:val="20"/>
                <w:color w:val="auto"/>
              </w:rPr>
            </w:pPr>
            <w:r>
              <w:rPr>
                <w:rFonts w:ascii="Arial" w:cs="Arial" w:eastAsia="Arial" w:hAnsi="Arial"/>
                <w:sz w:val="17"/>
                <w:szCs w:val="17"/>
                <w:color w:val="012E6C"/>
              </w:rPr>
              <w:t>Record</w:t>
            </w:r>
          </w:p>
        </w:tc>
        <w:tc>
          <w:tcPr>
            <w:tcW w:w="140" w:type="dxa"/>
            <w:vAlign w:val="bottom"/>
          </w:tcPr>
          <w:p>
            <w:pPr>
              <w:spacing w:after="0"/>
              <w:rPr>
                <w:sz w:val="16"/>
                <w:szCs w:val="16"/>
                <w:color w:val="auto"/>
              </w:rPr>
            </w:pPr>
          </w:p>
        </w:tc>
        <w:tc>
          <w:tcPr>
            <w:tcW w:w="2860" w:type="dxa"/>
            <w:vAlign w:val="bottom"/>
            <w:shd w:val="clear" w:color="auto" w:fill="E6E7EF"/>
          </w:tcPr>
          <w:p>
            <w:pPr>
              <w:ind w:left="20"/>
              <w:spacing w:after="0" w:line="188" w:lineRule="exact"/>
              <w:rPr>
                <w:sz w:val="20"/>
                <w:szCs w:val="20"/>
                <w:color w:val="auto"/>
              </w:rPr>
            </w:pPr>
            <w:r>
              <w:rPr>
                <w:rFonts w:ascii="Arial" w:cs="Arial" w:eastAsia="Arial" w:hAnsi="Arial"/>
                <w:sz w:val="17"/>
                <w:szCs w:val="17"/>
                <w:color w:val="012E6C"/>
              </w:rPr>
              <w:t>Record Segment</w:t>
            </w:r>
          </w:p>
        </w:tc>
        <w:tc>
          <w:tcPr>
            <w:tcW w:w="120" w:type="dxa"/>
            <w:vAlign w:val="bottom"/>
          </w:tcPr>
          <w:p>
            <w:pPr>
              <w:spacing w:after="0"/>
              <w:rPr>
                <w:sz w:val="16"/>
                <w:szCs w:val="16"/>
                <w:color w:val="auto"/>
              </w:rPr>
            </w:pPr>
          </w:p>
        </w:tc>
        <w:tc>
          <w:tcPr>
            <w:tcW w:w="2600" w:type="dxa"/>
            <w:vAlign w:val="bottom"/>
            <w:shd w:val="clear" w:color="auto" w:fill="E6E7EF"/>
          </w:tcPr>
          <w:p>
            <w:pPr>
              <w:ind w:left="20"/>
              <w:spacing w:after="0" w:line="188" w:lineRule="exact"/>
              <w:rPr>
                <w:sz w:val="20"/>
                <w:szCs w:val="20"/>
                <w:color w:val="auto"/>
              </w:rPr>
            </w:pPr>
            <w:r>
              <w:rPr>
                <w:rFonts w:ascii="Arial" w:cs="Arial" w:eastAsia="Arial" w:hAnsi="Arial"/>
                <w:sz w:val="17"/>
                <w:szCs w:val="17"/>
                <w:color w:val="012E6C"/>
              </w:rPr>
              <w:t>Record</w:t>
            </w:r>
          </w:p>
        </w:tc>
      </w:tr>
      <w:tr>
        <w:trPr>
          <w:trHeight w:val="227"/>
        </w:trPr>
        <w:tc>
          <w:tcPr>
            <w:tcW w:w="2740" w:type="dxa"/>
            <w:vAlign w:val="bottom"/>
            <w:shd w:val="clear" w:color="auto" w:fill="E6E7EF"/>
          </w:tcPr>
          <w:p>
            <w:pPr>
              <w:ind w:left="40"/>
              <w:spacing w:after="0"/>
              <w:rPr>
                <w:sz w:val="20"/>
                <w:szCs w:val="20"/>
                <w:color w:val="auto"/>
              </w:rPr>
            </w:pPr>
            <w:r>
              <w:rPr>
                <w:rFonts w:ascii="Arial" w:cs="Arial" w:eastAsia="Arial" w:hAnsi="Arial"/>
                <w:sz w:val="17"/>
                <w:szCs w:val="17"/>
                <w:color w:val="012E6C"/>
              </w:rPr>
              <w:t>Sales of</w:t>
            </w:r>
          </w:p>
        </w:tc>
        <w:tc>
          <w:tcPr>
            <w:tcW w:w="140" w:type="dxa"/>
            <w:vAlign w:val="bottom"/>
          </w:tcPr>
          <w:p>
            <w:pPr>
              <w:spacing w:after="0"/>
              <w:rPr>
                <w:sz w:val="19"/>
                <w:szCs w:val="19"/>
                <w:color w:val="auto"/>
              </w:rPr>
            </w:pPr>
          </w:p>
        </w:tc>
        <w:tc>
          <w:tcPr>
            <w:tcW w:w="2860" w:type="dxa"/>
            <w:vAlign w:val="bottom"/>
            <w:shd w:val="clear" w:color="auto" w:fill="E6E7EF"/>
          </w:tcPr>
          <w:p>
            <w:pPr>
              <w:ind w:left="20"/>
              <w:spacing w:after="0"/>
              <w:rPr>
                <w:sz w:val="20"/>
                <w:szCs w:val="20"/>
                <w:color w:val="auto"/>
              </w:rPr>
            </w:pPr>
            <w:r>
              <w:rPr>
                <w:rFonts w:ascii="Arial" w:cs="Arial" w:eastAsia="Arial" w:hAnsi="Arial"/>
                <w:sz w:val="17"/>
                <w:szCs w:val="17"/>
                <w:color w:val="012E6C"/>
              </w:rPr>
              <w:t>Operating Profit of</w:t>
            </w:r>
          </w:p>
        </w:tc>
        <w:tc>
          <w:tcPr>
            <w:tcW w:w="120" w:type="dxa"/>
            <w:vAlign w:val="bottom"/>
          </w:tcPr>
          <w:p>
            <w:pPr>
              <w:spacing w:after="0"/>
              <w:rPr>
                <w:sz w:val="19"/>
                <w:szCs w:val="19"/>
                <w:color w:val="auto"/>
              </w:rPr>
            </w:pPr>
          </w:p>
        </w:tc>
        <w:tc>
          <w:tcPr>
            <w:tcW w:w="2600" w:type="dxa"/>
            <w:vAlign w:val="bottom"/>
            <w:shd w:val="clear" w:color="auto" w:fill="E6E7EF"/>
          </w:tcPr>
          <w:p>
            <w:pPr>
              <w:ind w:left="20"/>
              <w:spacing w:after="0"/>
              <w:rPr>
                <w:sz w:val="20"/>
                <w:szCs w:val="20"/>
                <w:color w:val="auto"/>
              </w:rPr>
            </w:pPr>
            <w:r>
              <w:rPr>
                <w:rFonts w:ascii="Arial" w:cs="Arial" w:eastAsia="Arial" w:hAnsi="Arial"/>
                <w:sz w:val="17"/>
                <w:szCs w:val="17"/>
                <w:color w:val="012E6C"/>
              </w:rPr>
              <w:t>Backlog level of</w:t>
            </w:r>
          </w:p>
        </w:tc>
      </w:tr>
      <w:tr>
        <w:trPr>
          <w:trHeight w:val="409"/>
        </w:trPr>
        <w:tc>
          <w:tcPr>
            <w:tcW w:w="2740" w:type="dxa"/>
            <w:vAlign w:val="bottom"/>
            <w:shd w:val="clear" w:color="auto" w:fill="E6E7EF"/>
          </w:tcPr>
          <w:p>
            <w:pPr>
              <w:ind w:left="40"/>
              <w:spacing w:after="0"/>
              <w:rPr>
                <w:sz w:val="20"/>
                <w:szCs w:val="20"/>
                <w:color w:val="auto"/>
              </w:rPr>
            </w:pPr>
            <w:r>
              <w:rPr>
                <w:rFonts w:ascii="Arial" w:cs="Arial" w:eastAsia="Arial" w:hAnsi="Arial"/>
                <w:sz w:val="29"/>
                <w:szCs w:val="29"/>
                <w:b w:val="1"/>
                <w:bCs w:val="1"/>
                <w:color w:val="012E6C"/>
              </w:rPr>
              <w:t>$53.8B</w:t>
            </w:r>
          </w:p>
        </w:tc>
        <w:tc>
          <w:tcPr>
            <w:tcW w:w="140" w:type="dxa"/>
            <w:vAlign w:val="bottom"/>
          </w:tcPr>
          <w:p>
            <w:pPr>
              <w:spacing w:after="0"/>
              <w:rPr>
                <w:sz w:val="24"/>
                <w:szCs w:val="24"/>
                <w:color w:val="auto"/>
              </w:rPr>
            </w:pPr>
          </w:p>
        </w:tc>
        <w:tc>
          <w:tcPr>
            <w:tcW w:w="2860" w:type="dxa"/>
            <w:vAlign w:val="bottom"/>
            <w:shd w:val="clear" w:color="auto" w:fill="E6E7EF"/>
          </w:tcPr>
          <w:p>
            <w:pPr>
              <w:ind w:left="20"/>
              <w:spacing w:after="0"/>
              <w:rPr>
                <w:sz w:val="20"/>
                <w:szCs w:val="20"/>
                <w:color w:val="auto"/>
              </w:rPr>
            </w:pPr>
            <w:r>
              <w:rPr>
                <w:rFonts w:ascii="Arial" w:cs="Arial" w:eastAsia="Arial" w:hAnsi="Arial"/>
                <w:sz w:val="29"/>
                <w:szCs w:val="29"/>
                <w:b w:val="1"/>
                <w:bCs w:val="1"/>
                <w:color w:val="012E6C"/>
              </w:rPr>
              <w:t>$5,877M</w:t>
            </w:r>
          </w:p>
        </w:tc>
        <w:tc>
          <w:tcPr>
            <w:tcW w:w="120" w:type="dxa"/>
            <w:vAlign w:val="bottom"/>
          </w:tcPr>
          <w:p>
            <w:pPr>
              <w:spacing w:after="0"/>
              <w:rPr>
                <w:sz w:val="24"/>
                <w:szCs w:val="24"/>
                <w:color w:val="auto"/>
              </w:rPr>
            </w:pPr>
          </w:p>
        </w:tc>
        <w:tc>
          <w:tcPr>
            <w:tcW w:w="2600" w:type="dxa"/>
            <w:vAlign w:val="bottom"/>
            <w:shd w:val="clear" w:color="auto" w:fill="E6E7EF"/>
          </w:tcPr>
          <w:p>
            <w:pPr>
              <w:ind w:left="20"/>
              <w:spacing w:after="0"/>
              <w:rPr>
                <w:sz w:val="20"/>
                <w:szCs w:val="20"/>
                <w:color w:val="auto"/>
              </w:rPr>
            </w:pPr>
            <w:r>
              <w:rPr>
                <w:rFonts w:ascii="Arial" w:cs="Arial" w:eastAsia="Arial" w:hAnsi="Arial"/>
                <w:sz w:val="29"/>
                <w:szCs w:val="29"/>
                <w:b w:val="1"/>
                <w:bCs w:val="1"/>
                <w:color w:val="012E6C"/>
              </w:rPr>
              <w:t>$130.5B</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-505460</wp:posOffset>
            </wp:positionV>
            <wp:extent cx="428625" cy="4286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28625" cy="428625"/>
                    </a:xfrm>
                    <a:prstGeom prst="rect">
                      <a:avLst/>
                    </a:prstGeom>
                    <a:noFill/>
                  </pic:spPr>
                </pic:pic>
              </a:graphicData>
            </a:graphic>
          </wp:anchor>
        </w:drawing>
        <w:drawing>
          <wp:anchor simplePos="0" relativeHeight="251657728" behindDoc="1" locked="0" layoutInCell="0" allowOverlap="1">
            <wp:simplePos x="0" y="0"/>
            <wp:positionH relativeFrom="column">
              <wp:posOffset>3134995</wp:posOffset>
            </wp:positionH>
            <wp:positionV relativeFrom="paragraph">
              <wp:posOffset>-505460</wp:posOffset>
            </wp:positionV>
            <wp:extent cx="3490595" cy="206692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90595" cy="2066925"/>
                    </a:xfrm>
                    <a:prstGeom prst="rect">
                      <a:avLst/>
                    </a:prstGeom>
                    <a:noFill/>
                  </pic:spPr>
                </pic:pic>
              </a:graphicData>
            </a:graphic>
          </wp:anchor>
        </w:drawing>
      </w:r>
    </w:p>
    <w:p>
      <w:pPr>
        <w:spacing w:after="0" w:line="181" w:lineRule="exact"/>
        <w:rPr>
          <w:sz w:val="20"/>
          <w:szCs w:val="20"/>
          <w:color w:val="auto"/>
        </w:rPr>
      </w:pPr>
    </w:p>
    <w:p>
      <w:pPr>
        <w:ind w:left="40" w:right="2560"/>
        <w:spacing w:after="0"/>
        <w:rPr>
          <w:sz w:val="20"/>
          <w:szCs w:val="20"/>
          <w:color w:val="auto"/>
        </w:rPr>
      </w:pPr>
      <w:r>
        <w:rPr>
          <w:rFonts w:ascii="Arial" w:cs="Arial" w:eastAsia="Arial" w:hAnsi="Arial"/>
          <w:sz w:val="17"/>
          <w:szCs w:val="17"/>
          <w:color w:val="auto"/>
        </w:rPr>
        <w:t>In 2018, the Corporation achieved records for sales, segment operating profit, orders, and backlog. Lockheed Martin’s net sales in 2018 were $53.8 billion versus $50.0 billion in 2017, an increase of eight percent and a record-setting amount for the Corporation. We also continued the expansion of our international business during 2018, which represented 28% of our sales for the year.</w:t>
      </w:r>
    </w:p>
    <w:p>
      <w:pPr>
        <w:spacing w:after="0" w:line="97" w:lineRule="exact"/>
        <w:rPr>
          <w:sz w:val="20"/>
          <w:szCs w:val="20"/>
          <w:color w:val="auto"/>
        </w:rPr>
      </w:pPr>
    </w:p>
    <w:p>
      <w:pPr>
        <w:ind w:left="40" w:right="2600"/>
        <w:spacing w:after="0"/>
        <w:rPr>
          <w:sz w:val="20"/>
          <w:szCs w:val="20"/>
          <w:color w:val="auto"/>
        </w:rPr>
      </w:pPr>
      <w:r>
        <w:rPr>
          <w:rFonts w:ascii="Arial" w:cs="Arial" w:eastAsia="Arial" w:hAnsi="Arial"/>
          <w:sz w:val="17"/>
          <w:szCs w:val="17"/>
          <w:color w:val="auto"/>
        </w:rPr>
        <w:t>We generated cash from operations of $3.1 billion in 2018 after $5.0 billion of pension contributions. In addition, we ended 2018 with record orders of $79 billion, driving a record backlog of approximately $130.5 billion. Our net earnings in 2018 were approximately $5.0 billion, or $17.59 per share, which was also a record. Our business segment operating profit* for 2018 was $5.9 billion, up 15 percent versus 2017.</w:t>
      </w:r>
    </w:p>
    <w:p>
      <w:pPr>
        <w:spacing w:after="0" w:line="97" w:lineRule="exact"/>
        <w:rPr>
          <w:sz w:val="20"/>
          <w:szCs w:val="20"/>
          <w:color w:val="auto"/>
        </w:rPr>
      </w:pPr>
    </w:p>
    <w:p>
      <w:pPr>
        <w:ind w:left="40" w:right="2740"/>
        <w:spacing w:after="0" w:line="237" w:lineRule="auto"/>
        <w:rPr>
          <w:sz w:val="20"/>
          <w:szCs w:val="20"/>
          <w:color w:val="auto"/>
        </w:rPr>
      </w:pPr>
      <w:r>
        <w:rPr>
          <w:rFonts w:ascii="Arial" w:cs="Arial" w:eastAsia="Arial" w:hAnsi="Arial"/>
          <w:sz w:val="17"/>
          <w:szCs w:val="17"/>
          <w:color w:val="auto"/>
        </w:rPr>
        <w:t>During 2018, we delivered 91 F-35s, meeting our target for the year, which was nearly a 40 percent increase over 2017. The F-35 program also celebrated several international milestones, as Australia, Japan, and the United Kingdom each marked the home basing of their first F-35s. In November, the U.S. Government awarded an aggregate $22.7 billion Undefinitized Contract Action Block Buy for the production of over 250 F-35 aircraft in order to provide greater production efficiency, stability and cost savings. Our F-35 aircraft backlog has grown to nearly 400 production aircraft, including orders from our international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-1007745</wp:posOffset>
            </wp:positionV>
            <wp:extent cx="2684145" cy="14751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684145" cy="1475105"/>
                    </a:xfrm>
                    <a:prstGeom prst="rect">
                      <a:avLst/>
                    </a:prstGeom>
                    <a:noFill/>
                  </pic:spPr>
                </pic:pic>
              </a:graphicData>
            </a:graphic>
          </wp:anchor>
        </w:drawing>
      </w:r>
    </w:p>
    <w:p>
      <w:pPr>
        <w:spacing w:after="0" w:line="79" w:lineRule="exact"/>
        <w:rPr>
          <w:sz w:val="20"/>
          <w:szCs w:val="20"/>
          <w:color w:val="auto"/>
        </w:rPr>
      </w:pPr>
    </w:p>
    <w:p>
      <w:pPr>
        <w:ind w:left="40" w:right="2580"/>
        <w:spacing w:after="0" w:line="237" w:lineRule="auto"/>
        <w:rPr>
          <w:sz w:val="20"/>
          <w:szCs w:val="20"/>
          <w:color w:val="auto"/>
        </w:rPr>
      </w:pPr>
      <w:r>
        <w:rPr>
          <w:rFonts w:ascii="Arial" w:cs="Arial" w:eastAsia="Arial" w:hAnsi="Arial"/>
          <w:sz w:val="17"/>
          <w:szCs w:val="17"/>
          <w:color w:val="auto"/>
        </w:rPr>
        <w:t>The Corporation also had strategic and operational accomplishments across our other business segments in 2018. The world watched with excitement as NASA’s InSight lander successfully touched down on the surface of Mars. We won a $1.8 billion contract to upgrade the missile-defense capabilities of U.S. and allied military forces. We also delivered the first 10 Long Range Anti-Ship Missiles to our U.S. Air Force customer, achieving Early Operational Capability status ahead of schedule. The U.S. Missile Defense Agency awarded us a contract to design, develop and deliver a new ballistic missile defense radar to be located in Hawaii.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-415925</wp:posOffset>
            </wp:positionV>
            <wp:extent cx="2684145" cy="14408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684145" cy="1440815"/>
                    </a:xfrm>
                    <a:prstGeom prst="rect">
                      <a:avLst/>
                    </a:prstGeom>
                    <a:noFill/>
                  </pic:spPr>
                </pic:pic>
              </a:graphicData>
            </a:graphic>
          </wp:anchor>
        </w:drawing>
      </w:r>
    </w:p>
    <w:p>
      <w:pPr>
        <w:spacing w:after="0" w:line="79" w:lineRule="exact"/>
        <w:rPr>
          <w:sz w:val="20"/>
          <w:szCs w:val="20"/>
          <w:color w:val="auto"/>
        </w:rPr>
      </w:pPr>
    </w:p>
    <w:p>
      <w:pPr>
        <w:ind w:left="40"/>
        <w:spacing w:after="0"/>
        <w:rPr>
          <w:sz w:val="20"/>
          <w:szCs w:val="20"/>
          <w:color w:val="auto"/>
        </w:rPr>
      </w:pPr>
      <w:r>
        <w:rPr>
          <w:rFonts w:ascii="Arial" w:cs="Arial" w:eastAsia="Arial" w:hAnsi="Arial"/>
          <w:sz w:val="17"/>
          <w:szCs w:val="17"/>
          <w:color w:val="auto"/>
        </w:rPr>
        <w:t>In addition to these financial, strategic, and operational accomplishments, we</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7"/>
          <w:szCs w:val="17"/>
          <w:color w:val="auto"/>
        </w:rPr>
        <w:t>continued our efforts to return cash to stockholders through dividends and</w:t>
      </w:r>
    </w:p>
    <w:p>
      <w:pPr>
        <w:ind w:left="40"/>
        <w:spacing w:after="0" w:line="232" w:lineRule="auto"/>
        <w:rPr>
          <w:sz w:val="20"/>
          <w:szCs w:val="20"/>
          <w:color w:val="auto"/>
        </w:rPr>
      </w:pPr>
      <w:r>
        <w:rPr>
          <w:rFonts w:ascii="Arial" w:cs="Arial" w:eastAsia="Arial" w:hAnsi="Arial"/>
          <w:sz w:val="17"/>
          <w:szCs w:val="17"/>
          <w:color w:val="auto"/>
        </w:rPr>
        <w:t>share repurchases. During 2018, we returned $3.8 billion of cash from</w:t>
      </w:r>
    </w:p>
    <w:p>
      <w:pPr>
        <w:ind w:left="40"/>
        <w:spacing w:after="0" w:line="232" w:lineRule="auto"/>
        <w:rPr>
          <w:sz w:val="20"/>
          <w:szCs w:val="20"/>
          <w:color w:val="auto"/>
        </w:rPr>
      </w:pPr>
      <w:r>
        <w:rPr>
          <w:rFonts w:ascii="Arial" w:cs="Arial" w:eastAsia="Arial" w:hAnsi="Arial"/>
          <w:sz w:val="17"/>
          <w:szCs w:val="17"/>
          <w:color w:val="auto"/>
        </w:rPr>
        <w:t>operations to our stockholders, with $1.5 billion in share repurchases and</w:t>
      </w:r>
    </w:p>
    <w:p>
      <w:pPr>
        <w:ind w:left="40"/>
        <w:spacing w:after="0" w:line="232" w:lineRule="auto"/>
        <w:rPr>
          <w:sz w:val="20"/>
          <w:szCs w:val="20"/>
          <w:color w:val="auto"/>
        </w:rPr>
      </w:pPr>
      <w:r>
        <w:rPr>
          <w:rFonts w:ascii="Arial" w:cs="Arial" w:eastAsia="Arial" w:hAnsi="Arial"/>
          <w:sz w:val="17"/>
          <w:szCs w:val="17"/>
          <w:color w:val="auto"/>
        </w:rPr>
        <w:t>$2.3 billion paid in cash dividends. Despite macro-economic and geo-political</w:t>
      </w:r>
    </w:p>
    <w:p>
      <w:pPr>
        <w:ind w:left="40"/>
        <w:spacing w:after="0" w:line="232" w:lineRule="auto"/>
        <w:rPr>
          <w:sz w:val="20"/>
          <w:szCs w:val="20"/>
          <w:color w:val="auto"/>
        </w:rPr>
      </w:pPr>
      <w:r>
        <w:rPr>
          <w:rFonts w:ascii="Arial" w:cs="Arial" w:eastAsia="Arial" w:hAnsi="Arial"/>
          <w:sz w:val="17"/>
          <w:szCs w:val="17"/>
          <w:color w:val="auto"/>
        </w:rPr>
        <w:t>events of late 2018 adversely impacting our stock price for the fiscal year</w:t>
      </w:r>
    </w:p>
    <w:p>
      <w:pPr>
        <w:ind w:left="40"/>
        <w:spacing w:after="0" w:line="232" w:lineRule="auto"/>
        <w:rPr>
          <w:sz w:val="20"/>
          <w:szCs w:val="20"/>
          <w:color w:val="auto"/>
        </w:rPr>
      </w:pPr>
      <w:r>
        <w:rPr>
          <w:rFonts w:ascii="Arial" w:cs="Arial" w:eastAsia="Arial" w:hAnsi="Arial"/>
          <w:sz w:val="17"/>
          <w:szCs w:val="17"/>
          <w:color w:val="auto"/>
        </w:rPr>
        <w:t>under review, the Corporation achieved another record-setting year as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color w:val="auto"/>
        </w:rPr>
        <w:t>manifested in its financial and operational accomplishments.</w:t>
      </w:r>
    </w:p>
    <w:p>
      <w:pPr>
        <w:spacing w:after="0" w:line="122" w:lineRule="exact"/>
        <w:rPr>
          <w:sz w:val="20"/>
          <w:szCs w:val="20"/>
          <w:color w:val="auto"/>
        </w:rPr>
      </w:pPr>
    </w:p>
    <w:p>
      <w:pPr>
        <w:ind w:left="260" w:hanging="225"/>
        <w:spacing w:after="0"/>
        <w:tabs>
          <w:tab w:leader="none" w:pos="260" w:val="left"/>
        </w:tabs>
        <w:numPr>
          <w:ilvl w:val="0"/>
          <w:numId w:val="67"/>
        </w:numPr>
        <w:rPr>
          <w:rFonts w:ascii="Arial" w:cs="Arial" w:eastAsia="Arial" w:hAnsi="Arial"/>
          <w:sz w:val="14"/>
          <w:szCs w:val="14"/>
          <w:color w:val="auto"/>
        </w:rPr>
      </w:pPr>
      <w:r>
        <w:rPr>
          <w:rFonts w:ascii="Arial" w:cs="Arial" w:eastAsia="Arial" w:hAnsi="Arial"/>
          <w:sz w:val="14"/>
          <w:szCs w:val="14"/>
          <w:color w:val="auto"/>
        </w:rPr>
        <w:t>See Appendix A for an explanation of Non-GAAP terms.</w:t>
      </w:r>
    </w:p>
    <w:p>
      <w:pPr>
        <w:spacing w:after="0" w:line="200" w:lineRule="exact"/>
        <w:rPr>
          <w:sz w:val="20"/>
          <w:szCs w:val="20"/>
          <w:color w:val="auto"/>
        </w:rPr>
      </w:pPr>
    </w:p>
    <w:p>
      <w:pPr>
        <w:spacing w:after="0" w:line="291" w:lineRule="exact"/>
        <w:rPr>
          <w:sz w:val="20"/>
          <w:szCs w:val="20"/>
          <w:color w:val="auto"/>
        </w:rPr>
      </w:pPr>
    </w:p>
    <w:p>
      <w:pPr>
        <w:ind w:left="40"/>
        <w:spacing w:after="0"/>
        <w:rPr>
          <w:sz w:val="20"/>
          <w:szCs w:val="20"/>
          <w:color w:val="auto"/>
        </w:rPr>
      </w:pPr>
      <w:r>
        <w:rPr>
          <w:rFonts w:ascii="Arial" w:cs="Arial" w:eastAsia="Arial" w:hAnsi="Arial"/>
          <w:sz w:val="15"/>
          <w:szCs w:val="15"/>
          <w:color w:val="003478"/>
        </w:rPr>
        <w:t>www.lockheedmartin.com</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5"/>
          <w:szCs w:val="15"/>
          <w:color w:val="003478"/>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779780</wp:posOffset>
            </wp:positionV>
            <wp:extent cx="1792605" cy="1028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79260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540"/>
        <w:spacing w:after="0" w:line="257" w:lineRule="auto"/>
        <w:rPr>
          <w:sz w:val="20"/>
          <w:szCs w:val="20"/>
          <w:color w:val="auto"/>
        </w:rPr>
      </w:pPr>
      <w:r>
        <w:rPr>
          <w:rFonts w:ascii="Arial" w:cs="Arial" w:eastAsia="Arial" w:hAnsi="Arial"/>
          <w:sz w:val="17"/>
          <w:szCs w:val="17"/>
          <w:color w:val="012E6C"/>
        </w:rPr>
        <w:t>Record Earnings per Share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-264160</wp:posOffset>
            </wp:positionV>
            <wp:extent cx="1792605" cy="5232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792605" cy="52324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-264160</wp:posOffset>
            </wp:positionV>
            <wp:extent cx="1792605" cy="5232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792605" cy="523240"/>
                    </a:xfrm>
                    <a:prstGeom prst="rect">
                      <a:avLst/>
                    </a:prstGeom>
                    <a:noFill/>
                  </pic:spPr>
                </pic:pic>
              </a:graphicData>
            </a:graphic>
          </wp:anchor>
        </w:drawing>
      </w:r>
    </w:p>
    <w:p>
      <w:pPr>
        <w:spacing w:after="0"/>
        <w:rPr>
          <w:sz w:val="20"/>
          <w:szCs w:val="20"/>
          <w:color w:val="auto"/>
        </w:rPr>
      </w:pPr>
      <w:r>
        <w:rPr>
          <w:rFonts w:ascii="Arial" w:cs="Arial" w:eastAsia="Arial" w:hAnsi="Arial"/>
          <w:sz w:val="29"/>
          <w:szCs w:val="29"/>
          <w:b w:val="1"/>
          <w:bCs w:val="1"/>
          <w:color w:val="012E6C"/>
        </w:rPr>
        <w:t>$17.59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840" w:type="dxa"/>
        <w:tblCellMar>
          <w:top w:w="0" w:type="dxa"/>
          <w:left w:w="0" w:type="dxa"/>
          <w:bottom w:w="0" w:type="dxa"/>
          <w:right w:w="0" w:type="dxa"/>
        </w:tblCellMar>
      </w:tblPr>
      <w:tr>
        <w:trPr>
          <w:trHeight w:val="210"/>
        </w:trPr>
        <w:tc>
          <w:tcPr>
            <w:tcW w:w="1660" w:type="dxa"/>
            <w:vAlign w:val="bottom"/>
          </w:tcPr>
          <w:p>
            <w:pPr>
              <w:spacing w:after="0"/>
              <w:rPr>
                <w:sz w:val="20"/>
                <w:szCs w:val="20"/>
                <w:color w:val="auto"/>
              </w:rPr>
            </w:pPr>
            <w:r>
              <w:rPr>
                <w:rFonts w:ascii="Arial" w:cs="Arial" w:eastAsia="Arial" w:hAnsi="Arial"/>
                <w:sz w:val="15"/>
                <w:szCs w:val="15"/>
                <w:color w:val="003478"/>
              </w:rPr>
              <w:t>2019 Proxy Statement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808080"/>
              </w:rPr>
              <w:t>35</w:t>
            </w:r>
          </w:p>
        </w:tc>
      </w:tr>
    </w:tbl>
    <w:p>
      <w:pPr>
        <w:sectPr>
          <w:pgSz w:w="11900" w:h="16838" w:orient="portrait"/>
          <w:cols w:equalWidth="0" w:num="2">
            <w:col w:w="8460" w:space="140"/>
            <w:col w:w="2820"/>
          </w:cols>
          <w:pgMar w:left="240" w:top="292" w:right="239" w:bottom="1440" w:gutter="0" w:footer="0" w:header="0"/>
        </w:sectPr>
      </w:pPr>
    </w:p>
    <w:bookmarkStart w:id="38" w:name="page39"/>
    <w:bookmarkEnd w:id="38"/>
    <w:p>
      <w:pPr>
        <w:spacing w:after="0"/>
        <w:rPr>
          <w:sz w:val="20"/>
          <w:szCs w:val="20"/>
          <w:color w:val="auto"/>
        </w:rPr>
      </w:pPr>
      <w:r>
        <w:rPr>
          <w:rFonts w:ascii="Arial" w:cs="Arial" w:eastAsia="Arial" w:hAnsi="Arial"/>
          <w:sz w:val="15"/>
          <w:szCs w:val="15"/>
          <w:color w:val="003478"/>
        </w:rPr>
        <w:t>Executive Compensation</w:t>
      </w:r>
    </w:p>
    <w:p>
      <w:pPr>
        <w:spacing w:after="0" w:line="357" w:lineRule="exact"/>
        <w:rPr>
          <w:sz w:val="20"/>
          <w:szCs w:val="20"/>
          <w:color w:val="auto"/>
        </w:rPr>
      </w:pPr>
    </w:p>
    <w:p>
      <w:pPr>
        <w:spacing w:after="0"/>
        <w:rPr>
          <w:sz w:val="20"/>
          <w:szCs w:val="20"/>
          <w:color w:val="auto"/>
        </w:rPr>
      </w:pPr>
      <w:r>
        <w:rPr>
          <w:rFonts w:ascii="Arial" w:cs="Arial" w:eastAsia="Arial" w:hAnsi="Arial"/>
          <w:sz w:val="22"/>
          <w:szCs w:val="22"/>
          <w:color w:val="848EB4"/>
        </w:rPr>
        <w:t>Compensation Overview</w:t>
      </w:r>
    </w:p>
    <w:p>
      <w:pPr>
        <w:spacing w:after="0" w:line="226"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Our executive compensation programs covering our NEOs are designed to attract and retain critical executive talent, to motivate behaviors that align with stockholders’ interests and to pay for performance. The majority of our NEOs’ pay is variable and contingent on performance with approximately two-thirds, on average, in the form of long-term incentives (LTI). To ensure pay is competitive with market practices, we conduct a benchmarking analysis each year when establishing base salary, annual incentive target opportunities and LTI target opportunities. Each element of compensation is evaluated against the 50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percentile, which we refer to as “market rate,” of our comparator group of companies, as shown on page 39. Although target incentive opportunities are set by reference to the market rate, incentive plan terms provide for actual payouts to be based upon actual performance that can result in payouts above or below targeted levels. Based on actual results relative to our pre-established goals under our incentive programs, the 2018 annual incentive program paid out at 184% of target and the 2016-2018 LTIP paid out at 136.1% of target for all NEOs.</w:t>
      </w:r>
    </w:p>
    <w:p>
      <w:pPr>
        <w:sectPr>
          <w:pgSz w:w="11900" w:h="16838" w:orient="portrait"/>
          <w:cols w:equalWidth="0" w:num="1">
            <w:col w:w="11380"/>
          </w:cols>
          <w:pgMar w:left="240" w:top="292" w:right="279" w:bottom="1440" w:gutter="0" w:footer="0" w:header="0"/>
        </w:sect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848EB4"/>
        </w:rPr>
        <w:t>2018 CEO Compensation</w:t>
      </w:r>
    </w:p>
    <w:p>
      <w:pPr>
        <w:spacing w:after="0" w:line="319" w:lineRule="exact"/>
        <w:rPr>
          <w:sz w:val="20"/>
          <w:szCs w:val="20"/>
          <w:color w:val="auto"/>
        </w:rPr>
      </w:pPr>
    </w:p>
    <w:p>
      <w:pPr>
        <w:ind w:left="40" w:right="20"/>
        <w:spacing w:after="0" w:line="238" w:lineRule="auto"/>
        <w:rPr>
          <w:sz w:val="20"/>
          <w:szCs w:val="20"/>
          <w:color w:val="auto"/>
        </w:rPr>
      </w:pPr>
      <w:r>
        <w:rPr>
          <w:rFonts w:ascii="Arial" w:cs="Arial" w:eastAsia="Arial" w:hAnsi="Arial"/>
          <w:sz w:val="17"/>
          <w:szCs w:val="17"/>
          <w:b w:val="1"/>
          <w:bCs w:val="1"/>
          <w:color w:val="012E6C"/>
        </w:rPr>
        <w:t xml:space="preserve">2018 CEO Target Pay Mix. </w:t>
      </w:r>
      <w:r>
        <w:rPr>
          <w:rFonts w:ascii="Arial" w:cs="Arial" w:eastAsia="Arial" w:hAnsi="Arial"/>
          <w:sz w:val="17"/>
          <w:szCs w:val="17"/>
          <w:color w:val="000000"/>
        </w:rPr>
        <w:t>We believe that, to the maximum extent</w:t>
      </w:r>
      <w:r>
        <w:rPr>
          <w:rFonts w:ascii="Arial" w:cs="Arial" w:eastAsia="Arial" w:hAnsi="Arial"/>
          <w:sz w:val="17"/>
          <w:szCs w:val="17"/>
          <w:b w:val="1"/>
          <w:bCs w:val="1"/>
          <w:color w:val="012E6C"/>
        </w:rPr>
        <w:t xml:space="preserve"> </w:t>
      </w:r>
      <w:r>
        <w:rPr>
          <w:rFonts w:ascii="Arial" w:cs="Arial" w:eastAsia="Arial" w:hAnsi="Arial"/>
          <w:sz w:val="17"/>
          <w:szCs w:val="17"/>
          <w:color w:val="000000"/>
        </w:rPr>
        <w:t>possible, the compensation opportunities of our CEO should be variable, and the variable elements of the compensation package should tie to the Corporation’s long-term success and the achievement of sustainable long-term total returns to our stockholders. As shown in the chart to the right, a significant portion of our CEO’s target compensation is variable and in the form of LTI with more than half of total target pay in the form of equity-based incentives.</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012E6C"/>
        </w:rPr>
        <w:t xml:space="preserve">Base Salary. </w:t>
      </w:r>
      <w:r>
        <w:rPr>
          <w:rFonts w:ascii="Arial" w:cs="Arial" w:eastAsia="Arial" w:hAnsi="Arial"/>
          <w:sz w:val="17"/>
          <w:szCs w:val="17"/>
          <w:color w:val="000000"/>
        </w:rPr>
        <w:t>In 2018, Ms. Hewson’s base salary was set at $1,745,000.</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012E6C"/>
        </w:rPr>
        <w:t xml:space="preserve">2018 Annual Incentive. </w:t>
      </w:r>
      <w:r>
        <w:rPr>
          <w:rFonts w:ascii="Arial" w:cs="Arial" w:eastAsia="Arial" w:hAnsi="Arial"/>
          <w:sz w:val="17"/>
          <w:szCs w:val="17"/>
          <w:color w:val="000000"/>
        </w:rPr>
        <w:t>Ms. Hewson’s target annual incentive amount for</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color w:val="auto"/>
        </w:rPr>
        <w:t>2018 was 175% of salary or $3,053,750.</w:t>
      </w:r>
    </w:p>
    <w:p>
      <w:pPr>
        <w:spacing w:after="0" w:line="186" w:lineRule="exact"/>
        <w:rPr>
          <w:sz w:val="20"/>
          <w:szCs w:val="20"/>
          <w:color w:val="auto"/>
        </w:rPr>
      </w:pPr>
    </w:p>
    <w:p>
      <w:pPr>
        <w:ind w:left="40"/>
        <w:spacing w:after="0" w:line="239" w:lineRule="auto"/>
        <w:rPr>
          <w:sz w:val="20"/>
          <w:szCs w:val="20"/>
          <w:color w:val="auto"/>
        </w:rPr>
      </w:pPr>
      <w:r>
        <w:rPr>
          <w:rFonts w:ascii="Arial" w:cs="Arial" w:eastAsia="Arial" w:hAnsi="Arial"/>
          <w:sz w:val="17"/>
          <w:szCs w:val="17"/>
          <w:b w:val="1"/>
          <w:bCs w:val="1"/>
          <w:color w:val="012E6C"/>
        </w:rPr>
        <w:t xml:space="preserve">2018-2020 Long-Term Incentives. </w:t>
      </w:r>
      <w:r>
        <w:rPr>
          <w:rFonts w:ascii="Arial" w:cs="Arial" w:eastAsia="Arial" w:hAnsi="Arial"/>
          <w:sz w:val="17"/>
          <w:szCs w:val="17"/>
          <w:color w:val="000000"/>
        </w:rPr>
        <w:t>In 2018, Ms. Hewson was granted an</w:t>
      </w:r>
      <w:r>
        <w:rPr>
          <w:rFonts w:ascii="Arial" w:cs="Arial" w:eastAsia="Arial" w:hAnsi="Arial"/>
          <w:sz w:val="17"/>
          <w:szCs w:val="17"/>
          <w:b w:val="1"/>
          <w:bCs w:val="1"/>
          <w:color w:val="012E6C"/>
        </w:rPr>
        <w:t xml:space="preserve"> </w:t>
      </w:r>
      <w:r>
        <w:rPr>
          <w:rFonts w:ascii="Arial" w:cs="Arial" w:eastAsia="Arial" w:hAnsi="Arial"/>
          <w:sz w:val="17"/>
          <w:szCs w:val="17"/>
          <w:color w:val="000000"/>
        </w:rPr>
        <w:t>LTI award of approximately $12.2 million, which was allocated 50% in Performance Stock Units (PSUs), 30% in Restricted Stock Units (RSUs), and 20% in the cash-based Long-Term Incentive Performance award (LTIP). RSUs will cliff-vest after three years, while the vesting of PSUs and LTIP will be based upon our results relative to the three-year performance goals that were established in the beginning of 2018.</w:t>
      </w:r>
    </w:p>
    <w:p>
      <w:pPr>
        <w:spacing w:after="0" w:line="177" w:lineRule="exact"/>
        <w:rPr>
          <w:sz w:val="20"/>
          <w:szCs w:val="20"/>
          <w:color w:val="auto"/>
        </w:rPr>
      </w:pPr>
    </w:p>
    <w:p>
      <w:pPr>
        <w:ind w:left="40" w:right="20"/>
        <w:spacing w:after="0" w:line="238" w:lineRule="auto"/>
        <w:rPr>
          <w:sz w:val="20"/>
          <w:szCs w:val="20"/>
          <w:color w:val="auto"/>
        </w:rPr>
      </w:pPr>
      <w:r>
        <w:rPr>
          <w:rFonts w:ascii="Arial" w:cs="Arial" w:eastAsia="Arial" w:hAnsi="Arial"/>
          <w:sz w:val="17"/>
          <w:szCs w:val="17"/>
          <w:b w:val="1"/>
          <w:bCs w:val="1"/>
          <w:color w:val="012E6C"/>
        </w:rPr>
        <w:t xml:space="preserve">Benefit and Retirement Plans. </w:t>
      </w:r>
      <w:r>
        <w:rPr>
          <w:rFonts w:ascii="Arial" w:cs="Arial" w:eastAsia="Arial" w:hAnsi="Arial"/>
          <w:sz w:val="17"/>
          <w:szCs w:val="17"/>
          <w:color w:val="000000"/>
        </w:rPr>
        <w:t>Ms. Hewson is eligible for benefit and</w:t>
      </w:r>
      <w:r>
        <w:rPr>
          <w:rFonts w:ascii="Arial" w:cs="Arial" w:eastAsia="Arial" w:hAnsi="Arial"/>
          <w:sz w:val="17"/>
          <w:szCs w:val="17"/>
          <w:b w:val="1"/>
          <w:bCs w:val="1"/>
          <w:color w:val="012E6C"/>
        </w:rPr>
        <w:t xml:space="preserve"> </w:t>
      </w:r>
      <w:r>
        <w:rPr>
          <w:rFonts w:ascii="Arial" w:cs="Arial" w:eastAsia="Arial" w:hAnsi="Arial"/>
          <w:sz w:val="17"/>
          <w:szCs w:val="17"/>
          <w:color w:val="000000"/>
        </w:rPr>
        <w:t>retirement programs, similar to other employees. None of our NEOs received additional years of service credits or other forms of formula enhancements under our benefit or retirement plans. Our pension formula is based on years of service and pension eligible compensation, which is similar to the formula offered by other companies with defined benefit plans. Effective January 1, 2016, the compensation element of the pension calculation was frozen and, on January 1, 2020, the service element of the pension calculation will be frozen.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558165</wp:posOffset>
            </wp:positionV>
            <wp:extent cx="1440815" cy="3257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440815" cy="3257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color w:val="003478"/>
        </w:rPr>
        <w:t>CEO Target Opportunity Mix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-130175</wp:posOffset>
            </wp:positionV>
            <wp:extent cx="33274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60" w:right="40" w:hanging="153"/>
        <w:spacing w:after="0" w:line="254" w:lineRule="auto"/>
        <w:tabs>
          <w:tab w:leader="none" w:pos="94" w:val="left"/>
        </w:tabs>
        <w:numPr>
          <w:ilvl w:val="0"/>
          <w:numId w:val="68"/>
        </w:numPr>
        <w:rPr>
          <w:rFonts w:ascii="Arial" w:cs="Arial" w:eastAsia="Arial" w:hAnsi="Arial"/>
          <w:sz w:val="14"/>
          <w:szCs w:val="14"/>
          <w:color w:val="auto"/>
        </w:rPr>
      </w:pPr>
      <w:r>
        <w:rPr>
          <w:rFonts w:ascii="Arial" w:cs="Arial" w:eastAsia="Arial" w:hAnsi="Arial"/>
          <w:sz w:val="14"/>
          <w:szCs w:val="14"/>
          <w:color w:val="auto"/>
        </w:rPr>
        <w:t>Fixed vs. variable and cash vs. equity components are designated in the Core Compensation Elements table on page 40. We consider base salary and annual incentives as short-term pay and PSUs, LTIP, and RSUs as long-term pay. Cash represents base salary, annual incentive target and LTIP target. We do not include retirement or other compensation components in the chart.</w:t>
      </w:r>
    </w:p>
    <w:p>
      <w:pPr>
        <w:spacing w:after="0" w:line="200" w:lineRule="exact"/>
        <w:rPr>
          <w:sz w:val="20"/>
          <w:szCs w:val="20"/>
          <w:color w:val="auto"/>
        </w:rPr>
      </w:pPr>
    </w:p>
    <w:p>
      <w:pPr>
        <w:sectPr>
          <w:pgSz w:w="11900" w:h="16838" w:orient="portrait"/>
          <w:cols w:equalWidth="0" w:num="2">
            <w:col w:w="5800" w:space="400"/>
            <w:col w:w="5180"/>
          </w:cols>
          <w:pgMar w:left="240" w:top="292" w:right="279" w:bottom="1440" w:gutter="0" w:footer="0" w:header="0"/>
          <w:type w:val="continuous"/>
        </w:sect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808080"/>
        </w:rPr>
        <w:t>36</w:t>
      </w:r>
    </w:p>
    <w:p>
      <w:pPr>
        <w:sectPr>
          <w:pgSz w:w="11900" w:h="16838" w:orient="portrait"/>
          <w:cols w:equalWidth="0" w:num="1">
            <w:col w:w="11380"/>
          </w:cols>
          <w:pgMar w:left="240" w:top="292" w:right="279" w:bottom="1440" w:gutter="0" w:footer="0" w:header="0"/>
          <w:type w:val="continuous"/>
        </w:sectPr>
      </w:pPr>
    </w:p>
    <w:bookmarkStart w:id="39" w:name="page40"/>
    <w:bookmarkEnd w:id="39"/>
    <w:p>
      <w:pPr>
        <w:jc w:val="right"/>
        <w:spacing w:after="0"/>
        <w:rPr>
          <w:sz w:val="20"/>
          <w:szCs w:val="20"/>
          <w:color w:val="auto"/>
        </w:rPr>
      </w:pPr>
      <w:r>
        <w:rPr>
          <w:rFonts w:ascii="Arial" w:cs="Arial" w:eastAsia="Arial" w:hAnsi="Arial"/>
          <w:sz w:val="15"/>
          <w:szCs w:val="15"/>
          <w:color w:val="003478"/>
        </w:rPr>
        <w:t>Executive Compensation</w:t>
      </w:r>
    </w:p>
    <w:p>
      <w:pPr>
        <w:spacing w:after="0" w:line="347" w:lineRule="exact"/>
        <w:rPr>
          <w:sz w:val="20"/>
          <w:szCs w:val="20"/>
          <w:color w:val="auto"/>
        </w:rPr>
      </w:pPr>
    </w:p>
    <w:p>
      <w:pPr>
        <w:spacing w:after="0"/>
        <w:rPr>
          <w:sz w:val="20"/>
          <w:szCs w:val="20"/>
          <w:color w:val="auto"/>
        </w:rPr>
      </w:pPr>
      <w:r>
        <w:rPr>
          <w:rFonts w:ascii="Arial" w:cs="Arial" w:eastAsia="Arial" w:hAnsi="Arial"/>
          <w:sz w:val="25"/>
          <w:szCs w:val="25"/>
          <w:color w:val="475C90"/>
        </w:rPr>
        <w:t>Summary of Compensation Approach</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848EB4"/>
        </w:rPr>
        <w:t>Guiding Pay Principles</w:t>
      </w:r>
    </w:p>
    <w:p>
      <w:pPr>
        <w:spacing w:after="0" w:line="226" w:lineRule="exact"/>
        <w:rPr>
          <w:sz w:val="20"/>
          <w:szCs w:val="20"/>
          <w:color w:val="auto"/>
        </w:rPr>
      </w:pPr>
    </w:p>
    <w:p>
      <w:pPr>
        <w:ind w:left="260" w:hanging="130"/>
        <w:spacing w:after="0"/>
        <w:tabs>
          <w:tab w:leader="none" w:pos="260" w:val="left"/>
        </w:tabs>
        <w:numPr>
          <w:ilvl w:val="0"/>
          <w:numId w:val="69"/>
        </w:numPr>
        <w:rPr>
          <w:rFonts w:ascii="Arial" w:cs="Arial" w:eastAsia="Arial" w:hAnsi="Arial"/>
          <w:sz w:val="17"/>
          <w:szCs w:val="17"/>
          <w:color w:val="012E6C"/>
        </w:rPr>
      </w:pPr>
      <w:r>
        <w:rPr>
          <w:rFonts w:ascii="Arial" w:cs="Arial" w:eastAsia="Arial" w:hAnsi="Arial"/>
          <w:sz w:val="17"/>
          <w:szCs w:val="17"/>
          <w:color w:val="auto"/>
        </w:rPr>
        <w:t>Attract, motivate and retain executive talent</w:t>
      </w:r>
    </w:p>
    <w:p>
      <w:pPr>
        <w:spacing w:after="0" w:line="236" w:lineRule="exact"/>
        <w:rPr>
          <w:rFonts w:ascii="Arial" w:cs="Arial" w:eastAsia="Arial" w:hAnsi="Arial"/>
          <w:sz w:val="17"/>
          <w:szCs w:val="17"/>
          <w:color w:val="012E6C"/>
        </w:rPr>
      </w:pPr>
    </w:p>
    <w:p>
      <w:pPr>
        <w:ind w:left="260" w:hanging="130"/>
        <w:spacing w:after="0"/>
        <w:tabs>
          <w:tab w:leader="none" w:pos="260" w:val="left"/>
        </w:tabs>
        <w:numPr>
          <w:ilvl w:val="0"/>
          <w:numId w:val="69"/>
        </w:numPr>
        <w:rPr>
          <w:rFonts w:ascii="Arial" w:cs="Arial" w:eastAsia="Arial" w:hAnsi="Arial"/>
          <w:sz w:val="17"/>
          <w:szCs w:val="17"/>
          <w:color w:val="012E6C"/>
        </w:rPr>
      </w:pPr>
      <w:r>
        <w:rPr>
          <w:rFonts w:ascii="Arial" w:cs="Arial" w:eastAsia="Arial" w:hAnsi="Arial"/>
          <w:sz w:val="17"/>
          <w:szCs w:val="17"/>
          <w:color w:val="auto"/>
        </w:rPr>
        <w:t>Market-based 50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percentile approach to target all compensation elements</w:t>
      </w:r>
    </w:p>
    <w:p>
      <w:pPr>
        <w:spacing w:after="0" w:line="110" w:lineRule="exact"/>
        <w:rPr>
          <w:rFonts w:ascii="Arial" w:cs="Arial" w:eastAsia="Arial" w:hAnsi="Arial"/>
          <w:sz w:val="17"/>
          <w:szCs w:val="17"/>
          <w:color w:val="012E6C"/>
        </w:rPr>
      </w:pPr>
    </w:p>
    <w:p>
      <w:pPr>
        <w:ind w:left="260" w:hanging="130"/>
        <w:spacing w:after="0"/>
        <w:tabs>
          <w:tab w:leader="none" w:pos="260" w:val="left"/>
        </w:tabs>
        <w:numPr>
          <w:ilvl w:val="0"/>
          <w:numId w:val="69"/>
        </w:numPr>
        <w:rPr>
          <w:rFonts w:ascii="Arial" w:cs="Arial" w:eastAsia="Arial" w:hAnsi="Arial"/>
          <w:sz w:val="17"/>
          <w:szCs w:val="17"/>
          <w:color w:val="012E6C"/>
        </w:rPr>
      </w:pPr>
      <w:r>
        <w:rPr>
          <w:rFonts w:ascii="Arial" w:cs="Arial" w:eastAsia="Arial" w:hAnsi="Arial"/>
          <w:sz w:val="17"/>
          <w:szCs w:val="17"/>
          <w:color w:val="auto"/>
        </w:rPr>
        <w:t>Link executive pay to Enterprise performance</w:t>
      </w:r>
    </w:p>
    <w:p>
      <w:pPr>
        <w:spacing w:after="0" w:line="236" w:lineRule="exact"/>
        <w:rPr>
          <w:rFonts w:ascii="Arial" w:cs="Arial" w:eastAsia="Arial" w:hAnsi="Arial"/>
          <w:sz w:val="17"/>
          <w:szCs w:val="17"/>
          <w:color w:val="012E6C"/>
        </w:rPr>
      </w:pPr>
    </w:p>
    <w:p>
      <w:pPr>
        <w:ind w:left="260" w:hanging="130"/>
        <w:spacing w:after="0"/>
        <w:tabs>
          <w:tab w:leader="none" w:pos="260" w:val="left"/>
        </w:tabs>
        <w:numPr>
          <w:ilvl w:val="0"/>
          <w:numId w:val="69"/>
        </w:numPr>
        <w:rPr>
          <w:rFonts w:ascii="Arial" w:cs="Arial" w:eastAsia="Arial" w:hAnsi="Arial"/>
          <w:sz w:val="17"/>
          <w:szCs w:val="17"/>
          <w:color w:val="012E6C"/>
        </w:rPr>
      </w:pPr>
      <w:r>
        <w:rPr>
          <w:rFonts w:ascii="Arial" w:cs="Arial" w:eastAsia="Arial" w:hAnsi="Arial"/>
          <w:sz w:val="17"/>
          <w:szCs w:val="17"/>
          <w:color w:val="auto"/>
        </w:rPr>
        <w:t>Provide an appropriate mix of short-term vs. long-term pay and fixed vs. variable pay</w:t>
      </w:r>
    </w:p>
    <w:p>
      <w:pPr>
        <w:spacing w:after="0" w:line="236" w:lineRule="exact"/>
        <w:rPr>
          <w:rFonts w:ascii="Arial" w:cs="Arial" w:eastAsia="Arial" w:hAnsi="Arial"/>
          <w:sz w:val="17"/>
          <w:szCs w:val="17"/>
          <w:color w:val="012E6C"/>
        </w:rPr>
      </w:pPr>
    </w:p>
    <w:p>
      <w:pPr>
        <w:ind w:left="260" w:hanging="130"/>
        <w:spacing w:after="0"/>
        <w:tabs>
          <w:tab w:leader="none" w:pos="260" w:val="left"/>
        </w:tabs>
        <w:numPr>
          <w:ilvl w:val="0"/>
          <w:numId w:val="69"/>
        </w:numPr>
        <w:rPr>
          <w:rFonts w:ascii="Arial" w:cs="Arial" w:eastAsia="Arial" w:hAnsi="Arial"/>
          <w:sz w:val="17"/>
          <w:szCs w:val="17"/>
          <w:color w:val="012E6C"/>
        </w:rPr>
      </w:pPr>
      <w:r>
        <w:rPr>
          <w:rFonts w:ascii="Arial" w:cs="Arial" w:eastAsia="Arial" w:hAnsi="Arial"/>
          <w:sz w:val="17"/>
          <w:szCs w:val="17"/>
          <w:color w:val="auto"/>
        </w:rPr>
        <w:t>Align to stockholder interests and long-term company value</w:t>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color w:val="848EB4"/>
        </w:rPr>
        <w:t>Our Decision-Making Process</w:t>
      </w:r>
    </w:p>
    <w:p>
      <w:pPr>
        <w:spacing w:after="0" w:line="226" w:lineRule="exact"/>
        <w:rPr>
          <w:sz w:val="20"/>
          <w:szCs w:val="20"/>
          <w:color w:val="auto"/>
        </w:rPr>
      </w:pPr>
    </w:p>
    <w:p>
      <w:pPr>
        <w:ind w:right="500"/>
        <w:spacing w:after="0" w:line="286" w:lineRule="auto"/>
        <w:rPr>
          <w:sz w:val="20"/>
          <w:szCs w:val="20"/>
          <w:color w:val="auto"/>
        </w:rPr>
      </w:pPr>
      <w:r>
        <w:rPr>
          <w:rFonts w:ascii="Arial" w:cs="Arial" w:eastAsia="Arial" w:hAnsi="Arial"/>
          <w:sz w:val="17"/>
          <w:szCs w:val="17"/>
          <w:color w:val="auto"/>
        </w:rPr>
        <w:t>The Compensation Committee seeks input from our CEO and other members of our management team as well as input and advice from the independent compensation consultant to ensure the Corporation’s compensation philosophy and information relevant to individual compensation decisions are taken into account.</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848EB4"/>
        </w:rPr>
        <w:t>Independent Pay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255905</wp:posOffset>
            </wp:positionV>
            <wp:extent cx="274320" cy="3771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74320" cy="377190"/>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255905</wp:posOffset>
            </wp:positionV>
            <wp:extent cx="308610" cy="3771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08610" cy="377190"/>
                    </a:xfrm>
                    <a:prstGeom prst="rect">
                      <a:avLst/>
                    </a:prstGeom>
                    <a:noFill/>
                  </pic:spPr>
                </pic:pic>
              </a:graphicData>
            </a:graphic>
          </wp:anchor>
        </w:drawing>
        <w:drawing>
          <wp:anchor simplePos="0" relativeHeight="251657728" behindDoc="1" locked="0" layoutInCell="0" allowOverlap="1">
            <wp:simplePos x="0" y="0"/>
            <wp:positionH relativeFrom="column">
              <wp:posOffset>3649980</wp:posOffset>
            </wp:positionH>
            <wp:positionV relativeFrom="paragraph">
              <wp:posOffset>255905</wp:posOffset>
            </wp:positionV>
            <wp:extent cx="360045" cy="3771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60045" cy="377190"/>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255905</wp:posOffset>
            </wp:positionV>
            <wp:extent cx="257175" cy="3771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57175" cy="3771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0"/>
        <w:spacing w:after="0"/>
        <w:rPr>
          <w:sz w:val="20"/>
          <w:szCs w:val="20"/>
          <w:color w:val="auto"/>
        </w:rPr>
      </w:pPr>
      <w:r>
        <w:rPr>
          <w:rFonts w:ascii="Arial" w:cs="Arial" w:eastAsia="Arial" w:hAnsi="Arial"/>
          <w:sz w:val="17"/>
          <w:szCs w:val="17"/>
          <w:color w:val="012E6C"/>
        </w:rPr>
        <w:t>Independent</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color w:val="012E6C"/>
        </w:rPr>
        <w:t>Board Members</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7"/>
          <w:szCs w:val="17"/>
          <w:color w:val="auto"/>
        </w:rPr>
        <w:t>Review and approve compensation of the CEO and review and ratify compensation of other NEOs. Review with management, at least annually, the succession plan for the CEO and other senior positions.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color w:val="012E6C"/>
        </w:rPr>
        <w:t>Independent</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012E6C"/>
        </w:rPr>
        <w:t>Compensation Consultant</w:t>
      </w:r>
    </w:p>
    <w:p>
      <w:pPr>
        <w:spacing w:after="0" w:line="188"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Provides advice on executive pay programs, pay levels and best practices. Provides design advice for annual LTI vehicles and other compensation programs.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color w:val="012E6C"/>
        </w:rPr>
        <w:t>Independent</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012E6C"/>
        </w:rPr>
        <w:t>Compensation Committee</w:t>
      </w:r>
    </w:p>
    <w:p>
      <w:pPr>
        <w:spacing w:after="0" w:line="188"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Reviews and approves incentive goals relevant to NEO compensation. Reviews and approves the compensation for each NEO. Recommends CEO compensation to the independent members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color w:val="012E6C"/>
        </w:rPr>
        <w:t>Stockholders &amp;</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012E6C"/>
        </w:rPr>
        <w:t>Other Key Stakeholders</w:t>
      </w:r>
    </w:p>
    <w:p>
      <w:pPr>
        <w:spacing w:after="0" w:line="188" w:lineRule="exact"/>
        <w:rPr>
          <w:sz w:val="20"/>
          <w:szCs w:val="20"/>
          <w:color w:val="auto"/>
        </w:rPr>
      </w:pPr>
    </w:p>
    <w:p>
      <w:pPr>
        <w:ind w:right="220"/>
        <w:spacing w:after="0" w:line="239" w:lineRule="auto"/>
        <w:rPr>
          <w:sz w:val="20"/>
          <w:szCs w:val="20"/>
          <w:color w:val="auto"/>
        </w:rPr>
      </w:pPr>
      <w:r>
        <w:rPr>
          <w:rFonts w:ascii="Arial" w:cs="Arial" w:eastAsia="Arial" w:hAnsi="Arial"/>
          <w:sz w:val="17"/>
          <w:szCs w:val="17"/>
          <w:color w:val="auto"/>
        </w:rPr>
        <w:t>Provide feedback on various executive pay practices and governance during periodic meetings with management which then is reviewed by and discussed with our independent Board members.</w:t>
      </w:r>
    </w:p>
    <w:p>
      <w:pPr>
        <w:spacing w:after="0" w:line="200" w:lineRule="exact"/>
        <w:rPr>
          <w:sz w:val="20"/>
          <w:szCs w:val="20"/>
          <w:color w:val="auto"/>
        </w:rPr>
      </w:pPr>
    </w:p>
    <w:p>
      <w:pPr>
        <w:sectPr>
          <w:pgSz w:w="11900" w:h="16838" w:orient="portrait"/>
          <w:cols w:equalWidth="0" w:num="4">
            <w:col w:w="2780" w:space="120"/>
            <w:col w:w="2780" w:space="60"/>
            <w:col w:w="2780" w:space="80"/>
            <w:col w:w="2820"/>
          </w:cols>
          <w:pgMar w:left="240" w:top="292" w:right="239" w:bottom="1440" w:gutter="0" w:footer="0" w:header="0"/>
          <w:type w:val="continuous"/>
        </w:sect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20" w:type="dxa"/>
            <w:vAlign w:val="bottom"/>
            <w:shd w:val="clear" w:color="auto" w:fill="ECECEC"/>
          </w:tcPr>
          <w:p>
            <w:pPr>
              <w:spacing w:after="0"/>
              <w:rPr>
                <w:sz w:val="12"/>
                <w:szCs w:val="12"/>
                <w:color w:val="auto"/>
              </w:rPr>
            </w:pPr>
          </w:p>
        </w:tc>
        <w:tc>
          <w:tcPr>
            <w:tcW w:w="1220" w:type="dxa"/>
            <w:vAlign w:val="bottom"/>
            <w:vMerge w:val="restart"/>
            <w:shd w:val="clear" w:color="auto" w:fill="ECECEC"/>
          </w:tcPr>
          <w:p>
            <w:pPr>
              <w:ind w:left="100"/>
              <w:spacing w:after="0"/>
              <w:rPr>
                <w:sz w:val="20"/>
                <w:szCs w:val="20"/>
                <w:color w:val="auto"/>
              </w:rPr>
            </w:pPr>
            <w:r>
              <w:rPr>
                <w:rFonts w:ascii="Arial" w:cs="Arial" w:eastAsia="Arial" w:hAnsi="Arial"/>
                <w:sz w:val="13"/>
                <w:szCs w:val="13"/>
                <w:color w:val="auto"/>
              </w:rPr>
              <w:t>Chairman,</w:t>
            </w:r>
          </w:p>
        </w:tc>
        <w:tc>
          <w:tcPr>
            <w:tcW w:w="1140" w:type="dxa"/>
            <w:vAlign w:val="bottom"/>
            <w:shd w:val="clear" w:color="auto" w:fill="ECECEC"/>
          </w:tcPr>
          <w:p>
            <w:pPr>
              <w:spacing w:after="0"/>
              <w:rPr>
                <w:sz w:val="12"/>
                <w:szCs w:val="12"/>
                <w:color w:val="auto"/>
              </w:rPr>
            </w:pPr>
          </w:p>
        </w:tc>
        <w:tc>
          <w:tcPr>
            <w:tcW w:w="1300" w:type="dxa"/>
            <w:vAlign w:val="bottom"/>
            <w:shd w:val="clear" w:color="auto" w:fill="ECECEC"/>
          </w:tcPr>
          <w:p>
            <w:pPr>
              <w:ind w:left="260"/>
              <w:spacing w:after="0"/>
              <w:rPr>
                <w:sz w:val="20"/>
                <w:szCs w:val="20"/>
                <w:color w:val="auto"/>
              </w:rPr>
            </w:pPr>
            <w:r>
              <w:rPr>
                <w:rFonts w:ascii="Arial" w:cs="Arial" w:eastAsia="Arial" w:hAnsi="Arial"/>
                <w:sz w:val="13"/>
                <w:szCs w:val="13"/>
                <w:color w:val="auto"/>
              </w:rPr>
              <w:t>Management</w:t>
            </w:r>
          </w:p>
        </w:tc>
        <w:tc>
          <w:tcPr>
            <w:tcW w:w="1240" w:type="dxa"/>
            <w:vAlign w:val="bottom"/>
            <w:shd w:val="clear" w:color="auto" w:fill="ECECEC"/>
          </w:tcPr>
          <w:p>
            <w:pPr>
              <w:ind w:left="220"/>
              <w:spacing w:after="0"/>
              <w:rPr>
                <w:sz w:val="20"/>
                <w:szCs w:val="20"/>
                <w:color w:val="auto"/>
              </w:rPr>
            </w:pPr>
            <w:r>
              <w:rPr>
                <w:rFonts w:ascii="Arial" w:cs="Arial" w:eastAsia="Arial" w:hAnsi="Arial"/>
                <w:sz w:val="13"/>
                <w:szCs w:val="13"/>
                <w:color w:val="auto"/>
              </w:rPr>
              <w:t>Independent</w:t>
            </w:r>
          </w:p>
        </w:tc>
        <w:tc>
          <w:tcPr>
            <w:tcW w:w="1300" w:type="dxa"/>
            <w:vAlign w:val="bottom"/>
            <w:vMerge w:val="restart"/>
            <w:shd w:val="clear" w:color="auto" w:fill="ECECEC"/>
          </w:tcPr>
          <w:p>
            <w:pPr>
              <w:ind w:left="220"/>
              <w:spacing w:after="0"/>
              <w:rPr>
                <w:sz w:val="20"/>
                <w:szCs w:val="20"/>
                <w:color w:val="auto"/>
              </w:rPr>
            </w:pPr>
            <w:r>
              <w:rPr>
                <w:rFonts w:ascii="Arial" w:cs="Arial" w:eastAsia="Arial" w:hAnsi="Arial"/>
                <w:sz w:val="13"/>
                <w:szCs w:val="13"/>
                <w:color w:val="auto"/>
              </w:rPr>
              <w:t>Compensation</w:t>
            </w:r>
          </w:p>
        </w:tc>
        <w:tc>
          <w:tcPr>
            <w:tcW w:w="1400" w:type="dxa"/>
            <w:vAlign w:val="bottom"/>
            <w:shd w:val="clear" w:color="auto" w:fill="ECECEC"/>
          </w:tcPr>
          <w:p>
            <w:pPr>
              <w:ind w:left="180"/>
              <w:spacing w:after="0"/>
              <w:rPr>
                <w:sz w:val="20"/>
                <w:szCs w:val="20"/>
                <w:color w:val="auto"/>
              </w:rPr>
            </w:pPr>
            <w:r>
              <w:rPr>
                <w:rFonts w:ascii="Arial" w:cs="Arial" w:eastAsia="Arial" w:hAnsi="Arial"/>
                <w:sz w:val="13"/>
                <w:szCs w:val="13"/>
                <w:color w:val="auto"/>
              </w:rPr>
              <w:t>Independent</w:t>
            </w:r>
          </w:p>
        </w:tc>
        <w:tc>
          <w:tcPr>
            <w:tcW w:w="0" w:type="dxa"/>
            <w:vAlign w:val="bottom"/>
          </w:tcPr>
          <w:p>
            <w:pPr>
              <w:spacing w:after="0"/>
              <w:rPr>
                <w:sz w:val="1"/>
                <w:szCs w:val="1"/>
                <w:color w:val="auto"/>
              </w:rPr>
            </w:pPr>
          </w:p>
        </w:tc>
      </w:tr>
      <w:tr>
        <w:trPr>
          <w:trHeight w:val="135"/>
        </w:trPr>
        <w:tc>
          <w:tcPr>
            <w:tcW w:w="3820" w:type="dxa"/>
            <w:vAlign w:val="bottom"/>
            <w:vMerge w:val="restart"/>
            <w:shd w:val="clear" w:color="auto" w:fill="ECECEC"/>
          </w:tcPr>
          <w:p>
            <w:pPr>
              <w:ind w:left="40"/>
              <w:spacing w:after="0"/>
              <w:rPr>
                <w:sz w:val="20"/>
                <w:szCs w:val="20"/>
                <w:color w:val="auto"/>
              </w:rPr>
            </w:pPr>
            <w:r>
              <w:rPr>
                <w:rFonts w:ascii="Arial" w:cs="Arial" w:eastAsia="Arial" w:hAnsi="Arial"/>
                <w:sz w:val="13"/>
                <w:szCs w:val="13"/>
                <w:color w:val="auto"/>
              </w:rPr>
              <w:t>Role</w:t>
            </w:r>
          </w:p>
        </w:tc>
        <w:tc>
          <w:tcPr>
            <w:tcW w:w="1220" w:type="dxa"/>
            <w:vAlign w:val="bottom"/>
            <w:vMerge w:val="continue"/>
            <w:shd w:val="clear" w:color="auto" w:fill="ECECEC"/>
          </w:tcPr>
          <w:p>
            <w:pPr>
              <w:spacing w:after="0"/>
              <w:rPr>
                <w:sz w:val="11"/>
                <w:szCs w:val="11"/>
                <w:color w:val="auto"/>
              </w:rPr>
            </w:pPr>
          </w:p>
        </w:tc>
        <w:tc>
          <w:tcPr>
            <w:tcW w:w="1140" w:type="dxa"/>
            <w:vAlign w:val="bottom"/>
            <w:vMerge w:val="restart"/>
            <w:shd w:val="clear" w:color="auto" w:fill="ECECEC"/>
          </w:tcPr>
          <w:p>
            <w:pPr>
              <w:ind w:left="140"/>
              <w:spacing w:after="0"/>
              <w:rPr>
                <w:sz w:val="20"/>
                <w:szCs w:val="20"/>
                <w:color w:val="auto"/>
              </w:rPr>
            </w:pPr>
            <w:r>
              <w:rPr>
                <w:rFonts w:ascii="Arial" w:cs="Arial" w:eastAsia="Arial" w:hAnsi="Arial"/>
                <w:sz w:val="13"/>
                <w:szCs w:val="13"/>
                <w:color w:val="auto"/>
              </w:rPr>
              <w:t>Management</w:t>
            </w:r>
          </w:p>
        </w:tc>
        <w:tc>
          <w:tcPr>
            <w:tcW w:w="1300" w:type="dxa"/>
            <w:vAlign w:val="bottom"/>
            <w:shd w:val="clear" w:color="auto" w:fill="ECECEC"/>
          </w:tcPr>
          <w:p>
            <w:pPr>
              <w:ind w:left="260"/>
              <w:spacing w:after="0" w:line="135" w:lineRule="exact"/>
              <w:rPr>
                <w:sz w:val="20"/>
                <w:szCs w:val="20"/>
                <w:color w:val="auto"/>
              </w:rPr>
            </w:pPr>
            <w:r>
              <w:rPr>
                <w:rFonts w:ascii="Arial" w:cs="Arial" w:eastAsia="Arial" w:hAnsi="Arial"/>
                <w:sz w:val="13"/>
                <w:szCs w:val="13"/>
                <w:color w:val="auto"/>
              </w:rPr>
              <w:t>Compensation</w:t>
            </w:r>
          </w:p>
        </w:tc>
        <w:tc>
          <w:tcPr>
            <w:tcW w:w="1240" w:type="dxa"/>
            <w:vAlign w:val="bottom"/>
            <w:shd w:val="clear" w:color="auto" w:fill="ECECEC"/>
          </w:tcPr>
          <w:p>
            <w:pPr>
              <w:ind w:left="220"/>
              <w:spacing w:after="0" w:line="135" w:lineRule="exact"/>
              <w:rPr>
                <w:sz w:val="20"/>
                <w:szCs w:val="20"/>
                <w:color w:val="auto"/>
              </w:rPr>
            </w:pPr>
            <w:r>
              <w:rPr>
                <w:rFonts w:ascii="Arial" w:cs="Arial" w:eastAsia="Arial" w:hAnsi="Arial"/>
                <w:sz w:val="13"/>
                <w:szCs w:val="13"/>
                <w:color w:val="auto"/>
              </w:rPr>
              <w:t>Compensation</w:t>
            </w:r>
          </w:p>
        </w:tc>
        <w:tc>
          <w:tcPr>
            <w:tcW w:w="1300" w:type="dxa"/>
            <w:vAlign w:val="bottom"/>
            <w:vMerge w:val="continue"/>
            <w:shd w:val="clear" w:color="auto" w:fill="ECECEC"/>
          </w:tcPr>
          <w:p>
            <w:pPr>
              <w:spacing w:after="0"/>
              <w:rPr>
                <w:sz w:val="11"/>
                <w:szCs w:val="11"/>
                <w:color w:val="auto"/>
              </w:rPr>
            </w:pPr>
          </w:p>
        </w:tc>
        <w:tc>
          <w:tcPr>
            <w:tcW w:w="1400" w:type="dxa"/>
            <w:vAlign w:val="bottom"/>
            <w:shd w:val="clear" w:color="auto" w:fill="ECECEC"/>
          </w:tcPr>
          <w:p>
            <w:pPr>
              <w:ind w:left="180"/>
              <w:spacing w:after="0" w:line="135" w:lineRule="exact"/>
              <w:rPr>
                <w:sz w:val="20"/>
                <w:szCs w:val="20"/>
                <w:color w:val="auto"/>
              </w:rPr>
            </w:pPr>
            <w:r>
              <w:rPr>
                <w:rFonts w:ascii="Arial" w:cs="Arial" w:eastAsia="Arial" w:hAnsi="Arial"/>
                <w:sz w:val="13"/>
                <w:szCs w:val="13"/>
                <w:color w:val="auto"/>
              </w:rPr>
              <w:t>Board</w:t>
            </w:r>
          </w:p>
        </w:tc>
        <w:tc>
          <w:tcPr>
            <w:tcW w:w="0" w:type="dxa"/>
            <w:vAlign w:val="bottom"/>
          </w:tcPr>
          <w:p>
            <w:pPr>
              <w:spacing w:after="0"/>
              <w:rPr>
                <w:sz w:val="1"/>
                <w:szCs w:val="1"/>
                <w:color w:val="auto"/>
              </w:rPr>
            </w:pPr>
          </w:p>
        </w:tc>
      </w:tr>
      <w:tr>
        <w:trPr>
          <w:trHeight w:val="178"/>
        </w:trPr>
        <w:tc>
          <w:tcPr>
            <w:tcW w:w="3820" w:type="dxa"/>
            <w:vAlign w:val="bottom"/>
            <w:tcBorders>
              <w:bottom w:val="single" w:sz="8" w:color="959595"/>
            </w:tcBorders>
            <w:vMerge w:val="continue"/>
            <w:shd w:val="clear" w:color="auto" w:fill="ECECEC"/>
          </w:tcPr>
          <w:p>
            <w:pPr>
              <w:spacing w:after="0"/>
              <w:rPr>
                <w:sz w:val="15"/>
                <w:szCs w:val="15"/>
                <w:color w:val="auto"/>
              </w:rPr>
            </w:pPr>
          </w:p>
        </w:tc>
        <w:tc>
          <w:tcPr>
            <w:tcW w:w="1220" w:type="dxa"/>
            <w:vAlign w:val="bottom"/>
            <w:tcBorders>
              <w:bottom w:val="single" w:sz="8" w:color="959595"/>
            </w:tcBorders>
            <w:shd w:val="clear" w:color="auto" w:fill="ECECEC"/>
          </w:tcPr>
          <w:p>
            <w:pPr>
              <w:ind w:left="100"/>
              <w:spacing w:after="0"/>
              <w:rPr>
                <w:sz w:val="20"/>
                <w:szCs w:val="20"/>
                <w:color w:val="auto"/>
              </w:rPr>
            </w:pPr>
            <w:r>
              <w:rPr>
                <w:rFonts w:ascii="Arial" w:cs="Arial" w:eastAsia="Arial" w:hAnsi="Arial"/>
                <w:sz w:val="13"/>
                <w:szCs w:val="13"/>
                <w:color w:val="auto"/>
              </w:rPr>
              <w:t>President &amp; CEO</w:t>
            </w:r>
          </w:p>
        </w:tc>
        <w:tc>
          <w:tcPr>
            <w:tcW w:w="1140" w:type="dxa"/>
            <w:vAlign w:val="bottom"/>
            <w:tcBorders>
              <w:bottom w:val="single" w:sz="8" w:color="959595"/>
            </w:tcBorders>
            <w:vMerge w:val="continue"/>
            <w:shd w:val="clear" w:color="auto" w:fill="ECECEC"/>
          </w:tcPr>
          <w:p>
            <w:pPr>
              <w:spacing w:after="0"/>
              <w:rPr>
                <w:sz w:val="15"/>
                <w:szCs w:val="15"/>
                <w:color w:val="auto"/>
              </w:rPr>
            </w:pPr>
          </w:p>
        </w:tc>
        <w:tc>
          <w:tcPr>
            <w:tcW w:w="1300" w:type="dxa"/>
            <w:vAlign w:val="bottom"/>
            <w:tcBorders>
              <w:bottom w:val="single" w:sz="8" w:color="959595"/>
            </w:tcBorders>
            <w:shd w:val="clear" w:color="auto" w:fill="ECECEC"/>
          </w:tcPr>
          <w:p>
            <w:pPr>
              <w:ind w:left="260"/>
              <w:spacing w:after="0"/>
              <w:rPr>
                <w:sz w:val="20"/>
                <w:szCs w:val="20"/>
                <w:color w:val="auto"/>
              </w:rPr>
            </w:pPr>
            <w:r>
              <w:rPr>
                <w:rFonts w:ascii="Arial" w:cs="Arial" w:eastAsia="Arial" w:hAnsi="Arial"/>
                <w:sz w:val="13"/>
                <w:szCs w:val="13"/>
                <w:color w:val="auto"/>
              </w:rPr>
              <w:t>Consultant</w:t>
            </w:r>
            <w:r>
              <w:rPr>
                <w:rFonts w:ascii="Arial" w:cs="Arial" w:eastAsia="Arial" w:hAnsi="Arial"/>
                <w:sz w:val="10"/>
                <w:szCs w:val="10"/>
                <w:color w:val="auto"/>
              </w:rPr>
              <w:t>(1)</w:t>
            </w:r>
          </w:p>
        </w:tc>
        <w:tc>
          <w:tcPr>
            <w:tcW w:w="1240" w:type="dxa"/>
            <w:vAlign w:val="bottom"/>
            <w:tcBorders>
              <w:bottom w:val="single" w:sz="8" w:color="959595"/>
            </w:tcBorders>
            <w:shd w:val="clear" w:color="auto" w:fill="ECECEC"/>
          </w:tcPr>
          <w:p>
            <w:pPr>
              <w:ind w:left="220"/>
              <w:spacing w:after="0"/>
              <w:rPr>
                <w:sz w:val="20"/>
                <w:szCs w:val="20"/>
                <w:color w:val="auto"/>
              </w:rPr>
            </w:pPr>
            <w:r>
              <w:rPr>
                <w:rFonts w:ascii="Arial" w:cs="Arial" w:eastAsia="Arial" w:hAnsi="Arial"/>
                <w:sz w:val="13"/>
                <w:szCs w:val="13"/>
                <w:color w:val="auto"/>
              </w:rPr>
              <w:t>Consultant</w:t>
            </w:r>
            <w:r>
              <w:rPr>
                <w:rFonts w:ascii="Arial" w:cs="Arial" w:eastAsia="Arial" w:hAnsi="Arial"/>
                <w:sz w:val="10"/>
                <w:szCs w:val="10"/>
                <w:color w:val="auto"/>
              </w:rPr>
              <w:t>(2)</w:t>
            </w:r>
          </w:p>
        </w:tc>
        <w:tc>
          <w:tcPr>
            <w:tcW w:w="1300" w:type="dxa"/>
            <w:vAlign w:val="bottom"/>
            <w:tcBorders>
              <w:bottom w:val="single" w:sz="8" w:color="959595"/>
            </w:tcBorders>
            <w:shd w:val="clear" w:color="auto" w:fill="ECECEC"/>
          </w:tcPr>
          <w:p>
            <w:pPr>
              <w:ind w:left="220"/>
              <w:spacing w:after="0"/>
              <w:rPr>
                <w:sz w:val="20"/>
                <w:szCs w:val="20"/>
                <w:color w:val="auto"/>
              </w:rPr>
            </w:pPr>
            <w:r>
              <w:rPr>
                <w:rFonts w:ascii="Arial" w:cs="Arial" w:eastAsia="Arial" w:hAnsi="Arial"/>
                <w:sz w:val="13"/>
                <w:szCs w:val="13"/>
                <w:color w:val="auto"/>
              </w:rPr>
              <w:t>Committee</w:t>
            </w:r>
            <w:r>
              <w:rPr>
                <w:rFonts w:ascii="Arial" w:cs="Arial" w:eastAsia="Arial" w:hAnsi="Arial"/>
                <w:sz w:val="10"/>
                <w:szCs w:val="10"/>
                <w:color w:val="auto"/>
              </w:rPr>
              <w:t>(3)</w:t>
            </w:r>
          </w:p>
        </w:tc>
        <w:tc>
          <w:tcPr>
            <w:tcW w:w="1400" w:type="dxa"/>
            <w:vAlign w:val="bottom"/>
            <w:tcBorders>
              <w:bottom w:val="single" w:sz="8" w:color="959595"/>
            </w:tcBorders>
            <w:shd w:val="clear" w:color="auto" w:fill="ECECEC"/>
          </w:tcPr>
          <w:p>
            <w:pPr>
              <w:ind w:left="180"/>
              <w:spacing w:after="0"/>
              <w:rPr>
                <w:sz w:val="20"/>
                <w:szCs w:val="20"/>
                <w:color w:val="auto"/>
              </w:rPr>
            </w:pPr>
            <w:r>
              <w:rPr>
                <w:rFonts w:ascii="Arial" w:cs="Arial" w:eastAsia="Arial" w:hAnsi="Arial"/>
                <w:sz w:val="13"/>
                <w:szCs w:val="13"/>
                <w:color w:val="auto"/>
              </w:rPr>
              <w:t>Members</w:t>
            </w:r>
          </w:p>
        </w:tc>
        <w:tc>
          <w:tcPr>
            <w:tcW w:w="0" w:type="dxa"/>
            <w:vAlign w:val="bottom"/>
          </w:tcPr>
          <w:p>
            <w:pPr>
              <w:spacing w:after="0"/>
              <w:rPr>
                <w:sz w:val="1"/>
                <w:szCs w:val="1"/>
                <w:color w:val="auto"/>
              </w:rPr>
            </w:pPr>
          </w:p>
        </w:tc>
      </w:tr>
      <w:tr>
        <w:trPr>
          <w:trHeight w:val="176"/>
        </w:trPr>
        <w:tc>
          <w:tcPr>
            <w:tcW w:w="3820" w:type="dxa"/>
            <w:vAlign w:val="bottom"/>
          </w:tcPr>
          <w:p>
            <w:pPr>
              <w:ind w:left="40"/>
              <w:spacing w:after="0"/>
              <w:rPr>
                <w:sz w:val="20"/>
                <w:szCs w:val="20"/>
                <w:color w:val="auto"/>
              </w:rPr>
            </w:pPr>
            <w:r>
              <w:rPr>
                <w:rFonts w:ascii="Arial" w:cs="Arial" w:eastAsia="Arial" w:hAnsi="Arial"/>
                <w:sz w:val="14"/>
                <w:szCs w:val="14"/>
                <w:color w:val="auto"/>
              </w:rPr>
              <w:t>Peer Group / External Market Data and Best Practices for</w:t>
            </w:r>
          </w:p>
        </w:tc>
        <w:tc>
          <w:tcPr>
            <w:tcW w:w="1220" w:type="dxa"/>
            <w:vAlign w:val="bottom"/>
          </w:tcPr>
          <w:p>
            <w:pPr>
              <w:ind w:left="100"/>
              <w:spacing w:after="0"/>
              <w:rPr>
                <w:sz w:val="20"/>
                <w:szCs w:val="20"/>
                <w:color w:val="auto"/>
              </w:rPr>
            </w:pPr>
            <w:r>
              <w:rPr>
                <w:rFonts w:ascii="Arial" w:cs="Arial" w:eastAsia="Arial" w:hAnsi="Arial"/>
                <w:sz w:val="14"/>
                <w:szCs w:val="14"/>
                <w:color w:val="auto"/>
              </w:rPr>
              <w:t>Reviews</w:t>
            </w:r>
          </w:p>
        </w:tc>
        <w:tc>
          <w:tcPr>
            <w:tcW w:w="1140" w:type="dxa"/>
            <w:vAlign w:val="bottom"/>
          </w:tcPr>
          <w:p>
            <w:pPr>
              <w:ind w:left="140"/>
              <w:spacing w:after="0"/>
              <w:rPr>
                <w:sz w:val="20"/>
                <w:szCs w:val="20"/>
                <w:color w:val="auto"/>
              </w:rPr>
            </w:pPr>
            <w:r>
              <w:rPr>
                <w:rFonts w:ascii="Arial" w:cs="Arial" w:eastAsia="Arial" w:hAnsi="Arial"/>
                <w:sz w:val="14"/>
                <w:szCs w:val="14"/>
                <w:color w:val="auto"/>
              </w:rPr>
              <w:t>Reviews</w:t>
            </w:r>
          </w:p>
        </w:tc>
        <w:tc>
          <w:tcPr>
            <w:tcW w:w="1300" w:type="dxa"/>
            <w:vAlign w:val="bottom"/>
          </w:tcPr>
          <w:p>
            <w:pPr>
              <w:ind w:left="260"/>
              <w:spacing w:after="0"/>
              <w:rPr>
                <w:sz w:val="20"/>
                <w:szCs w:val="20"/>
                <w:color w:val="auto"/>
              </w:rPr>
            </w:pPr>
            <w:r>
              <w:rPr>
                <w:rFonts w:ascii="Arial" w:cs="Arial" w:eastAsia="Arial" w:hAnsi="Arial"/>
                <w:sz w:val="14"/>
                <w:szCs w:val="14"/>
                <w:color w:val="auto"/>
              </w:rPr>
              <w:t>Develops</w:t>
            </w:r>
          </w:p>
        </w:tc>
        <w:tc>
          <w:tcPr>
            <w:tcW w:w="1240" w:type="dxa"/>
            <w:vAlign w:val="bottom"/>
          </w:tcPr>
          <w:p>
            <w:pPr>
              <w:ind w:left="220"/>
              <w:spacing w:after="0"/>
              <w:rPr>
                <w:sz w:val="20"/>
                <w:szCs w:val="20"/>
                <w:color w:val="auto"/>
              </w:rPr>
            </w:pPr>
            <w:r>
              <w:rPr>
                <w:rFonts w:ascii="Arial" w:cs="Arial" w:eastAsia="Arial" w:hAnsi="Arial"/>
                <w:sz w:val="14"/>
                <w:szCs w:val="14"/>
                <w:color w:val="auto"/>
              </w:rPr>
              <w:t>Develops/</w:t>
            </w:r>
          </w:p>
        </w:tc>
        <w:tc>
          <w:tcPr>
            <w:tcW w:w="1300" w:type="dxa"/>
            <w:vAlign w:val="bottom"/>
          </w:tcPr>
          <w:p>
            <w:pPr>
              <w:ind w:left="220"/>
              <w:spacing w:after="0"/>
              <w:rPr>
                <w:sz w:val="20"/>
                <w:szCs w:val="20"/>
                <w:color w:val="auto"/>
              </w:rPr>
            </w:pPr>
            <w:r>
              <w:rPr>
                <w:rFonts w:ascii="Arial" w:cs="Arial" w:eastAsia="Arial" w:hAnsi="Arial"/>
                <w:sz w:val="14"/>
                <w:szCs w:val="14"/>
                <w:color w:val="auto"/>
              </w:rPr>
              <w:t>Reviews</w:t>
            </w:r>
          </w:p>
        </w:tc>
        <w:tc>
          <w:tcPr>
            <w:tcW w:w="1400" w:type="dxa"/>
            <w:vAlign w:val="bottom"/>
          </w:tcPr>
          <w:p>
            <w:pPr>
              <w:ind w:lef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3820" w:type="dxa"/>
            <w:vAlign w:val="bottom"/>
            <w:tcBorders>
              <w:bottom w:val="single" w:sz="8" w:color="959595"/>
            </w:tcBorders>
          </w:tcPr>
          <w:p>
            <w:pPr>
              <w:ind w:left="40"/>
              <w:spacing w:after="0"/>
              <w:rPr>
                <w:sz w:val="20"/>
                <w:szCs w:val="20"/>
                <w:color w:val="auto"/>
              </w:rPr>
            </w:pPr>
            <w:r>
              <w:rPr>
                <w:rFonts w:ascii="Arial" w:cs="Arial" w:eastAsia="Arial" w:hAnsi="Arial"/>
                <w:sz w:val="14"/>
                <w:szCs w:val="14"/>
                <w:color w:val="auto"/>
              </w:rPr>
              <w:t>Compensation Design and Decisions</w:t>
            </w:r>
          </w:p>
        </w:tc>
        <w:tc>
          <w:tcPr>
            <w:tcW w:w="1220" w:type="dxa"/>
            <w:vAlign w:val="bottom"/>
            <w:tcBorders>
              <w:bottom w:val="single" w:sz="8" w:color="959595"/>
            </w:tcBorders>
          </w:tcPr>
          <w:p>
            <w:pPr>
              <w:spacing w:after="0"/>
              <w:rPr>
                <w:sz w:val="17"/>
                <w:szCs w:val="17"/>
                <w:color w:val="auto"/>
              </w:rPr>
            </w:pPr>
          </w:p>
        </w:tc>
        <w:tc>
          <w:tcPr>
            <w:tcW w:w="1140" w:type="dxa"/>
            <w:vAlign w:val="bottom"/>
            <w:tcBorders>
              <w:bottom w:val="single" w:sz="8" w:color="959595"/>
            </w:tcBorders>
          </w:tcPr>
          <w:p>
            <w:pPr>
              <w:spacing w:after="0"/>
              <w:rPr>
                <w:sz w:val="17"/>
                <w:szCs w:val="17"/>
                <w:color w:val="auto"/>
              </w:rPr>
            </w:pPr>
          </w:p>
        </w:tc>
        <w:tc>
          <w:tcPr>
            <w:tcW w:w="1300" w:type="dxa"/>
            <w:vAlign w:val="bottom"/>
            <w:tcBorders>
              <w:bottom w:val="single" w:sz="8" w:color="959595"/>
            </w:tcBorders>
          </w:tcPr>
          <w:p>
            <w:pPr>
              <w:spacing w:after="0"/>
              <w:rPr>
                <w:sz w:val="17"/>
                <w:szCs w:val="17"/>
                <w:color w:val="auto"/>
              </w:rPr>
            </w:pPr>
          </w:p>
        </w:tc>
        <w:tc>
          <w:tcPr>
            <w:tcW w:w="1240" w:type="dxa"/>
            <w:vAlign w:val="bottom"/>
            <w:tcBorders>
              <w:bottom w:val="single" w:sz="8" w:color="959595"/>
            </w:tcBorders>
          </w:tcPr>
          <w:p>
            <w:pPr>
              <w:ind w:left="220"/>
              <w:spacing w:after="0"/>
              <w:rPr>
                <w:sz w:val="20"/>
                <w:szCs w:val="20"/>
                <w:color w:val="auto"/>
              </w:rPr>
            </w:pPr>
            <w:r>
              <w:rPr>
                <w:rFonts w:ascii="Arial" w:cs="Arial" w:eastAsia="Arial" w:hAnsi="Arial"/>
                <w:sz w:val="14"/>
                <w:szCs w:val="14"/>
                <w:color w:val="auto"/>
              </w:rPr>
              <w:t>Reviews</w:t>
            </w:r>
          </w:p>
        </w:tc>
        <w:tc>
          <w:tcPr>
            <w:tcW w:w="1300" w:type="dxa"/>
            <w:vAlign w:val="bottom"/>
            <w:tcBorders>
              <w:bottom w:val="single" w:sz="8" w:color="959595"/>
            </w:tcBorders>
          </w:tcPr>
          <w:p>
            <w:pPr>
              <w:spacing w:after="0"/>
              <w:rPr>
                <w:sz w:val="17"/>
                <w:szCs w:val="17"/>
                <w:color w:val="auto"/>
              </w:rPr>
            </w:pPr>
          </w:p>
        </w:tc>
        <w:tc>
          <w:tcPr>
            <w:tcW w:w="1400" w:type="dxa"/>
            <w:vAlign w:val="bottom"/>
            <w:tcBorders>
              <w:bottom w:val="single" w:sz="8" w:color="959595"/>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20" w:type="dxa"/>
            <w:vAlign w:val="bottom"/>
            <w:tcBorders>
              <w:bottom w:val="single" w:sz="8" w:color="959595"/>
            </w:tcBorders>
          </w:tcPr>
          <w:p>
            <w:pPr>
              <w:ind w:left="40"/>
              <w:spacing w:after="0"/>
              <w:rPr>
                <w:sz w:val="20"/>
                <w:szCs w:val="20"/>
                <w:color w:val="auto"/>
              </w:rPr>
            </w:pPr>
            <w:r>
              <w:rPr>
                <w:rFonts w:ascii="Arial" w:cs="Arial" w:eastAsia="Arial" w:hAnsi="Arial"/>
                <w:sz w:val="14"/>
                <w:szCs w:val="14"/>
                <w:color w:val="auto"/>
              </w:rPr>
              <w:t>Annual NEO Target Compensation</w:t>
            </w:r>
          </w:p>
        </w:tc>
        <w:tc>
          <w:tcPr>
            <w:tcW w:w="1220" w:type="dxa"/>
            <w:vAlign w:val="bottom"/>
            <w:tcBorders>
              <w:bottom w:val="single" w:sz="8" w:color="959595"/>
            </w:tcBorders>
          </w:tcPr>
          <w:p>
            <w:pPr>
              <w:ind w:left="100"/>
              <w:spacing w:after="0"/>
              <w:rPr>
                <w:sz w:val="20"/>
                <w:szCs w:val="20"/>
                <w:color w:val="auto"/>
              </w:rPr>
            </w:pPr>
            <w:r>
              <w:rPr>
                <w:rFonts w:ascii="Arial" w:cs="Arial" w:eastAsia="Arial" w:hAnsi="Arial"/>
                <w:sz w:val="14"/>
                <w:szCs w:val="14"/>
                <w:color w:val="auto"/>
              </w:rPr>
              <w:t>Recommends</w:t>
            </w:r>
          </w:p>
        </w:tc>
        <w:tc>
          <w:tcPr>
            <w:tcW w:w="1140" w:type="dxa"/>
            <w:vAlign w:val="bottom"/>
            <w:tcBorders>
              <w:bottom w:val="single" w:sz="8" w:color="959595"/>
            </w:tcBorders>
          </w:tcPr>
          <w:p>
            <w:pPr>
              <w:ind w:left="14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959595"/>
            </w:tcBorders>
          </w:tcPr>
          <w:p>
            <w:pPr>
              <w:ind w:left="26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959595"/>
            </w:tcBorders>
          </w:tcPr>
          <w:p>
            <w:pPr>
              <w:ind w:left="220"/>
              <w:spacing w:after="0"/>
              <w:rPr>
                <w:sz w:val="20"/>
                <w:szCs w:val="20"/>
                <w:color w:val="auto"/>
              </w:rPr>
            </w:pPr>
            <w:r>
              <w:rPr>
                <w:rFonts w:ascii="Arial" w:cs="Arial" w:eastAsia="Arial" w:hAnsi="Arial"/>
                <w:sz w:val="14"/>
                <w:szCs w:val="14"/>
                <w:color w:val="auto"/>
              </w:rPr>
              <w:t>Reviews</w:t>
            </w:r>
          </w:p>
        </w:tc>
        <w:tc>
          <w:tcPr>
            <w:tcW w:w="1300" w:type="dxa"/>
            <w:vAlign w:val="bottom"/>
            <w:tcBorders>
              <w:bottom w:val="single" w:sz="8" w:color="959595"/>
            </w:tcBorders>
          </w:tcPr>
          <w:p>
            <w:pPr>
              <w:ind w:left="220"/>
              <w:spacing w:after="0"/>
              <w:rPr>
                <w:sz w:val="20"/>
                <w:szCs w:val="20"/>
                <w:color w:val="auto"/>
              </w:rPr>
            </w:pPr>
            <w:r>
              <w:rPr>
                <w:rFonts w:ascii="Arial" w:cs="Arial" w:eastAsia="Arial" w:hAnsi="Arial"/>
                <w:sz w:val="14"/>
                <w:szCs w:val="14"/>
                <w:color w:val="auto"/>
              </w:rPr>
              <w:t>Approves</w:t>
            </w:r>
          </w:p>
        </w:tc>
        <w:tc>
          <w:tcPr>
            <w:tcW w:w="1400" w:type="dxa"/>
            <w:vAlign w:val="bottom"/>
            <w:tcBorders>
              <w:bottom w:val="single" w:sz="8" w:color="959595"/>
            </w:tcBorders>
          </w:tcPr>
          <w:p>
            <w:pPr>
              <w:ind w:left="180"/>
              <w:spacing w:after="0"/>
              <w:rPr>
                <w:sz w:val="20"/>
                <w:szCs w:val="20"/>
                <w:color w:val="auto"/>
              </w:rPr>
            </w:pPr>
            <w:r>
              <w:rPr>
                <w:rFonts w:ascii="Arial" w:cs="Arial" w:eastAsia="Arial" w:hAnsi="Arial"/>
                <w:sz w:val="14"/>
                <w:szCs w:val="14"/>
                <w:color w:val="auto"/>
              </w:rPr>
              <w:t>Ratify</w:t>
            </w:r>
          </w:p>
        </w:tc>
        <w:tc>
          <w:tcPr>
            <w:tcW w:w="0" w:type="dxa"/>
            <w:vAlign w:val="bottom"/>
          </w:tcPr>
          <w:p>
            <w:pPr>
              <w:spacing w:after="0"/>
              <w:rPr>
                <w:sz w:val="1"/>
                <w:szCs w:val="1"/>
                <w:color w:val="auto"/>
              </w:rPr>
            </w:pPr>
          </w:p>
        </w:tc>
      </w:tr>
      <w:tr>
        <w:trPr>
          <w:trHeight w:val="210"/>
        </w:trPr>
        <w:tc>
          <w:tcPr>
            <w:tcW w:w="3820" w:type="dxa"/>
            <w:vAlign w:val="bottom"/>
            <w:tcBorders>
              <w:bottom w:val="single" w:sz="8" w:color="959595"/>
            </w:tcBorders>
          </w:tcPr>
          <w:p>
            <w:pPr>
              <w:ind w:left="40"/>
              <w:spacing w:after="0"/>
              <w:rPr>
                <w:sz w:val="20"/>
                <w:szCs w:val="20"/>
                <w:color w:val="auto"/>
              </w:rPr>
            </w:pPr>
            <w:r>
              <w:rPr>
                <w:rFonts w:ascii="Arial" w:cs="Arial" w:eastAsia="Arial" w:hAnsi="Arial"/>
                <w:sz w:val="14"/>
                <w:szCs w:val="14"/>
                <w:color w:val="auto"/>
              </w:rPr>
              <w:t>Annual CEO Target Compensation</w:t>
            </w:r>
          </w:p>
        </w:tc>
        <w:tc>
          <w:tcPr>
            <w:tcW w:w="1220" w:type="dxa"/>
            <w:vAlign w:val="bottom"/>
            <w:tcBorders>
              <w:bottom w:val="single" w:sz="8" w:color="959595"/>
            </w:tcBorders>
          </w:tcPr>
          <w:p>
            <w:pPr>
              <w:ind w:left="10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959595"/>
            </w:tcBorders>
          </w:tcPr>
          <w:p>
            <w:pPr>
              <w:ind w:left="14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959595"/>
            </w:tcBorders>
          </w:tcPr>
          <w:p>
            <w:pPr>
              <w:ind w:left="26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959595"/>
            </w:tcBorders>
          </w:tcPr>
          <w:p>
            <w:pPr>
              <w:ind w:left="220"/>
              <w:spacing w:after="0"/>
              <w:rPr>
                <w:sz w:val="20"/>
                <w:szCs w:val="20"/>
                <w:color w:val="auto"/>
              </w:rPr>
            </w:pPr>
            <w:r>
              <w:rPr>
                <w:rFonts w:ascii="Arial" w:cs="Arial" w:eastAsia="Arial" w:hAnsi="Arial"/>
                <w:sz w:val="14"/>
                <w:szCs w:val="14"/>
                <w:color w:val="auto"/>
              </w:rPr>
              <w:t>Advises</w:t>
            </w:r>
          </w:p>
        </w:tc>
        <w:tc>
          <w:tcPr>
            <w:tcW w:w="1300" w:type="dxa"/>
            <w:vAlign w:val="bottom"/>
            <w:tcBorders>
              <w:bottom w:val="single" w:sz="8" w:color="959595"/>
            </w:tcBorders>
          </w:tcPr>
          <w:p>
            <w:pPr>
              <w:ind w:left="220"/>
              <w:spacing w:after="0"/>
              <w:rPr>
                <w:sz w:val="20"/>
                <w:szCs w:val="20"/>
                <w:color w:val="auto"/>
              </w:rPr>
            </w:pPr>
            <w:r>
              <w:rPr>
                <w:rFonts w:ascii="Arial" w:cs="Arial" w:eastAsia="Arial" w:hAnsi="Arial"/>
                <w:sz w:val="14"/>
                <w:szCs w:val="14"/>
                <w:color w:val="auto"/>
              </w:rPr>
              <w:t>Recommends</w:t>
            </w:r>
          </w:p>
        </w:tc>
        <w:tc>
          <w:tcPr>
            <w:tcW w:w="1400" w:type="dxa"/>
            <w:vAlign w:val="bottom"/>
            <w:tcBorders>
              <w:bottom w:val="single" w:sz="8" w:color="959595"/>
            </w:tcBorders>
          </w:tcPr>
          <w:p>
            <w:pPr>
              <w:ind w:left="180"/>
              <w:spacing w:after="0"/>
              <w:rPr>
                <w:sz w:val="20"/>
                <w:szCs w:val="20"/>
                <w:color w:val="auto"/>
              </w:rPr>
            </w:pPr>
            <w:r>
              <w:rPr>
                <w:rFonts w:ascii="Arial" w:cs="Arial" w:eastAsia="Arial" w:hAnsi="Arial"/>
                <w:sz w:val="14"/>
                <w:szCs w:val="14"/>
                <w:color w:val="auto"/>
              </w:rPr>
              <w:t>Approve</w:t>
            </w:r>
          </w:p>
        </w:tc>
        <w:tc>
          <w:tcPr>
            <w:tcW w:w="0" w:type="dxa"/>
            <w:vAlign w:val="bottom"/>
          </w:tcPr>
          <w:p>
            <w:pPr>
              <w:spacing w:after="0"/>
              <w:rPr>
                <w:sz w:val="1"/>
                <w:szCs w:val="1"/>
                <w:color w:val="auto"/>
              </w:rPr>
            </w:pPr>
          </w:p>
        </w:tc>
      </w:tr>
      <w:tr>
        <w:trPr>
          <w:trHeight w:val="173"/>
        </w:trPr>
        <w:tc>
          <w:tcPr>
            <w:tcW w:w="3820" w:type="dxa"/>
            <w:vAlign w:val="bottom"/>
          </w:tcPr>
          <w:p>
            <w:pPr>
              <w:ind w:left="40"/>
              <w:spacing w:after="0"/>
              <w:rPr>
                <w:sz w:val="20"/>
                <w:szCs w:val="20"/>
                <w:color w:val="auto"/>
              </w:rPr>
            </w:pPr>
            <w:r>
              <w:rPr>
                <w:rFonts w:ascii="Arial" w:cs="Arial" w:eastAsia="Arial" w:hAnsi="Arial"/>
                <w:sz w:val="14"/>
                <w:szCs w:val="14"/>
                <w:color w:val="auto"/>
              </w:rPr>
              <w:t>Annual and Long-Term Incentive Measures, Performance</w:t>
            </w:r>
          </w:p>
        </w:tc>
        <w:tc>
          <w:tcPr>
            <w:tcW w:w="1220" w:type="dxa"/>
            <w:vAlign w:val="bottom"/>
          </w:tcPr>
          <w:p>
            <w:pPr>
              <w:ind w:left="100"/>
              <w:spacing w:after="0"/>
              <w:rPr>
                <w:sz w:val="20"/>
                <w:szCs w:val="20"/>
                <w:color w:val="auto"/>
              </w:rPr>
            </w:pPr>
            <w:r>
              <w:rPr>
                <w:rFonts w:ascii="Arial" w:cs="Arial" w:eastAsia="Arial" w:hAnsi="Arial"/>
                <w:sz w:val="14"/>
                <w:szCs w:val="14"/>
                <w:color w:val="auto"/>
              </w:rPr>
              <w:t>Reviews</w:t>
            </w:r>
          </w:p>
        </w:tc>
        <w:tc>
          <w:tcPr>
            <w:tcW w:w="1140" w:type="dxa"/>
            <w:vAlign w:val="bottom"/>
          </w:tcPr>
          <w:p>
            <w:pPr>
              <w:ind w:left="140"/>
              <w:spacing w:after="0"/>
              <w:rPr>
                <w:sz w:val="20"/>
                <w:szCs w:val="20"/>
                <w:color w:val="auto"/>
              </w:rPr>
            </w:pPr>
            <w:r>
              <w:rPr>
                <w:rFonts w:ascii="Arial" w:cs="Arial" w:eastAsia="Arial" w:hAnsi="Arial"/>
                <w:sz w:val="14"/>
                <w:szCs w:val="14"/>
                <w:color w:val="auto"/>
              </w:rPr>
              <w:t>Develops</w:t>
            </w:r>
          </w:p>
        </w:tc>
        <w:tc>
          <w:tcPr>
            <w:tcW w:w="1300" w:type="dxa"/>
            <w:vAlign w:val="bottom"/>
          </w:tcPr>
          <w:p>
            <w:pPr>
              <w:ind w:left="260"/>
              <w:spacing w:after="0"/>
              <w:rPr>
                <w:sz w:val="20"/>
                <w:szCs w:val="20"/>
                <w:color w:val="auto"/>
              </w:rPr>
            </w:pPr>
            <w:r>
              <w:rPr>
                <w:rFonts w:ascii="Arial" w:cs="Arial" w:eastAsia="Arial" w:hAnsi="Arial"/>
                <w:sz w:val="14"/>
                <w:szCs w:val="14"/>
                <w:color w:val="auto"/>
              </w:rPr>
              <w:t>—</w:t>
            </w:r>
          </w:p>
        </w:tc>
        <w:tc>
          <w:tcPr>
            <w:tcW w:w="1240" w:type="dxa"/>
            <w:vAlign w:val="bottom"/>
          </w:tcPr>
          <w:p>
            <w:pPr>
              <w:ind w:left="220"/>
              <w:spacing w:after="0"/>
              <w:rPr>
                <w:sz w:val="20"/>
                <w:szCs w:val="20"/>
                <w:color w:val="auto"/>
              </w:rPr>
            </w:pPr>
            <w:r>
              <w:rPr>
                <w:rFonts w:ascii="Arial" w:cs="Arial" w:eastAsia="Arial" w:hAnsi="Arial"/>
                <w:sz w:val="14"/>
                <w:szCs w:val="14"/>
                <w:color w:val="auto"/>
              </w:rPr>
              <w:t>Reviews</w:t>
            </w:r>
          </w:p>
        </w:tc>
        <w:tc>
          <w:tcPr>
            <w:tcW w:w="1300" w:type="dxa"/>
            <w:vAlign w:val="bottom"/>
          </w:tcPr>
          <w:p>
            <w:pPr>
              <w:ind w:left="220"/>
              <w:spacing w:after="0"/>
              <w:rPr>
                <w:sz w:val="20"/>
                <w:szCs w:val="20"/>
                <w:color w:val="auto"/>
              </w:rPr>
            </w:pPr>
            <w:r>
              <w:rPr>
                <w:rFonts w:ascii="Arial" w:cs="Arial" w:eastAsia="Arial" w:hAnsi="Arial"/>
                <w:sz w:val="14"/>
                <w:szCs w:val="14"/>
                <w:color w:val="auto"/>
              </w:rPr>
              <w:t>Approves</w:t>
            </w:r>
          </w:p>
        </w:tc>
        <w:tc>
          <w:tcPr>
            <w:tcW w:w="1400" w:type="dxa"/>
            <w:vAlign w:val="bottom"/>
          </w:tcPr>
          <w:p>
            <w:pPr>
              <w:ind w:left="180"/>
              <w:spacing w:after="0"/>
              <w:rPr>
                <w:sz w:val="20"/>
                <w:szCs w:val="20"/>
                <w:color w:val="auto"/>
              </w:rPr>
            </w:pPr>
            <w:r>
              <w:rPr>
                <w:rFonts w:ascii="Arial" w:cs="Arial" w:eastAsia="Arial" w:hAnsi="Arial"/>
                <w:sz w:val="14"/>
                <w:szCs w:val="14"/>
                <w:color w:val="auto"/>
              </w:rPr>
              <w:t>Ratify</w:t>
            </w:r>
          </w:p>
        </w:tc>
        <w:tc>
          <w:tcPr>
            <w:tcW w:w="0" w:type="dxa"/>
            <w:vAlign w:val="bottom"/>
          </w:tcPr>
          <w:p>
            <w:pPr>
              <w:spacing w:after="0"/>
              <w:rPr>
                <w:sz w:val="1"/>
                <w:szCs w:val="1"/>
                <w:color w:val="auto"/>
              </w:rPr>
            </w:pPr>
          </w:p>
        </w:tc>
      </w:tr>
      <w:tr>
        <w:trPr>
          <w:trHeight w:val="198"/>
        </w:trPr>
        <w:tc>
          <w:tcPr>
            <w:tcW w:w="3820" w:type="dxa"/>
            <w:vAlign w:val="bottom"/>
            <w:tcBorders>
              <w:bottom w:val="single" w:sz="8" w:color="959595"/>
            </w:tcBorders>
          </w:tcPr>
          <w:p>
            <w:pPr>
              <w:ind w:left="40"/>
              <w:spacing w:after="0"/>
              <w:rPr>
                <w:sz w:val="20"/>
                <w:szCs w:val="20"/>
                <w:color w:val="auto"/>
              </w:rPr>
            </w:pPr>
            <w:r>
              <w:rPr>
                <w:rFonts w:ascii="Arial" w:cs="Arial" w:eastAsia="Arial" w:hAnsi="Arial"/>
                <w:sz w:val="14"/>
                <w:szCs w:val="14"/>
                <w:color w:val="auto"/>
              </w:rPr>
              <w:t>Targets and Performance Results</w:t>
            </w:r>
          </w:p>
        </w:tc>
        <w:tc>
          <w:tcPr>
            <w:tcW w:w="1220" w:type="dxa"/>
            <w:vAlign w:val="bottom"/>
            <w:tcBorders>
              <w:bottom w:val="single" w:sz="8" w:color="959595"/>
            </w:tcBorders>
          </w:tcPr>
          <w:p>
            <w:pPr>
              <w:spacing w:after="0"/>
              <w:rPr>
                <w:sz w:val="17"/>
                <w:szCs w:val="17"/>
                <w:color w:val="auto"/>
              </w:rPr>
            </w:pPr>
          </w:p>
        </w:tc>
        <w:tc>
          <w:tcPr>
            <w:tcW w:w="1140" w:type="dxa"/>
            <w:vAlign w:val="bottom"/>
            <w:tcBorders>
              <w:bottom w:val="single" w:sz="8" w:color="959595"/>
            </w:tcBorders>
          </w:tcPr>
          <w:p>
            <w:pPr>
              <w:spacing w:after="0"/>
              <w:rPr>
                <w:sz w:val="17"/>
                <w:szCs w:val="17"/>
                <w:color w:val="auto"/>
              </w:rPr>
            </w:pPr>
          </w:p>
        </w:tc>
        <w:tc>
          <w:tcPr>
            <w:tcW w:w="1300" w:type="dxa"/>
            <w:vAlign w:val="bottom"/>
            <w:tcBorders>
              <w:bottom w:val="single" w:sz="8" w:color="959595"/>
            </w:tcBorders>
          </w:tcPr>
          <w:p>
            <w:pPr>
              <w:spacing w:after="0"/>
              <w:rPr>
                <w:sz w:val="17"/>
                <w:szCs w:val="17"/>
                <w:color w:val="auto"/>
              </w:rPr>
            </w:pPr>
          </w:p>
        </w:tc>
        <w:tc>
          <w:tcPr>
            <w:tcW w:w="1240" w:type="dxa"/>
            <w:vAlign w:val="bottom"/>
            <w:tcBorders>
              <w:bottom w:val="single" w:sz="8" w:color="959595"/>
            </w:tcBorders>
          </w:tcPr>
          <w:p>
            <w:pPr>
              <w:spacing w:after="0"/>
              <w:rPr>
                <w:sz w:val="17"/>
                <w:szCs w:val="17"/>
                <w:color w:val="auto"/>
              </w:rPr>
            </w:pPr>
          </w:p>
        </w:tc>
        <w:tc>
          <w:tcPr>
            <w:tcW w:w="1300" w:type="dxa"/>
            <w:vAlign w:val="bottom"/>
            <w:tcBorders>
              <w:bottom w:val="single" w:sz="8" w:color="959595"/>
            </w:tcBorders>
          </w:tcPr>
          <w:p>
            <w:pPr>
              <w:spacing w:after="0"/>
              <w:rPr>
                <w:sz w:val="17"/>
                <w:szCs w:val="17"/>
                <w:color w:val="auto"/>
              </w:rPr>
            </w:pPr>
          </w:p>
        </w:tc>
        <w:tc>
          <w:tcPr>
            <w:tcW w:w="1400" w:type="dxa"/>
            <w:vAlign w:val="bottom"/>
            <w:tcBorders>
              <w:bottom w:val="single" w:sz="8" w:color="959595"/>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20" w:type="dxa"/>
            <w:vAlign w:val="bottom"/>
            <w:tcBorders>
              <w:bottom w:val="single" w:sz="8" w:color="959595"/>
            </w:tcBorders>
          </w:tcPr>
          <w:p>
            <w:pPr>
              <w:ind w:left="40"/>
              <w:spacing w:after="0"/>
              <w:rPr>
                <w:sz w:val="20"/>
                <w:szCs w:val="20"/>
                <w:color w:val="auto"/>
              </w:rPr>
            </w:pPr>
            <w:r>
              <w:rPr>
                <w:rFonts w:ascii="Arial" w:cs="Arial" w:eastAsia="Arial" w:hAnsi="Arial"/>
                <w:sz w:val="14"/>
                <w:szCs w:val="14"/>
                <w:color w:val="auto"/>
              </w:rPr>
              <w:t>Long-Term Incentive Grants, Dilution, Burn Rate</w:t>
            </w:r>
          </w:p>
        </w:tc>
        <w:tc>
          <w:tcPr>
            <w:tcW w:w="1220" w:type="dxa"/>
            <w:vAlign w:val="bottom"/>
            <w:tcBorders>
              <w:bottom w:val="single" w:sz="8" w:color="959595"/>
            </w:tcBorders>
          </w:tcPr>
          <w:p>
            <w:pPr>
              <w:ind w:left="100"/>
              <w:spacing w:after="0"/>
              <w:rPr>
                <w:sz w:val="20"/>
                <w:szCs w:val="20"/>
                <w:color w:val="auto"/>
              </w:rPr>
            </w:pPr>
            <w:r>
              <w:rPr>
                <w:rFonts w:ascii="Arial" w:cs="Arial" w:eastAsia="Arial" w:hAnsi="Arial"/>
                <w:sz w:val="14"/>
                <w:szCs w:val="14"/>
                <w:color w:val="auto"/>
              </w:rPr>
              <w:t>Reviews</w:t>
            </w:r>
          </w:p>
        </w:tc>
        <w:tc>
          <w:tcPr>
            <w:tcW w:w="1140" w:type="dxa"/>
            <w:vAlign w:val="bottom"/>
            <w:tcBorders>
              <w:bottom w:val="single" w:sz="8" w:color="959595"/>
            </w:tcBorders>
          </w:tcPr>
          <w:p>
            <w:pPr>
              <w:ind w:left="140"/>
              <w:spacing w:after="0"/>
              <w:rPr>
                <w:sz w:val="20"/>
                <w:szCs w:val="20"/>
                <w:color w:val="auto"/>
              </w:rPr>
            </w:pPr>
            <w:r>
              <w:rPr>
                <w:rFonts w:ascii="Arial" w:cs="Arial" w:eastAsia="Arial" w:hAnsi="Arial"/>
                <w:sz w:val="14"/>
                <w:szCs w:val="14"/>
                <w:color w:val="auto"/>
              </w:rPr>
              <w:t>Develops</w:t>
            </w:r>
          </w:p>
        </w:tc>
        <w:tc>
          <w:tcPr>
            <w:tcW w:w="1300" w:type="dxa"/>
            <w:vAlign w:val="bottom"/>
            <w:tcBorders>
              <w:bottom w:val="single" w:sz="8" w:color="959595"/>
            </w:tcBorders>
          </w:tcPr>
          <w:p>
            <w:pPr>
              <w:ind w:left="26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959595"/>
            </w:tcBorders>
          </w:tcPr>
          <w:p>
            <w:pPr>
              <w:ind w:left="220"/>
              <w:spacing w:after="0"/>
              <w:rPr>
                <w:sz w:val="20"/>
                <w:szCs w:val="20"/>
                <w:color w:val="auto"/>
              </w:rPr>
            </w:pPr>
            <w:r>
              <w:rPr>
                <w:rFonts w:ascii="Arial" w:cs="Arial" w:eastAsia="Arial" w:hAnsi="Arial"/>
                <w:sz w:val="14"/>
                <w:szCs w:val="14"/>
                <w:color w:val="auto"/>
              </w:rPr>
              <w:t>Reviews</w:t>
            </w:r>
          </w:p>
        </w:tc>
        <w:tc>
          <w:tcPr>
            <w:tcW w:w="1300" w:type="dxa"/>
            <w:vAlign w:val="bottom"/>
            <w:tcBorders>
              <w:bottom w:val="single" w:sz="8" w:color="959595"/>
            </w:tcBorders>
          </w:tcPr>
          <w:p>
            <w:pPr>
              <w:ind w:left="220"/>
              <w:spacing w:after="0"/>
              <w:rPr>
                <w:sz w:val="20"/>
                <w:szCs w:val="20"/>
                <w:color w:val="auto"/>
              </w:rPr>
            </w:pPr>
            <w:r>
              <w:rPr>
                <w:rFonts w:ascii="Arial" w:cs="Arial" w:eastAsia="Arial" w:hAnsi="Arial"/>
                <w:sz w:val="14"/>
                <w:szCs w:val="14"/>
                <w:color w:val="auto"/>
              </w:rPr>
              <w:t>Approves</w:t>
            </w:r>
          </w:p>
        </w:tc>
        <w:tc>
          <w:tcPr>
            <w:tcW w:w="1400" w:type="dxa"/>
            <w:vAlign w:val="bottom"/>
            <w:tcBorders>
              <w:bottom w:val="single" w:sz="8" w:color="959595"/>
            </w:tcBorders>
          </w:tcPr>
          <w:p>
            <w:pPr>
              <w:ind w:left="180"/>
              <w:spacing w:after="0"/>
              <w:rPr>
                <w:sz w:val="20"/>
                <w:szCs w:val="20"/>
                <w:color w:val="auto"/>
              </w:rPr>
            </w:pPr>
            <w:r>
              <w:rPr>
                <w:rFonts w:ascii="Arial" w:cs="Arial" w:eastAsia="Arial" w:hAnsi="Arial"/>
                <w:sz w:val="14"/>
                <w:szCs w:val="14"/>
                <w:color w:val="auto"/>
              </w:rPr>
              <w:t>Ratify</w:t>
            </w:r>
          </w:p>
        </w:tc>
        <w:tc>
          <w:tcPr>
            <w:tcW w:w="0" w:type="dxa"/>
            <w:vAlign w:val="bottom"/>
          </w:tcPr>
          <w:p>
            <w:pPr>
              <w:spacing w:after="0"/>
              <w:rPr>
                <w:sz w:val="1"/>
                <w:szCs w:val="1"/>
                <w:color w:val="auto"/>
              </w:rPr>
            </w:pPr>
          </w:p>
        </w:tc>
      </w:tr>
      <w:tr>
        <w:trPr>
          <w:trHeight w:val="210"/>
        </w:trPr>
        <w:tc>
          <w:tcPr>
            <w:tcW w:w="3820" w:type="dxa"/>
            <w:vAlign w:val="bottom"/>
            <w:tcBorders>
              <w:bottom w:val="single" w:sz="8" w:color="959595"/>
            </w:tcBorders>
          </w:tcPr>
          <w:p>
            <w:pPr>
              <w:ind w:left="40"/>
              <w:spacing w:after="0"/>
              <w:rPr>
                <w:sz w:val="20"/>
                <w:szCs w:val="20"/>
                <w:color w:val="auto"/>
              </w:rPr>
            </w:pPr>
            <w:r>
              <w:rPr>
                <w:rFonts w:ascii="Arial" w:cs="Arial" w:eastAsia="Arial" w:hAnsi="Arial"/>
                <w:sz w:val="14"/>
                <w:szCs w:val="14"/>
                <w:color w:val="auto"/>
              </w:rPr>
              <w:t>Risk Assessment of Incentive Plans</w:t>
            </w:r>
          </w:p>
        </w:tc>
        <w:tc>
          <w:tcPr>
            <w:tcW w:w="1220" w:type="dxa"/>
            <w:vAlign w:val="bottom"/>
            <w:tcBorders>
              <w:bottom w:val="single" w:sz="8" w:color="959595"/>
            </w:tcBorders>
          </w:tcPr>
          <w:p>
            <w:pPr>
              <w:ind w:left="100"/>
              <w:spacing w:after="0"/>
              <w:rPr>
                <w:sz w:val="20"/>
                <w:szCs w:val="20"/>
                <w:color w:val="auto"/>
              </w:rPr>
            </w:pPr>
            <w:r>
              <w:rPr>
                <w:rFonts w:ascii="Arial" w:cs="Arial" w:eastAsia="Arial" w:hAnsi="Arial"/>
                <w:sz w:val="14"/>
                <w:szCs w:val="14"/>
                <w:color w:val="auto"/>
              </w:rPr>
              <w:t>Reviews</w:t>
            </w:r>
          </w:p>
        </w:tc>
        <w:tc>
          <w:tcPr>
            <w:tcW w:w="1140" w:type="dxa"/>
            <w:vAlign w:val="bottom"/>
            <w:tcBorders>
              <w:bottom w:val="single" w:sz="8" w:color="959595"/>
            </w:tcBorders>
          </w:tcPr>
          <w:p>
            <w:pPr>
              <w:ind w:left="140"/>
              <w:spacing w:after="0"/>
              <w:rPr>
                <w:sz w:val="20"/>
                <w:szCs w:val="20"/>
                <w:color w:val="auto"/>
              </w:rPr>
            </w:pPr>
            <w:r>
              <w:rPr>
                <w:rFonts w:ascii="Arial" w:cs="Arial" w:eastAsia="Arial" w:hAnsi="Arial"/>
                <w:sz w:val="14"/>
                <w:szCs w:val="14"/>
                <w:color w:val="auto"/>
              </w:rPr>
              <w:t>Reviews</w:t>
            </w:r>
          </w:p>
        </w:tc>
        <w:tc>
          <w:tcPr>
            <w:tcW w:w="1300" w:type="dxa"/>
            <w:vAlign w:val="bottom"/>
            <w:tcBorders>
              <w:bottom w:val="single" w:sz="8" w:color="959595"/>
            </w:tcBorders>
          </w:tcPr>
          <w:p>
            <w:pPr>
              <w:ind w:left="26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959595"/>
            </w:tcBorders>
          </w:tcPr>
          <w:p>
            <w:pPr>
              <w:ind w:left="220"/>
              <w:spacing w:after="0"/>
              <w:rPr>
                <w:sz w:val="20"/>
                <w:szCs w:val="20"/>
                <w:color w:val="auto"/>
              </w:rPr>
            </w:pPr>
            <w:r>
              <w:rPr>
                <w:rFonts w:ascii="Arial" w:cs="Arial" w:eastAsia="Arial" w:hAnsi="Arial"/>
                <w:sz w:val="14"/>
                <w:szCs w:val="14"/>
                <w:color w:val="auto"/>
              </w:rPr>
              <w:t>Develops</w:t>
            </w:r>
          </w:p>
        </w:tc>
        <w:tc>
          <w:tcPr>
            <w:tcW w:w="1300" w:type="dxa"/>
            <w:vAlign w:val="bottom"/>
            <w:tcBorders>
              <w:bottom w:val="single" w:sz="8" w:color="959595"/>
            </w:tcBorders>
          </w:tcPr>
          <w:p>
            <w:pPr>
              <w:ind w:left="220"/>
              <w:spacing w:after="0"/>
              <w:rPr>
                <w:sz w:val="20"/>
                <w:szCs w:val="20"/>
                <w:color w:val="auto"/>
              </w:rPr>
            </w:pPr>
            <w:r>
              <w:rPr>
                <w:rFonts w:ascii="Arial" w:cs="Arial" w:eastAsia="Arial" w:hAnsi="Arial"/>
                <w:sz w:val="14"/>
                <w:szCs w:val="14"/>
                <w:color w:val="auto"/>
              </w:rPr>
              <w:t>Reviews</w:t>
            </w:r>
          </w:p>
        </w:tc>
        <w:tc>
          <w:tcPr>
            <w:tcW w:w="1400" w:type="dxa"/>
            <w:vAlign w:val="bottom"/>
            <w:tcBorders>
              <w:bottom w:val="single" w:sz="8" w:color="959595"/>
            </w:tcBorders>
          </w:tcPr>
          <w:p>
            <w:pPr>
              <w:ind w:lef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3820" w:type="dxa"/>
            <w:vAlign w:val="bottom"/>
          </w:tcPr>
          <w:p>
            <w:pPr>
              <w:ind w:left="40"/>
              <w:spacing w:after="0"/>
              <w:rPr>
                <w:sz w:val="20"/>
                <w:szCs w:val="20"/>
                <w:color w:val="auto"/>
              </w:rPr>
            </w:pPr>
            <w:r>
              <w:rPr>
                <w:rFonts w:ascii="Arial" w:cs="Arial" w:eastAsia="Arial" w:hAnsi="Arial"/>
                <w:sz w:val="14"/>
                <w:szCs w:val="14"/>
                <w:color w:val="auto"/>
              </w:rPr>
              <w:t>Succession Plans</w:t>
            </w:r>
          </w:p>
        </w:tc>
        <w:tc>
          <w:tcPr>
            <w:tcW w:w="1220" w:type="dxa"/>
            <w:vAlign w:val="bottom"/>
          </w:tcPr>
          <w:p>
            <w:pPr>
              <w:ind w:left="100"/>
              <w:spacing w:after="0"/>
              <w:rPr>
                <w:sz w:val="20"/>
                <w:szCs w:val="20"/>
                <w:color w:val="auto"/>
              </w:rPr>
            </w:pPr>
            <w:r>
              <w:rPr>
                <w:rFonts w:ascii="Arial" w:cs="Arial" w:eastAsia="Arial" w:hAnsi="Arial"/>
                <w:sz w:val="14"/>
                <w:szCs w:val="14"/>
                <w:color w:val="auto"/>
              </w:rPr>
              <w:t>Reviews</w:t>
            </w:r>
          </w:p>
        </w:tc>
        <w:tc>
          <w:tcPr>
            <w:tcW w:w="1140" w:type="dxa"/>
            <w:vAlign w:val="bottom"/>
          </w:tcPr>
          <w:p>
            <w:pPr>
              <w:ind w:left="140"/>
              <w:spacing w:after="0"/>
              <w:rPr>
                <w:sz w:val="20"/>
                <w:szCs w:val="20"/>
                <w:color w:val="auto"/>
              </w:rPr>
            </w:pPr>
            <w:r>
              <w:rPr>
                <w:rFonts w:ascii="Arial" w:cs="Arial" w:eastAsia="Arial" w:hAnsi="Arial"/>
                <w:sz w:val="14"/>
                <w:szCs w:val="14"/>
                <w:color w:val="auto"/>
              </w:rPr>
              <w:t>Develops</w:t>
            </w:r>
          </w:p>
        </w:tc>
        <w:tc>
          <w:tcPr>
            <w:tcW w:w="1300" w:type="dxa"/>
            <w:vAlign w:val="bottom"/>
          </w:tcPr>
          <w:p>
            <w:pPr>
              <w:ind w:left="260"/>
              <w:spacing w:after="0"/>
              <w:rPr>
                <w:sz w:val="20"/>
                <w:szCs w:val="20"/>
                <w:color w:val="auto"/>
              </w:rPr>
            </w:pPr>
            <w:r>
              <w:rPr>
                <w:rFonts w:ascii="Arial" w:cs="Arial" w:eastAsia="Arial" w:hAnsi="Arial"/>
                <w:sz w:val="14"/>
                <w:szCs w:val="14"/>
                <w:color w:val="auto"/>
              </w:rPr>
              <w:t>—</w:t>
            </w:r>
          </w:p>
        </w:tc>
        <w:tc>
          <w:tcPr>
            <w:tcW w:w="1240" w:type="dxa"/>
            <w:vAlign w:val="bottom"/>
          </w:tcPr>
          <w:p>
            <w:pPr>
              <w:ind w:left="220"/>
              <w:spacing w:after="0"/>
              <w:rPr>
                <w:sz w:val="20"/>
                <w:szCs w:val="20"/>
                <w:color w:val="auto"/>
              </w:rPr>
            </w:pPr>
            <w:r>
              <w:rPr>
                <w:rFonts w:ascii="Arial" w:cs="Arial" w:eastAsia="Arial" w:hAnsi="Arial"/>
                <w:sz w:val="14"/>
                <w:szCs w:val="14"/>
                <w:color w:val="auto"/>
              </w:rPr>
              <w:t>—</w:t>
            </w:r>
          </w:p>
        </w:tc>
        <w:tc>
          <w:tcPr>
            <w:tcW w:w="1300" w:type="dxa"/>
            <w:vAlign w:val="bottom"/>
          </w:tcPr>
          <w:p>
            <w:pPr>
              <w:ind w:left="220"/>
              <w:spacing w:after="0"/>
              <w:rPr>
                <w:sz w:val="20"/>
                <w:szCs w:val="20"/>
                <w:color w:val="auto"/>
              </w:rPr>
            </w:pPr>
            <w:r>
              <w:rPr>
                <w:rFonts w:ascii="Arial" w:cs="Arial" w:eastAsia="Arial" w:hAnsi="Arial"/>
                <w:sz w:val="14"/>
                <w:szCs w:val="14"/>
                <w:color w:val="auto"/>
              </w:rPr>
              <w:t>—</w:t>
            </w:r>
          </w:p>
        </w:tc>
        <w:tc>
          <w:tcPr>
            <w:tcW w:w="1400" w:type="dxa"/>
            <w:vAlign w:val="bottom"/>
          </w:tcPr>
          <w:p>
            <w:pPr>
              <w:ind w:left="180"/>
              <w:spacing w:after="0"/>
              <w:rPr>
                <w:sz w:val="20"/>
                <w:szCs w:val="20"/>
                <w:color w:val="auto"/>
              </w:rPr>
            </w:pPr>
            <w:r>
              <w:rPr>
                <w:rFonts w:ascii="Arial" w:cs="Arial" w:eastAsia="Arial" w:hAnsi="Arial"/>
                <w:sz w:val="14"/>
                <w:szCs w:val="14"/>
                <w:color w:val="auto"/>
              </w:rPr>
              <w:t>Review</w:t>
            </w:r>
          </w:p>
        </w:tc>
        <w:tc>
          <w:tcPr>
            <w:tcW w:w="0" w:type="dxa"/>
            <w:vAlign w:val="bottom"/>
          </w:tcPr>
          <w:p>
            <w:pPr>
              <w:spacing w:after="0"/>
              <w:rPr>
                <w:sz w:val="1"/>
                <w:szCs w:val="1"/>
                <w:color w:val="auto"/>
              </w:rPr>
            </w:pPr>
          </w:p>
        </w:tc>
      </w:tr>
    </w:tbl>
    <w:p>
      <w:pPr>
        <w:ind w:left="340" w:hanging="332"/>
        <w:spacing w:after="0" w:line="183" w:lineRule="auto"/>
        <w:tabs>
          <w:tab w:leader="none" w:pos="340" w:val="left"/>
        </w:tabs>
        <w:numPr>
          <w:ilvl w:val="0"/>
          <w:numId w:val="70"/>
        </w:numPr>
        <w:rPr>
          <w:rFonts w:ascii="Arial" w:cs="Arial" w:eastAsia="Arial" w:hAnsi="Arial"/>
          <w:sz w:val="23"/>
          <w:szCs w:val="23"/>
          <w:color w:val="auto"/>
          <w:vertAlign w:val="superscript"/>
        </w:rPr>
      </w:pPr>
      <w:r>
        <w:rPr>
          <w:rFonts w:ascii="Arial" w:cs="Arial" w:eastAsia="Arial" w:hAnsi="Arial"/>
          <w:sz w:val="14"/>
          <w:szCs w:val="14"/>
          <w:color w:val="auto"/>
        </w:rPr>
        <w:t>Aon Hewitt &amp; Willis Towers Watson.</w:t>
      </w:r>
    </w:p>
    <w:p>
      <w:pPr>
        <w:spacing w:after="0" w:line="54" w:lineRule="exact"/>
        <w:rPr>
          <w:rFonts w:ascii="Arial" w:cs="Arial" w:eastAsia="Arial" w:hAnsi="Arial"/>
          <w:sz w:val="23"/>
          <w:szCs w:val="23"/>
          <w:color w:val="auto"/>
          <w:vertAlign w:val="superscript"/>
        </w:rPr>
      </w:pPr>
    </w:p>
    <w:p>
      <w:pPr>
        <w:ind w:left="340" w:hanging="332"/>
        <w:spacing w:after="0" w:line="183" w:lineRule="auto"/>
        <w:tabs>
          <w:tab w:leader="none" w:pos="340" w:val="left"/>
        </w:tabs>
        <w:numPr>
          <w:ilvl w:val="0"/>
          <w:numId w:val="70"/>
        </w:numPr>
        <w:rPr>
          <w:rFonts w:ascii="Arial" w:cs="Arial" w:eastAsia="Arial" w:hAnsi="Arial"/>
          <w:sz w:val="20"/>
          <w:szCs w:val="20"/>
          <w:color w:val="auto"/>
          <w:vertAlign w:val="superscript"/>
        </w:rPr>
      </w:pPr>
      <w:r>
        <w:rPr>
          <w:rFonts w:ascii="Arial" w:cs="Arial" w:eastAsia="Arial" w:hAnsi="Arial"/>
          <w:sz w:val="12"/>
          <w:szCs w:val="12"/>
          <w:color w:val="auto"/>
        </w:rPr>
        <w:t>Meridian Compensation Partners, LLC (Meridian).</w:t>
      </w:r>
    </w:p>
    <w:p>
      <w:pPr>
        <w:spacing w:after="0" w:line="54" w:lineRule="exact"/>
        <w:rPr>
          <w:rFonts w:ascii="Arial" w:cs="Arial" w:eastAsia="Arial" w:hAnsi="Arial"/>
          <w:sz w:val="20"/>
          <w:szCs w:val="20"/>
          <w:color w:val="auto"/>
          <w:vertAlign w:val="superscript"/>
        </w:rPr>
      </w:pPr>
    </w:p>
    <w:p>
      <w:pPr>
        <w:ind w:left="340" w:hanging="332"/>
        <w:spacing w:after="0" w:line="183" w:lineRule="auto"/>
        <w:tabs>
          <w:tab w:leader="none" w:pos="340" w:val="left"/>
        </w:tabs>
        <w:numPr>
          <w:ilvl w:val="0"/>
          <w:numId w:val="70"/>
        </w:numPr>
        <w:rPr>
          <w:rFonts w:ascii="Arial" w:cs="Arial" w:eastAsia="Arial" w:hAnsi="Arial"/>
          <w:sz w:val="20"/>
          <w:szCs w:val="20"/>
          <w:color w:val="auto"/>
          <w:vertAlign w:val="superscript"/>
        </w:rPr>
      </w:pPr>
      <w:r>
        <w:rPr>
          <w:rFonts w:ascii="Arial" w:cs="Arial" w:eastAsia="Arial" w:hAnsi="Arial"/>
          <w:sz w:val="12"/>
          <w:szCs w:val="12"/>
          <w:color w:val="auto"/>
        </w:rPr>
        <w:t>Daniel F. Akerson (Chairman), Nolan D. Archibald, Thomas J. Falk, Ilene S. Gordon and Vicki A. Hollub.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0"/>
        <w:spacing w:after="0"/>
        <w:tabs>
          <w:tab w:leader="none" w:pos="9420" w:val="left"/>
          <w:tab w:leader="none" w:pos="1122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2019 Proxy Statement</w:t>
      </w:r>
      <w:r>
        <w:rPr>
          <w:sz w:val="20"/>
          <w:szCs w:val="20"/>
          <w:color w:val="auto"/>
        </w:rPr>
        <w:tab/>
      </w:r>
      <w:r>
        <w:rPr>
          <w:rFonts w:ascii="Arial" w:cs="Arial" w:eastAsia="Arial" w:hAnsi="Arial"/>
          <w:sz w:val="14"/>
          <w:szCs w:val="14"/>
          <w:b w:val="1"/>
          <w:bCs w:val="1"/>
          <w:color w:val="808080"/>
        </w:rPr>
        <w:t>37</w:t>
      </w:r>
    </w:p>
    <w:p>
      <w:pPr>
        <w:sectPr>
          <w:pgSz w:w="11900" w:h="16838" w:orient="portrait"/>
          <w:cols w:equalWidth="0" w:num="1">
            <w:col w:w="11420"/>
          </w:cols>
          <w:pgMar w:left="240" w:top="292" w:right="2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5"/>
          <w:szCs w:val="15"/>
          <w:color w:val="003478"/>
        </w:rPr>
        <w:t>Executive Compensation</w:t>
      </w:r>
    </w:p>
    <w:p>
      <w:pPr>
        <w:spacing w:after="0" w:line="357" w:lineRule="exact"/>
        <w:rPr>
          <w:sz w:val="20"/>
          <w:szCs w:val="20"/>
          <w:color w:val="auto"/>
        </w:rPr>
      </w:pPr>
    </w:p>
    <w:p>
      <w:pPr>
        <w:spacing w:after="0"/>
        <w:rPr>
          <w:sz w:val="20"/>
          <w:szCs w:val="20"/>
          <w:color w:val="auto"/>
        </w:rPr>
      </w:pPr>
      <w:r>
        <w:rPr>
          <w:rFonts w:ascii="Arial" w:cs="Arial" w:eastAsia="Arial" w:hAnsi="Arial"/>
          <w:sz w:val="22"/>
          <w:szCs w:val="22"/>
          <w:color w:val="848EB4"/>
        </w:rPr>
        <w:t>How We Determine Market Rate Compensation</w:t>
      </w:r>
    </w:p>
    <w:p>
      <w:pPr>
        <w:spacing w:after="0" w:line="226"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As a starting point, for each of the principal elements of executive compensation we define the “market rate” as the size-adjusted 50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percentile of our comparator group of companies. Size-adjusted market rates are calculated for us by Aon Hewitt using regression analysis. This statistical technique accounts for revenue size differences within the peer group and results in a market rate for all compensation elements consistent with our revenue relationship to our peers. We also may adjust the market rate to reflect differences in an executive’s job scope relative to the industry or the comparator group of companies, as appropriate.</w:t>
      </w:r>
    </w:p>
    <w:p>
      <w:pPr>
        <w:spacing w:after="0" w:line="80"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The Compensation Committee considers the current market data in combination with other internal factors when setting annual target pay levels, such as changes to market data year-over-year, internal pay equity, individual performance, job scope and criticality to the Corporation. Our incentive plans are designed so that actual performance in excess of established performance targets results in payouts above target and actual performance below established performance targets results in payouts below target or no payout.</w:t>
      </w:r>
    </w:p>
    <w:p>
      <w:pPr>
        <w:spacing w:after="0" w:line="69" w:lineRule="exact"/>
        <w:rPr>
          <w:sz w:val="20"/>
          <w:szCs w:val="20"/>
          <w:color w:val="auto"/>
        </w:rPr>
      </w:pPr>
    </w:p>
    <w:p>
      <w:pPr>
        <w:spacing w:after="0"/>
        <w:rPr>
          <w:sz w:val="20"/>
          <w:szCs w:val="20"/>
          <w:color w:val="auto"/>
        </w:rPr>
      </w:pPr>
      <w:r>
        <w:rPr>
          <w:rFonts w:ascii="Arial" w:cs="Arial" w:eastAsia="Arial" w:hAnsi="Arial"/>
          <w:sz w:val="22"/>
          <w:szCs w:val="22"/>
          <w:color w:val="848EB4"/>
        </w:rPr>
        <w:t>How We Select the Comparator Group for Market Rate Purposes</w:t>
      </w:r>
    </w:p>
    <w:p>
      <w:pPr>
        <w:spacing w:after="0" w:line="226"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We regularly review our comparator group to maintain relevancy and to ensure the availability of data, while seeking to avoid significant annual changes in the group to ensure a level of consistency.</w:t>
      </w:r>
    </w:p>
    <w:p>
      <w:pPr>
        <w:spacing w:after="0" w:line="147"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To establish the market rate for each of the principal elements of compensation, we select a group of publicly-traded companies (our comparator group) to identify market rates. Because the number of comparable companies with our revenue level is not extensive, we include companies in our comparator group based on a number of factors, including:</w:t>
      </w:r>
    </w:p>
    <w:p>
      <w:pPr>
        <w:spacing w:after="0" w:line="166" w:lineRule="exact"/>
        <w:rPr>
          <w:sz w:val="20"/>
          <w:szCs w:val="20"/>
          <w:color w:val="auto"/>
        </w:rPr>
      </w:pPr>
    </w:p>
    <w:p>
      <w:pPr>
        <w:ind w:left="260" w:hanging="130"/>
        <w:spacing w:after="0"/>
        <w:tabs>
          <w:tab w:leader="none" w:pos="260" w:val="left"/>
        </w:tabs>
        <w:numPr>
          <w:ilvl w:val="0"/>
          <w:numId w:val="71"/>
        </w:numPr>
        <w:rPr>
          <w:rFonts w:ascii="Arial" w:cs="Arial" w:eastAsia="Arial" w:hAnsi="Arial"/>
          <w:sz w:val="17"/>
          <w:szCs w:val="17"/>
          <w:color w:val="012E6C"/>
        </w:rPr>
      </w:pPr>
      <w:r>
        <w:rPr>
          <w:rFonts w:ascii="Arial" w:cs="Arial" w:eastAsia="Arial" w:hAnsi="Arial"/>
          <w:sz w:val="17"/>
          <w:szCs w:val="17"/>
          <w:color w:val="auto"/>
        </w:rPr>
        <w:t>similarity in size (a high correlative factor in determining pay), generally based on annual revenues;</w:t>
      </w:r>
    </w:p>
    <w:p>
      <w:pPr>
        <w:spacing w:after="0" w:line="236" w:lineRule="exact"/>
        <w:rPr>
          <w:rFonts w:ascii="Arial" w:cs="Arial" w:eastAsia="Arial" w:hAnsi="Arial"/>
          <w:sz w:val="17"/>
          <w:szCs w:val="17"/>
          <w:color w:val="012E6C"/>
        </w:rPr>
      </w:pPr>
    </w:p>
    <w:p>
      <w:pPr>
        <w:ind w:left="260" w:right="280" w:hanging="130"/>
        <w:spacing w:after="0" w:line="308" w:lineRule="auto"/>
        <w:tabs>
          <w:tab w:leader="none" w:pos="260" w:val="left"/>
        </w:tabs>
        <w:numPr>
          <w:ilvl w:val="0"/>
          <w:numId w:val="71"/>
        </w:numPr>
        <w:rPr>
          <w:rFonts w:ascii="Arial" w:cs="Arial" w:eastAsia="Arial" w:hAnsi="Arial"/>
          <w:sz w:val="17"/>
          <w:szCs w:val="17"/>
          <w:color w:val="012E6C"/>
        </w:rPr>
      </w:pPr>
      <w:r>
        <w:rPr>
          <w:rFonts w:ascii="Arial" w:cs="Arial" w:eastAsia="Arial" w:hAnsi="Arial"/>
          <w:sz w:val="17"/>
          <w:szCs w:val="17"/>
          <w:color w:val="auto"/>
        </w:rPr>
        <w:t>participation in the Aon Hewitt executive compensation survey (our primary source for data in making market comparisons), which enables us to obtain reliable data for market comparisons that otherwise may not be publicly available;</w:t>
      </w:r>
    </w:p>
    <w:p>
      <w:pPr>
        <w:spacing w:after="0" w:line="146" w:lineRule="exact"/>
        <w:rPr>
          <w:rFonts w:ascii="Arial" w:cs="Arial" w:eastAsia="Arial" w:hAnsi="Arial"/>
          <w:sz w:val="17"/>
          <w:szCs w:val="17"/>
          <w:color w:val="012E6C"/>
        </w:rPr>
      </w:pPr>
    </w:p>
    <w:p>
      <w:pPr>
        <w:ind w:left="260" w:right="200" w:hanging="130"/>
        <w:spacing w:after="0" w:line="308" w:lineRule="auto"/>
        <w:tabs>
          <w:tab w:leader="none" w:pos="260" w:val="left"/>
        </w:tabs>
        <w:numPr>
          <w:ilvl w:val="0"/>
          <w:numId w:val="71"/>
        </w:numPr>
        <w:rPr>
          <w:rFonts w:ascii="Arial" w:cs="Arial" w:eastAsia="Arial" w:hAnsi="Arial"/>
          <w:sz w:val="17"/>
          <w:szCs w:val="17"/>
          <w:color w:val="012E6C"/>
        </w:rPr>
      </w:pPr>
      <w:r>
        <w:rPr>
          <w:rFonts w:ascii="Arial" w:cs="Arial" w:eastAsia="Arial" w:hAnsi="Arial"/>
          <w:sz w:val="17"/>
          <w:szCs w:val="17"/>
          <w:color w:val="auto"/>
        </w:rPr>
        <w:t>industrial companies and, to the extent possible, companies that compete in the aerospace and defense industry, which enables comparison with companies that face similar overall labor costs, economic factors and market fluctuations;</w:t>
      </w:r>
    </w:p>
    <w:p>
      <w:pPr>
        <w:spacing w:after="0" w:line="146" w:lineRule="exact"/>
        <w:rPr>
          <w:rFonts w:ascii="Arial" w:cs="Arial" w:eastAsia="Arial" w:hAnsi="Arial"/>
          <w:sz w:val="17"/>
          <w:szCs w:val="17"/>
          <w:color w:val="012E6C"/>
        </w:rPr>
      </w:pPr>
    </w:p>
    <w:p>
      <w:pPr>
        <w:ind w:left="260" w:right="60" w:hanging="130"/>
        <w:spacing w:after="0" w:line="279" w:lineRule="auto"/>
        <w:tabs>
          <w:tab w:leader="none" w:pos="260" w:val="left"/>
        </w:tabs>
        <w:numPr>
          <w:ilvl w:val="0"/>
          <w:numId w:val="71"/>
        </w:numPr>
        <w:rPr>
          <w:rFonts w:ascii="Arial" w:cs="Arial" w:eastAsia="Arial" w:hAnsi="Arial"/>
          <w:sz w:val="17"/>
          <w:szCs w:val="17"/>
          <w:color w:val="012E6C"/>
        </w:rPr>
      </w:pPr>
      <w:r>
        <w:rPr>
          <w:rFonts w:ascii="Arial" w:cs="Arial" w:eastAsia="Arial" w:hAnsi="Arial"/>
          <w:sz w:val="17"/>
          <w:szCs w:val="17"/>
          <w:color w:val="auto"/>
        </w:rPr>
        <w:t>companies that are included in the executive talent pool we consider when recruiting outside talent, as competitive conditions and a limited number of comparably-sized aerospace and defense companies require us to recruit outside the core aerospace and defense companies for a broad range of disciplines (e.g., finance, human resources, legal, supply chain management) to obtain individuals with a broad range of skills that are transferable across industries; and</w:t>
      </w:r>
    </w:p>
    <w:p>
      <w:pPr>
        <w:spacing w:after="0" w:line="171" w:lineRule="exact"/>
        <w:rPr>
          <w:rFonts w:ascii="Arial" w:cs="Arial" w:eastAsia="Arial" w:hAnsi="Arial"/>
          <w:sz w:val="17"/>
          <w:szCs w:val="17"/>
          <w:color w:val="012E6C"/>
        </w:rPr>
      </w:pPr>
    </w:p>
    <w:p>
      <w:pPr>
        <w:ind w:left="260" w:hanging="130"/>
        <w:spacing w:after="0"/>
        <w:tabs>
          <w:tab w:leader="none" w:pos="260" w:val="left"/>
        </w:tabs>
        <w:numPr>
          <w:ilvl w:val="0"/>
          <w:numId w:val="71"/>
        </w:numPr>
        <w:rPr>
          <w:rFonts w:ascii="Arial" w:cs="Arial" w:eastAsia="Arial" w:hAnsi="Arial"/>
          <w:sz w:val="17"/>
          <w:szCs w:val="17"/>
          <w:color w:val="012E6C"/>
        </w:rPr>
      </w:pPr>
      <w:r>
        <w:rPr>
          <w:rFonts w:ascii="Arial" w:cs="Arial" w:eastAsia="Arial" w:hAnsi="Arial"/>
          <w:sz w:val="17"/>
          <w:szCs w:val="17"/>
          <w:color w:val="auto"/>
        </w:rPr>
        <w:t>companies with comparable executive officer positions or management structures, which enables more appropriate compensation comparisons.</w:t>
      </w:r>
    </w:p>
    <w:p>
      <w:pPr>
        <w:spacing w:after="0" w:line="237"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We do not consider market capitalization in selecting our comparator group because market capitalization can change quickly as industries and companies go in and out of favor as investments and companies restructure.</w:t>
      </w:r>
    </w:p>
    <w:p>
      <w:pPr>
        <w:spacing w:after="0" w:line="147"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The data presented to and considered by the Compensation Committee regarding the level of compensation at the Corporation’s comparator group of peer companies was developed from the proprietary results of the Aon Hewitt executive compensation survey, subject to review by Meridian. All of the 2018 comparator group companies participated in the Aon Hewitt survey.</w:t>
      </w:r>
    </w:p>
    <w:p>
      <w:pPr>
        <w:spacing w:after="0" w:line="16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disclosed in last year's Proxy Statement, the Compensation Committee reviewed our comparator group during 2017, considering certain business combinations that occurred within our peer group, and approved a revised comparator group for 2018, which eliminated Johnson Controls International plc due to its business combination with Tyco International and International Paper Company because it is no longer similar in size to us in terms of its annual revenues. General Electric Company and International Business Machines Corporation were added as new comparator companies given their similarity to the Corporation in terms of size, industry and geographic presence. In addition, these newly added companies compete with us for key talent with comparable executive officer positions in terms of breadth, complexity and scope of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379730</wp:posOffset>
            </wp:positionV>
            <wp:extent cx="1440815" cy="3257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44081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808080"/>
        </w:rPr>
        <w:t>38</w:t>
      </w:r>
    </w:p>
    <w:p>
      <w:pPr>
        <w:sectPr>
          <w:pgSz w:w="11900" w:h="16838" w:orient="portrait"/>
          <w:cols w:equalWidth="0" w:num="1">
            <w:col w:w="11400"/>
          </w:cols>
          <w:pgMar w:left="240" w:top="292" w:right="259" w:bottom="1440" w:gutter="0" w:footer="0" w:header="0"/>
        </w:sectPr>
      </w:pPr>
    </w:p>
    <w:bookmarkStart w:id="41" w:name="page42"/>
    <w:bookmarkEnd w:id="41"/>
    <w:p>
      <w:pPr>
        <w:jc w:val="right"/>
        <w:spacing w:after="0"/>
        <w:rPr>
          <w:sz w:val="20"/>
          <w:szCs w:val="20"/>
          <w:color w:val="auto"/>
        </w:rPr>
      </w:pPr>
      <w:r>
        <w:rPr>
          <w:rFonts w:ascii="Arial" w:cs="Arial" w:eastAsia="Arial" w:hAnsi="Arial"/>
          <w:sz w:val="15"/>
          <w:szCs w:val="15"/>
          <w:color w:val="003478"/>
        </w:rPr>
        <w:t>Executive Compensation</w:t>
      </w:r>
    </w:p>
    <w:p>
      <w:pPr>
        <w:spacing w:after="0" w:line="363"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As such, we used the following companies as our comparator group for purposes of establishing market rate compensation for each of the principal elements of our compensation programs for 2018. Our 2018 revenues represented the 44th percentile of the comparator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9" w:lineRule="exact"/>
        <w:rPr>
          <w:sz w:val="20"/>
          <w:szCs w:val="20"/>
          <w:color w:val="auto"/>
        </w:rPr>
      </w:pPr>
    </w:p>
    <w:p>
      <w:pPr>
        <w:ind w:left="40"/>
        <w:spacing w:after="0"/>
        <w:rPr>
          <w:sz w:val="20"/>
          <w:szCs w:val="20"/>
          <w:color w:val="auto"/>
        </w:rPr>
      </w:pPr>
      <w:r>
        <w:rPr>
          <w:rFonts w:ascii="Arial" w:cs="Arial" w:eastAsia="Arial" w:hAnsi="Arial"/>
          <w:sz w:val="16"/>
          <w:szCs w:val="16"/>
          <w:color w:val="003478"/>
        </w:rPr>
        <w:t>2018 Comparator Group Companies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440" w:type="dxa"/>
            <w:vAlign w:val="bottom"/>
            <w:shd w:val="clear" w:color="auto" w:fill="E6E7EF"/>
          </w:tcPr>
          <w:p>
            <w:pPr>
              <w:ind w:left="120"/>
              <w:spacing w:after="0"/>
              <w:rPr>
                <w:sz w:val="20"/>
                <w:szCs w:val="20"/>
                <w:color w:val="auto"/>
              </w:rPr>
            </w:pPr>
            <w:r>
              <w:rPr>
                <w:rFonts w:ascii="Arial" w:cs="Arial" w:eastAsia="Arial" w:hAnsi="Arial"/>
                <w:sz w:val="17"/>
                <w:szCs w:val="17"/>
                <w:color w:val="auto"/>
              </w:rPr>
              <w:t>3M Company</w:t>
            </w:r>
          </w:p>
        </w:tc>
        <w:tc>
          <w:tcPr>
            <w:tcW w:w="4220" w:type="dxa"/>
            <w:vAlign w:val="bottom"/>
            <w:shd w:val="clear" w:color="auto" w:fill="E6E7EF"/>
          </w:tcPr>
          <w:p>
            <w:pPr>
              <w:ind w:left="100"/>
              <w:spacing w:after="0"/>
              <w:rPr>
                <w:sz w:val="20"/>
                <w:szCs w:val="20"/>
                <w:color w:val="auto"/>
              </w:rPr>
            </w:pPr>
            <w:r>
              <w:rPr>
                <w:rFonts w:ascii="Arial" w:cs="Arial" w:eastAsia="Arial" w:hAnsi="Arial"/>
                <w:sz w:val="17"/>
                <w:szCs w:val="17"/>
                <w:color w:val="auto"/>
              </w:rPr>
              <w:t>FedEx Corporation</w:t>
            </w:r>
          </w:p>
        </w:tc>
        <w:tc>
          <w:tcPr>
            <w:tcW w:w="3760" w:type="dxa"/>
            <w:vAlign w:val="bottom"/>
            <w:shd w:val="clear" w:color="auto" w:fill="E6E7EF"/>
          </w:tcPr>
          <w:p>
            <w:pPr>
              <w:ind w:left="120"/>
              <w:spacing w:after="0"/>
              <w:rPr>
                <w:sz w:val="20"/>
                <w:szCs w:val="20"/>
                <w:color w:val="auto"/>
              </w:rPr>
            </w:pPr>
            <w:r>
              <w:rPr>
                <w:rFonts w:ascii="Arial" w:cs="Arial" w:eastAsia="Arial" w:hAnsi="Arial"/>
                <w:sz w:val="17"/>
                <w:szCs w:val="17"/>
                <w:color w:val="auto"/>
              </w:rPr>
              <w:t>Northrop Grumman Corporation*</w:t>
            </w:r>
          </w:p>
        </w:tc>
      </w:tr>
      <w:tr>
        <w:trPr>
          <w:trHeight w:val="262"/>
        </w:trPr>
        <w:tc>
          <w:tcPr>
            <w:tcW w:w="3440" w:type="dxa"/>
            <w:vAlign w:val="bottom"/>
            <w:shd w:val="clear" w:color="auto" w:fill="E6E7EF"/>
          </w:tcPr>
          <w:p>
            <w:pPr>
              <w:ind w:left="120"/>
              <w:spacing w:after="0"/>
              <w:rPr>
                <w:sz w:val="20"/>
                <w:szCs w:val="20"/>
                <w:color w:val="auto"/>
              </w:rPr>
            </w:pPr>
            <w:r>
              <w:rPr>
                <w:rFonts w:ascii="Arial" w:cs="Arial" w:eastAsia="Arial" w:hAnsi="Arial"/>
                <w:sz w:val="17"/>
                <w:szCs w:val="17"/>
                <w:color w:val="auto"/>
              </w:rPr>
              <w:t>The Boeing Company*</w:t>
            </w:r>
          </w:p>
        </w:tc>
        <w:tc>
          <w:tcPr>
            <w:tcW w:w="4220" w:type="dxa"/>
            <w:vAlign w:val="bottom"/>
            <w:shd w:val="clear" w:color="auto" w:fill="E6E7EF"/>
          </w:tcPr>
          <w:p>
            <w:pPr>
              <w:ind w:left="100"/>
              <w:spacing w:after="0"/>
              <w:rPr>
                <w:sz w:val="20"/>
                <w:szCs w:val="20"/>
                <w:color w:val="auto"/>
              </w:rPr>
            </w:pPr>
            <w:r>
              <w:rPr>
                <w:rFonts w:ascii="Arial" w:cs="Arial" w:eastAsia="Arial" w:hAnsi="Arial"/>
                <w:sz w:val="17"/>
                <w:szCs w:val="17"/>
                <w:color w:val="auto"/>
              </w:rPr>
              <w:t>General Dynamics Corporation*</w:t>
            </w:r>
          </w:p>
        </w:tc>
        <w:tc>
          <w:tcPr>
            <w:tcW w:w="3760" w:type="dxa"/>
            <w:vAlign w:val="bottom"/>
            <w:shd w:val="clear" w:color="auto" w:fill="E6E7EF"/>
          </w:tcPr>
          <w:p>
            <w:pPr>
              <w:ind w:left="120"/>
              <w:spacing w:after="0"/>
              <w:rPr>
                <w:sz w:val="20"/>
                <w:szCs w:val="20"/>
                <w:color w:val="auto"/>
              </w:rPr>
            </w:pPr>
            <w:r>
              <w:rPr>
                <w:rFonts w:ascii="Arial" w:cs="Arial" w:eastAsia="Arial" w:hAnsi="Arial"/>
                <w:sz w:val="17"/>
                <w:szCs w:val="17"/>
                <w:color w:val="auto"/>
              </w:rPr>
              <w:t>Raytheon Company*</w:t>
            </w:r>
          </w:p>
        </w:tc>
      </w:tr>
      <w:tr>
        <w:trPr>
          <w:trHeight w:val="270"/>
        </w:trPr>
        <w:tc>
          <w:tcPr>
            <w:tcW w:w="3440" w:type="dxa"/>
            <w:vAlign w:val="bottom"/>
            <w:shd w:val="clear" w:color="auto" w:fill="E6E7EF"/>
          </w:tcPr>
          <w:p>
            <w:pPr>
              <w:ind w:left="120"/>
              <w:spacing w:after="0"/>
              <w:rPr>
                <w:sz w:val="20"/>
                <w:szCs w:val="20"/>
                <w:color w:val="auto"/>
              </w:rPr>
            </w:pPr>
            <w:r>
              <w:rPr>
                <w:rFonts w:ascii="Arial" w:cs="Arial" w:eastAsia="Arial" w:hAnsi="Arial"/>
                <w:sz w:val="17"/>
                <w:szCs w:val="17"/>
                <w:color w:val="auto"/>
              </w:rPr>
              <w:t>Caterpillar Inc.</w:t>
            </w:r>
          </w:p>
        </w:tc>
        <w:tc>
          <w:tcPr>
            <w:tcW w:w="4220" w:type="dxa"/>
            <w:vAlign w:val="bottom"/>
            <w:shd w:val="clear" w:color="auto" w:fill="E6E7EF"/>
          </w:tcPr>
          <w:p>
            <w:pPr>
              <w:ind w:left="100"/>
              <w:spacing w:after="0"/>
              <w:rPr>
                <w:sz w:val="20"/>
                <w:szCs w:val="20"/>
                <w:color w:val="auto"/>
              </w:rPr>
            </w:pPr>
            <w:r>
              <w:rPr>
                <w:rFonts w:ascii="Arial" w:cs="Arial" w:eastAsia="Arial" w:hAnsi="Arial"/>
                <w:sz w:val="17"/>
                <w:szCs w:val="17"/>
                <w:color w:val="auto"/>
              </w:rPr>
              <w:t>General Electric Company</w:t>
            </w:r>
          </w:p>
        </w:tc>
        <w:tc>
          <w:tcPr>
            <w:tcW w:w="3760" w:type="dxa"/>
            <w:vAlign w:val="bottom"/>
            <w:shd w:val="clear" w:color="auto" w:fill="E6E7EF"/>
          </w:tcPr>
          <w:p>
            <w:pPr>
              <w:ind w:left="120"/>
              <w:spacing w:after="0"/>
              <w:rPr>
                <w:sz w:val="20"/>
                <w:szCs w:val="20"/>
                <w:color w:val="auto"/>
              </w:rPr>
            </w:pPr>
            <w:r>
              <w:rPr>
                <w:rFonts w:ascii="Arial" w:cs="Arial" w:eastAsia="Arial" w:hAnsi="Arial"/>
                <w:sz w:val="17"/>
                <w:szCs w:val="17"/>
                <w:color w:val="auto"/>
              </w:rPr>
              <w:t>United Parcel Service, Inc.</w:t>
            </w:r>
          </w:p>
        </w:tc>
      </w:tr>
      <w:tr>
        <w:trPr>
          <w:trHeight w:val="270"/>
        </w:trPr>
        <w:tc>
          <w:tcPr>
            <w:tcW w:w="3440" w:type="dxa"/>
            <w:vAlign w:val="bottom"/>
            <w:shd w:val="clear" w:color="auto" w:fill="E6E7EF"/>
          </w:tcPr>
          <w:p>
            <w:pPr>
              <w:ind w:left="120"/>
              <w:spacing w:after="0"/>
              <w:rPr>
                <w:sz w:val="20"/>
                <w:szCs w:val="20"/>
                <w:color w:val="auto"/>
              </w:rPr>
            </w:pPr>
            <w:r>
              <w:rPr>
                <w:rFonts w:ascii="Arial" w:cs="Arial" w:eastAsia="Arial" w:hAnsi="Arial"/>
                <w:sz w:val="17"/>
                <w:szCs w:val="17"/>
                <w:color w:val="auto"/>
              </w:rPr>
              <w:t>Cisco Systems, Inc.</w:t>
            </w:r>
          </w:p>
        </w:tc>
        <w:tc>
          <w:tcPr>
            <w:tcW w:w="4220" w:type="dxa"/>
            <w:vAlign w:val="bottom"/>
            <w:shd w:val="clear" w:color="auto" w:fill="E6E7EF"/>
          </w:tcPr>
          <w:p>
            <w:pPr>
              <w:ind w:left="100"/>
              <w:spacing w:after="0"/>
              <w:rPr>
                <w:sz w:val="20"/>
                <w:szCs w:val="20"/>
                <w:color w:val="auto"/>
              </w:rPr>
            </w:pPr>
            <w:r>
              <w:rPr>
                <w:rFonts w:ascii="Arial" w:cs="Arial" w:eastAsia="Arial" w:hAnsi="Arial"/>
                <w:sz w:val="17"/>
                <w:szCs w:val="17"/>
                <w:color w:val="auto"/>
              </w:rPr>
              <w:t>Honeywell International Inc.*</w:t>
            </w:r>
          </w:p>
        </w:tc>
        <w:tc>
          <w:tcPr>
            <w:tcW w:w="3760" w:type="dxa"/>
            <w:vAlign w:val="bottom"/>
            <w:shd w:val="clear" w:color="auto" w:fill="E6E7EF"/>
          </w:tcPr>
          <w:p>
            <w:pPr>
              <w:ind w:left="120"/>
              <w:spacing w:after="0"/>
              <w:rPr>
                <w:sz w:val="20"/>
                <w:szCs w:val="20"/>
                <w:color w:val="auto"/>
              </w:rPr>
            </w:pPr>
            <w:r>
              <w:rPr>
                <w:rFonts w:ascii="Arial" w:cs="Arial" w:eastAsia="Arial" w:hAnsi="Arial"/>
                <w:sz w:val="17"/>
                <w:szCs w:val="17"/>
                <w:color w:val="auto"/>
              </w:rPr>
              <w:t>United Technologies Corporation*</w:t>
            </w:r>
          </w:p>
        </w:tc>
      </w:tr>
      <w:tr>
        <w:trPr>
          <w:trHeight w:val="270"/>
        </w:trPr>
        <w:tc>
          <w:tcPr>
            <w:tcW w:w="3440" w:type="dxa"/>
            <w:vAlign w:val="bottom"/>
            <w:shd w:val="clear" w:color="auto" w:fill="E6E7EF"/>
          </w:tcPr>
          <w:p>
            <w:pPr>
              <w:ind w:left="120"/>
              <w:spacing w:after="0"/>
              <w:rPr>
                <w:sz w:val="20"/>
                <w:szCs w:val="20"/>
                <w:color w:val="auto"/>
              </w:rPr>
            </w:pPr>
            <w:r>
              <w:rPr>
                <w:rFonts w:ascii="Arial" w:cs="Arial" w:eastAsia="Arial" w:hAnsi="Arial"/>
                <w:sz w:val="17"/>
                <w:szCs w:val="17"/>
                <w:color w:val="auto"/>
              </w:rPr>
              <w:t>Deere &amp; Company</w:t>
            </w:r>
          </w:p>
        </w:tc>
        <w:tc>
          <w:tcPr>
            <w:tcW w:w="4220" w:type="dxa"/>
            <w:vAlign w:val="bottom"/>
            <w:shd w:val="clear" w:color="auto" w:fill="E6E7EF"/>
          </w:tcPr>
          <w:p>
            <w:pPr>
              <w:ind w:left="100"/>
              <w:spacing w:after="0"/>
              <w:rPr>
                <w:sz w:val="20"/>
                <w:szCs w:val="20"/>
                <w:color w:val="auto"/>
              </w:rPr>
            </w:pPr>
            <w:r>
              <w:rPr>
                <w:rFonts w:ascii="Arial" w:cs="Arial" w:eastAsia="Arial" w:hAnsi="Arial"/>
                <w:sz w:val="17"/>
                <w:szCs w:val="17"/>
                <w:color w:val="auto"/>
              </w:rPr>
              <w:t>International Business Machines Corporation</w:t>
            </w:r>
          </w:p>
        </w:tc>
        <w:tc>
          <w:tcPr>
            <w:tcW w:w="3760" w:type="dxa"/>
            <w:vAlign w:val="bottom"/>
            <w:shd w:val="clear" w:color="auto" w:fill="E6E7EF"/>
          </w:tcPr>
          <w:p>
            <w:pPr>
              <w:spacing w:after="0"/>
              <w:rPr>
                <w:sz w:val="23"/>
                <w:szCs w:val="23"/>
                <w:color w:val="auto"/>
              </w:rPr>
            </w:pPr>
          </w:p>
        </w:tc>
      </w:tr>
      <w:tr>
        <w:trPr>
          <w:trHeight w:val="277"/>
        </w:trPr>
        <w:tc>
          <w:tcPr>
            <w:tcW w:w="3440" w:type="dxa"/>
            <w:vAlign w:val="bottom"/>
            <w:tcBorders>
              <w:bottom w:val="single" w:sz="8" w:color="E6E7EF"/>
            </w:tcBorders>
            <w:shd w:val="clear" w:color="auto" w:fill="E6E7EF"/>
          </w:tcPr>
          <w:p>
            <w:pPr>
              <w:ind w:left="120"/>
              <w:spacing w:after="0"/>
              <w:rPr>
                <w:sz w:val="20"/>
                <w:szCs w:val="20"/>
                <w:color w:val="auto"/>
              </w:rPr>
            </w:pPr>
            <w:r>
              <w:rPr>
                <w:rFonts w:ascii="Arial" w:cs="Arial" w:eastAsia="Arial" w:hAnsi="Arial"/>
                <w:sz w:val="17"/>
                <w:szCs w:val="17"/>
                <w:color w:val="auto"/>
              </w:rPr>
              <w:t>DowDuPont Inc.</w:t>
            </w:r>
          </w:p>
        </w:tc>
        <w:tc>
          <w:tcPr>
            <w:tcW w:w="4220" w:type="dxa"/>
            <w:vAlign w:val="bottom"/>
            <w:tcBorders>
              <w:bottom w:val="single" w:sz="8" w:color="E6E7EF"/>
            </w:tcBorders>
            <w:shd w:val="clear" w:color="auto" w:fill="E6E7EF"/>
          </w:tcPr>
          <w:p>
            <w:pPr>
              <w:ind w:left="100"/>
              <w:spacing w:after="0"/>
              <w:rPr>
                <w:sz w:val="20"/>
                <w:szCs w:val="20"/>
                <w:color w:val="auto"/>
              </w:rPr>
            </w:pPr>
            <w:r>
              <w:rPr>
                <w:rFonts w:ascii="Arial" w:cs="Arial" w:eastAsia="Arial" w:hAnsi="Arial"/>
                <w:sz w:val="17"/>
                <w:szCs w:val="17"/>
                <w:color w:val="auto"/>
              </w:rPr>
              <w:t>Intel Corporation</w:t>
            </w:r>
          </w:p>
        </w:tc>
        <w:tc>
          <w:tcPr>
            <w:tcW w:w="3760" w:type="dxa"/>
            <w:vAlign w:val="bottom"/>
            <w:tcBorders>
              <w:bottom w:val="single" w:sz="8" w:color="E6E7EF"/>
            </w:tcBorders>
            <w:shd w:val="clear" w:color="auto" w:fill="E6E7EF"/>
          </w:tcPr>
          <w:p>
            <w:pPr>
              <w:spacing w:after="0"/>
              <w:rPr>
                <w:sz w:val="24"/>
                <w:szCs w:val="24"/>
                <w:color w:val="auto"/>
              </w:rPr>
            </w:pPr>
          </w:p>
        </w:tc>
      </w:tr>
      <w:tr>
        <w:trPr>
          <w:trHeight w:val="195"/>
        </w:trPr>
        <w:tc>
          <w:tcPr>
            <w:tcW w:w="3440" w:type="dxa"/>
            <w:vAlign w:val="bottom"/>
          </w:tcPr>
          <w:p>
            <w:pPr>
              <w:spacing w:after="0"/>
              <w:rPr>
                <w:sz w:val="20"/>
                <w:szCs w:val="20"/>
                <w:color w:val="auto"/>
              </w:rPr>
            </w:pPr>
            <w:r>
              <w:rPr>
                <w:rFonts w:ascii="Arial" w:cs="Arial" w:eastAsia="Arial" w:hAnsi="Arial"/>
                <w:sz w:val="14"/>
                <w:szCs w:val="14"/>
                <w:color w:val="auto"/>
              </w:rPr>
              <w:t>*  Aerospace &amp; Defense Industry</w:t>
            </w:r>
          </w:p>
        </w:tc>
        <w:tc>
          <w:tcPr>
            <w:tcW w:w="4220" w:type="dxa"/>
            <w:vAlign w:val="bottom"/>
          </w:tcPr>
          <w:p>
            <w:pPr>
              <w:spacing w:after="0"/>
              <w:rPr>
                <w:sz w:val="16"/>
                <w:szCs w:val="16"/>
                <w:color w:val="auto"/>
              </w:rPr>
            </w:pPr>
          </w:p>
        </w:tc>
        <w:tc>
          <w:tcPr>
            <w:tcW w:w="3760" w:type="dxa"/>
            <w:vAlign w:val="bottom"/>
          </w:tcPr>
          <w:p>
            <w:pPr>
              <w:spacing w:after="0"/>
              <w:rPr>
                <w:sz w:val="16"/>
                <w:szCs w:val="16"/>
                <w:color w:val="auto"/>
              </w:rPr>
            </w:pPr>
          </w:p>
        </w:tc>
      </w:tr>
    </w:tbl>
    <w:p>
      <w:pPr>
        <w:spacing w:after="0" w:line="136" w:lineRule="exact"/>
        <w:rPr>
          <w:sz w:val="20"/>
          <w:szCs w:val="20"/>
          <w:color w:val="auto"/>
        </w:rPr>
      </w:pPr>
    </w:p>
    <w:p>
      <w:pPr>
        <w:spacing w:after="0"/>
        <w:rPr>
          <w:sz w:val="20"/>
          <w:szCs w:val="20"/>
          <w:color w:val="auto"/>
        </w:rPr>
      </w:pPr>
      <w:r>
        <w:rPr>
          <w:rFonts w:ascii="Arial" w:cs="Arial" w:eastAsia="Arial" w:hAnsi="Arial"/>
          <w:sz w:val="22"/>
          <w:szCs w:val="22"/>
          <w:color w:val="848EB4"/>
        </w:rPr>
        <w:t>Consideration of Internal Pay Equity</w:t>
      </w:r>
    </w:p>
    <w:p>
      <w:pPr>
        <w:spacing w:after="0" w:line="226" w:lineRule="exact"/>
        <w:rPr>
          <w:sz w:val="20"/>
          <w:szCs w:val="20"/>
          <w:color w:val="auto"/>
        </w:rPr>
      </w:pPr>
    </w:p>
    <w:p>
      <w:pPr>
        <w:ind w:right="780"/>
        <w:spacing w:after="0" w:line="286" w:lineRule="auto"/>
        <w:rPr>
          <w:sz w:val="20"/>
          <w:szCs w:val="20"/>
          <w:color w:val="auto"/>
        </w:rPr>
      </w:pPr>
      <w:r>
        <w:rPr>
          <w:rFonts w:ascii="Arial" w:cs="Arial" w:eastAsia="Arial" w:hAnsi="Arial"/>
          <w:sz w:val="17"/>
          <w:szCs w:val="17"/>
          <w:color w:val="auto"/>
        </w:rPr>
        <w:t>Consistent with past practice, the Compensation Committee reviewed the pay relationship of the CEO to the other NEOs as part of its annual compensation review in 2018. This material was presented to the Compensation Committee by Meridian in its capacity as the Committee’s independent compensation consultant.</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848EB4"/>
        </w:rPr>
        <w:t>Compensation and Risk</w:t>
      </w:r>
    </w:p>
    <w:p>
      <w:pPr>
        <w:spacing w:after="0" w:line="226"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 Corporation’s executive and broad-based compensation programs are intended to promote decision-making that supports a pay for performance philosophy while mitigating risk by utilizing the following design features: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540" w:type="dxa"/>
            <w:vAlign w:val="bottom"/>
            <w:shd w:val="clear" w:color="auto" w:fill="E6E7EF"/>
          </w:tcPr>
          <w:p>
            <w:pPr>
              <w:ind w:left="60"/>
              <w:spacing w:after="0"/>
              <w:rPr>
                <w:sz w:val="20"/>
                <w:szCs w:val="20"/>
                <w:color w:val="auto"/>
              </w:rPr>
            </w:pPr>
            <w:r>
              <w:rPr>
                <w:rFonts w:ascii="Arial" w:cs="Arial" w:eastAsia="Arial" w:hAnsi="Arial"/>
                <w:sz w:val="17"/>
                <w:szCs w:val="17"/>
                <w:color w:val="012E6C"/>
              </w:rPr>
              <w:t xml:space="preserve">•  </w:t>
            </w:r>
            <w:r>
              <w:rPr>
                <w:rFonts w:ascii="Arial" w:cs="Arial" w:eastAsia="Arial" w:hAnsi="Arial"/>
                <w:sz w:val="17"/>
                <w:szCs w:val="17"/>
                <w:color w:val="000000"/>
              </w:rPr>
              <w:t>Mix of fixed and variable pay opportunities</w:t>
            </w:r>
          </w:p>
        </w:tc>
        <w:tc>
          <w:tcPr>
            <w:tcW w:w="5880" w:type="dxa"/>
            <w:vAlign w:val="bottom"/>
            <w:gridSpan w:val="2"/>
            <w:shd w:val="clear" w:color="auto" w:fill="E6E7EF"/>
          </w:tcPr>
          <w:p>
            <w:pPr>
              <w:ind w:left="240"/>
              <w:spacing w:after="0"/>
              <w:rPr>
                <w:sz w:val="20"/>
                <w:szCs w:val="20"/>
                <w:color w:val="auto"/>
              </w:rPr>
            </w:pPr>
            <w:r>
              <w:rPr>
                <w:rFonts w:ascii="Arial" w:cs="Arial" w:eastAsia="Arial" w:hAnsi="Arial"/>
                <w:sz w:val="17"/>
                <w:szCs w:val="17"/>
                <w:color w:val="012E6C"/>
              </w:rPr>
              <w:t xml:space="preserve">•  </w:t>
            </w:r>
            <w:r>
              <w:rPr>
                <w:rFonts w:ascii="Arial" w:cs="Arial" w:eastAsia="Arial" w:hAnsi="Arial"/>
                <w:sz w:val="17"/>
                <w:szCs w:val="17"/>
                <w:color w:val="000000"/>
              </w:rPr>
              <w:t>Moderate severance program and post-employment restrictive</w:t>
            </w:r>
          </w:p>
        </w:tc>
        <w:tc>
          <w:tcPr>
            <w:tcW w:w="0" w:type="dxa"/>
            <w:vAlign w:val="bottom"/>
          </w:tcPr>
          <w:p>
            <w:pPr>
              <w:spacing w:after="0"/>
              <w:rPr>
                <w:sz w:val="1"/>
                <w:szCs w:val="1"/>
                <w:color w:val="auto"/>
              </w:rPr>
            </w:pPr>
          </w:p>
        </w:tc>
      </w:tr>
      <w:tr>
        <w:trPr>
          <w:trHeight w:val="231"/>
        </w:trPr>
        <w:tc>
          <w:tcPr>
            <w:tcW w:w="5540" w:type="dxa"/>
            <w:vAlign w:val="bottom"/>
            <w:vMerge w:val="restart"/>
            <w:shd w:val="clear" w:color="auto" w:fill="E6E7EF"/>
          </w:tcPr>
          <w:p>
            <w:pPr>
              <w:ind w:left="60"/>
              <w:spacing w:after="0"/>
              <w:rPr>
                <w:sz w:val="20"/>
                <w:szCs w:val="20"/>
                <w:color w:val="auto"/>
              </w:rPr>
            </w:pPr>
            <w:r>
              <w:rPr>
                <w:rFonts w:ascii="Arial" w:cs="Arial" w:eastAsia="Arial" w:hAnsi="Arial"/>
                <w:sz w:val="17"/>
                <w:szCs w:val="17"/>
                <w:color w:val="012E6C"/>
              </w:rPr>
              <w:t xml:space="preserve">•  </w:t>
            </w:r>
            <w:r>
              <w:rPr>
                <w:rFonts w:ascii="Arial" w:cs="Arial" w:eastAsia="Arial" w:hAnsi="Arial"/>
                <w:sz w:val="17"/>
                <w:szCs w:val="17"/>
                <w:color w:val="000000"/>
              </w:rPr>
              <w:t>Multiple performance measures, multiple time periods and capped</w:t>
            </w:r>
          </w:p>
        </w:tc>
        <w:tc>
          <w:tcPr>
            <w:tcW w:w="340" w:type="dxa"/>
            <w:vAlign w:val="bottom"/>
            <w:shd w:val="clear" w:color="auto" w:fill="E6E7EF"/>
          </w:tcPr>
          <w:p>
            <w:pPr>
              <w:spacing w:after="0"/>
              <w:rPr>
                <w:sz w:val="20"/>
                <w:szCs w:val="20"/>
                <w:color w:val="auto"/>
              </w:rPr>
            </w:pPr>
          </w:p>
        </w:tc>
        <w:tc>
          <w:tcPr>
            <w:tcW w:w="5540" w:type="dxa"/>
            <w:vAlign w:val="bottom"/>
            <w:shd w:val="clear" w:color="auto" w:fill="E6E7EF"/>
          </w:tcPr>
          <w:p>
            <w:pPr>
              <w:ind w:left="20"/>
              <w:spacing w:after="0"/>
              <w:rPr>
                <w:sz w:val="20"/>
                <w:szCs w:val="20"/>
                <w:color w:val="auto"/>
              </w:rPr>
            </w:pPr>
            <w:r>
              <w:rPr>
                <w:rFonts w:ascii="Arial" w:cs="Arial" w:eastAsia="Arial" w:hAnsi="Arial"/>
                <w:sz w:val="17"/>
                <w:szCs w:val="17"/>
                <w:color w:val="auto"/>
              </w:rPr>
              <w:t>covenants</w:t>
            </w:r>
          </w:p>
        </w:tc>
        <w:tc>
          <w:tcPr>
            <w:tcW w:w="0" w:type="dxa"/>
            <w:vAlign w:val="bottom"/>
          </w:tcPr>
          <w:p>
            <w:pPr>
              <w:spacing w:after="0"/>
              <w:rPr>
                <w:sz w:val="1"/>
                <w:szCs w:val="1"/>
                <w:color w:val="auto"/>
              </w:rPr>
            </w:pPr>
          </w:p>
        </w:tc>
      </w:tr>
      <w:tr>
        <w:trPr>
          <w:trHeight w:val="66"/>
        </w:trPr>
        <w:tc>
          <w:tcPr>
            <w:tcW w:w="5540" w:type="dxa"/>
            <w:vAlign w:val="bottom"/>
            <w:vMerge w:val="continue"/>
            <w:shd w:val="clear" w:color="auto" w:fill="E6E7EF"/>
          </w:tcPr>
          <w:p>
            <w:pPr>
              <w:spacing w:after="0"/>
              <w:rPr>
                <w:sz w:val="5"/>
                <w:szCs w:val="5"/>
                <w:color w:val="auto"/>
              </w:rPr>
            </w:pPr>
          </w:p>
        </w:tc>
        <w:tc>
          <w:tcPr>
            <w:tcW w:w="340" w:type="dxa"/>
            <w:vAlign w:val="bottom"/>
            <w:shd w:val="clear" w:color="auto" w:fill="E6E7EF"/>
          </w:tcPr>
          <w:p>
            <w:pPr>
              <w:spacing w:after="0"/>
              <w:rPr>
                <w:sz w:val="5"/>
                <w:szCs w:val="5"/>
                <w:color w:val="auto"/>
              </w:rPr>
            </w:pPr>
          </w:p>
        </w:tc>
        <w:tc>
          <w:tcPr>
            <w:tcW w:w="5540" w:type="dxa"/>
            <w:vAlign w:val="bottom"/>
            <w:shd w:val="clear" w:color="auto" w:fill="E6E7EF"/>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540" w:type="dxa"/>
            <w:vAlign w:val="bottom"/>
            <w:shd w:val="clear" w:color="auto" w:fill="E6E7EF"/>
          </w:tcPr>
          <w:p>
            <w:pPr>
              <w:ind w:left="200"/>
              <w:spacing w:after="0"/>
              <w:rPr>
                <w:sz w:val="20"/>
                <w:szCs w:val="20"/>
                <w:color w:val="auto"/>
              </w:rPr>
            </w:pPr>
            <w:r>
              <w:rPr>
                <w:rFonts w:ascii="Arial" w:cs="Arial" w:eastAsia="Arial" w:hAnsi="Arial"/>
                <w:sz w:val="17"/>
                <w:szCs w:val="17"/>
                <w:color w:val="auto"/>
              </w:rPr>
              <w:t>payouts under incentive plans</w:t>
            </w:r>
          </w:p>
        </w:tc>
        <w:tc>
          <w:tcPr>
            <w:tcW w:w="5880" w:type="dxa"/>
            <w:vAlign w:val="bottom"/>
            <w:gridSpan w:val="2"/>
            <w:shd w:val="clear" w:color="auto" w:fill="E6E7EF"/>
          </w:tcPr>
          <w:p>
            <w:pPr>
              <w:ind w:left="240"/>
              <w:spacing w:after="0"/>
              <w:rPr>
                <w:sz w:val="20"/>
                <w:szCs w:val="20"/>
                <w:color w:val="auto"/>
              </w:rPr>
            </w:pPr>
            <w:r>
              <w:rPr>
                <w:rFonts w:ascii="Arial" w:cs="Arial" w:eastAsia="Arial" w:hAnsi="Arial"/>
                <w:sz w:val="17"/>
                <w:szCs w:val="17"/>
                <w:color w:val="012E6C"/>
              </w:rPr>
              <w:t xml:space="preserve">•  </w:t>
            </w:r>
            <w:r>
              <w:rPr>
                <w:rFonts w:ascii="Arial" w:cs="Arial" w:eastAsia="Arial" w:hAnsi="Arial"/>
                <w:sz w:val="17"/>
                <w:szCs w:val="17"/>
                <w:color w:val="000000"/>
              </w:rPr>
              <w:t>Institutional focus on ethical behavior</w:t>
            </w:r>
          </w:p>
        </w:tc>
        <w:tc>
          <w:tcPr>
            <w:tcW w:w="0" w:type="dxa"/>
            <w:vAlign w:val="bottom"/>
          </w:tcPr>
          <w:p>
            <w:pPr>
              <w:spacing w:after="0"/>
              <w:rPr>
                <w:sz w:val="1"/>
                <w:szCs w:val="1"/>
                <w:color w:val="auto"/>
              </w:rPr>
            </w:pPr>
          </w:p>
        </w:tc>
      </w:tr>
      <w:tr>
        <w:trPr>
          <w:trHeight w:val="297"/>
        </w:trPr>
        <w:tc>
          <w:tcPr>
            <w:tcW w:w="5540" w:type="dxa"/>
            <w:vAlign w:val="bottom"/>
            <w:shd w:val="clear" w:color="auto" w:fill="E6E7EF"/>
          </w:tcPr>
          <w:p>
            <w:pPr>
              <w:ind w:left="60"/>
              <w:spacing w:after="0"/>
              <w:rPr>
                <w:sz w:val="20"/>
                <w:szCs w:val="20"/>
                <w:color w:val="auto"/>
              </w:rPr>
            </w:pPr>
            <w:r>
              <w:rPr>
                <w:rFonts w:ascii="Arial" w:cs="Arial" w:eastAsia="Arial" w:hAnsi="Arial"/>
                <w:sz w:val="17"/>
                <w:szCs w:val="17"/>
                <w:color w:val="012E6C"/>
              </w:rPr>
              <w:t xml:space="preserve">•  </w:t>
            </w:r>
            <w:r>
              <w:rPr>
                <w:rFonts w:ascii="Arial" w:cs="Arial" w:eastAsia="Arial" w:hAnsi="Arial"/>
                <w:sz w:val="17"/>
                <w:szCs w:val="17"/>
                <w:color w:val="000000"/>
              </w:rPr>
              <w:t>Stock ownership requirements</w:t>
            </w:r>
          </w:p>
        </w:tc>
        <w:tc>
          <w:tcPr>
            <w:tcW w:w="340" w:type="dxa"/>
            <w:vAlign w:val="bottom"/>
            <w:shd w:val="clear" w:color="auto" w:fill="E6E7EF"/>
          </w:tcPr>
          <w:p>
            <w:pPr>
              <w:ind w:left="240"/>
              <w:spacing w:after="0"/>
              <w:rPr>
                <w:sz w:val="20"/>
                <w:szCs w:val="20"/>
                <w:color w:val="auto"/>
              </w:rPr>
            </w:pPr>
            <w:r>
              <w:rPr>
                <w:rFonts w:ascii="Arial" w:cs="Arial" w:eastAsia="Arial" w:hAnsi="Arial"/>
                <w:sz w:val="17"/>
                <w:szCs w:val="17"/>
                <w:color w:val="012E6C"/>
              </w:rPr>
              <w:t>•</w:t>
            </w:r>
          </w:p>
        </w:tc>
        <w:tc>
          <w:tcPr>
            <w:tcW w:w="5540" w:type="dxa"/>
            <w:vAlign w:val="bottom"/>
            <w:shd w:val="clear" w:color="auto" w:fill="E6E7EF"/>
          </w:tcPr>
          <w:p>
            <w:pPr>
              <w:ind w:left="140"/>
              <w:spacing w:after="0"/>
              <w:rPr>
                <w:sz w:val="20"/>
                <w:szCs w:val="20"/>
                <w:color w:val="auto"/>
              </w:rPr>
            </w:pPr>
            <w:r>
              <w:rPr>
                <w:rFonts w:ascii="Arial" w:cs="Arial" w:eastAsia="Arial" w:hAnsi="Arial"/>
                <w:sz w:val="17"/>
                <w:szCs w:val="17"/>
                <w:color w:val="auto"/>
              </w:rPr>
              <w:t>Annual risk review</w:t>
            </w:r>
          </w:p>
        </w:tc>
        <w:tc>
          <w:tcPr>
            <w:tcW w:w="0" w:type="dxa"/>
            <w:vAlign w:val="bottom"/>
          </w:tcPr>
          <w:p>
            <w:pPr>
              <w:spacing w:after="0"/>
              <w:rPr>
                <w:sz w:val="1"/>
                <w:szCs w:val="1"/>
                <w:color w:val="auto"/>
              </w:rPr>
            </w:pPr>
          </w:p>
        </w:tc>
      </w:tr>
      <w:tr>
        <w:trPr>
          <w:trHeight w:val="297"/>
        </w:trPr>
        <w:tc>
          <w:tcPr>
            <w:tcW w:w="5540" w:type="dxa"/>
            <w:vAlign w:val="bottom"/>
            <w:shd w:val="clear" w:color="auto" w:fill="E6E7EF"/>
          </w:tcPr>
          <w:p>
            <w:pPr>
              <w:ind w:left="60"/>
              <w:spacing w:after="0"/>
              <w:rPr>
                <w:sz w:val="20"/>
                <w:szCs w:val="20"/>
                <w:color w:val="auto"/>
              </w:rPr>
            </w:pPr>
            <w:r>
              <w:rPr>
                <w:rFonts w:ascii="Arial" w:cs="Arial" w:eastAsia="Arial" w:hAnsi="Arial"/>
                <w:sz w:val="17"/>
                <w:szCs w:val="17"/>
                <w:color w:val="012E6C"/>
              </w:rPr>
              <w:t xml:space="preserve">•  </w:t>
            </w:r>
            <w:r>
              <w:rPr>
                <w:rFonts w:ascii="Arial" w:cs="Arial" w:eastAsia="Arial" w:hAnsi="Arial"/>
                <w:sz w:val="17"/>
                <w:szCs w:val="17"/>
                <w:color w:val="000000"/>
              </w:rPr>
              <w:t>Oversight by independent Board committees</w:t>
            </w:r>
          </w:p>
        </w:tc>
        <w:tc>
          <w:tcPr>
            <w:tcW w:w="5880" w:type="dxa"/>
            <w:vAlign w:val="bottom"/>
            <w:gridSpan w:val="2"/>
            <w:shd w:val="clear" w:color="auto" w:fill="E6E7EF"/>
          </w:tcPr>
          <w:p>
            <w:pPr>
              <w:ind w:left="240"/>
              <w:spacing w:after="0"/>
              <w:rPr>
                <w:sz w:val="20"/>
                <w:szCs w:val="20"/>
                <w:color w:val="auto"/>
              </w:rPr>
            </w:pPr>
            <w:r>
              <w:rPr>
                <w:rFonts w:ascii="Arial" w:cs="Arial" w:eastAsia="Arial" w:hAnsi="Arial"/>
                <w:sz w:val="17"/>
                <w:szCs w:val="17"/>
                <w:color w:val="012E6C"/>
              </w:rPr>
              <w:t xml:space="preserve">•  </w:t>
            </w:r>
            <w:r>
              <w:rPr>
                <w:rFonts w:ascii="Arial" w:cs="Arial" w:eastAsia="Arial" w:hAnsi="Arial"/>
                <w:sz w:val="17"/>
                <w:szCs w:val="17"/>
                <w:color w:val="000000"/>
              </w:rPr>
              <w:t>Compensation Committee oversight of equity burn rate and dilution</w:t>
            </w:r>
          </w:p>
        </w:tc>
        <w:tc>
          <w:tcPr>
            <w:tcW w:w="0" w:type="dxa"/>
            <w:vAlign w:val="bottom"/>
          </w:tcPr>
          <w:p>
            <w:pPr>
              <w:spacing w:after="0"/>
              <w:rPr>
                <w:sz w:val="1"/>
                <w:szCs w:val="1"/>
                <w:color w:val="auto"/>
              </w:rPr>
            </w:pPr>
          </w:p>
        </w:tc>
      </w:tr>
      <w:tr>
        <w:trPr>
          <w:trHeight w:val="297"/>
        </w:trPr>
        <w:tc>
          <w:tcPr>
            <w:tcW w:w="5540" w:type="dxa"/>
            <w:vAlign w:val="bottom"/>
            <w:shd w:val="clear" w:color="auto" w:fill="E6E7EF"/>
          </w:tcPr>
          <w:p>
            <w:pPr>
              <w:ind w:left="60"/>
              <w:spacing w:after="0"/>
              <w:rPr>
                <w:sz w:val="20"/>
                <w:szCs w:val="20"/>
                <w:color w:val="auto"/>
              </w:rPr>
            </w:pPr>
            <w:r>
              <w:rPr>
                <w:rFonts w:ascii="Arial" w:cs="Arial" w:eastAsia="Arial" w:hAnsi="Arial"/>
                <w:sz w:val="17"/>
                <w:szCs w:val="17"/>
                <w:color w:val="012E6C"/>
              </w:rPr>
              <w:t xml:space="preserve">•  </w:t>
            </w:r>
            <w:r>
              <w:rPr>
                <w:rFonts w:ascii="Arial" w:cs="Arial" w:eastAsia="Arial" w:hAnsi="Arial"/>
                <w:sz w:val="17"/>
                <w:szCs w:val="17"/>
                <w:color w:val="000000"/>
              </w:rPr>
              <w:t>Set incentive goals at the Enterprise or business segment level</w:t>
            </w:r>
          </w:p>
        </w:tc>
        <w:tc>
          <w:tcPr>
            <w:tcW w:w="340" w:type="dxa"/>
            <w:vAlign w:val="bottom"/>
            <w:shd w:val="clear" w:color="auto" w:fill="E6E7EF"/>
          </w:tcPr>
          <w:p>
            <w:pPr>
              <w:ind w:left="240"/>
              <w:spacing w:after="0"/>
              <w:rPr>
                <w:sz w:val="20"/>
                <w:szCs w:val="20"/>
                <w:color w:val="auto"/>
              </w:rPr>
            </w:pPr>
            <w:r>
              <w:rPr>
                <w:rFonts w:ascii="Arial" w:cs="Arial" w:eastAsia="Arial" w:hAnsi="Arial"/>
                <w:sz w:val="17"/>
                <w:szCs w:val="17"/>
                <w:color w:val="012E6C"/>
              </w:rPr>
              <w:t>•</w:t>
            </w:r>
          </w:p>
        </w:tc>
        <w:tc>
          <w:tcPr>
            <w:tcW w:w="5540" w:type="dxa"/>
            <w:vAlign w:val="bottom"/>
            <w:shd w:val="clear" w:color="auto" w:fill="E6E7EF"/>
          </w:tcPr>
          <w:p>
            <w:pPr>
              <w:ind w:left="140"/>
              <w:spacing w:after="0"/>
              <w:rPr>
                <w:sz w:val="20"/>
                <w:szCs w:val="20"/>
                <w:color w:val="auto"/>
              </w:rPr>
            </w:pPr>
            <w:r>
              <w:rPr>
                <w:rFonts w:ascii="Arial" w:cs="Arial" w:eastAsia="Arial" w:hAnsi="Arial"/>
                <w:sz w:val="17"/>
                <w:szCs w:val="17"/>
                <w:color w:val="auto"/>
              </w:rPr>
              <w:t>Clawback policy</w:t>
            </w:r>
          </w:p>
        </w:tc>
        <w:tc>
          <w:tcPr>
            <w:tcW w:w="0" w:type="dxa"/>
            <w:vAlign w:val="bottom"/>
          </w:tcPr>
          <w:p>
            <w:pPr>
              <w:spacing w:after="0"/>
              <w:rPr>
                <w:sz w:val="1"/>
                <w:szCs w:val="1"/>
                <w:color w:val="auto"/>
              </w:rPr>
            </w:pPr>
          </w:p>
        </w:tc>
      </w:tr>
      <w:tr>
        <w:trPr>
          <w:trHeight w:val="68"/>
        </w:trPr>
        <w:tc>
          <w:tcPr>
            <w:tcW w:w="5540" w:type="dxa"/>
            <w:vAlign w:val="bottom"/>
            <w:shd w:val="clear" w:color="auto" w:fill="E6E7EF"/>
          </w:tcPr>
          <w:p>
            <w:pPr>
              <w:spacing w:after="0"/>
              <w:rPr>
                <w:sz w:val="5"/>
                <w:szCs w:val="5"/>
                <w:color w:val="auto"/>
              </w:rPr>
            </w:pPr>
          </w:p>
        </w:tc>
        <w:tc>
          <w:tcPr>
            <w:tcW w:w="340" w:type="dxa"/>
            <w:vAlign w:val="bottom"/>
            <w:shd w:val="clear" w:color="auto" w:fill="E6E7EF"/>
          </w:tcPr>
          <w:p>
            <w:pPr>
              <w:spacing w:after="0"/>
              <w:rPr>
                <w:sz w:val="5"/>
                <w:szCs w:val="5"/>
                <w:color w:val="auto"/>
              </w:rPr>
            </w:pPr>
          </w:p>
        </w:tc>
        <w:tc>
          <w:tcPr>
            <w:tcW w:w="5540" w:type="dxa"/>
            <w:vAlign w:val="bottom"/>
            <w:shd w:val="clear" w:color="auto" w:fill="E6E7EF"/>
          </w:tcPr>
          <w:p>
            <w:pPr>
              <w:spacing w:after="0"/>
              <w:rPr>
                <w:sz w:val="5"/>
                <w:szCs w:val="5"/>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At the Compensation Committee’s request, Meridian reviewed all executive and broad-based incentive compensation programs in 2018 and concluded that risks arising from our incentive compensation programs are not reasonably likely to have a material adverse effect on the Corporation.</w:t>
      </w:r>
    </w:p>
    <w:p>
      <w:pPr>
        <w:spacing w:after="0" w:line="200" w:lineRule="exact"/>
        <w:rPr>
          <w:sz w:val="20"/>
          <w:szCs w:val="20"/>
          <w:color w:val="auto"/>
        </w:rPr>
      </w:pPr>
    </w:p>
    <w:p>
      <w:pPr>
        <w:spacing w:after="0" w:line="235" w:lineRule="exact"/>
        <w:rPr>
          <w:sz w:val="20"/>
          <w:szCs w:val="20"/>
          <w:color w:val="auto"/>
        </w:rPr>
      </w:pPr>
    </w:p>
    <w:p>
      <w:pPr>
        <w:ind w:left="40"/>
        <w:spacing w:after="0"/>
        <w:tabs>
          <w:tab w:leader="none" w:pos="9420" w:val="left"/>
          <w:tab w:leader="none" w:pos="1122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2019 Proxy Statement</w:t>
      </w:r>
      <w:r>
        <w:rPr>
          <w:sz w:val="20"/>
          <w:szCs w:val="20"/>
          <w:color w:val="auto"/>
        </w:rPr>
        <w:tab/>
      </w:r>
      <w:r>
        <w:rPr>
          <w:rFonts w:ascii="Arial" w:cs="Arial" w:eastAsia="Arial" w:hAnsi="Arial"/>
          <w:sz w:val="14"/>
          <w:szCs w:val="14"/>
          <w:b w:val="1"/>
          <w:bCs w:val="1"/>
          <w:color w:val="808080"/>
        </w:rPr>
        <w:t>39</w:t>
      </w:r>
    </w:p>
    <w:p>
      <w:pPr>
        <w:sectPr>
          <w:pgSz w:w="11900" w:h="16838" w:orient="portrait"/>
          <w:cols w:equalWidth="0" w:num="1">
            <w:col w:w="11420"/>
          </w:cols>
          <w:pgMar w:left="240" w:top="292" w:right="239" w:bottom="1440" w:gutter="0" w:footer="0" w:header="0"/>
        </w:sectPr>
      </w:pPr>
    </w:p>
    <w:bookmarkStart w:id="42" w:name="page43"/>
    <w:bookmarkEnd w:id="42"/>
    <w:p>
      <w:pPr>
        <w:spacing w:after="0"/>
        <w:rPr>
          <w:sz w:val="20"/>
          <w:szCs w:val="20"/>
          <w:color w:val="auto"/>
        </w:rPr>
      </w:pPr>
      <w:r>
        <w:rPr>
          <w:rFonts w:ascii="Arial" w:cs="Arial" w:eastAsia="Arial" w:hAnsi="Arial"/>
          <w:sz w:val="15"/>
          <w:szCs w:val="15"/>
          <w:color w:val="003478"/>
        </w:rPr>
        <w:t>Executive Compensation</w:t>
      </w:r>
    </w:p>
    <w:p>
      <w:pPr>
        <w:spacing w:after="0" w:line="347" w:lineRule="exact"/>
        <w:rPr>
          <w:sz w:val="20"/>
          <w:szCs w:val="20"/>
          <w:color w:val="auto"/>
        </w:rPr>
      </w:pPr>
    </w:p>
    <w:p>
      <w:pPr>
        <w:spacing w:after="0"/>
        <w:rPr>
          <w:sz w:val="20"/>
          <w:szCs w:val="20"/>
          <w:color w:val="auto"/>
        </w:rPr>
      </w:pPr>
      <w:r>
        <w:rPr>
          <w:rFonts w:ascii="Arial" w:cs="Arial" w:eastAsia="Arial" w:hAnsi="Arial"/>
          <w:sz w:val="25"/>
          <w:szCs w:val="25"/>
          <w:color w:val="475C90"/>
        </w:rPr>
        <w:t>2018 Named Executive Officers’ Compensation</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color w:val="848EB4"/>
        </w:rPr>
        <w:t>2018 Target Compensation</w:t>
      </w:r>
    </w:p>
    <w:p>
      <w:pPr>
        <w:spacing w:after="0" w:line="226"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Our NEOs’ target compensation for 2018 is shown below, which is closely aligned to the market rate. When determining pay for our NEOs, the Compensation Committee considers the current market data in combination with other internal factors when setting annual target pay levels, such as changes to market data year-over-year, internal pay equity, individual performance, job scope and criticality to the Corporation.</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160" w:type="dxa"/>
            <w:vAlign w:val="bottom"/>
            <w:tcBorders>
              <w:bottom w:val="single" w:sz="8" w:color="ECECEC"/>
            </w:tcBorders>
            <w:shd w:val="clear" w:color="auto" w:fill="ECECEC"/>
          </w:tcPr>
          <w:p>
            <w:pPr>
              <w:spacing w:after="0"/>
              <w:rPr>
                <w:sz w:val="22"/>
                <w:szCs w:val="22"/>
                <w:color w:val="auto"/>
              </w:rPr>
            </w:pPr>
          </w:p>
        </w:tc>
        <w:tc>
          <w:tcPr>
            <w:tcW w:w="1140" w:type="dxa"/>
            <w:vAlign w:val="bottom"/>
            <w:tcBorders>
              <w:bottom w:val="single" w:sz="8" w:color="ECECEC"/>
            </w:tcBorders>
            <w:shd w:val="clear" w:color="auto" w:fill="ECECEC"/>
          </w:tcPr>
          <w:p>
            <w:pPr>
              <w:spacing w:after="0"/>
              <w:rPr>
                <w:sz w:val="22"/>
                <w:szCs w:val="22"/>
                <w:color w:val="auto"/>
              </w:rPr>
            </w:pPr>
          </w:p>
        </w:tc>
        <w:tc>
          <w:tcPr>
            <w:tcW w:w="1620" w:type="dxa"/>
            <w:vAlign w:val="bottom"/>
            <w:tcBorders>
              <w:bottom w:val="single" w:sz="8" w:color="959595"/>
            </w:tcBorders>
            <w:shd w:val="clear" w:color="auto" w:fill="ECECEC"/>
          </w:tcPr>
          <w:p>
            <w:pPr>
              <w:jc w:val="right"/>
              <w:spacing w:after="0"/>
              <w:rPr>
                <w:sz w:val="20"/>
                <w:szCs w:val="20"/>
                <w:color w:val="auto"/>
              </w:rPr>
            </w:pPr>
            <w:r>
              <w:rPr>
                <w:rFonts w:ascii="Arial" w:cs="Arial" w:eastAsia="Arial" w:hAnsi="Arial"/>
                <w:sz w:val="13"/>
                <w:szCs w:val="13"/>
                <w:color w:val="auto"/>
              </w:rPr>
              <w:t>Annual Incentive</w:t>
            </w:r>
          </w:p>
        </w:tc>
        <w:tc>
          <w:tcPr>
            <w:tcW w:w="660" w:type="dxa"/>
            <w:vAlign w:val="bottom"/>
            <w:tcBorders>
              <w:bottom w:val="single" w:sz="8" w:color="959595"/>
            </w:tcBorders>
            <w:shd w:val="clear" w:color="auto" w:fill="ECECEC"/>
          </w:tcPr>
          <w:p>
            <w:pPr>
              <w:spacing w:after="0"/>
              <w:rPr>
                <w:sz w:val="22"/>
                <w:szCs w:val="22"/>
                <w:color w:val="auto"/>
              </w:rPr>
            </w:pPr>
          </w:p>
        </w:tc>
        <w:tc>
          <w:tcPr>
            <w:tcW w:w="1500" w:type="dxa"/>
            <w:vAlign w:val="bottom"/>
            <w:tcBorders>
              <w:bottom w:val="single" w:sz="8" w:color="ECECEC"/>
            </w:tcBorders>
            <w:shd w:val="clear" w:color="auto" w:fill="ECECEC"/>
          </w:tcPr>
          <w:p>
            <w:pPr>
              <w:spacing w:after="0"/>
              <w:rPr>
                <w:sz w:val="22"/>
                <w:szCs w:val="22"/>
                <w:color w:val="auto"/>
              </w:rPr>
            </w:pPr>
          </w:p>
        </w:tc>
        <w:tc>
          <w:tcPr>
            <w:tcW w:w="1340" w:type="dxa"/>
            <w:vAlign w:val="bottom"/>
            <w:tcBorders>
              <w:bottom w:val="single" w:sz="8" w:color="ECECEC"/>
            </w:tcBorders>
            <w:shd w:val="clear" w:color="auto" w:fill="ECECEC"/>
          </w:tcPr>
          <w:p>
            <w:pPr>
              <w:spacing w:after="0"/>
              <w:rPr>
                <w:sz w:val="22"/>
                <w:szCs w:val="22"/>
                <w:color w:val="auto"/>
              </w:rPr>
            </w:pPr>
          </w:p>
        </w:tc>
        <w:tc>
          <w:tcPr>
            <w:tcW w:w="0" w:type="dxa"/>
            <w:vAlign w:val="bottom"/>
          </w:tcPr>
          <w:p>
            <w:pPr>
              <w:spacing w:after="0"/>
              <w:rPr>
                <w:sz w:val="1"/>
                <w:szCs w:val="1"/>
                <w:color w:val="auto"/>
              </w:rPr>
            </w:pPr>
          </w:p>
        </w:tc>
      </w:tr>
      <w:tr>
        <w:trPr>
          <w:trHeight w:val="140"/>
        </w:trPr>
        <w:tc>
          <w:tcPr>
            <w:tcW w:w="5160" w:type="dxa"/>
            <w:vAlign w:val="bottom"/>
            <w:shd w:val="clear" w:color="auto" w:fill="ECECEC"/>
          </w:tcPr>
          <w:p>
            <w:pPr>
              <w:spacing w:after="0"/>
              <w:rPr>
                <w:sz w:val="12"/>
                <w:szCs w:val="12"/>
                <w:color w:val="auto"/>
              </w:rPr>
            </w:pPr>
          </w:p>
        </w:tc>
        <w:tc>
          <w:tcPr>
            <w:tcW w:w="1140" w:type="dxa"/>
            <w:vAlign w:val="bottom"/>
            <w:shd w:val="clear" w:color="auto" w:fill="ECECEC"/>
          </w:tcPr>
          <w:p>
            <w:pPr>
              <w:jc w:val="right"/>
              <w:spacing w:after="0" w:line="140" w:lineRule="exact"/>
              <w:rPr>
                <w:sz w:val="20"/>
                <w:szCs w:val="20"/>
                <w:color w:val="auto"/>
              </w:rPr>
            </w:pPr>
            <w:r>
              <w:rPr>
                <w:rFonts w:ascii="Arial" w:cs="Arial" w:eastAsia="Arial" w:hAnsi="Arial"/>
                <w:sz w:val="13"/>
                <w:szCs w:val="13"/>
                <w:color w:val="auto"/>
              </w:rPr>
              <w:t>Base</w:t>
            </w:r>
          </w:p>
        </w:tc>
        <w:tc>
          <w:tcPr>
            <w:tcW w:w="1620" w:type="dxa"/>
            <w:vAlign w:val="bottom"/>
            <w:vMerge w:val="restart"/>
            <w:shd w:val="clear" w:color="auto" w:fill="ECECEC"/>
          </w:tcPr>
          <w:p>
            <w:pPr>
              <w:jc w:val="right"/>
              <w:ind w:right="811"/>
              <w:spacing w:after="0"/>
              <w:rPr>
                <w:sz w:val="20"/>
                <w:szCs w:val="20"/>
                <w:color w:val="auto"/>
              </w:rPr>
            </w:pPr>
            <w:r>
              <w:rPr>
                <w:rFonts w:ascii="Arial" w:cs="Arial" w:eastAsia="Arial" w:hAnsi="Arial"/>
                <w:sz w:val="13"/>
                <w:szCs w:val="13"/>
                <w:color w:val="auto"/>
              </w:rPr>
              <w:t>Target</w:t>
            </w:r>
          </w:p>
        </w:tc>
        <w:tc>
          <w:tcPr>
            <w:tcW w:w="660" w:type="dxa"/>
            <w:vAlign w:val="bottom"/>
            <w:shd w:val="clear" w:color="auto" w:fill="ECECEC"/>
          </w:tcPr>
          <w:p>
            <w:pPr>
              <w:jc w:val="right"/>
              <w:spacing w:after="0" w:line="140" w:lineRule="exact"/>
              <w:rPr>
                <w:sz w:val="20"/>
                <w:szCs w:val="20"/>
                <w:color w:val="auto"/>
              </w:rPr>
            </w:pPr>
            <w:r>
              <w:rPr>
                <w:rFonts w:ascii="Arial" w:cs="Arial" w:eastAsia="Arial" w:hAnsi="Arial"/>
                <w:sz w:val="13"/>
                <w:szCs w:val="13"/>
                <w:color w:val="auto"/>
              </w:rPr>
              <w:t>Target</w:t>
            </w:r>
          </w:p>
        </w:tc>
        <w:tc>
          <w:tcPr>
            <w:tcW w:w="1500" w:type="dxa"/>
            <w:vAlign w:val="bottom"/>
            <w:shd w:val="clear" w:color="auto" w:fill="ECECEC"/>
          </w:tcPr>
          <w:p>
            <w:pPr>
              <w:jc w:val="right"/>
              <w:ind w:right="251"/>
              <w:spacing w:after="0" w:line="140" w:lineRule="exact"/>
              <w:rPr>
                <w:sz w:val="20"/>
                <w:szCs w:val="20"/>
                <w:color w:val="auto"/>
              </w:rPr>
            </w:pPr>
            <w:r>
              <w:rPr>
                <w:rFonts w:ascii="Arial" w:cs="Arial" w:eastAsia="Arial" w:hAnsi="Arial"/>
                <w:sz w:val="13"/>
                <w:szCs w:val="13"/>
                <w:color w:val="auto"/>
              </w:rPr>
              <w:t>2018</w:t>
            </w:r>
          </w:p>
        </w:tc>
        <w:tc>
          <w:tcPr>
            <w:tcW w:w="1340" w:type="dxa"/>
            <w:vAlign w:val="bottom"/>
            <w:shd w:val="clear" w:color="auto" w:fill="ECECEC"/>
          </w:tcPr>
          <w:p>
            <w:pPr>
              <w:jc w:val="right"/>
              <w:spacing w:after="0" w:line="140" w:lineRule="exact"/>
              <w:rPr>
                <w:sz w:val="20"/>
                <w:szCs w:val="20"/>
                <w:color w:val="auto"/>
              </w:rPr>
            </w:pPr>
            <w:r>
              <w:rPr>
                <w:rFonts w:ascii="Arial" w:cs="Arial" w:eastAsia="Arial" w:hAnsi="Arial"/>
                <w:sz w:val="13"/>
                <w:szCs w:val="13"/>
                <w:color w:val="auto"/>
              </w:rPr>
              <w:t>Total Target Direct</w:t>
            </w:r>
          </w:p>
        </w:tc>
        <w:tc>
          <w:tcPr>
            <w:tcW w:w="0" w:type="dxa"/>
            <w:vAlign w:val="bottom"/>
          </w:tcPr>
          <w:p>
            <w:pPr>
              <w:spacing w:after="0"/>
              <w:rPr>
                <w:sz w:val="1"/>
                <w:szCs w:val="1"/>
                <w:color w:val="auto"/>
              </w:rPr>
            </w:pPr>
          </w:p>
        </w:tc>
      </w:tr>
      <w:tr>
        <w:trPr>
          <w:trHeight w:val="135"/>
        </w:trPr>
        <w:tc>
          <w:tcPr>
            <w:tcW w:w="5160" w:type="dxa"/>
            <w:vAlign w:val="bottom"/>
            <w:vMerge w:val="restart"/>
            <w:shd w:val="clear" w:color="auto" w:fill="ECECEC"/>
          </w:tcPr>
          <w:p>
            <w:pPr>
              <w:ind w:left="40"/>
              <w:spacing w:after="0"/>
              <w:rPr>
                <w:sz w:val="20"/>
                <w:szCs w:val="20"/>
                <w:color w:val="auto"/>
              </w:rPr>
            </w:pPr>
            <w:r>
              <w:rPr>
                <w:rFonts w:ascii="Arial" w:cs="Arial" w:eastAsia="Arial" w:hAnsi="Arial"/>
                <w:sz w:val="13"/>
                <w:szCs w:val="13"/>
                <w:color w:val="auto"/>
              </w:rPr>
              <w:t>NEO</w:t>
            </w:r>
          </w:p>
        </w:tc>
        <w:tc>
          <w:tcPr>
            <w:tcW w:w="1140" w:type="dxa"/>
            <w:vAlign w:val="bottom"/>
            <w:shd w:val="clear" w:color="auto" w:fill="ECECEC"/>
          </w:tcPr>
          <w:p>
            <w:pPr>
              <w:jc w:val="right"/>
              <w:spacing w:after="0" w:line="135" w:lineRule="exact"/>
              <w:rPr>
                <w:sz w:val="20"/>
                <w:szCs w:val="20"/>
                <w:color w:val="auto"/>
              </w:rPr>
            </w:pPr>
            <w:r>
              <w:rPr>
                <w:rFonts w:ascii="Arial" w:cs="Arial" w:eastAsia="Arial" w:hAnsi="Arial"/>
                <w:sz w:val="13"/>
                <w:szCs w:val="13"/>
                <w:color w:val="auto"/>
              </w:rPr>
              <w:t>Salary</w:t>
            </w:r>
          </w:p>
        </w:tc>
        <w:tc>
          <w:tcPr>
            <w:tcW w:w="1620" w:type="dxa"/>
            <w:vAlign w:val="bottom"/>
            <w:vMerge w:val="continue"/>
            <w:shd w:val="clear" w:color="auto" w:fill="ECECEC"/>
          </w:tcPr>
          <w:p>
            <w:pPr>
              <w:spacing w:after="0"/>
              <w:rPr>
                <w:sz w:val="11"/>
                <w:szCs w:val="11"/>
                <w:color w:val="auto"/>
              </w:rPr>
            </w:pPr>
          </w:p>
        </w:tc>
        <w:tc>
          <w:tcPr>
            <w:tcW w:w="660" w:type="dxa"/>
            <w:vAlign w:val="bottom"/>
            <w:shd w:val="clear" w:color="auto" w:fill="ECECEC"/>
          </w:tcPr>
          <w:p>
            <w:pPr>
              <w:jc w:val="right"/>
              <w:spacing w:after="0" w:line="135" w:lineRule="exact"/>
              <w:rPr>
                <w:sz w:val="20"/>
                <w:szCs w:val="20"/>
                <w:color w:val="auto"/>
              </w:rPr>
            </w:pPr>
            <w:r>
              <w:rPr>
                <w:rFonts w:ascii="Arial" w:cs="Arial" w:eastAsia="Arial" w:hAnsi="Arial"/>
                <w:sz w:val="13"/>
                <w:szCs w:val="13"/>
                <w:color w:val="auto"/>
              </w:rPr>
              <w:t>Amount</w:t>
            </w:r>
          </w:p>
        </w:tc>
        <w:tc>
          <w:tcPr>
            <w:tcW w:w="1500" w:type="dxa"/>
            <w:vAlign w:val="bottom"/>
            <w:shd w:val="clear" w:color="auto" w:fill="ECECEC"/>
          </w:tcPr>
          <w:p>
            <w:pPr>
              <w:jc w:val="right"/>
              <w:ind w:right="251"/>
              <w:spacing w:after="0" w:line="135" w:lineRule="exact"/>
              <w:rPr>
                <w:sz w:val="20"/>
                <w:szCs w:val="20"/>
                <w:color w:val="auto"/>
              </w:rPr>
            </w:pPr>
            <w:r>
              <w:rPr>
                <w:rFonts w:ascii="Arial" w:cs="Arial" w:eastAsia="Arial" w:hAnsi="Arial"/>
                <w:sz w:val="13"/>
                <w:szCs w:val="13"/>
                <w:color w:val="auto"/>
              </w:rPr>
              <w:t>LTI Grant</w:t>
            </w:r>
          </w:p>
        </w:tc>
        <w:tc>
          <w:tcPr>
            <w:tcW w:w="1340" w:type="dxa"/>
            <w:vAlign w:val="bottom"/>
            <w:shd w:val="clear" w:color="auto" w:fill="ECECEC"/>
          </w:tcPr>
          <w:p>
            <w:pPr>
              <w:jc w:val="right"/>
              <w:spacing w:after="0" w:line="135" w:lineRule="exact"/>
              <w:rPr>
                <w:sz w:val="20"/>
                <w:szCs w:val="20"/>
                <w:color w:val="auto"/>
              </w:rPr>
            </w:pPr>
            <w:r>
              <w:rPr>
                <w:rFonts w:ascii="Arial" w:cs="Arial" w:eastAsia="Arial" w:hAnsi="Arial"/>
                <w:sz w:val="13"/>
                <w:szCs w:val="13"/>
                <w:color w:val="auto"/>
              </w:rPr>
              <w:t>Compensation</w:t>
            </w:r>
          </w:p>
        </w:tc>
        <w:tc>
          <w:tcPr>
            <w:tcW w:w="0" w:type="dxa"/>
            <w:vAlign w:val="bottom"/>
          </w:tcPr>
          <w:p>
            <w:pPr>
              <w:spacing w:after="0"/>
              <w:rPr>
                <w:sz w:val="1"/>
                <w:szCs w:val="1"/>
                <w:color w:val="auto"/>
              </w:rPr>
            </w:pPr>
          </w:p>
        </w:tc>
      </w:tr>
      <w:tr>
        <w:trPr>
          <w:trHeight w:val="178"/>
        </w:trPr>
        <w:tc>
          <w:tcPr>
            <w:tcW w:w="5160" w:type="dxa"/>
            <w:vAlign w:val="bottom"/>
            <w:tcBorders>
              <w:bottom w:val="single" w:sz="8" w:color="959595"/>
            </w:tcBorders>
            <w:vMerge w:val="continue"/>
            <w:shd w:val="clear" w:color="auto" w:fill="ECECEC"/>
          </w:tcPr>
          <w:p>
            <w:pPr>
              <w:spacing w:after="0"/>
              <w:rPr>
                <w:sz w:val="15"/>
                <w:szCs w:val="15"/>
                <w:color w:val="auto"/>
              </w:rPr>
            </w:pPr>
          </w:p>
        </w:tc>
        <w:tc>
          <w:tcPr>
            <w:tcW w:w="1140" w:type="dxa"/>
            <w:vAlign w:val="bottom"/>
            <w:tcBorders>
              <w:bottom w:val="single" w:sz="8" w:color="959595"/>
            </w:tcBorders>
            <w:shd w:val="clear" w:color="auto" w:fill="ECECEC"/>
          </w:tcPr>
          <w:p>
            <w:pPr>
              <w:jc w:val="right"/>
              <w:spacing w:after="0"/>
              <w:rPr>
                <w:sz w:val="20"/>
                <w:szCs w:val="20"/>
                <w:color w:val="auto"/>
              </w:rPr>
            </w:pPr>
            <w:r>
              <w:rPr>
                <w:rFonts w:ascii="Arial" w:cs="Arial" w:eastAsia="Arial" w:hAnsi="Arial"/>
                <w:sz w:val="13"/>
                <w:szCs w:val="13"/>
                <w:color w:val="auto"/>
              </w:rPr>
              <w:t>($)</w:t>
            </w:r>
          </w:p>
        </w:tc>
        <w:tc>
          <w:tcPr>
            <w:tcW w:w="1620" w:type="dxa"/>
            <w:vAlign w:val="bottom"/>
            <w:tcBorders>
              <w:bottom w:val="single" w:sz="8" w:color="959595"/>
            </w:tcBorders>
            <w:shd w:val="clear" w:color="auto" w:fill="ECECEC"/>
          </w:tcPr>
          <w:p>
            <w:pPr>
              <w:jc w:val="right"/>
              <w:ind w:right="771"/>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959595"/>
            </w:tcBorders>
            <w:shd w:val="clear" w:color="auto" w:fill="ECECEC"/>
          </w:tcPr>
          <w:p>
            <w:pPr>
              <w:jc w:val="right"/>
              <w:spacing w:after="0"/>
              <w:rPr>
                <w:sz w:val="20"/>
                <w:szCs w:val="20"/>
                <w:color w:val="auto"/>
              </w:rPr>
            </w:pPr>
            <w:r>
              <w:rPr>
                <w:rFonts w:ascii="Arial" w:cs="Arial" w:eastAsia="Arial" w:hAnsi="Arial"/>
                <w:sz w:val="13"/>
                <w:szCs w:val="13"/>
                <w:color w:val="auto"/>
              </w:rPr>
              <w:t>($)</w:t>
            </w:r>
          </w:p>
        </w:tc>
        <w:tc>
          <w:tcPr>
            <w:tcW w:w="1500" w:type="dxa"/>
            <w:vAlign w:val="bottom"/>
            <w:tcBorders>
              <w:bottom w:val="single" w:sz="8" w:color="959595"/>
            </w:tcBorders>
            <w:shd w:val="clear" w:color="auto" w:fill="ECECEC"/>
          </w:tcPr>
          <w:p>
            <w:pPr>
              <w:jc w:val="right"/>
              <w:ind w:right="211"/>
              <w:spacing w:after="0"/>
              <w:rPr>
                <w:sz w:val="20"/>
                <w:szCs w:val="20"/>
                <w:color w:val="auto"/>
              </w:rPr>
            </w:pPr>
            <w:r>
              <w:rPr>
                <w:rFonts w:ascii="Arial" w:cs="Arial" w:eastAsia="Arial" w:hAnsi="Arial"/>
                <w:sz w:val="13"/>
                <w:szCs w:val="13"/>
                <w:color w:val="auto"/>
              </w:rPr>
              <w:t>($)</w:t>
            </w:r>
          </w:p>
        </w:tc>
        <w:tc>
          <w:tcPr>
            <w:tcW w:w="1340" w:type="dxa"/>
            <w:vAlign w:val="bottom"/>
            <w:tcBorders>
              <w:bottom w:val="single" w:sz="8" w:color="959595"/>
            </w:tcBorders>
            <w:shd w:val="clear" w:color="auto" w:fill="ECECEC"/>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5"/>
        </w:trPr>
        <w:tc>
          <w:tcPr>
            <w:tcW w:w="516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012E6C"/>
              </w:rPr>
              <w:t>Ms. Hewson</w:t>
            </w:r>
          </w:p>
        </w:tc>
        <w:tc>
          <w:tcPr>
            <w:tcW w:w="11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1,745,000</w:t>
            </w:r>
          </w:p>
        </w:tc>
        <w:tc>
          <w:tcPr>
            <w:tcW w:w="1620" w:type="dxa"/>
            <w:vAlign w:val="bottom"/>
            <w:tcBorders>
              <w:bottom w:val="single" w:sz="8" w:color="959595"/>
            </w:tcBorders>
          </w:tcPr>
          <w:p>
            <w:pPr>
              <w:jc w:val="right"/>
              <w:ind w:right="771"/>
              <w:spacing w:after="0"/>
              <w:rPr>
                <w:sz w:val="20"/>
                <w:szCs w:val="20"/>
                <w:color w:val="auto"/>
              </w:rPr>
            </w:pPr>
            <w:r>
              <w:rPr>
                <w:rFonts w:ascii="Arial" w:cs="Arial" w:eastAsia="Arial" w:hAnsi="Arial"/>
                <w:sz w:val="14"/>
                <w:szCs w:val="14"/>
                <w:color w:val="auto"/>
              </w:rPr>
              <w:t>175</w:t>
            </w:r>
          </w:p>
        </w:tc>
        <w:tc>
          <w:tcPr>
            <w:tcW w:w="6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w w:val="99"/>
              </w:rPr>
              <w:t>3,053,750</w:t>
            </w:r>
          </w:p>
        </w:tc>
        <w:tc>
          <w:tcPr>
            <w:tcW w:w="1500" w:type="dxa"/>
            <w:vAlign w:val="bottom"/>
            <w:tcBorders>
              <w:bottom w:val="single" w:sz="8" w:color="959595"/>
            </w:tcBorders>
          </w:tcPr>
          <w:p>
            <w:pPr>
              <w:jc w:val="right"/>
              <w:ind w:right="211"/>
              <w:spacing w:after="0"/>
              <w:rPr>
                <w:sz w:val="20"/>
                <w:szCs w:val="20"/>
                <w:color w:val="auto"/>
              </w:rPr>
            </w:pPr>
            <w:r>
              <w:rPr>
                <w:rFonts w:ascii="Arial" w:cs="Arial" w:eastAsia="Arial" w:hAnsi="Arial"/>
                <w:sz w:val="14"/>
                <w:szCs w:val="14"/>
                <w:color w:val="auto"/>
              </w:rPr>
              <w:t>12,235,097</w:t>
            </w:r>
          </w:p>
        </w:tc>
        <w:tc>
          <w:tcPr>
            <w:tcW w:w="13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17,033,847</w:t>
            </w:r>
          </w:p>
        </w:tc>
        <w:tc>
          <w:tcPr>
            <w:tcW w:w="0" w:type="dxa"/>
            <w:vAlign w:val="bottom"/>
          </w:tcPr>
          <w:p>
            <w:pPr>
              <w:spacing w:after="0"/>
              <w:rPr>
                <w:sz w:val="1"/>
                <w:szCs w:val="1"/>
                <w:color w:val="auto"/>
              </w:rPr>
            </w:pPr>
          </w:p>
        </w:tc>
      </w:tr>
      <w:tr>
        <w:trPr>
          <w:trHeight w:val="210"/>
        </w:trPr>
        <w:tc>
          <w:tcPr>
            <w:tcW w:w="516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012E6C"/>
              </w:rPr>
              <w:t>Mr. Tanner</w:t>
            </w:r>
          </w:p>
        </w:tc>
        <w:tc>
          <w:tcPr>
            <w:tcW w:w="11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1,030,000</w:t>
            </w:r>
          </w:p>
        </w:tc>
        <w:tc>
          <w:tcPr>
            <w:tcW w:w="1620" w:type="dxa"/>
            <w:vAlign w:val="bottom"/>
            <w:tcBorders>
              <w:bottom w:val="single" w:sz="8" w:color="959595"/>
            </w:tcBorders>
          </w:tcPr>
          <w:p>
            <w:pPr>
              <w:jc w:val="right"/>
              <w:ind w:right="771"/>
              <w:spacing w:after="0"/>
              <w:rPr>
                <w:sz w:val="20"/>
                <w:szCs w:val="20"/>
                <w:color w:val="auto"/>
              </w:rPr>
            </w:pPr>
            <w:r>
              <w:rPr>
                <w:rFonts w:ascii="Arial" w:cs="Arial" w:eastAsia="Arial" w:hAnsi="Arial"/>
                <w:sz w:val="14"/>
                <w:szCs w:val="14"/>
                <w:color w:val="auto"/>
              </w:rPr>
              <w:t>115</w:t>
            </w:r>
          </w:p>
        </w:tc>
        <w:tc>
          <w:tcPr>
            <w:tcW w:w="6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w w:val="99"/>
              </w:rPr>
              <w:t>1,184,500</w:t>
            </w:r>
          </w:p>
        </w:tc>
        <w:tc>
          <w:tcPr>
            <w:tcW w:w="1500" w:type="dxa"/>
            <w:vAlign w:val="bottom"/>
            <w:tcBorders>
              <w:bottom w:val="single" w:sz="8" w:color="959595"/>
            </w:tcBorders>
          </w:tcPr>
          <w:p>
            <w:pPr>
              <w:jc w:val="right"/>
              <w:ind w:right="211"/>
              <w:spacing w:after="0"/>
              <w:rPr>
                <w:sz w:val="20"/>
                <w:szCs w:val="20"/>
                <w:color w:val="auto"/>
              </w:rPr>
            </w:pPr>
            <w:r>
              <w:rPr>
                <w:rFonts w:ascii="Arial" w:cs="Arial" w:eastAsia="Arial" w:hAnsi="Arial"/>
                <w:sz w:val="14"/>
                <w:szCs w:val="14"/>
                <w:color w:val="auto"/>
              </w:rPr>
              <w:t>4,500,260</w:t>
            </w:r>
          </w:p>
        </w:tc>
        <w:tc>
          <w:tcPr>
            <w:tcW w:w="13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6,714,760</w:t>
            </w:r>
          </w:p>
        </w:tc>
        <w:tc>
          <w:tcPr>
            <w:tcW w:w="0" w:type="dxa"/>
            <w:vAlign w:val="bottom"/>
          </w:tcPr>
          <w:p>
            <w:pPr>
              <w:spacing w:after="0"/>
              <w:rPr>
                <w:sz w:val="1"/>
                <w:szCs w:val="1"/>
                <w:color w:val="auto"/>
              </w:rPr>
            </w:pPr>
          </w:p>
        </w:tc>
      </w:tr>
      <w:tr>
        <w:trPr>
          <w:trHeight w:val="210"/>
        </w:trPr>
        <w:tc>
          <w:tcPr>
            <w:tcW w:w="516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012E6C"/>
              </w:rPr>
              <w:t>Mr. Ambrose</w:t>
            </w:r>
          </w:p>
        </w:tc>
        <w:tc>
          <w:tcPr>
            <w:tcW w:w="11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880,000</w:t>
            </w:r>
          </w:p>
        </w:tc>
        <w:tc>
          <w:tcPr>
            <w:tcW w:w="1620" w:type="dxa"/>
            <w:vAlign w:val="bottom"/>
            <w:tcBorders>
              <w:bottom w:val="single" w:sz="8" w:color="959595"/>
            </w:tcBorders>
          </w:tcPr>
          <w:p>
            <w:pPr>
              <w:jc w:val="right"/>
              <w:ind w:right="771"/>
              <w:spacing w:after="0"/>
              <w:rPr>
                <w:sz w:val="20"/>
                <w:szCs w:val="20"/>
                <w:color w:val="auto"/>
              </w:rPr>
            </w:pPr>
            <w:r>
              <w:rPr>
                <w:rFonts w:ascii="Arial" w:cs="Arial" w:eastAsia="Arial" w:hAnsi="Arial"/>
                <w:sz w:val="14"/>
                <w:szCs w:val="14"/>
                <w:color w:val="auto"/>
              </w:rPr>
              <w:t>100</w:t>
            </w:r>
          </w:p>
        </w:tc>
        <w:tc>
          <w:tcPr>
            <w:tcW w:w="6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880,000</w:t>
            </w:r>
          </w:p>
        </w:tc>
        <w:tc>
          <w:tcPr>
            <w:tcW w:w="1500" w:type="dxa"/>
            <w:vAlign w:val="bottom"/>
            <w:tcBorders>
              <w:bottom w:val="single" w:sz="8" w:color="959595"/>
            </w:tcBorders>
          </w:tcPr>
          <w:p>
            <w:pPr>
              <w:jc w:val="right"/>
              <w:ind w:right="211"/>
              <w:spacing w:after="0"/>
              <w:rPr>
                <w:sz w:val="20"/>
                <w:szCs w:val="20"/>
                <w:color w:val="auto"/>
              </w:rPr>
            </w:pPr>
            <w:r>
              <w:rPr>
                <w:rFonts w:ascii="Arial" w:cs="Arial" w:eastAsia="Arial" w:hAnsi="Arial"/>
                <w:sz w:val="14"/>
                <w:szCs w:val="14"/>
                <w:color w:val="auto"/>
              </w:rPr>
              <w:t>3,600,137</w:t>
            </w:r>
          </w:p>
        </w:tc>
        <w:tc>
          <w:tcPr>
            <w:tcW w:w="13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5,360,137</w:t>
            </w:r>
          </w:p>
        </w:tc>
        <w:tc>
          <w:tcPr>
            <w:tcW w:w="0" w:type="dxa"/>
            <w:vAlign w:val="bottom"/>
          </w:tcPr>
          <w:p>
            <w:pPr>
              <w:spacing w:after="0"/>
              <w:rPr>
                <w:sz w:val="1"/>
                <w:szCs w:val="1"/>
                <w:color w:val="auto"/>
              </w:rPr>
            </w:pPr>
          </w:p>
        </w:tc>
      </w:tr>
      <w:tr>
        <w:trPr>
          <w:trHeight w:val="210"/>
        </w:trPr>
        <w:tc>
          <w:tcPr>
            <w:tcW w:w="516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012E6C"/>
              </w:rPr>
              <w:t>Mr. Bennett</w:t>
            </w:r>
          </w:p>
        </w:tc>
        <w:tc>
          <w:tcPr>
            <w:tcW w:w="11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880,000</w:t>
            </w:r>
          </w:p>
        </w:tc>
        <w:tc>
          <w:tcPr>
            <w:tcW w:w="1620" w:type="dxa"/>
            <w:vAlign w:val="bottom"/>
            <w:tcBorders>
              <w:bottom w:val="single" w:sz="8" w:color="959595"/>
            </w:tcBorders>
          </w:tcPr>
          <w:p>
            <w:pPr>
              <w:jc w:val="right"/>
              <w:ind w:right="771"/>
              <w:spacing w:after="0"/>
              <w:rPr>
                <w:sz w:val="20"/>
                <w:szCs w:val="20"/>
                <w:color w:val="auto"/>
              </w:rPr>
            </w:pPr>
            <w:r>
              <w:rPr>
                <w:rFonts w:ascii="Arial" w:cs="Arial" w:eastAsia="Arial" w:hAnsi="Arial"/>
                <w:sz w:val="14"/>
                <w:szCs w:val="14"/>
                <w:color w:val="auto"/>
              </w:rPr>
              <w:t>100</w:t>
            </w:r>
          </w:p>
        </w:tc>
        <w:tc>
          <w:tcPr>
            <w:tcW w:w="6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880,000</w:t>
            </w:r>
          </w:p>
        </w:tc>
        <w:tc>
          <w:tcPr>
            <w:tcW w:w="1500" w:type="dxa"/>
            <w:vAlign w:val="bottom"/>
            <w:tcBorders>
              <w:bottom w:val="single" w:sz="8" w:color="959595"/>
            </w:tcBorders>
          </w:tcPr>
          <w:p>
            <w:pPr>
              <w:jc w:val="right"/>
              <w:ind w:right="211"/>
              <w:spacing w:after="0"/>
              <w:rPr>
                <w:sz w:val="20"/>
                <w:szCs w:val="20"/>
                <w:color w:val="auto"/>
              </w:rPr>
            </w:pPr>
            <w:r>
              <w:rPr>
                <w:rFonts w:ascii="Arial" w:cs="Arial" w:eastAsia="Arial" w:hAnsi="Arial"/>
                <w:sz w:val="14"/>
                <w:szCs w:val="14"/>
                <w:color w:val="auto"/>
              </w:rPr>
              <w:t>3,600,137</w:t>
            </w:r>
          </w:p>
        </w:tc>
        <w:tc>
          <w:tcPr>
            <w:tcW w:w="13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5,360,137</w:t>
            </w:r>
          </w:p>
        </w:tc>
        <w:tc>
          <w:tcPr>
            <w:tcW w:w="0" w:type="dxa"/>
            <w:vAlign w:val="bottom"/>
          </w:tcPr>
          <w:p>
            <w:pPr>
              <w:spacing w:after="0"/>
              <w:rPr>
                <w:sz w:val="1"/>
                <w:szCs w:val="1"/>
                <w:color w:val="auto"/>
              </w:rPr>
            </w:pPr>
          </w:p>
        </w:tc>
      </w:tr>
      <w:tr>
        <w:trPr>
          <w:trHeight w:val="210"/>
        </w:trPr>
        <w:tc>
          <w:tcPr>
            <w:tcW w:w="516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012E6C"/>
              </w:rPr>
              <w:t>Mr. St. John</w:t>
            </w:r>
          </w:p>
        </w:tc>
        <w:tc>
          <w:tcPr>
            <w:tcW w:w="11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880,000</w:t>
            </w:r>
          </w:p>
        </w:tc>
        <w:tc>
          <w:tcPr>
            <w:tcW w:w="1620" w:type="dxa"/>
            <w:vAlign w:val="bottom"/>
            <w:tcBorders>
              <w:bottom w:val="single" w:sz="8" w:color="959595"/>
            </w:tcBorders>
          </w:tcPr>
          <w:p>
            <w:pPr>
              <w:jc w:val="right"/>
              <w:ind w:right="771"/>
              <w:spacing w:after="0"/>
              <w:rPr>
                <w:sz w:val="20"/>
                <w:szCs w:val="20"/>
                <w:color w:val="auto"/>
              </w:rPr>
            </w:pPr>
            <w:r>
              <w:rPr>
                <w:rFonts w:ascii="Arial" w:cs="Arial" w:eastAsia="Arial" w:hAnsi="Arial"/>
                <w:sz w:val="14"/>
                <w:szCs w:val="14"/>
                <w:color w:val="auto"/>
              </w:rPr>
              <w:t>100</w:t>
            </w:r>
          </w:p>
        </w:tc>
        <w:tc>
          <w:tcPr>
            <w:tcW w:w="6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880,000</w:t>
            </w:r>
          </w:p>
        </w:tc>
        <w:tc>
          <w:tcPr>
            <w:tcW w:w="1500" w:type="dxa"/>
            <w:vAlign w:val="bottom"/>
            <w:tcBorders>
              <w:bottom w:val="single" w:sz="8" w:color="959595"/>
            </w:tcBorders>
          </w:tcPr>
          <w:p>
            <w:pPr>
              <w:jc w:val="right"/>
              <w:ind w:right="211"/>
              <w:spacing w:after="0"/>
              <w:rPr>
                <w:sz w:val="20"/>
                <w:szCs w:val="20"/>
                <w:color w:val="auto"/>
              </w:rPr>
            </w:pPr>
            <w:r>
              <w:rPr>
                <w:rFonts w:ascii="Arial" w:cs="Arial" w:eastAsia="Arial" w:hAnsi="Arial"/>
                <w:sz w:val="14"/>
                <w:szCs w:val="14"/>
                <w:color w:val="auto"/>
              </w:rPr>
              <w:t>3,600,137</w:t>
            </w:r>
          </w:p>
        </w:tc>
        <w:tc>
          <w:tcPr>
            <w:tcW w:w="13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5,360,137</w:t>
            </w:r>
          </w:p>
        </w:tc>
        <w:tc>
          <w:tcPr>
            <w:tcW w:w="0" w:type="dxa"/>
            <w:vAlign w:val="bottom"/>
          </w:tcPr>
          <w:p>
            <w:pPr>
              <w:spacing w:after="0"/>
              <w:rPr>
                <w:sz w:val="1"/>
                <w:szCs w:val="1"/>
                <w:color w:val="auto"/>
              </w:rPr>
            </w:pPr>
          </w:p>
        </w:tc>
      </w:tr>
      <w:tr>
        <w:trPr>
          <w:trHeight w:val="210"/>
        </w:trPr>
        <w:tc>
          <w:tcPr>
            <w:tcW w:w="516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012E6C"/>
              </w:rPr>
              <w:t>Mr. Carvalho</w:t>
            </w:r>
          </w:p>
        </w:tc>
        <w:tc>
          <w:tcPr>
            <w:tcW w:w="11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880,000</w:t>
            </w:r>
          </w:p>
        </w:tc>
        <w:tc>
          <w:tcPr>
            <w:tcW w:w="1620" w:type="dxa"/>
            <w:vAlign w:val="bottom"/>
            <w:tcBorders>
              <w:bottom w:val="single" w:sz="8" w:color="959595"/>
            </w:tcBorders>
          </w:tcPr>
          <w:p>
            <w:pPr>
              <w:jc w:val="right"/>
              <w:ind w:right="771"/>
              <w:spacing w:after="0"/>
              <w:rPr>
                <w:sz w:val="20"/>
                <w:szCs w:val="20"/>
                <w:color w:val="auto"/>
              </w:rPr>
            </w:pPr>
            <w:r>
              <w:rPr>
                <w:rFonts w:ascii="Arial" w:cs="Arial" w:eastAsia="Arial" w:hAnsi="Arial"/>
                <w:sz w:val="14"/>
                <w:szCs w:val="14"/>
                <w:color w:val="auto"/>
              </w:rPr>
              <w:t>100</w:t>
            </w:r>
          </w:p>
        </w:tc>
        <w:tc>
          <w:tcPr>
            <w:tcW w:w="6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880,000</w:t>
            </w:r>
          </w:p>
        </w:tc>
        <w:tc>
          <w:tcPr>
            <w:tcW w:w="1500" w:type="dxa"/>
            <w:vAlign w:val="bottom"/>
            <w:tcBorders>
              <w:bottom w:val="single" w:sz="8" w:color="959595"/>
            </w:tcBorders>
          </w:tcPr>
          <w:p>
            <w:pPr>
              <w:jc w:val="right"/>
              <w:ind w:right="211"/>
              <w:spacing w:after="0"/>
              <w:rPr>
                <w:sz w:val="20"/>
                <w:szCs w:val="20"/>
                <w:color w:val="auto"/>
              </w:rPr>
            </w:pPr>
            <w:r>
              <w:rPr>
                <w:rFonts w:ascii="Arial" w:cs="Arial" w:eastAsia="Arial" w:hAnsi="Arial"/>
                <w:sz w:val="14"/>
                <w:szCs w:val="14"/>
                <w:color w:val="auto"/>
              </w:rPr>
              <w:t>3,600,137</w:t>
            </w:r>
          </w:p>
        </w:tc>
        <w:tc>
          <w:tcPr>
            <w:tcW w:w="13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5,360,137</w:t>
            </w:r>
          </w:p>
        </w:tc>
        <w:tc>
          <w:tcPr>
            <w:tcW w:w="0" w:type="dxa"/>
            <w:vAlign w:val="bottom"/>
          </w:tcPr>
          <w:p>
            <w:pPr>
              <w:spacing w:after="0"/>
              <w:rPr>
                <w:sz w:val="1"/>
                <w:szCs w:val="1"/>
                <w:color w:val="auto"/>
              </w:rPr>
            </w:pPr>
          </w:p>
        </w:tc>
      </w:tr>
      <w:tr>
        <w:trPr>
          <w:trHeight w:val="210"/>
        </w:trPr>
        <w:tc>
          <w:tcPr>
            <w:tcW w:w="516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012E6C"/>
              </w:rPr>
              <w:t>Mr. Edwards</w:t>
            </w:r>
          </w:p>
        </w:tc>
        <w:tc>
          <w:tcPr>
            <w:tcW w:w="11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880,000</w:t>
            </w:r>
          </w:p>
        </w:tc>
        <w:tc>
          <w:tcPr>
            <w:tcW w:w="1620" w:type="dxa"/>
            <w:vAlign w:val="bottom"/>
            <w:tcBorders>
              <w:bottom w:val="single" w:sz="8" w:color="959595"/>
            </w:tcBorders>
          </w:tcPr>
          <w:p>
            <w:pPr>
              <w:jc w:val="right"/>
              <w:ind w:right="771"/>
              <w:spacing w:after="0"/>
              <w:rPr>
                <w:sz w:val="20"/>
                <w:szCs w:val="20"/>
                <w:color w:val="auto"/>
              </w:rPr>
            </w:pPr>
            <w:r>
              <w:rPr>
                <w:rFonts w:ascii="Arial" w:cs="Arial" w:eastAsia="Arial" w:hAnsi="Arial"/>
                <w:sz w:val="14"/>
                <w:szCs w:val="14"/>
                <w:color w:val="auto"/>
              </w:rPr>
              <w:t>100</w:t>
            </w:r>
          </w:p>
        </w:tc>
        <w:tc>
          <w:tcPr>
            <w:tcW w:w="6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880,000</w:t>
            </w:r>
          </w:p>
        </w:tc>
        <w:tc>
          <w:tcPr>
            <w:tcW w:w="1500" w:type="dxa"/>
            <w:vAlign w:val="bottom"/>
            <w:tcBorders>
              <w:bottom w:val="single" w:sz="8" w:color="959595"/>
            </w:tcBorders>
          </w:tcPr>
          <w:p>
            <w:pPr>
              <w:jc w:val="right"/>
              <w:ind w:right="211"/>
              <w:spacing w:after="0"/>
              <w:rPr>
                <w:sz w:val="20"/>
                <w:szCs w:val="20"/>
                <w:color w:val="auto"/>
              </w:rPr>
            </w:pPr>
            <w:r>
              <w:rPr>
                <w:rFonts w:ascii="Arial" w:cs="Arial" w:eastAsia="Arial" w:hAnsi="Arial"/>
                <w:sz w:val="14"/>
                <w:szCs w:val="14"/>
                <w:color w:val="auto"/>
              </w:rPr>
              <w:t>3,600,137</w:t>
            </w:r>
          </w:p>
        </w:tc>
        <w:tc>
          <w:tcPr>
            <w:tcW w:w="13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5,360,137</w:t>
            </w: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848EB4"/>
        </w:rPr>
        <w:t>2018 Core Compensation Elements</w:t>
      </w:r>
    </w:p>
    <w:p>
      <w:pPr>
        <w:spacing w:after="0" w:line="226"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Our compensation programs are designed to provide a mix of short- and long-term compensation, fixed and variable pay and cash and equity-based compensation, as well as to reflect our philosophy of providing pay for performance. Retirement programs or “all other compensation” are not included in our core compensation elements below (additional information about these programs can be found on page 50).</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060" w:type="dxa"/>
            <w:vAlign w:val="bottom"/>
          </w:tcPr>
          <w:p>
            <w:pPr>
              <w:spacing w:after="0"/>
              <w:rPr>
                <w:sz w:val="17"/>
                <w:szCs w:val="17"/>
                <w:color w:val="auto"/>
              </w:rPr>
            </w:pPr>
          </w:p>
        </w:tc>
        <w:tc>
          <w:tcPr>
            <w:tcW w:w="1700" w:type="dxa"/>
            <w:vAlign w:val="bottom"/>
            <w:tcBorders>
              <w:bottom w:val="single" w:sz="8" w:color="959595"/>
            </w:tcBorders>
          </w:tcPr>
          <w:p>
            <w:pPr>
              <w:jc w:val="center"/>
              <w:spacing w:after="0"/>
              <w:rPr>
                <w:sz w:val="20"/>
                <w:szCs w:val="20"/>
                <w:color w:val="auto"/>
              </w:rPr>
            </w:pPr>
            <w:r>
              <w:rPr>
                <w:rFonts w:ascii="Arial" w:cs="Arial" w:eastAsia="Arial" w:hAnsi="Arial"/>
                <w:sz w:val="14"/>
                <w:szCs w:val="14"/>
                <w:color w:val="auto"/>
              </w:rPr>
              <w:t>Fixed</w:t>
            </w:r>
          </w:p>
        </w:tc>
        <w:tc>
          <w:tcPr>
            <w:tcW w:w="260" w:type="dxa"/>
            <w:vAlign w:val="bottom"/>
          </w:tcPr>
          <w:p>
            <w:pPr>
              <w:spacing w:after="0"/>
              <w:rPr>
                <w:sz w:val="17"/>
                <w:szCs w:val="17"/>
                <w:color w:val="auto"/>
              </w:rPr>
            </w:pPr>
          </w:p>
        </w:tc>
        <w:tc>
          <w:tcPr>
            <w:tcW w:w="2260" w:type="dxa"/>
            <w:vAlign w:val="bottom"/>
            <w:tcBorders>
              <w:bottom w:val="single" w:sz="8" w:color="012E6C"/>
            </w:tcBorders>
          </w:tcPr>
          <w:p>
            <w:pPr>
              <w:spacing w:after="0"/>
              <w:rPr>
                <w:sz w:val="17"/>
                <w:szCs w:val="17"/>
                <w:color w:val="auto"/>
              </w:rPr>
            </w:pPr>
          </w:p>
        </w:tc>
        <w:tc>
          <w:tcPr>
            <w:tcW w:w="240" w:type="dxa"/>
            <w:vAlign w:val="bottom"/>
            <w:tcBorders>
              <w:bottom w:val="single" w:sz="8" w:color="012E6C"/>
            </w:tcBorders>
          </w:tcPr>
          <w:p>
            <w:pPr>
              <w:spacing w:after="0"/>
              <w:rPr>
                <w:sz w:val="17"/>
                <w:szCs w:val="17"/>
                <w:color w:val="auto"/>
              </w:rPr>
            </w:pPr>
          </w:p>
        </w:tc>
        <w:tc>
          <w:tcPr>
            <w:tcW w:w="2020" w:type="dxa"/>
            <w:vAlign w:val="bottom"/>
            <w:tcBorders>
              <w:bottom w:val="single" w:sz="8" w:color="012E6C"/>
            </w:tcBorders>
          </w:tcPr>
          <w:p>
            <w:pPr>
              <w:ind w:left="1420"/>
              <w:spacing w:after="0"/>
              <w:rPr>
                <w:sz w:val="20"/>
                <w:szCs w:val="20"/>
                <w:color w:val="auto"/>
              </w:rPr>
            </w:pPr>
            <w:r>
              <w:rPr>
                <w:rFonts w:ascii="Arial" w:cs="Arial" w:eastAsia="Arial" w:hAnsi="Arial"/>
                <w:sz w:val="14"/>
                <w:szCs w:val="14"/>
                <w:color w:val="auto"/>
              </w:rPr>
              <w:t>Variable</w:t>
            </w:r>
          </w:p>
        </w:tc>
        <w:tc>
          <w:tcPr>
            <w:tcW w:w="1940" w:type="dxa"/>
            <w:vAlign w:val="bottom"/>
            <w:tcBorders>
              <w:bottom w:val="single" w:sz="8" w:color="012E6C"/>
            </w:tcBorders>
          </w:tcPr>
          <w:p>
            <w:pPr>
              <w:spacing w:after="0"/>
              <w:rPr>
                <w:sz w:val="17"/>
                <w:szCs w:val="17"/>
                <w:color w:val="auto"/>
              </w:rPr>
            </w:pPr>
          </w:p>
        </w:tc>
        <w:tc>
          <w:tcPr>
            <w:tcW w:w="1940" w:type="dxa"/>
            <w:vAlign w:val="bottom"/>
            <w:tcBorders>
              <w:bottom w:val="single" w:sz="8" w:color="012E6C"/>
            </w:tcBorders>
          </w:tcPr>
          <w:p>
            <w:pPr>
              <w:spacing w:after="0"/>
              <w:rPr>
                <w:sz w:val="17"/>
                <w:szCs w:val="17"/>
                <w:color w:val="auto"/>
              </w:rPr>
            </w:pPr>
          </w:p>
        </w:tc>
        <w:tc>
          <w:tcPr>
            <w:tcW w:w="20" w:type="dxa"/>
            <w:vAlign w:val="bottom"/>
            <w:tcBorders>
              <w:bottom w:val="single" w:sz="8" w:color="012E6C"/>
            </w:tcBorders>
          </w:tcPr>
          <w:p>
            <w:pPr>
              <w:spacing w:after="0"/>
              <w:rPr>
                <w:sz w:val="17"/>
                <w:szCs w:val="17"/>
                <w:color w:val="auto"/>
              </w:rPr>
            </w:pPr>
          </w:p>
        </w:tc>
        <w:tc>
          <w:tcPr>
            <w:tcW w:w="0" w:type="dxa"/>
            <w:vAlign w:val="bottom"/>
          </w:tcPr>
          <w:p>
            <w:pPr>
              <w:spacing w:after="0"/>
              <w:rPr>
                <w:sz w:val="1"/>
                <w:szCs w:val="1"/>
                <w:color w:val="auto"/>
              </w:rPr>
            </w:pPr>
          </w:p>
        </w:tc>
      </w:tr>
      <w:tr>
        <w:trPr>
          <w:trHeight w:val="79"/>
        </w:trPr>
        <w:tc>
          <w:tcPr>
            <w:tcW w:w="1060" w:type="dxa"/>
            <w:vAlign w:val="bottom"/>
            <w:tcBorders>
              <w:right w:val="single" w:sz="8" w:color="959595"/>
            </w:tcBorders>
          </w:tcPr>
          <w:p>
            <w:pPr>
              <w:spacing w:after="0"/>
              <w:rPr>
                <w:sz w:val="6"/>
                <w:szCs w:val="6"/>
                <w:color w:val="auto"/>
              </w:rPr>
            </w:pPr>
          </w:p>
        </w:tc>
        <w:tc>
          <w:tcPr>
            <w:tcW w:w="1700" w:type="dxa"/>
            <w:vAlign w:val="bottom"/>
          </w:tcPr>
          <w:p>
            <w:pPr>
              <w:spacing w:after="0"/>
              <w:rPr>
                <w:sz w:val="6"/>
                <w:szCs w:val="6"/>
                <w:color w:val="auto"/>
              </w:rPr>
            </w:pPr>
          </w:p>
        </w:tc>
        <w:tc>
          <w:tcPr>
            <w:tcW w:w="260" w:type="dxa"/>
            <w:vAlign w:val="bottom"/>
            <w:tcBorders>
              <w:left w:val="single" w:sz="8" w:color="959595"/>
              <w:right w:val="single" w:sz="8" w:color="012E6C"/>
            </w:tcBorders>
          </w:tcPr>
          <w:p>
            <w:pPr>
              <w:spacing w:after="0"/>
              <w:rPr>
                <w:sz w:val="6"/>
                <w:szCs w:val="6"/>
                <w:color w:val="auto"/>
              </w:rPr>
            </w:pPr>
          </w:p>
        </w:tc>
        <w:tc>
          <w:tcPr>
            <w:tcW w:w="2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940" w:type="dxa"/>
            <w:vAlign w:val="bottom"/>
          </w:tcPr>
          <w:p>
            <w:pPr>
              <w:spacing w:after="0"/>
              <w:rPr>
                <w:sz w:val="6"/>
                <w:szCs w:val="6"/>
                <w:color w:val="auto"/>
              </w:rPr>
            </w:pPr>
          </w:p>
        </w:tc>
        <w:tc>
          <w:tcPr>
            <w:tcW w:w="20" w:type="dxa"/>
            <w:vAlign w:val="bottom"/>
            <w:shd w:val="clear" w:color="auto" w:fill="012E6C"/>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1060" w:type="dxa"/>
            <w:vAlign w:val="bottom"/>
          </w:tcPr>
          <w:p>
            <w:pPr>
              <w:spacing w:after="0"/>
              <w:rPr>
                <w:sz w:val="7"/>
                <w:szCs w:val="7"/>
                <w:color w:val="auto"/>
              </w:rPr>
            </w:pPr>
          </w:p>
        </w:tc>
        <w:tc>
          <w:tcPr>
            <w:tcW w:w="1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9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1060" w:type="dxa"/>
            <w:vAlign w:val="bottom"/>
            <w:tcBorders>
              <w:right w:val="single" w:sz="8" w:color="CCCCCC"/>
            </w:tcBorders>
          </w:tcPr>
          <w:p>
            <w:pPr>
              <w:spacing w:after="0"/>
              <w:rPr>
                <w:sz w:val="18"/>
                <w:szCs w:val="18"/>
                <w:color w:val="auto"/>
              </w:rPr>
            </w:pPr>
          </w:p>
        </w:tc>
        <w:tc>
          <w:tcPr>
            <w:tcW w:w="1700" w:type="dxa"/>
            <w:vAlign w:val="bottom"/>
            <w:vMerge w:val="restart"/>
            <w:shd w:val="clear" w:color="auto" w:fill="CCCCCC"/>
          </w:tcPr>
          <w:p>
            <w:pPr>
              <w:jc w:val="center"/>
              <w:spacing w:after="0"/>
              <w:rPr>
                <w:sz w:val="20"/>
                <w:szCs w:val="20"/>
                <w:color w:val="auto"/>
              </w:rPr>
            </w:pPr>
            <w:r>
              <w:rPr>
                <w:rFonts w:ascii="Arial" w:cs="Arial" w:eastAsia="Arial" w:hAnsi="Arial"/>
                <w:sz w:val="14"/>
                <w:szCs w:val="14"/>
                <w:color w:val="auto"/>
              </w:rPr>
              <w:t>Base Salary</w:t>
            </w:r>
          </w:p>
        </w:tc>
        <w:tc>
          <w:tcPr>
            <w:tcW w:w="260" w:type="dxa"/>
            <w:vAlign w:val="bottom"/>
            <w:tcBorders>
              <w:right w:val="single" w:sz="8" w:color="959595"/>
            </w:tcBorders>
            <w:vMerge w:val="restart"/>
          </w:tcPr>
          <w:p>
            <w:pPr>
              <w:jc w:val="right"/>
              <w:ind w:right="28"/>
              <w:spacing w:after="0"/>
              <w:rPr>
                <w:sz w:val="20"/>
                <w:szCs w:val="20"/>
                <w:color w:val="auto"/>
              </w:rPr>
            </w:pPr>
            <w:r>
              <w:rPr>
                <w:rFonts w:ascii="Arial" w:cs="Arial" w:eastAsia="Arial" w:hAnsi="Arial"/>
                <w:sz w:val="14"/>
                <w:szCs w:val="14"/>
                <w:color w:val="auto"/>
              </w:rPr>
              <w:t>+</w:t>
            </w:r>
          </w:p>
        </w:tc>
        <w:tc>
          <w:tcPr>
            <w:tcW w:w="2260" w:type="dxa"/>
            <w:vAlign w:val="bottom"/>
            <w:vMerge w:val="restart"/>
            <w:shd w:val="clear" w:color="auto" w:fill="959595"/>
          </w:tcPr>
          <w:p>
            <w:pPr>
              <w:jc w:val="center"/>
              <w:spacing w:after="0"/>
              <w:rPr>
                <w:sz w:val="20"/>
                <w:szCs w:val="20"/>
                <w:color w:val="auto"/>
              </w:rPr>
            </w:pPr>
            <w:r>
              <w:rPr>
                <w:rFonts w:ascii="Arial" w:cs="Arial" w:eastAsia="Arial" w:hAnsi="Arial"/>
                <w:sz w:val="14"/>
                <w:szCs w:val="14"/>
                <w:color w:val="FFFFFF"/>
              </w:rPr>
              <w:t>Annual Incentive</w:t>
            </w:r>
          </w:p>
        </w:tc>
        <w:tc>
          <w:tcPr>
            <w:tcW w:w="2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2020" w:type="dxa"/>
            <w:vAlign w:val="bottom"/>
            <w:shd w:val="clear" w:color="auto" w:fill="012E6C"/>
          </w:tcPr>
          <w:p>
            <w:pPr>
              <w:spacing w:after="0"/>
              <w:rPr>
                <w:sz w:val="18"/>
                <w:szCs w:val="18"/>
                <w:color w:val="auto"/>
              </w:rPr>
            </w:pPr>
          </w:p>
        </w:tc>
        <w:tc>
          <w:tcPr>
            <w:tcW w:w="1940" w:type="dxa"/>
            <w:vAlign w:val="bottom"/>
            <w:shd w:val="clear" w:color="auto" w:fill="012E6C"/>
          </w:tcPr>
          <w:p>
            <w:pPr>
              <w:ind w:left="240"/>
              <w:spacing w:after="0"/>
              <w:rPr>
                <w:sz w:val="20"/>
                <w:szCs w:val="20"/>
                <w:color w:val="auto"/>
              </w:rPr>
            </w:pPr>
            <w:r>
              <w:rPr>
                <w:rFonts w:ascii="Arial" w:cs="Arial" w:eastAsia="Arial" w:hAnsi="Arial"/>
                <w:sz w:val="14"/>
                <w:szCs w:val="14"/>
                <w:color w:val="FFFFFF"/>
              </w:rPr>
              <w:t>Long-Term Incentives</w:t>
            </w:r>
          </w:p>
        </w:tc>
        <w:tc>
          <w:tcPr>
            <w:tcW w:w="1940" w:type="dxa"/>
            <w:vAlign w:val="bottom"/>
            <w:shd w:val="clear" w:color="auto" w:fill="012E6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060" w:type="dxa"/>
            <w:vAlign w:val="bottom"/>
            <w:tcBorders>
              <w:right w:val="single" w:sz="8" w:color="CCCCCC"/>
            </w:tcBorders>
          </w:tcPr>
          <w:p>
            <w:pPr>
              <w:spacing w:after="0"/>
              <w:rPr>
                <w:sz w:val="9"/>
                <w:szCs w:val="9"/>
                <w:color w:val="auto"/>
              </w:rPr>
            </w:pPr>
          </w:p>
        </w:tc>
        <w:tc>
          <w:tcPr>
            <w:tcW w:w="1700" w:type="dxa"/>
            <w:vAlign w:val="bottom"/>
            <w:vMerge w:val="continue"/>
            <w:shd w:val="clear" w:color="auto" w:fill="CCCCCC"/>
          </w:tcPr>
          <w:p>
            <w:pPr>
              <w:spacing w:after="0"/>
              <w:rPr>
                <w:sz w:val="9"/>
                <w:szCs w:val="9"/>
                <w:color w:val="auto"/>
              </w:rPr>
            </w:pPr>
          </w:p>
        </w:tc>
        <w:tc>
          <w:tcPr>
            <w:tcW w:w="260" w:type="dxa"/>
            <w:vAlign w:val="bottom"/>
            <w:tcBorders>
              <w:right w:val="single" w:sz="8" w:color="959595"/>
            </w:tcBorders>
            <w:vMerge w:val="continue"/>
          </w:tcPr>
          <w:p>
            <w:pPr>
              <w:spacing w:after="0"/>
              <w:rPr>
                <w:sz w:val="9"/>
                <w:szCs w:val="9"/>
                <w:color w:val="auto"/>
              </w:rPr>
            </w:pPr>
          </w:p>
        </w:tc>
        <w:tc>
          <w:tcPr>
            <w:tcW w:w="2260" w:type="dxa"/>
            <w:vAlign w:val="bottom"/>
            <w:vMerge w:val="continue"/>
            <w:shd w:val="clear" w:color="auto" w:fill="959595"/>
          </w:tcPr>
          <w:p>
            <w:pPr>
              <w:spacing w:after="0"/>
              <w:rPr>
                <w:sz w:val="9"/>
                <w:szCs w:val="9"/>
                <w:color w:val="auto"/>
              </w:rPr>
            </w:pPr>
          </w:p>
        </w:tc>
        <w:tc>
          <w:tcPr>
            <w:tcW w:w="240" w:type="dxa"/>
            <w:vAlign w:val="bottom"/>
            <w:vMerge w:val="continue"/>
          </w:tcPr>
          <w:p>
            <w:pPr>
              <w:spacing w:after="0"/>
              <w:rPr>
                <w:sz w:val="9"/>
                <w:szCs w:val="9"/>
                <w:color w:val="auto"/>
              </w:rPr>
            </w:pPr>
          </w:p>
        </w:tc>
        <w:tc>
          <w:tcPr>
            <w:tcW w:w="2020" w:type="dxa"/>
            <w:vAlign w:val="bottom"/>
            <w:vMerge w:val="restart"/>
            <w:shd w:val="clear" w:color="auto" w:fill="012E6C"/>
          </w:tcPr>
          <w:p>
            <w:pPr>
              <w:jc w:val="center"/>
              <w:spacing w:after="0"/>
              <w:rPr>
                <w:sz w:val="20"/>
                <w:szCs w:val="20"/>
                <w:color w:val="auto"/>
              </w:rPr>
            </w:pPr>
            <w:r>
              <w:rPr>
                <w:rFonts w:ascii="Arial" w:cs="Arial" w:eastAsia="Arial" w:hAnsi="Arial"/>
                <w:sz w:val="14"/>
                <w:szCs w:val="14"/>
                <w:color w:val="FFFFFF"/>
              </w:rPr>
              <w:t>50% PSUs</w:t>
            </w:r>
          </w:p>
        </w:tc>
        <w:tc>
          <w:tcPr>
            <w:tcW w:w="1940" w:type="dxa"/>
            <w:vAlign w:val="bottom"/>
            <w:vMerge w:val="restart"/>
            <w:shd w:val="clear" w:color="auto" w:fill="012E6C"/>
          </w:tcPr>
          <w:p>
            <w:pPr>
              <w:ind w:left="720"/>
              <w:spacing w:after="0"/>
              <w:rPr>
                <w:sz w:val="20"/>
                <w:szCs w:val="20"/>
                <w:color w:val="auto"/>
              </w:rPr>
            </w:pPr>
            <w:r>
              <w:rPr>
                <w:rFonts w:ascii="Arial" w:cs="Arial" w:eastAsia="Arial" w:hAnsi="Arial"/>
                <w:sz w:val="14"/>
                <w:szCs w:val="14"/>
                <w:color w:val="FFFFFF"/>
              </w:rPr>
              <w:t>20% LTIP</w:t>
            </w:r>
          </w:p>
        </w:tc>
        <w:tc>
          <w:tcPr>
            <w:tcW w:w="1940" w:type="dxa"/>
            <w:vAlign w:val="bottom"/>
            <w:vMerge w:val="restart"/>
            <w:shd w:val="clear" w:color="auto" w:fill="012E6C"/>
          </w:tcPr>
          <w:p>
            <w:pPr>
              <w:jc w:val="center"/>
              <w:ind w:left="52"/>
              <w:spacing w:after="0"/>
              <w:rPr>
                <w:sz w:val="20"/>
                <w:szCs w:val="20"/>
                <w:color w:val="auto"/>
              </w:rPr>
            </w:pPr>
            <w:r>
              <w:rPr>
                <w:rFonts w:ascii="Arial" w:cs="Arial" w:eastAsia="Arial" w:hAnsi="Arial"/>
                <w:sz w:val="14"/>
                <w:szCs w:val="14"/>
                <w:color w:val="FFFFFF"/>
              </w:rPr>
              <w:t>30% RSUs</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1060" w:type="dxa"/>
            <w:vAlign w:val="bottom"/>
            <w:tcBorders>
              <w:right w:val="single" w:sz="8" w:color="CCCCCC"/>
            </w:tcBorders>
          </w:tcPr>
          <w:p>
            <w:pPr>
              <w:spacing w:after="0"/>
              <w:rPr>
                <w:sz w:val="10"/>
                <w:szCs w:val="10"/>
                <w:color w:val="auto"/>
              </w:rPr>
            </w:pPr>
          </w:p>
        </w:tc>
        <w:tc>
          <w:tcPr>
            <w:tcW w:w="1700" w:type="dxa"/>
            <w:vAlign w:val="bottom"/>
            <w:shd w:val="clear" w:color="auto" w:fill="CCCCCC"/>
          </w:tcPr>
          <w:p>
            <w:pPr>
              <w:spacing w:after="0"/>
              <w:rPr>
                <w:sz w:val="10"/>
                <w:szCs w:val="10"/>
                <w:color w:val="auto"/>
              </w:rPr>
            </w:pPr>
          </w:p>
        </w:tc>
        <w:tc>
          <w:tcPr>
            <w:tcW w:w="260" w:type="dxa"/>
            <w:vAlign w:val="bottom"/>
            <w:tcBorders>
              <w:right w:val="single" w:sz="8" w:color="959595"/>
            </w:tcBorders>
          </w:tcPr>
          <w:p>
            <w:pPr>
              <w:spacing w:after="0"/>
              <w:rPr>
                <w:sz w:val="10"/>
                <w:szCs w:val="10"/>
                <w:color w:val="auto"/>
              </w:rPr>
            </w:pPr>
          </w:p>
        </w:tc>
        <w:tc>
          <w:tcPr>
            <w:tcW w:w="2260" w:type="dxa"/>
            <w:vAlign w:val="bottom"/>
            <w:shd w:val="clear" w:color="auto" w:fill="959595"/>
          </w:tcPr>
          <w:p>
            <w:pPr>
              <w:spacing w:after="0"/>
              <w:rPr>
                <w:sz w:val="10"/>
                <w:szCs w:val="10"/>
                <w:color w:val="auto"/>
              </w:rPr>
            </w:pPr>
          </w:p>
        </w:tc>
        <w:tc>
          <w:tcPr>
            <w:tcW w:w="240" w:type="dxa"/>
            <w:vAlign w:val="bottom"/>
          </w:tcPr>
          <w:p>
            <w:pPr>
              <w:spacing w:after="0"/>
              <w:rPr>
                <w:sz w:val="10"/>
                <w:szCs w:val="10"/>
                <w:color w:val="auto"/>
              </w:rPr>
            </w:pPr>
          </w:p>
        </w:tc>
        <w:tc>
          <w:tcPr>
            <w:tcW w:w="2020" w:type="dxa"/>
            <w:vAlign w:val="bottom"/>
            <w:vMerge w:val="continue"/>
            <w:shd w:val="clear" w:color="auto" w:fill="012E6C"/>
          </w:tcPr>
          <w:p>
            <w:pPr>
              <w:spacing w:after="0"/>
              <w:rPr>
                <w:sz w:val="10"/>
                <w:szCs w:val="10"/>
                <w:color w:val="auto"/>
              </w:rPr>
            </w:pPr>
          </w:p>
        </w:tc>
        <w:tc>
          <w:tcPr>
            <w:tcW w:w="1940" w:type="dxa"/>
            <w:vAlign w:val="bottom"/>
            <w:vMerge w:val="continue"/>
            <w:shd w:val="clear" w:color="auto" w:fill="012E6C"/>
          </w:tcPr>
          <w:p>
            <w:pPr>
              <w:spacing w:after="0"/>
              <w:rPr>
                <w:sz w:val="10"/>
                <w:szCs w:val="10"/>
                <w:color w:val="auto"/>
              </w:rPr>
            </w:pPr>
          </w:p>
        </w:tc>
        <w:tc>
          <w:tcPr>
            <w:tcW w:w="1940" w:type="dxa"/>
            <w:vAlign w:val="bottom"/>
            <w:vMerge w:val="continue"/>
            <w:shd w:val="clear" w:color="auto" w:fill="012E6C"/>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1060" w:type="dxa"/>
            <w:vAlign w:val="bottom"/>
          </w:tcPr>
          <w:p>
            <w:pPr>
              <w:ind w:left="40"/>
              <w:spacing w:after="0"/>
              <w:rPr>
                <w:sz w:val="20"/>
                <w:szCs w:val="20"/>
                <w:color w:val="auto"/>
              </w:rPr>
            </w:pPr>
            <w:r>
              <w:rPr>
                <w:rFonts w:ascii="Arial" w:cs="Arial" w:eastAsia="Arial" w:hAnsi="Arial"/>
                <w:sz w:val="17"/>
                <w:szCs w:val="17"/>
                <w:color w:val="012E6C"/>
              </w:rPr>
              <w:t>WHAT?</w:t>
            </w:r>
          </w:p>
        </w:tc>
        <w:tc>
          <w:tcPr>
            <w:tcW w:w="1700" w:type="dxa"/>
            <w:vAlign w:val="bottom"/>
          </w:tcPr>
          <w:p>
            <w:pPr>
              <w:jc w:val="center"/>
              <w:spacing w:after="0"/>
              <w:rPr>
                <w:sz w:val="20"/>
                <w:szCs w:val="20"/>
                <w:color w:val="auto"/>
              </w:rPr>
            </w:pPr>
            <w:r>
              <w:rPr>
                <w:rFonts w:ascii="Arial" w:cs="Arial" w:eastAsia="Arial" w:hAnsi="Arial"/>
                <w:sz w:val="13"/>
                <w:szCs w:val="13"/>
                <w:color w:val="auto"/>
                <w:w w:val="98"/>
              </w:rPr>
              <w:t>Cash</w:t>
            </w:r>
          </w:p>
        </w:tc>
        <w:tc>
          <w:tcPr>
            <w:tcW w:w="260" w:type="dxa"/>
            <w:vAlign w:val="bottom"/>
          </w:tcPr>
          <w:p>
            <w:pPr>
              <w:spacing w:after="0"/>
              <w:rPr>
                <w:sz w:val="19"/>
                <w:szCs w:val="19"/>
                <w:color w:val="auto"/>
              </w:rPr>
            </w:pPr>
          </w:p>
        </w:tc>
        <w:tc>
          <w:tcPr>
            <w:tcW w:w="2260" w:type="dxa"/>
            <w:vAlign w:val="bottom"/>
          </w:tcPr>
          <w:p>
            <w:pPr>
              <w:jc w:val="center"/>
              <w:spacing w:after="0"/>
              <w:rPr>
                <w:sz w:val="20"/>
                <w:szCs w:val="20"/>
                <w:color w:val="auto"/>
              </w:rPr>
            </w:pPr>
            <w:r>
              <w:rPr>
                <w:rFonts w:ascii="Arial" w:cs="Arial" w:eastAsia="Arial" w:hAnsi="Arial"/>
                <w:sz w:val="13"/>
                <w:szCs w:val="13"/>
                <w:color w:val="auto"/>
                <w:w w:val="92"/>
              </w:rPr>
              <w:t>Cash</w:t>
            </w:r>
          </w:p>
        </w:tc>
        <w:tc>
          <w:tcPr>
            <w:tcW w:w="24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99"/>
              </w:rPr>
              <w:t>Equity</w:t>
            </w:r>
          </w:p>
        </w:tc>
        <w:tc>
          <w:tcPr>
            <w:tcW w:w="1940" w:type="dxa"/>
            <w:vAlign w:val="bottom"/>
          </w:tcPr>
          <w:p>
            <w:pPr>
              <w:jc w:val="center"/>
              <w:spacing w:after="0"/>
              <w:rPr>
                <w:sz w:val="20"/>
                <w:szCs w:val="20"/>
                <w:color w:val="auto"/>
              </w:rPr>
            </w:pPr>
            <w:r>
              <w:rPr>
                <w:rFonts w:ascii="Arial" w:cs="Arial" w:eastAsia="Arial" w:hAnsi="Arial"/>
                <w:sz w:val="13"/>
                <w:szCs w:val="13"/>
                <w:color w:val="auto"/>
                <w:w w:val="98"/>
              </w:rPr>
              <w:t>Cash</w:t>
            </w:r>
          </w:p>
        </w:tc>
        <w:tc>
          <w:tcPr>
            <w:tcW w:w="1940" w:type="dxa"/>
            <w:vAlign w:val="bottom"/>
          </w:tcPr>
          <w:p>
            <w:pPr>
              <w:jc w:val="center"/>
              <w:ind w:left="52"/>
              <w:spacing w:after="0"/>
              <w:rPr>
                <w:sz w:val="20"/>
                <w:szCs w:val="20"/>
                <w:color w:val="auto"/>
              </w:rPr>
            </w:pPr>
            <w:r>
              <w:rPr>
                <w:rFonts w:ascii="Arial" w:cs="Arial" w:eastAsia="Arial" w:hAnsi="Arial"/>
                <w:sz w:val="13"/>
                <w:szCs w:val="13"/>
                <w:color w:val="auto"/>
                <w:w w:val="93"/>
              </w:rPr>
              <w:t>Equity</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1060" w:type="dxa"/>
            <w:vAlign w:val="bottom"/>
            <w:tcBorders>
              <w:bottom w:val="single" w:sz="8" w:color="959595"/>
            </w:tcBorders>
          </w:tcPr>
          <w:p>
            <w:pPr>
              <w:spacing w:after="0"/>
              <w:rPr>
                <w:sz w:val="3"/>
                <w:szCs w:val="3"/>
                <w:color w:val="auto"/>
              </w:rPr>
            </w:pPr>
          </w:p>
        </w:tc>
        <w:tc>
          <w:tcPr>
            <w:tcW w:w="1700" w:type="dxa"/>
            <w:vAlign w:val="bottom"/>
            <w:tcBorders>
              <w:bottom w:val="single" w:sz="8" w:color="959595"/>
            </w:tcBorders>
          </w:tcPr>
          <w:p>
            <w:pPr>
              <w:spacing w:after="0"/>
              <w:rPr>
                <w:sz w:val="3"/>
                <w:szCs w:val="3"/>
                <w:color w:val="auto"/>
              </w:rPr>
            </w:pPr>
          </w:p>
        </w:tc>
        <w:tc>
          <w:tcPr>
            <w:tcW w:w="260" w:type="dxa"/>
            <w:vAlign w:val="bottom"/>
            <w:tcBorders>
              <w:bottom w:val="single" w:sz="8" w:color="959595"/>
            </w:tcBorders>
          </w:tcPr>
          <w:p>
            <w:pPr>
              <w:spacing w:after="0"/>
              <w:rPr>
                <w:sz w:val="3"/>
                <w:szCs w:val="3"/>
                <w:color w:val="auto"/>
              </w:rPr>
            </w:pPr>
          </w:p>
        </w:tc>
        <w:tc>
          <w:tcPr>
            <w:tcW w:w="2260" w:type="dxa"/>
            <w:vAlign w:val="bottom"/>
            <w:tcBorders>
              <w:bottom w:val="single" w:sz="8" w:color="959595"/>
            </w:tcBorders>
          </w:tcPr>
          <w:p>
            <w:pPr>
              <w:spacing w:after="0"/>
              <w:rPr>
                <w:sz w:val="3"/>
                <w:szCs w:val="3"/>
                <w:color w:val="auto"/>
              </w:rPr>
            </w:pPr>
          </w:p>
        </w:tc>
        <w:tc>
          <w:tcPr>
            <w:tcW w:w="240" w:type="dxa"/>
            <w:vAlign w:val="bottom"/>
            <w:tcBorders>
              <w:bottom w:val="single" w:sz="8" w:color="959595"/>
            </w:tcBorders>
          </w:tcPr>
          <w:p>
            <w:pPr>
              <w:spacing w:after="0"/>
              <w:rPr>
                <w:sz w:val="3"/>
                <w:szCs w:val="3"/>
                <w:color w:val="auto"/>
              </w:rPr>
            </w:pPr>
          </w:p>
        </w:tc>
        <w:tc>
          <w:tcPr>
            <w:tcW w:w="2020" w:type="dxa"/>
            <w:vAlign w:val="bottom"/>
            <w:tcBorders>
              <w:bottom w:val="single" w:sz="8" w:color="959595"/>
            </w:tcBorders>
          </w:tcPr>
          <w:p>
            <w:pPr>
              <w:spacing w:after="0"/>
              <w:rPr>
                <w:sz w:val="3"/>
                <w:szCs w:val="3"/>
                <w:color w:val="auto"/>
              </w:rPr>
            </w:pPr>
          </w:p>
        </w:tc>
        <w:tc>
          <w:tcPr>
            <w:tcW w:w="1940" w:type="dxa"/>
            <w:vAlign w:val="bottom"/>
            <w:tcBorders>
              <w:bottom w:val="single" w:sz="8" w:color="959595"/>
            </w:tcBorders>
          </w:tcPr>
          <w:p>
            <w:pPr>
              <w:spacing w:after="0"/>
              <w:rPr>
                <w:sz w:val="3"/>
                <w:szCs w:val="3"/>
                <w:color w:val="auto"/>
              </w:rPr>
            </w:pPr>
          </w:p>
        </w:tc>
        <w:tc>
          <w:tcPr>
            <w:tcW w:w="1940" w:type="dxa"/>
            <w:vAlign w:val="bottom"/>
            <w:tcBorders>
              <w:bottom w:val="single" w:sz="8" w:color="959595"/>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060" w:type="dxa"/>
            <w:vAlign w:val="bottom"/>
          </w:tcPr>
          <w:p>
            <w:pPr>
              <w:ind w:left="40"/>
              <w:spacing w:after="0"/>
              <w:rPr>
                <w:sz w:val="20"/>
                <w:szCs w:val="20"/>
                <w:color w:val="auto"/>
              </w:rPr>
            </w:pPr>
            <w:r>
              <w:rPr>
                <w:rFonts w:ascii="Arial" w:cs="Arial" w:eastAsia="Arial" w:hAnsi="Arial"/>
                <w:sz w:val="17"/>
                <w:szCs w:val="17"/>
                <w:color w:val="012E6C"/>
              </w:rPr>
              <w:t>WHEN?</w:t>
            </w:r>
          </w:p>
        </w:tc>
        <w:tc>
          <w:tcPr>
            <w:tcW w:w="1700" w:type="dxa"/>
            <w:vAlign w:val="bottom"/>
          </w:tcPr>
          <w:p>
            <w:pPr>
              <w:jc w:val="center"/>
              <w:spacing w:after="0"/>
              <w:rPr>
                <w:sz w:val="20"/>
                <w:szCs w:val="20"/>
                <w:color w:val="auto"/>
              </w:rPr>
            </w:pPr>
            <w:r>
              <w:rPr>
                <w:rFonts w:ascii="Arial" w:cs="Arial" w:eastAsia="Arial" w:hAnsi="Arial"/>
                <w:sz w:val="13"/>
                <w:szCs w:val="13"/>
                <w:color w:val="auto"/>
                <w:w w:val="98"/>
              </w:rPr>
              <w:t>Annual</w:t>
            </w:r>
          </w:p>
        </w:tc>
        <w:tc>
          <w:tcPr>
            <w:tcW w:w="260" w:type="dxa"/>
            <w:vAlign w:val="bottom"/>
          </w:tcPr>
          <w:p>
            <w:pPr>
              <w:spacing w:after="0"/>
              <w:rPr>
                <w:sz w:val="17"/>
                <w:szCs w:val="17"/>
                <w:color w:val="auto"/>
              </w:rPr>
            </w:pPr>
          </w:p>
        </w:tc>
        <w:tc>
          <w:tcPr>
            <w:tcW w:w="2260" w:type="dxa"/>
            <w:vAlign w:val="bottom"/>
          </w:tcPr>
          <w:p>
            <w:pPr>
              <w:jc w:val="center"/>
              <w:spacing w:after="0"/>
              <w:rPr>
                <w:sz w:val="20"/>
                <w:szCs w:val="20"/>
                <w:color w:val="auto"/>
              </w:rPr>
            </w:pPr>
            <w:r>
              <w:rPr>
                <w:rFonts w:ascii="Arial" w:cs="Arial" w:eastAsia="Arial" w:hAnsi="Arial"/>
                <w:sz w:val="13"/>
                <w:szCs w:val="13"/>
                <w:color w:val="auto"/>
                <w:w w:val="98"/>
              </w:rPr>
              <w:t>Annual</w:t>
            </w:r>
          </w:p>
        </w:tc>
        <w:tc>
          <w:tcPr>
            <w:tcW w:w="24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97"/>
              </w:rPr>
              <w:t>3-year</w:t>
            </w:r>
          </w:p>
        </w:tc>
        <w:tc>
          <w:tcPr>
            <w:tcW w:w="1940" w:type="dxa"/>
            <w:vAlign w:val="bottom"/>
          </w:tcPr>
          <w:p>
            <w:pPr>
              <w:jc w:val="center"/>
              <w:spacing w:after="0"/>
              <w:rPr>
                <w:sz w:val="20"/>
                <w:szCs w:val="20"/>
                <w:color w:val="auto"/>
              </w:rPr>
            </w:pPr>
            <w:r>
              <w:rPr>
                <w:rFonts w:ascii="Arial" w:cs="Arial" w:eastAsia="Arial" w:hAnsi="Arial"/>
                <w:sz w:val="13"/>
                <w:szCs w:val="13"/>
                <w:color w:val="auto"/>
                <w:w w:val="97"/>
              </w:rPr>
              <w:t>3-year</w:t>
            </w:r>
          </w:p>
        </w:tc>
        <w:tc>
          <w:tcPr>
            <w:tcW w:w="1940" w:type="dxa"/>
            <w:vAlign w:val="bottom"/>
          </w:tcPr>
          <w:p>
            <w:pPr>
              <w:jc w:val="center"/>
              <w:ind w:left="12"/>
              <w:spacing w:after="0"/>
              <w:rPr>
                <w:sz w:val="20"/>
                <w:szCs w:val="20"/>
                <w:color w:val="auto"/>
              </w:rPr>
            </w:pPr>
            <w:r>
              <w:rPr>
                <w:rFonts w:ascii="Arial" w:cs="Arial" w:eastAsia="Arial" w:hAnsi="Arial"/>
                <w:sz w:val="13"/>
                <w:szCs w:val="13"/>
                <w:color w:val="auto"/>
                <w:w w:val="92"/>
              </w:rPr>
              <w:t>3-year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1060" w:type="dxa"/>
            <w:vAlign w:val="bottom"/>
            <w:tcBorders>
              <w:bottom w:val="single" w:sz="8" w:color="959595"/>
            </w:tcBorders>
          </w:tcPr>
          <w:p>
            <w:pPr>
              <w:spacing w:after="0"/>
              <w:rPr>
                <w:sz w:val="10"/>
                <w:szCs w:val="10"/>
                <w:color w:val="auto"/>
              </w:rPr>
            </w:pPr>
          </w:p>
        </w:tc>
        <w:tc>
          <w:tcPr>
            <w:tcW w:w="1700" w:type="dxa"/>
            <w:vAlign w:val="bottom"/>
            <w:tcBorders>
              <w:bottom w:val="single" w:sz="8" w:color="959595"/>
            </w:tcBorders>
          </w:tcPr>
          <w:p>
            <w:pPr>
              <w:spacing w:after="0"/>
              <w:rPr>
                <w:sz w:val="10"/>
                <w:szCs w:val="10"/>
                <w:color w:val="auto"/>
              </w:rPr>
            </w:pPr>
          </w:p>
        </w:tc>
        <w:tc>
          <w:tcPr>
            <w:tcW w:w="260" w:type="dxa"/>
            <w:vAlign w:val="bottom"/>
            <w:tcBorders>
              <w:bottom w:val="single" w:sz="8" w:color="959595"/>
            </w:tcBorders>
          </w:tcPr>
          <w:p>
            <w:pPr>
              <w:spacing w:after="0"/>
              <w:rPr>
                <w:sz w:val="10"/>
                <w:szCs w:val="10"/>
                <w:color w:val="auto"/>
              </w:rPr>
            </w:pPr>
          </w:p>
        </w:tc>
        <w:tc>
          <w:tcPr>
            <w:tcW w:w="2260" w:type="dxa"/>
            <w:vAlign w:val="bottom"/>
            <w:tcBorders>
              <w:bottom w:val="single" w:sz="8" w:color="959595"/>
            </w:tcBorders>
          </w:tcPr>
          <w:p>
            <w:pPr>
              <w:spacing w:after="0"/>
              <w:rPr>
                <w:sz w:val="10"/>
                <w:szCs w:val="10"/>
                <w:color w:val="auto"/>
              </w:rPr>
            </w:pPr>
          </w:p>
        </w:tc>
        <w:tc>
          <w:tcPr>
            <w:tcW w:w="240" w:type="dxa"/>
            <w:vAlign w:val="bottom"/>
            <w:tcBorders>
              <w:bottom w:val="single" w:sz="8" w:color="959595"/>
            </w:tcBorders>
          </w:tcPr>
          <w:p>
            <w:pPr>
              <w:spacing w:after="0"/>
              <w:rPr>
                <w:sz w:val="10"/>
                <w:szCs w:val="10"/>
                <w:color w:val="auto"/>
              </w:rPr>
            </w:pPr>
          </w:p>
        </w:tc>
        <w:tc>
          <w:tcPr>
            <w:tcW w:w="2020" w:type="dxa"/>
            <w:vAlign w:val="bottom"/>
            <w:tcBorders>
              <w:bottom w:val="single" w:sz="8" w:color="959595"/>
            </w:tcBorders>
          </w:tcPr>
          <w:p>
            <w:pPr>
              <w:jc w:val="center"/>
              <w:spacing w:after="0" w:line="122" w:lineRule="exact"/>
              <w:rPr>
                <w:sz w:val="20"/>
                <w:szCs w:val="20"/>
                <w:color w:val="auto"/>
              </w:rPr>
            </w:pPr>
            <w:r>
              <w:rPr>
                <w:rFonts w:ascii="Arial" w:cs="Arial" w:eastAsia="Arial" w:hAnsi="Arial"/>
                <w:sz w:val="13"/>
                <w:szCs w:val="13"/>
                <w:color w:val="auto"/>
                <w:w w:val="97"/>
              </w:rPr>
              <w:t>Performance Cycle</w:t>
            </w:r>
          </w:p>
        </w:tc>
        <w:tc>
          <w:tcPr>
            <w:tcW w:w="1940" w:type="dxa"/>
            <w:vAlign w:val="bottom"/>
            <w:tcBorders>
              <w:bottom w:val="single" w:sz="8" w:color="959595"/>
            </w:tcBorders>
          </w:tcPr>
          <w:p>
            <w:pPr>
              <w:jc w:val="center"/>
              <w:spacing w:after="0" w:line="122" w:lineRule="exact"/>
              <w:rPr>
                <w:sz w:val="20"/>
                <w:szCs w:val="20"/>
                <w:color w:val="auto"/>
              </w:rPr>
            </w:pPr>
            <w:r>
              <w:rPr>
                <w:rFonts w:ascii="Arial" w:cs="Arial" w:eastAsia="Arial" w:hAnsi="Arial"/>
                <w:sz w:val="13"/>
                <w:szCs w:val="13"/>
                <w:color w:val="auto"/>
                <w:w w:val="97"/>
              </w:rPr>
              <w:t>Performance Cycle</w:t>
            </w:r>
          </w:p>
        </w:tc>
        <w:tc>
          <w:tcPr>
            <w:tcW w:w="1940" w:type="dxa"/>
            <w:vAlign w:val="bottom"/>
            <w:tcBorders>
              <w:bottom w:val="single" w:sz="8" w:color="959595"/>
            </w:tcBorders>
          </w:tcPr>
          <w:p>
            <w:pPr>
              <w:jc w:val="center"/>
              <w:ind w:left="52"/>
              <w:spacing w:after="0" w:line="122" w:lineRule="exact"/>
              <w:rPr>
                <w:sz w:val="20"/>
                <w:szCs w:val="20"/>
                <w:color w:val="auto"/>
              </w:rPr>
            </w:pPr>
            <w:r>
              <w:rPr>
                <w:rFonts w:ascii="Arial" w:cs="Arial" w:eastAsia="Arial" w:hAnsi="Arial"/>
                <w:sz w:val="13"/>
                <w:szCs w:val="13"/>
                <w:color w:val="auto"/>
                <w:w w:val="95"/>
              </w:rPr>
              <w:t>Cliff Vesting</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1060" w:type="dxa"/>
            <w:vAlign w:val="bottom"/>
          </w:tcPr>
          <w:p>
            <w:pPr>
              <w:ind w:left="40"/>
              <w:spacing w:after="0"/>
              <w:rPr>
                <w:sz w:val="20"/>
                <w:szCs w:val="20"/>
                <w:color w:val="auto"/>
              </w:rPr>
            </w:pPr>
            <w:r>
              <w:rPr>
                <w:rFonts w:ascii="Arial" w:cs="Arial" w:eastAsia="Arial" w:hAnsi="Arial"/>
                <w:sz w:val="17"/>
                <w:szCs w:val="17"/>
                <w:color w:val="012E6C"/>
              </w:rPr>
              <w:t>HOW?</w:t>
            </w:r>
          </w:p>
        </w:tc>
        <w:tc>
          <w:tcPr>
            <w:tcW w:w="1700" w:type="dxa"/>
            <w:vAlign w:val="bottom"/>
          </w:tcPr>
          <w:p>
            <w:pPr>
              <w:ind w:left="20"/>
              <w:spacing w:after="0"/>
              <w:rPr>
                <w:sz w:val="20"/>
                <w:szCs w:val="20"/>
                <w:color w:val="auto"/>
              </w:rPr>
            </w:pPr>
            <w:r>
              <w:rPr>
                <w:rFonts w:ascii="Arial" w:cs="Arial" w:eastAsia="Arial" w:hAnsi="Arial"/>
                <w:sz w:val="14"/>
                <w:szCs w:val="14"/>
                <w:color w:val="auto"/>
              </w:rPr>
              <w:t>Market rate, as well as</w:t>
            </w:r>
          </w:p>
        </w:tc>
        <w:tc>
          <w:tcPr>
            <w:tcW w:w="260" w:type="dxa"/>
            <w:vAlign w:val="bottom"/>
          </w:tcPr>
          <w:p>
            <w:pPr>
              <w:spacing w:after="0"/>
              <w:rPr>
                <w:sz w:val="22"/>
                <w:szCs w:val="22"/>
                <w:color w:val="auto"/>
              </w:rPr>
            </w:pPr>
          </w:p>
        </w:tc>
        <w:tc>
          <w:tcPr>
            <w:tcW w:w="2260" w:type="dxa"/>
            <w:vAlign w:val="bottom"/>
          </w:tcPr>
          <w:p>
            <w:pPr>
              <w:spacing w:after="0"/>
              <w:rPr>
                <w:sz w:val="20"/>
                <w:szCs w:val="20"/>
                <w:color w:val="auto"/>
              </w:rPr>
            </w:pPr>
            <w:r>
              <w:rPr>
                <w:rFonts w:ascii="Arial" w:cs="Arial" w:eastAsia="Arial" w:hAnsi="Arial"/>
                <w:sz w:val="14"/>
                <w:szCs w:val="14"/>
                <w:b w:val="1"/>
                <w:bCs w:val="1"/>
                <w:color w:val="auto"/>
              </w:rPr>
              <w:t>70% Financial</w:t>
            </w:r>
          </w:p>
        </w:tc>
        <w:tc>
          <w:tcPr>
            <w:tcW w:w="240" w:type="dxa"/>
            <w:vAlign w:val="bottom"/>
          </w:tcPr>
          <w:p>
            <w:pPr>
              <w:spacing w:after="0"/>
              <w:rPr>
                <w:sz w:val="22"/>
                <w:szCs w:val="22"/>
                <w:color w:val="auto"/>
              </w:rPr>
            </w:pPr>
          </w:p>
        </w:tc>
        <w:tc>
          <w:tcPr>
            <w:tcW w:w="2020" w:type="dxa"/>
            <w:vAlign w:val="bottom"/>
          </w:tcPr>
          <w:p>
            <w:pPr>
              <w:jc w:val="right"/>
              <w:spacing w:after="0"/>
              <w:rPr>
                <w:sz w:val="20"/>
                <w:szCs w:val="20"/>
                <w:color w:val="auto"/>
              </w:rPr>
            </w:pPr>
            <w:r>
              <w:rPr>
                <w:rFonts w:ascii="Arial" w:cs="Arial" w:eastAsia="Arial" w:hAnsi="Arial"/>
                <w:sz w:val="14"/>
                <w:szCs w:val="14"/>
                <w:b w:val="1"/>
                <w:bCs w:val="1"/>
                <w:color w:val="auto"/>
              </w:rPr>
              <w:t>Relative TSR*</w:t>
            </w:r>
          </w:p>
        </w:tc>
        <w:tc>
          <w:tcPr>
            <w:tcW w:w="1940" w:type="dxa"/>
            <w:vAlign w:val="bottom"/>
          </w:tcPr>
          <w:p>
            <w:pPr>
              <w:ind w:left="40"/>
              <w:spacing w:after="0"/>
              <w:rPr>
                <w:sz w:val="20"/>
                <w:szCs w:val="20"/>
                <w:color w:val="auto"/>
              </w:rPr>
            </w:pPr>
            <w:r>
              <w:rPr>
                <w:rFonts w:ascii="Arial" w:cs="Arial" w:eastAsia="Arial" w:hAnsi="Arial"/>
                <w:sz w:val="14"/>
                <w:szCs w:val="14"/>
                <w:b w:val="1"/>
                <w:bCs w:val="1"/>
                <w:color w:val="auto"/>
              </w:rPr>
              <w:t>(50%)</w:t>
            </w:r>
          </w:p>
        </w:tc>
        <w:tc>
          <w:tcPr>
            <w:tcW w:w="1940" w:type="dxa"/>
            <w:vAlign w:val="bottom"/>
          </w:tcPr>
          <w:p>
            <w:pPr>
              <w:ind w:left="140"/>
              <w:spacing w:after="0"/>
              <w:rPr>
                <w:sz w:val="20"/>
                <w:szCs w:val="20"/>
                <w:color w:val="auto"/>
              </w:rPr>
            </w:pPr>
            <w:r>
              <w:rPr>
                <w:rFonts w:ascii="Arial" w:cs="Arial" w:eastAsia="Arial" w:hAnsi="Arial"/>
                <w:sz w:val="14"/>
                <w:szCs w:val="14"/>
                <w:color w:val="auto"/>
              </w:rPr>
              <w:t>Value delivered through</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60" w:type="dxa"/>
            <w:vAlign w:val="bottom"/>
            <w:vMerge w:val="restart"/>
          </w:tcPr>
          <w:p>
            <w:pPr>
              <w:ind w:left="40"/>
              <w:spacing w:after="0"/>
              <w:rPr>
                <w:sz w:val="20"/>
                <w:szCs w:val="20"/>
                <w:color w:val="auto"/>
              </w:rPr>
            </w:pPr>
            <w:r>
              <w:rPr>
                <w:rFonts w:ascii="Arial" w:cs="Arial" w:eastAsia="Arial" w:hAnsi="Arial"/>
                <w:sz w:val="14"/>
                <w:szCs w:val="14"/>
                <w:color w:val="auto"/>
              </w:rPr>
              <w:t>Measures,</w:t>
            </w:r>
          </w:p>
        </w:tc>
        <w:tc>
          <w:tcPr>
            <w:tcW w:w="1700" w:type="dxa"/>
            <w:vAlign w:val="bottom"/>
            <w:vMerge w:val="restart"/>
          </w:tcPr>
          <w:p>
            <w:pPr>
              <w:ind w:left="20"/>
              <w:spacing w:after="0"/>
              <w:rPr>
                <w:sz w:val="20"/>
                <w:szCs w:val="20"/>
                <w:color w:val="auto"/>
              </w:rPr>
            </w:pPr>
            <w:r>
              <w:rPr>
                <w:rFonts w:ascii="Arial" w:cs="Arial" w:eastAsia="Arial" w:hAnsi="Arial"/>
                <w:sz w:val="14"/>
                <w:szCs w:val="14"/>
                <w:color w:val="auto"/>
              </w:rPr>
              <w:t>internal pay equity,</w:t>
            </w:r>
          </w:p>
        </w:tc>
        <w:tc>
          <w:tcPr>
            <w:tcW w:w="260" w:type="dxa"/>
            <w:vAlign w:val="bottom"/>
          </w:tcPr>
          <w:p>
            <w:pPr>
              <w:spacing w:after="0"/>
              <w:rPr>
                <w:sz w:val="10"/>
                <w:szCs w:val="10"/>
                <w:color w:val="auto"/>
              </w:rPr>
            </w:pPr>
          </w:p>
        </w:tc>
        <w:tc>
          <w:tcPr>
            <w:tcW w:w="2260" w:type="dxa"/>
            <w:vAlign w:val="bottom"/>
          </w:tcPr>
          <w:p>
            <w:pPr>
              <w:spacing w:after="0" w:line="122" w:lineRule="exact"/>
              <w:rPr>
                <w:sz w:val="20"/>
                <w:szCs w:val="20"/>
                <w:color w:val="auto"/>
              </w:rPr>
            </w:pPr>
            <w:r>
              <w:rPr>
                <w:rFonts w:ascii="Arial" w:cs="Arial" w:eastAsia="Arial" w:hAnsi="Arial"/>
                <w:sz w:val="14"/>
                <w:szCs w:val="14"/>
                <w:color w:val="auto"/>
              </w:rPr>
              <w:t>20% Sales, 40% Segment</w:t>
            </w:r>
          </w:p>
        </w:tc>
        <w:tc>
          <w:tcPr>
            <w:tcW w:w="240" w:type="dxa"/>
            <w:vAlign w:val="bottom"/>
          </w:tcPr>
          <w:p>
            <w:pPr>
              <w:spacing w:after="0"/>
              <w:rPr>
                <w:sz w:val="10"/>
                <w:szCs w:val="10"/>
                <w:color w:val="auto"/>
              </w:rPr>
            </w:pPr>
          </w:p>
        </w:tc>
        <w:tc>
          <w:tcPr>
            <w:tcW w:w="2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ROIC**</w:t>
            </w:r>
          </w:p>
        </w:tc>
        <w:tc>
          <w:tcPr>
            <w:tcW w:w="19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(25%)</w:t>
            </w:r>
          </w:p>
        </w:tc>
        <w:tc>
          <w:tcPr>
            <w:tcW w:w="1940" w:type="dxa"/>
            <w:vAlign w:val="bottom"/>
            <w:vMerge w:val="restart"/>
          </w:tcPr>
          <w:p>
            <w:pPr>
              <w:ind w:left="140"/>
              <w:spacing w:after="0"/>
              <w:rPr>
                <w:sz w:val="20"/>
                <w:szCs w:val="20"/>
                <w:color w:val="auto"/>
              </w:rPr>
            </w:pPr>
            <w:r>
              <w:rPr>
                <w:rFonts w:ascii="Arial" w:cs="Arial" w:eastAsia="Arial" w:hAnsi="Arial"/>
                <w:sz w:val="14"/>
                <w:szCs w:val="14"/>
                <w:color w:val="auto"/>
              </w:rPr>
              <w:t>long-term stock price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1060" w:type="dxa"/>
            <w:vAlign w:val="bottom"/>
            <w:vMerge w:val="continue"/>
          </w:tcPr>
          <w:p>
            <w:pPr>
              <w:spacing w:after="0"/>
              <w:rPr>
                <w:sz w:val="5"/>
                <w:szCs w:val="5"/>
                <w:color w:val="auto"/>
              </w:rPr>
            </w:pPr>
          </w:p>
        </w:tc>
        <w:tc>
          <w:tcPr>
            <w:tcW w:w="1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260" w:type="dxa"/>
            <w:vAlign w:val="bottom"/>
            <w:vMerge w:val="restart"/>
          </w:tcPr>
          <w:p>
            <w:pPr>
              <w:spacing w:after="0"/>
              <w:rPr>
                <w:sz w:val="20"/>
                <w:szCs w:val="20"/>
                <w:color w:val="auto"/>
              </w:rPr>
            </w:pPr>
            <w:r>
              <w:rPr>
                <w:rFonts w:ascii="Arial" w:cs="Arial" w:eastAsia="Arial" w:hAnsi="Arial"/>
                <w:sz w:val="14"/>
                <w:szCs w:val="14"/>
                <w:color w:val="auto"/>
              </w:rPr>
              <w:t>Operating Profit**, 40% Cash from</w:t>
            </w:r>
          </w:p>
        </w:tc>
        <w:tc>
          <w:tcPr>
            <w:tcW w:w="240" w:type="dxa"/>
            <w:vAlign w:val="bottom"/>
          </w:tcPr>
          <w:p>
            <w:pPr>
              <w:spacing w:after="0"/>
              <w:rPr>
                <w:sz w:val="5"/>
                <w:szCs w:val="5"/>
                <w:color w:val="auto"/>
              </w:rPr>
            </w:pPr>
          </w:p>
        </w:tc>
        <w:tc>
          <w:tcPr>
            <w:tcW w:w="2020" w:type="dxa"/>
            <w:vAlign w:val="bottom"/>
            <w:vMerge w:val="continue"/>
          </w:tcPr>
          <w:p>
            <w:pPr>
              <w:spacing w:after="0"/>
              <w:rPr>
                <w:sz w:val="5"/>
                <w:szCs w:val="5"/>
                <w:color w:val="auto"/>
              </w:rPr>
            </w:pPr>
          </w:p>
        </w:tc>
        <w:tc>
          <w:tcPr>
            <w:tcW w:w="1940" w:type="dxa"/>
            <w:vAlign w:val="bottom"/>
            <w:vMerge w:val="continue"/>
          </w:tcPr>
          <w:p>
            <w:pPr>
              <w:spacing w:after="0"/>
              <w:rPr>
                <w:sz w:val="5"/>
                <w:szCs w:val="5"/>
                <w:color w:val="auto"/>
              </w:rPr>
            </w:pPr>
          </w:p>
        </w:tc>
        <w:tc>
          <w:tcPr>
            <w:tcW w:w="19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1060" w:type="dxa"/>
            <w:vAlign w:val="bottom"/>
            <w:vMerge w:val="restart"/>
          </w:tcPr>
          <w:p>
            <w:pPr>
              <w:ind w:left="40"/>
              <w:spacing w:after="0"/>
              <w:rPr>
                <w:sz w:val="20"/>
                <w:szCs w:val="20"/>
                <w:color w:val="auto"/>
              </w:rPr>
            </w:pPr>
            <w:r>
              <w:rPr>
                <w:rFonts w:ascii="Arial" w:cs="Arial" w:eastAsia="Arial" w:hAnsi="Arial"/>
                <w:sz w:val="14"/>
                <w:szCs w:val="14"/>
                <w:color w:val="auto"/>
              </w:rPr>
              <w:t>Weightings &amp;</w:t>
            </w:r>
          </w:p>
        </w:tc>
        <w:tc>
          <w:tcPr>
            <w:tcW w:w="1700" w:type="dxa"/>
            <w:vAlign w:val="bottom"/>
            <w:vMerge w:val="restart"/>
          </w:tcPr>
          <w:p>
            <w:pPr>
              <w:ind w:left="20"/>
              <w:spacing w:after="0"/>
              <w:rPr>
                <w:sz w:val="20"/>
                <w:szCs w:val="20"/>
                <w:color w:val="auto"/>
              </w:rPr>
            </w:pPr>
            <w:r>
              <w:rPr>
                <w:rFonts w:ascii="Arial" w:cs="Arial" w:eastAsia="Arial" w:hAnsi="Arial"/>
                <w:sz w:val="14"/>
                <w:szCs w:val="14"/>
                <w:color w:val="auto"/>
              </w:rPr>
              <w:t>experience and critical</w:t>
            </w:r>
          </w:p>
        </w:tc>
        <w:tc>
          <w:tcPr>
            <w:tcW w:w="260" w:type="dxa"/>
            <w:vAlign w:val="bottom"/>
          </w:tcPr>
          <w:p>
            <w:pPr>
              <w:spacing w:after="0"/>
              <w:rPr>
                <w:sz w:val="8"/>
                <w:szCs w:val="8"/>
                <w:color w:val="auto"/>
              </w:rPr>
            </w:pPr>
          </w:p>
        </w:tc>
        <w:tc>
          <w:tcPr>
            <w:tcW w:w="22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396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Performance Cash** (25%)</w:t>
            </w:r>
          </w:p>
        </w:tc>
        <w:tc>
          <w:tcPr>
            <w:tcW w:w="1940" w:type="dxa"/>
            <w:vAlign w:val="bottom"/>
            <w:vMerge w:val="restart"/>
          </w:tcPr>
          <w:p>
            <w:pPr>
              <w:ind w:left="140"/>
              <w:spacing w:after="0"/>
              <w:rPr>
                <w:sz w:val="20"/>
                <w:szCs w:val="20"/>
                <w:color w:val="auto"/>
              </w:rPr>
            </w:pPr>
            <w:r>
              <w:rPr>
                <w:rFonts w:ascii="Arial" w:cs="Arial" w:eastAsia="Arial" w:hAnsi="Arial"/>
                <w:sz w:val="14"/>
                <w:szCs w:val="14"/>
                <w:color w:val="auto"/>
              </w:rPr>
              <w:t>performance</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1060" w:type="dxa"/>
            <w:vAlign w:val="bottom"/>
            <w:vMerge w:val="continue"/>
          </w:tcPr>
          <w:p>
            <w:pPr>
              <w:spacing w:after="0"/>
              <w:rPr>
                <w:sz w:val="5"/>
                <w:szCs w:val="5"/>
                <w:color w:val="auto"/>
              </w:rPr>
            </w:pPr>
          </w:p>
        </w:tc>
        <w:tc>
          <w:tcPr>
            <w:tcW w:w="1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260" w:type="dxa"/>
            <w:vAlign w:val="bottom"/>
            <w:vMerge w:val="restart"/>
          </w:tcPr>
          <w:p>
            <w:pPr>
              <w:spacing w:after="0"/>
              <w:rPr>
                <w:sz w:val="20"/>
                <w:szCs w:val="20"/>
                <w:color w:val="auto"/>
              </w:rPr>
            </w:pPr>
            <w:r>
              <w:rPr>
                <w:rFonts w:ascii="Arial" w:cs="Arial" w:eastAsia="Arial" w:hAnsi="Arial"/>
                <w:sz w:val="14"/>
                <w:szCs w:val="14"/>
                <w:color w:val="auto"/>
              </w:rPr>
              <w:t>Operations</w:t>
            </w:r>
          </w:p>
        </w:tc>
        <w:tc>
          <w:tcPr>
            <w:tcW w:w="240" w:type="dxa"/>
            <w:vAlign w:val="bottom"/>
          </w:tcPr>
          <w:p>
            <w:pPr>
              <w:spacing w:after="0"/>
              <w:rPr>
                <w:sz w:val="5"/>
                <w:szCs w:val="5"/>
                <w:color w:val="auto"/>
              </w:rPr>
            </w:pPr>
          </w:p>
        </w:tc>
        <w:tc>
          <w:tcPr>
            <w:tcW w:w="3960" w:type="dxa"/>
            <w:vAlign w:val="bottom"/>
            <w:gridSpan w:val="2"/>
            <w:vMerge w:val="continue"/>
          </w:tcPr>
          <w:p>
            <w:pPr>
              <w:spacing w:after="0"/>
              <w:rPr>
                <w:sz w:val="5"/>
                <w:szCs w:val="5"/>
                <w:color w:val="auto"/>
              </w:rPr>
            </w:pPr>
          </w:p>
        </w:tc>
        <w:tc>
          <w:tcPr>
            <w:tcW w:w="19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1060" w:type="dxa"/>
            <w:vAlign w:val="bottom"/>
            <w:vMerge w:val="restart"/>
          </w:tcPr>
          <w:p>
            <w:pPr>
              <w:ind w:left="40"/>
              <w:spacing w:after="0"/>
              <w:rPr>
                <w:sz w:val="20"/>
                <w:szCs w:val="20"/>
                <w:color w:val="auto"/>
              </w:rPr>
            </w:pPr>
            <w:r>
              <w:rPr>
                <w:rFonts w:ascii="Arial" w:cs="Arial" w:eastAsia="Arial" w:hAnsi="Arial"/>
                <w:sz w:val="14"/>
                <w:szCs w:val="14"/>
                <w:color w:val="auto"/>
              </w:rPr>
              <w:t>Payouts</w:t>
            </w:r>
          </w:p>
        </w:tc>
        <w:tc>
          <w:tcPr>
            <w:tcW w:w="1700" w:type="dxa"/>
            <w:vAlign w:val="bottom"/>
            <w:vMerge w:val="restart"/>
          </w:tcPr>
          <w:p>
            <w:pPr>
              <w:ind w:left="20"/>
              <w:spacing w:after="0"/>
              <w:rPr>
                <w:sz w:val="20"/>
                <w:szCs w:val="20"/>
                <w:color w:val="auto"/>
              </w:rPr>
            </w:pPr>
            <w:r>
              <w:rPr>
                <w:rFonts w:ascii="Arial" w:cs="Arial" w:eastAsia="Arial" w:hAnsi="Arial"/>
                <w:sz w:val="14"/>
                <w:szCs w:val="14"/>
                <w:color w:val="auto"/>
              </w:rPr>
              <w:t>skills</w:t>
            </w:r>
          </w:p>
        </w:tc>
        <w:tc>
          <w:tcPr>
            <w:tcW w:w="260" w:type="dxa"/>
            <w:vAlign w:val="bottom"/>
          </w:tcPr>
          <w:p>
            <w:pPr>
              <w:spacing w:after="0"/>
              <w:rPr>
                <w:sz w:val="11"/>
                <w:szCs w:val="11"/>
                <w:color w:val="auto"/>
              </w:rPr>
            </w:pPr>
          </w:p>
        </w:tc>
        <w:tc>
          <w:tcPr>
            <w:tcW w:w="22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2020" w:type="dxa"/>
            <w:vAlign w:val="bottom"/>
            <w:tcBorders>
              <w:bottom w:val="single" w:sz="8" w:color="959595"/>
            </w:tcBorders>
          </w:tcPr>
          <w:p>
            <w:pPr>
              <w:spacing w:after="0"/>
              <w:rPr>
                <w:sz w:val="11"/>
                <w:szCs w:val="11"/>
                <w:color w:val="auto"/>
              </w:rPr>
            </w:pPr>
          </w:p>
        </w:tc>
        <w:tc>
          <w:tcPr>
            <w:tcW w:w="1940" w:type="dxa"/>
            <w:vAlign w:val="bottom"/>
            <w:tcBorders>
              <w:bottom w:val="single" w:sz="8" w:color="959595"/>
            </w:tcBorders>
          </w:tcPr>
          <w:p>
            <w:pPr>
              <w:spacing w:after="0"/>
              <w:rPr>
                <w:sz w:val="11"/>
                <w:szCs w:val="11"/>
                <w:color w:val="auto"/>
              </w:rPr>
            </w:pPr>
          </w:p>
        </w:tc>
        <w:tc>
          <w:tcPr>
            <w:tcW w:w="1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1060" w:type="dxa"/>
            <w:vAlign w:val="bottom"/>
            <w:vMerge w:val="continue"/>
          </w:tcPr>
          <w:p>
            <w:pPr>
              <w:spacing w:after="0"/>
              <w:rPr>
                <w:sz w:val="5"/>
                <w:szCs w:val="5"/>
                <w:color w:val="auto"/>
              </w:rPr>
            </w:pPr>
          </w:p>
        </w:tc>
        <w:tc>
          <w:tcPr>
            <w:tcW w:w="1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26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30% Strategic &amp; Operational </w:t>
            </w:r>
            <w:r>
              <w:rPr>
                <w:rFonts w:ascii="Arial" w:cs="Arial" w:eastAsia="Arial" w:hAnsi="Arial"/>
                <w:sz w:val="14"/>
                <w:szCs w:val="14"/>
                <w:color w:val="auto"/>
              </w:rPr>
              <w:t>Key</w:t>
            </w:r>
          </w:p>
        </w:tc>
        <w:tc>
          <w:tcPr>
            <w:tcW w:w="240" w:type="dxa"/>
            <w:vAlign w:val="bottom"/>
          </w:tcPr>
          <w:p>
            <w:pPr>
              <w:spacing w:after="0"/>
              <w:rPr>
                <w:sz w:val="5"/>
                <w:szCs w:val="5"/>
                <w:color w:val="auto"/>
              </w:rPr>
            </w:pPr>
          </w:p>
        </w:tc>
        <w:tc>
          <w:tcPr>
            <w:tcW w:w="2020" w:type="dxa"/>
            <w:vAlign w:val="bottom"/>
            <w:vMerge w:val="restart"/>
          </w:tcPr>
          <w:p>
            <w:pPr>
              <w:ind w:left="20"/>
              <w:spacing w:after="0"/>
              <w:rPr>
                <w:sz w:val="20"/>
                <w:szCs w:val="20"/>
                <w:color w:val="auto"/>
              </w:rPr>
            </w:pPr>
            <w:r>
              <w:rPr>
                <w:rFonts w:ascii="Arial" w:cs="Arial" w:eastAsia="Arial" w:hAnsi="Arial"/>
                <w:sz w:val="14"/>
                <w:szCs w:val="14"/>
                <w:color w:val="012E6C"/>
              </w:rPr>
              <w:t xml:space="preserve">•  </w:t>
            </w:r>
            <w:r>
              <w:rPr>
                <w:rFonts w:ascii="Arial" w:cs="Arial" w:eastAsia="Arial" w:hAnsi="Arial"/>
                <w:sz w:val="14"/>
                <w:szCs w:val="14"/>
                <w:color w:val="000000"/>
              </w:rPr>
              <w:t>Award 0-200% of target #</w:t>
            </w:r>
          </w:p>
        </w:tc>
        <w:tc>
          <w:tcPr>
            <w:tcW w:w="1940" w:type="dxa"/>
            <w:vAlign w:val="bottom"/>
            <w:vMerge w:val="restart"/>
          </w:tcPr>
          <w:p>
            <w:pPr>
              <w:ind w:left="40"/>
              <w:spacing w:after="0"/>
              <w:rPr>
                <w:sz w:val="20"/>
                <w:szCs w:val="20"/>
                <w:color w:val="auto"/>
              </w:rPr>
            </w:pPr>
            <w:r>
              <w:rPr>
                <w:rFonts w:ascii="Arial" w:cs="Arial" w:eastAsia="Arial" w:hAnsi="Arial"/>
                <w:sz w:val="14"/>
                <w:szCs w:val="14"/>
                <w:color w:val="012E6C"/>
              </w:rPr>
              <w:t xml:space="preserve">•  </w:t>
            </w:r>
            <w:r>
              <w:rPr>
                <w:rFonts w:ascii="Arial" w:cs="Arial" w:eastAsia="Arial" w:hAnsi="Arial"/>
                <w:sz w:val="14"/>
                <w:szCs w:val="14"/>
                <w:color w:val="000000"/>
              </w:rPr>
              <w:t>Payout: 0-200% of target</w:t>
            </w:r>
          </w:p>
        </w:tc>
        <w:tc>
          <w:tcPr>
            <w:tcW w:w="19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0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020" w:type="dxa"/>
            <w:vAlign w:val="bottom"/>
            <w:vMerge w:val="continue"/>
          </w:tcPr>
          <w:p>
            <w:pPr>
              <w:spacing w:after="0"/>
              <w:rPr>
                <w:sz w:val="12"/>
                <w:szCs w:val="12"/>
                <w:color w:val="auto"/>
              </w:rPr>
            </w:pPr>
          </w:p>
        </w:tc>
        <w:tc>
          <w:tcPr>
            <w:tcW w:w="1940" w:type="dxa"/>
            <w:vAlign w:val="bottom"/>
            <w:vMerge w:val="continue"/>
          </w:tcPr>
          <w:p>
            <w:pPr>
              <w:spacing w:after="0"/>
              <w:rPr>
                <w:sz w:val="12"/>
                <w:szCs w:val="12"/>
                <w:color w:val="auto"/>
              </w:rPr>
            </w:pPr>
          </w:p>
        </w:tc>
        <w:tc>
          <w:tcPr>
            <w:tcW w:w="1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0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60" w:type="dxa"/>
            <w:vAlign w:val="bottom"/>
          </w:tcPr>
          <w:p>
            <w:pPr>
              <w:spacing w:after="0"/>
              <w:rPr>
                <w:sz w:val="20"/>
                <w:szCs w:val="20"/>
                <w:color w:val="auto"/>
              </w:rPr>
            </w:pPr>
            <w:r>
              <w:rPr>
                <w:rFonts w:ascii="Arial" w:cs="Arial" w:eastAsia="Arial" w:hAnsi="Arial"/>
                <w:sz w:val="14"/>
                <w:szCs w:val="14"/>
                <w:color w:val="auto"/>
              </w:rPr>
              <w:t>Metrics: Focus Programs, Mission</w:t>
            </w:r>
          </w:p>
        </w:tc>
        <w:tc>
          <w:tcPr>
            <w:tcW w:w="240" w:type="dxa"/>
            <w:vAlign w:val="bottom"/>
          </w:tcPr>
          <w:p>
            <w:pPr>
              <w:spacing w:after="0"/>
              <w:rPr>
                <w:sz w:val="15"/>
                <w:szCs w:val="15"/>
                <w:color w:val="auto"/>
              </w:rPr>
            </w:pPr>
          </w:p>
        </w:tc>
        <w:tc>
          <w:tcPr>
            <w:tcW w:w="2020" w:type="dxa"/>
            <w:vAlign w:val="bottom"/>
          </w:tcPr>
          <w:p>
            <w:pPr>
              <w:ind w:left="140"/>
              <w:spacing w:after="0"/>
              <w:rPr>
                <w:sz w:val="20"/>
                <w:szCs w:val="20"/>
                <w:color w:val="auto"/>
              </w:rPr>
            </w:pPr>
            <w:r>
              <w:rPr>
                <w:rFonts w:ascii="Arial" w:cs="Arial" w:eastAsia="Arial" w:hAnsi="Arial"/>
                <w:sz w:val="14"/>
                <w:szCs w:val="14"/>
                <w:color w:val="auto"/>
              </w:rPr>
              <w:t>of shares</w:t>
            </w:r>
          </w:p>
        </w:tc>
        <w:tc>
          <w:tcPr>
            <w:tcW w:w="1940" w:type="dxa"/>
            <w:vAlign w:val="bottom"/>
          </w:tcPr>
          <w:p>
            <w:pPr>
              <w:ind w:left="40"/>
              <w:spacing w:after="0"/>
              <w:rPr>
                <w:sz w:val="20"/>
                <w:szCs w:val="20"/>
                <w:color w:val="auto"/>
              </w:rPr>
            </w:pPr>
            <w:r>
              <w:rPr>
                <w:rFonts w:ascii="Arial" w:cs="Arial" w:eastAsia="Arial" w:hAnsi="Arial"/>
                <w:sz w:val="14"/>
                <w:szCs w:val="14"/>
                <w:color w:val="012E6C"/>
              </w:rPr>
              <w:t xml:space="preserve">•  </w:t>
            </w:r>
            <w:r>
              <w:rPr>
                <w:rFonts w:ascii="Arial" w:cs="Arial" w:eastAsia="Arial" w:hAnsi="Arial"/>
                <w:sz w:val="14"/>
                <w:szCs w:val="14"/>
                <w:color w:val="000000"/>
              </w:rPr>
              <w:t>Relative TSR measure</w:t>
            </w:r>
          </w:p>
        </w:tc>
        <w:tc>
          <w:tcPr>
            <w:tcW w:w="1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0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60" w:type="dxa"/>
            <w:vAlign w:val="bottom"/>
          </w:tcPr>
          <w:p>
            <w:pPr>
              <w:spacing w:after="0"/>
              <w:rPr>
                <w:sz w:val="20"/>
                <w:szCs w:val="20"/>
                <w:color w:val="auto"/>
              </w:rPr>
            </w:pPr>
            <w:r>
              <w:rPr>
                <w:rFonts w:ascii="Arial" w:cs="Arial" w:eastAsia="Arial" w:hAnsi="Arial"/>
                <w:sz w:val="14"/>
                <w:szCs w:val="14"/>
                <w:color w:val="auto"/>
              </w:rPr>
              <w:t>Success®, Program Performance,</w:t>
            </w:r>
          </w:p>
        </w:tc>
        <w:tc>
          <w:tcPr>
            <w:tcW w:w="240" w:type="dxa"/>
            <w:vAlign w:val="bottom"/>
          </w:tcPr>
          <w:p>
            <w:pPr>
              <w:spacing w:after="0"/>
              <w:rPr>
                <w:sz w:val="14"/>
                <w:szCs w:val="14"/>
                <w:color w:val="auto"/>
              </w:rPr>
            </w:pPr>
          </w:p>
        </w:tc>
        <w:tc>
          <w:tcPr>
            <w:tcW w:w="2020" w:type="dxa"/>
            <w:vAlign w:val="bottom"/>
          </w:tcPr>
          <w:p>
            <w:pPr>
              <w:ind w:left="20"/>
              <w:spacing w:after="0"/>
              <w:rPr>
                <w:sz w:val="20"/>
                <w:szCs w:val="20"/>
                <w:color w:val="auto"/>
              </w:rPr>
            </w:pPr>
            <w:r>
              <w:rPr>
                <w:rFonts w:ascii="Arial" w:cs="Arial" w:eastAsia="Arial" w:hAnsi="Arial"/>
                <w:sz w:val="14"/>
                <w:szCs w:val="14"/>
                <w:color w:val="012E6C"/>
              </w:rPr>
              <w:t xml:space="preserve">•  </w:t>
            </w:r>
            <w:r>
              <w:rPr>
                <w:rFonts w:ascii="Arial" w:cs="Arial" w:eastAsia="Arial" w:hAnsi="Arial"/>
                <w:sz w:val="14"/>
                <w:szCs w:val="14"/>
                <w:color w:val="000000"/>
              </w:rPr>
              <w:t>Relative TSR measure</w:t>
            </w:r>
          </w:p>
        </w:tc>
        <w:tc>
          <w:tcPr>
            <w:tcW w:w="1940" w:type="dxa"/>
            <w:vAlign w:val="bottom"/>
          </w:tcPr>
          <w:p>
            <w:pPr>
              <w:jc w:val="center"/>
              <w:spacing w:after="0"/>
              <w:rPr>
                <w:sz w:val="20"/>
                <w:szCs w:val="20"/>
                <w:color w:val="auto"/>
              </w:rPr>
            </w:pPr>
            <w:r>
              <w:rPr>
                <w:rFonts w:ascii="Arial" w:cs="Arial" w:eastAsia="Arial" w:hAnsi="Arial"/>
                <w:sz w:val="14"/>
                <w:szCs w:val="14"/>
                <w:color w:val="auto"/>
              </w:rPr>
              <w:t>capped at 100% if TSR is</w:t>
            </w:r>
          </w:p>
        </w:tc>
        <w:tc>
          <w:tcPr>
            <w:tcW w:w="1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60" w:type="dxa"/>
            <w:vAlign w:val="bottom"/>
          </w:tcPr>
          <w:p>
            <w:pPr>
              <w:spacing w:after="0"/>
              <w:rPr>
                <w:sz w:val="20"/>
                <w:szCs w:val="20"/>
                <w:color w:val="auto"/>
              </w:rPr>
            </w:pPr>
            <w:r>
              <w:rPr>
                <w:rFonts w:ascii="Arial" w:cs="Arial" w:eastAsia="Arial" w:hAnsi="Arial"/>
                <w:sz w:val="14"/>
                <w:szCs w:val="14"/>
                <w:color w:val="auto"/>
              </w:rPr>
              <w:t>Portfolio Shaping Initiatives,</w:t>
            </w:r>
          </w:p>
        </w:tc>
        <w:tc>
          <w:tcPr>
            <w:tcW w:w="240" w:type="dxa"/>
            <w:vAlign w:val="bottom"/>
          </w:tcPr>
          <w:p>
            <w:pPr>
              <w:spacing w:after="0"/>
              <w:rPr>
                <w:sz w:val="14"/>
                <w:szCs w:val="14"/>
                <w:color w:val="auto"/>
              </w:rPr>
            </w:pPr>
          </w:p>
        </w:tc>
        <w:tc>
          <w:tcPr>
            <w:tcW w:w="2020" w:type="dxa"/>
            <w:vAlign w:val="bottom"/>
          </w:tcPr>
          <w:p>
            <w:pPr>
              <w:ind w:left="140"/>
              <w:spacing w:after="0"/>
              <w:rPr>
                <w:sz w:val="20"/>
                <w:szCs w:val="20"/>
                <w:color w:val="auto"/>
              </w:rPr>
            </w:pPr>
            <w:r>
              <w:rPr>
                <w:rFonts w:ascii="Arial" w:cs="Arial" w:eastAsia="Arial" w:hAnsi="Arial"/>
                <w:sz w:val="14"/>
                <w:szCs w:val="14"/>
                <w:color w:val="auto"/>
              </w:rPr>
              <w:t>capped at 100% if TSR is</w:t>
            </w:r>
          </w:p>
        </w:tc>
        <w:tc>
          <w:tcPr>
            <w:tcW w:w="1940" w:type="dxa"/>
            <w:vAlign w:val="bottom"/>
          </w:tcPr>
          <w:p>
            <w:pPr>
              <w:ind w:left="160"/>
              <w:spacing w:after="0"/>
              <w:rPr>
                <w:sz w:val="20"/>
                <w:szCs w:val="20"/>
                <w:color w:val="auto"/>
              </w:rPr>
            </w:pPr>
            <w:r>
              <w:rPr>
                <w:rFonts w:ascii="Arial" w:cs="Arial" w:eastAsia="Arial" w:hAnsi="Arial"/>
                <w:sz w:val="14"/>
                <w:szCs w:val="14"/>
                <w:color w:val="auto"/>
              </w:rPr>
              <w:t>negative</w:t>
            </w:r>
          </w:p>
        </w:tc>
        <w:tc>
          <w:tcPr>
            <w:tcW w:w="1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60" w:type="dxa"/>
            <w:vAlign w:val="bottom"/>
          </w:tcPr>
          <w:p>
            <w:pPr>
              <w:spacing w:after="0"/>
              <w:rPr>
                <w:sz w:val="20"/>
                <w:szCs w:val="20"/>
                <w:color w:val="auto"/>
              </w:rPr>
            </w:pPr>
            <w:r>
              <w:rPr>
                <w:rFonts w:ascii="Arial" w:cs="Arial" w:eastAsia="Arial" w:hAnsi="Arial"/>
                <w:sz w:val="14"/>
                <w:szCs w:val="14"/>
                <w:color w:val="auto"/>
              </w:rPr>
              <w:t>Innovation, Talent Management</w:t>
            </w:r>
          </w:p>
        </w:tc>
        <w:tc>
          <w:tcPr>
            <w:tcW w:w="240" w:type="dxa"/>
            <w:vAlign w:val="bottom"/>
          </w:tcPr>
          <w:p>
            <w:pPr>
              <w:spacing w:after="0"/>
              <w:rPr>
                <w:sz w:val="16"/>
                <w:szCs w:val="16"/>
                <w:color w:val="auto"/>
              </w:rPr>
            </w:pPr>
          </w:p>
        </w:tc>
        <w:tc>
          <w:tcPr>
            <w:tcW w:w="2020" w:type="dxa"/>
            <w:vAlign w:val="bottom"/>
          </w:tcPr>
          <w:p>
            <w:pPr>
              <w:ind w:left="140"/>
              <w:spacing w:after="0"/>
              <w:rPr>
                <w:sz w:val="20"/>
                <w:szCs w:val="20"/>
                <w:color w:val="auto"/>
              </w:rPr>
            </w:pPr>
            <w:r>
              <w:rPr>
                <w:rFonts w:ascii="Arial" w:cs="Arial" w:eastAsia="Arial" w:hAnsi="Arial"/>
                <w:sz w:val="14"/>
                <w:szCs w:val="14"/>
                <w:color w:val="auto"/>
              </w:rPr>
              <w:t>negative</w:t>
            </w:r>
          </w:p>
        </w:tc>
        <w:tc>
          <w:tcPr>
            <w:tcW w:w="19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4940935</wp:posOffset>
            </wp:positionH>
            <wp:positionV relativeFrom="paragraph">
              <wp:posOffset>-1614805</wp:posOffset>
            </wp:positionV>
            <wp:extent cx="87376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73760" cy="8890"/>
                    </a:xfrm>
                    <a:prstGeom prst="rect">
                      <a:avLst/>
                    </a:prstGeom>
                    <a:noFill/>
                  </pic:spPr>
                </pic:pic>
              </a:graphicData>
            </a:graphic>
          </wp:anchor>
        </w:drawing>
      </w:r>
    </w:p>
    <w:tbl>
      <w:tblPr>
        <w:tblLayout w:type="fixed"/>
        <w:tblInd w:w="3020" w:type="dxa"/>
        <w:tblCellMar>
          <w:top w:w="0" w:type="dxa"/>
          <w:left w:w="0" w:type="dxa"/>
          <w:bottom w:w="0" w:type="dxa"/>
          <w:right w:w="0" w:type="dxa"/>
        </w:tblCellMar>
      </w:tblPr>
      <w:tr>
        <w:trPr>
          <w:trHeight w:val="157"/>
        </w:trPr>
        <w:tc>
          <w:tcPr>
            <w:tcW w:w="2060" w:type="dxa"/>
            <w:vAlign w:val="bottom"/>
            <w:vMerge w:val="restart"/>
          </w:tcPr>
          <w:p>
            <w:pPr>
              <w:spacing w:after="0"/>
              <w:rPr>
                <w:sz w:val="20"/>
                <w:szCs w:val="20"/>
                <w:color w:val="auto"/>
              </w:rPr>
            </w:pPr>
            <w:r>
              <w:rPr>
                <w:rFonts w:ascii="Arial" w:cs="Arial" w:eastAsia="Arial" w:hAnsi="Arial"/>
                <w:sz w:val="14"/>
                <w:szCs w:val="14"/>
                <w:color w:val="auto"/>
              </w:rPr>
              <w:t>Payout: 0-200% of target</w:t>
            </w:r>
          </w:p>
        </w:tc>
        <w:tc>
          <w:tcPr>
            <w:tcW w:w="2320" w:type="dxa"/>
            <w:vAlign w:val="bottom"/>
          </w:tcPr>
          <w:p>
            <w:pPr>
              <w:ind w:left="460"/>
              <w:spacing w:after="0" w:line="157" w:lineRule="exact"/>
              <w:rPr>
                <w:sz w:val="20"/>
                <w:szCs w:val="20"/>
                <w:color w:val="auto"/>
              </w:rPr>
            </w:pPr>
            <w:r>
              <w:rPr>
                <w:rFonts w:ascii="Arial" w:cs="Arial" w:eastAsia="Arial" w:hAnsi="Arial"/>
                <w:sz w:val="14"/>
                <w:szCs w:val="14"/>
                <w:color w:val="012E6C"/>
              </w:rPr>
              <w:t xml:space="preserve">•  </w:t>
            </w:r>
            <w:r>
              <w:rPr>
                <w:rFonts w:ascii="Arial" w:cs="Arial" w:eastAsia="Arial" w:hAnsi="Arial"/>
                <w:sz w:val="14"/>
                <w:szCs w:val="14"/>
                <w:color w:val="000000"/>
              </w:rPr>
              <w:t>Value capped at 400% of</w:t>
            </w:r>
          </w:p>
        </w:tc>
        <w:tc>
          <w:tcPr>
            <w:tcW w:w="0" w:type="dxa"/>
            <w:vAlign w:val="bottom"/>
          </w:tcPr>
          <w:p>
            <w:pPr>
              <w:spacing w:after="0"/>
              <w:rPr>
                <w:sz w:val="1"/>
                <w:szCs w:val="1"/>
                <w:color w:val="auto"/>
              </w:rPr>
            </w:pPr>
          </w:p>
        </w:tc>
      </w:tr>
      <w:tr>
        <w:trPr>
          <w:trHeight w:val="113"/>
        </w:trPr>
        <w:tc>
          <w:tcPr>
            <w:tcW w:w="2060" w:type="dxa"/>
            <w:vAlign w:val="bottom"/>
            <w:vMerge w:val="continue"/>
          </w:tcPr>
          <w:p>
            <w:pPr>
              <w:spacing w:after="0"/>
              <w:rPr>
                <w:sz w:val="9"/>
                <w:szCs w:val="9"/>
                <w:color w:val="auto"/>
              </w:rPr>
            </w:pPr>
          </w:p>
        </w:tc>
        <w:tc>
          <w:tcPr>
            <w:tcW w:w="2320" w:type="dxa"/>
            <w:vAlign w:val="bottom"/>
            <w:vMerge w:val="restart"/>
          </w:tcPr>
          <w:p>
            <w:pPr>
              <w:ind w:left="580"/>
              <w:spacing w:after="0"/>
              <w:rPr>
                <w:sz w:val="20"/>
                <w:szCs w:val="20"/>
                <w:color w:val="auto"/>
              </w:rPr>
            </w:pPr>
            <w:r>
              <w:rPr>
                <w:rFonts w:ascii="Arial" w:cs="Arial" w:eastAsia="Arial" w:hAnsi="Arial"/>
                <w:sz w:val="14"/>
                <w:szCs w:val="14"/>
                <w:color w:val="auto"/>
              </w:rPr>
              <w:t>stock price on date of grant</w:t>
            </w:r>
          </w:p>
        </w:tc>
        <w:tc>
          <w:tcPr>
            <w:tcW w:w="0" w:type="dxa"/>
            <w:vAlign w:val="bottom"/>
          </w:tcPr>
          <w:p>
            <w:pPr>
              <w:spacing w:after="0"/>
              <w:rPr>
                <w:sz w:val="1"/>
                <w:szCs w:val="1"/>
                <w:color w:val="auto"/>
              </w:rPr>
            </w:pPr>
          </w:p>
        </w:tc>
      </w:tr>
      <w:tr>
        <w:trPr>
          <w:trHeight w:val="49"/>
        </w:trPr>
        <w:tc>
          <w:tcPr>
            <w:tcW w:w="2060" w:type="dxa"/>
            <w:vAlign w:val="bottom"/>
          </w:tcPr>
          <w:p>
            <w:pPr>
              <w:spacing w:after="0"/>
              <w:rPr>
                <w:sz w:val="4"/>
                <w:szCs w:val="4"/>
                <w:color w:val="auto"/>
              </w:rPr>
            </w:pPr>
          </w:p>
        </w:tc>
        <w:tc>
          <w:tcPr>
            <w:tcW w:w="23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2060" w:type="dxa"/>
            <w:vAlign w:val="bottom"/>
          </w:tcPr>
          <w:p>
            <w:pPr>
              <w:spacing w:after="0"/>
              <w:rPr>
                <w:sz w:val="16"/>
                <w:szCs w:val="16"/>
                <w:color w:val="auto"/>
              </w:rPr>
            </w:pPr>
          </w:p>
        </w:tc>
        <w:tc>
          <w:tcPr>
            <w:tcW w:w="2320" w:type="dxa"/>
            <w:vAlign w:val="bottom"/>
          </w:tcPr>
          <w:p>
            <w:pPr>
              <w:ind w:left="580"/>
              <w:spacing w:after="0"/>
              <w:rPr>
                <w:sz w:val="20"/>
                <w:szCs w:val="20"/>
                <w:color w:val="auto"/>
              </w:rPr>
            </w:pPr>
            <w:r>
              <w:rPr>
                <w:rFonts w:ascii="Arial" w:cs="Arial" w:eastAsia="Arial" w:hAnsi="Arial"/>
                <w:sz w:val="14"/>
                <w:szCs w:val="14"/>
                <w:color w:val="auto"/>
              </w:rPr>
              <w:t>times shares earned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292" w:right="219" w:bottom="1440" w:gutter="0" w:footer="0" w:header="0"/>
        </w:sectPr>
      </w:pP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31"/>
        </w:trPr>
        <w:tc>
          <w:tcPr>
            <w:tcW w:w="760" w:type="dxa"/>
            <w:vAlign w:val="bottom"/>
          </w:tcPr>
          <w:p>
            <w:pPr>
              <w:spacing w:after="0"/>
              <w:rPr>
                <w:sz w:val="20"/>
                <w:szCs w:val="20"/>
                <w:color w:val="auto"/>
              </w:rPr>
            </w:pPr>
            <w:r>
              <w:rPr>
                <w:rFonts w:ascii="Arial" w:cs="Arial" w:eastAsia="Arial" w:hAnsi="Arial"/>
                <w:sz w:val="17"/>
                <w:szCs w:val="17"/>
                <w:color w:val="012E6C"/>
              </w:rPr>
              <w:t>WHY?</w:t>
            </w:r>
          </w:p>
        </w:tc>
        <w:tc>
          <w:tcPr>
            <w:tcW w:w="1920" w:type="dxa"/>
            <w:vAlign w:val="bottom"/>
            <w:vMerge w:val="restart"/>
          </w:tcPr>
          <w:p>
            <w:pPr>
              <w:ind w:left="280"/>
              <w:spacing w:after="0"/>
              <w:rPr>
                <w:sz w:val="20"/>
                <w:szCs w:val="20"/>
                <w:color w:val="auto"/>
              </w:rPr>
            </w:pPr>
            <w:r>
              <w:rPr>
                <w:rFonts w:ascii="Arial" w:cs="Arial" w:eastAsia="Arial" w:hAnsi="Arial"/>
                <w:sz w:val="14"/>
                <w:szCs w:val="14"/>
                <w:color w:val="auto"/>
              </w:rPr>
              <w:t>Provides competitive</w:t>
            </w:r>
          </w:p>
        </w:tc>
        <w:tc>
          <w:tcPr>
            <w:tcW w:w="2100" w:type="dxa"/>
            <w:vAlign w:val="bottom"/>
            <w:vMerge w:val="restart"/>
          </w:tcPr>
          <w:p>
            <w:pPr>
              <w:ind w:left="300"/>
              <w:spacing w:after="0"/>
              <w:rPr>
                <w:sz w:val="20"/>
                <w:szCs w:val="20"/>
                <w:color w:val="auto"/>
              </w:rPr>
            </w:pPr>
            <w:r>
              <w:rPr>
                <w:rFonts w:ascii="Arial" w:cs="Arial" w:eastAsia="Arial" w:hAnsi="Arial"/>
                <w:sz w:val="14"/>
                <w:szCs w:val="14"/>
                <w:color w:val="auto"/>
              </w:rPr>
              <w:t>Attracts and motivates</w:t>
            </w:r>
          </w:p>
        </w:tc>
        <w:tc>
          <w:tcPr>
            <w:tcW w:w="0" w:type="dxa"/>
            <w:vAlign w:val="bottom"/>
          </w:tcPr>
          <w:p>
            <w:pPr>
              <w:spacing w:after="0"/>
              <w:rPr>
                <w:sz w:val="1"/>
                <w:szCs w:val="1"/>
                <w:color w:val="auto"/>
              </w:rPr>
            </w:pPr>
          </w:p>
        </w:tc>
      </w:tr>
      <w:tr>
        <w:trPr>
          <w:trHeight w:val="54"/>
        </w:trPr>
        <w:tc>
          <w:tcPr>
            <w:tcW w:w="760" w:type="dxa"/>
            <w:vAlign w:val="bottom"/>
          </w:tcPr>
          <w:p>
            <w:pPr>
              <w:spacing w:after="0"/>
              <w:rPr>
                <w:sz w:val="4"/>
                <w:szCs w:val="4"/>
                <w:color w:val="auto"/>
              </w:rPr>
            </w:pPr>
          </w:p>
        </w:tc>
        <w:tc>
          <w:tcPr>
            <w:tcW w:w="1920" w:type="dxa"/>
            <w:vAlign w:val="bottom"/>
            <w:vMerge w:val="continue"/>
          </w:tcPr>
          <w:p>
            <w:pPr>
              <w:spacing w:after="0"/>
              <w:rPr>
                <w:sz w:val="4"/>
                <w:szCs w:val="4"/>
                <w:color w:val="auto"/>
              </w:rPr>
            </w:pPr>
          </w:p>
        </w:tc>
        <w:tc>
          <w:tcPr>
            <w:tcW w:w="2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760" w:type="dxa"/>
            <w:vAlign w:val="bottom"/>
          </w:tcPr>
          <w:p>
            <w:pPr>
              <w:spacing w:after="0"/>
              <w:rPr>
                <w:sz w:val="14"/>
                <w:szCs w:val="14"/>
                <w:color w:val="auto"/>
              </w:rPr>
            </w:pPr>
          </w:p>
        </w:tc>
        <w:tc>
          <w:tcPr>
            <w:tcW w:w="1920" w:type="dxa"/>
            <w:vAlign w:val="bottom"/>
          </w:tcPr>
          <w:p>
            <w:pPr>
              <w:ind w:left="280"/>
              <w:spacing w:after="0"/>
              <w:rPr>
                <w:sz w:val="20"/>
                <w:szCs w:val="20"/>
                <w:color w:val="auto"/>
              </w:rPr>
            </w:pPr>
            <w:r>
              <w:rPr>
                <w:rFonts w:ascii="Arial" w:cs="Arial" w:eastAsia="Arial" w:hAnsi="Arial"/>
                <w:sz w:val="14"/>
                <w:szCs w:val="14"/>
                <w:color w:val="auto"/>
              </w:rPr>
              <w:t>levels of fixed pay to</w:t>
            </w:r>
          </w:p>
        </w:tc>
        <w:tc>
          <w:tcPr>
            <w:tcW w:w="2100" w:type="dxa"/>
            <w:vAlign w:val="bottom"/>
          </w:tcPr>
          <w:p>
            <w:pPr>
              <w:ind w:left="300"/>
              <w:spacing w:after="0"/>
              <w:rPr>
                <w:sz w:val="20"/>
                <w:szCs w:val="20"/>
                <w:color w:val="auto"/>
              </w:rPr>
            </w:pPr>
            <w:r>
              <w:rPr>
                <w:rFonts w:ascii="Arial" w:cs="Arial" w:eastAsia="Arial" w:hAnsi="Arial"/>
                <w:sz w:val="14"/>
                <w:szCs w:val="14"/>
                <w:color w:val="auto"/>
              </w:rPr>
              <w:t>executives by linking annual</w:t>
            </w:r>
          </w:p>
        </w:tc>
        <w:tc>
          <w:tcPr>
            <w:tcW w:w="0" w:type="dxa"/>
            <w:vAlign w:val="bottom"/>
          </w:tcPr>
          <w:p>
            <w:pPr>
              <w:spacing w:after="0"/>
              <w:rPr>
                <w:sz w:val="1"/>
                <w:szCs w:val="1"/>
                <w:color w:val="auto"/>
              </w:rPr>
            </w:pPr>
          </w:p>
        </w:tc>
      </w:tr>
      <w:tr>
        <w:trPr>
          <w:trHeight w:val="162"/>
        </w:trPr>
        <w:tc>
          <w:tcPr>
            <w:tcW w:w="760" w:type="dxa"/>
            <w:vAlign w:val="bottom"/>
          </w:tcPr>
          <w:p>
            <w:pPr>
              <w:spacing w:after="0"/>
              <w:rPr>
                <w:sz w:val="14"/>
                <w:szCs w:val="14"/>
                <w:color w:val="auto"/>
              </w:rPr>
            </w:pPr>
          </w:p>
        </w:tc>
        <w:tc>
          <w:tcPr>
            <w:tcW w:w="1920" w:type="dxa"/>
            <w:vAlign w:val="bottom"/>
          </w:tcPr>
          <w:p>
            <w:pPr>
              <w:ind w:left="280"/>
              <w:spacing w:after="0"/>
              <w:rPr>
                <w:sz w:val="20"/>
                <w:szCs w:val="20"/>
                <w:color w:val="auto"/>
              </w:rPr>
            </w:pPr>
            <w:r>
              <w:rPr>
                <w:rFonts w:ascii="Arial" w:cs="Arial" w:eastAsia="Arial" w:hAnsi="Arial"/>
                <w:sz w:val="14"/>
                <w:szCs w:val="14"/>
                <w:color w:val="auto"/>
              </w:rPr>
              <w:t>attract and retain</w:t>
            </w:r>
          </w:p>
        </w:tc>
        <w:tc>
          <w:tcPr>
            <w:tcW w:w="2100" w:type="dxa"/>
            <w:vAlign w:val="bottom"/>
          </w:tcPr>
          <w:p>
            <w:pPr>
              <w:ind w:left="300"/>
              <w:spacing w:after="0"/>
              <w:rPr>
                <w:sz w:val="20"/>
                <w:szCs w:val="20"/>
                <w:color w:val="auto"/>
              </w:rPr>
            </w:pPr>
            <w:r>
              <w:rPr>
                <w:rFonts w:ascii="Arial" w:cs="Arial" w:eastAsia="Arial" w:hAnsi="Arial"/>
                <w:sz w:val="14"/>
                <w:szCs w:val="14"/>
                <w:color w:val="auto"/>
              </w:rPr>
              <w:t>company performance to an</w:t>
            </w:r>
          </w:p>
        </w:tc>
        <w:tc>
          <w:tcPr>
            <w:tcW w:w="0" w:type="dxa"/>
            <w:vAlign w:val="bottom"/>
          </w:tcPr>
          <w:p>
            <w:pPr>
              <w:spacing w:after="0"/>
              <w:rPr>
                <w:sz w:val="1"/>
                <w:szCs w:val="1"/>
                <w:color w:val="auto"/>
              </w:rPr>
            </w:pPr>
          </w:p>
        </w:tc>
      </w:tr>
      <w:tr>
        <w:trPr>
          <w:trHeight w:val="194"/>
        </w:trPr>
        <w:tc>
          <w:tcPr>
            <w:tcW w:w="760" w:type="dxa"/>
            <w:vAlign w:val="bottom"/>
          </w:tcPr>
          <w:p>
            <w:pPr>
              <w:spacing w:after="0"/>
              <w:rPr>
                <w:sz w:val="16"/>
                <w:szCs w:val="16"/>
                <w:color w:val="auto"/>
              </w:rPr>
            </w:pPr>
          </w:p>
        </w:tc>
        <w:tc>
          <w:tcPr>
            <w:tcW w:w="1920" w:type="dxa"/>
            <w:vAlign w:val="bottom"/>
          </w:tcPr>
          <w:p>
            <w:pPr>
              <w:ind w:left="280"/>
              <w:spacing w:after="0"/>
              <w:rPr>
                <w:sz w:val="20"/>
                <w:szCs w:val="20"/>
                <w:color w:val="auto"/>
              </w:rPr>
            </w:pPr>
            <w:r>
              <w:rPr>
                <w:rFonts w:ascii="Arial" w:cs="Arial" w:eastAsia="Arial" w:hAnsi="Arial"/>
                <w:sz w:val="14"/>
                <w:szCs w:val="14"/>
                <w:color w:val="auto"/>
              </w:rPr>
              <w:t>executives.</w:t>
            </w:r>
          </w:p>
        </w:tc>
        <w:tc>
          <w:tcPr>
            <w:tcW w:w="2100" w:type="dxa"/>
            <w:vAlign w:val="bottom"/>
          </w:tcPr>
          <w:p>
            <w:pPr>
              <w:ind w:left="300"/>
              <w:spacing w:after="0"/>
              <w:rPr>
                <w:sz w:val="20"/>
                <w:szCs w:val="20"/>
                <w:color w:val="auto"/>
              </w:rPr>
            </w:pPr>
            <w:r>
              <w:rPr>
                <w:rFonts w:ascii="Arial" w:cs="Arial" w:eastAsia="Arial" w:hAnsi="Arial"/>
                <w:sz w:val="14"/>
                <w:szCs w:val="14"/>
                <w:color w:val="auto"/>
              </w:rPr>
              <w:t>annual cash incentive.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Creates strong alignment with stockholder interests by linking long-term pay to key performance metrics and stock price. Provides a balance of internal and market based measures to assess long-term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66040</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right="120"/>
        <w:spacing w:after="0" w:line="266" w:lineRule="auto"/>
        <w:rPr>
          <w:sz w:val="20"/>
          <w:szCs w:val="20"/>
          <w:color w:val="auto"/>
        </w:rPr>
      </w:pPr>
      <w:r>
        <w:rPr>
          <w:rFonts w:ascii="Arial" w:cs="Arial" w:eastAsia="Arial" w:hAnsi="Arial"/>
          <w:sz w:val="14"/>
          <w:szCs w:val="14"/>
          <w:color w:val="auto"/>
        </w:rPr>
        <w:t>Promotes retention of key talent and aligns executive and stockholder interests.</w:t>
      </w:r>
    </w:p>
    <w:p>
      <w:pPr>
        <w:spacing w:after="0" w:line="261" w:lineRule="exact"/>
        <w:rPr>
          <w:sz w:val="20"/>
          <w:szCs w:val="20"/>
          <w:color w:val="auto"/>
        </w:rPr>
      </w:pPr>
    </w:p>
    <w:p>
      <w:pPr>
        <w:sectPr>
          <w:pgSz w:w="11900" w:h="16838" w:orient="portrait"/>
          <w:cols w:equalWidth="0" w:num="3">
            <w:col w:w="4820" w:space="720"/>
            <w:col w:w="3900" w:space="180"/>
            <w:col w:w="1820"/>
          </w:cols>
          <w:pgMar w:left="240" w:top="292" w:right="219" w:bottom="1440" w:gutter="0" w:footer="0" w:header="0"/>
          <w:type w:val="continuous"/>
        </w:sectPr>
      </w:pPr>
    </w:p>
    <w:p>
      <w:pPr>
        <w:spacing w:after="0"/>
        <w:rPr>
          <w:sz w:val="20"/>
          <w:szCs w:val="20"/>
          <w:color w:val="auto"/>
        </w:rPr>
      </w:pPr>
      <w:r>
        <w:rPr>
          <w:rFonts w:ascii="Arial" w:cs="Arial" w:eastAsia="Arial" w:hAnsi="Arial"/>
          <w:sz w:val="14"/>
          <w:szCs w:val="14"/>
          <w:color w:val="auto"/>
        </w:rPr>
        <w:t>*  2018-2020 Relative TSR performance is measured against our industry peers in the S&amp;P 500 Aerospace &amp; Defense Index (S&amp;P Aerospace).</w:t>
      </w:r>
    </w:p>
    <w:p>
      <w:pPr>
        <w:spacing w:after="0" w:line="69" w:lineRule="exact"/>
        <w:rPr>
          <w:sz w:val="20"/>
          <w:szCs w:val="20"/>
          <w:color w:val="auto"/>
        </w:rPr>
      </w:pPr>
    </w:p>
    <w:p>
      <w:pPr>
        <w:ind w:left="180" w:right="300" w:hanging="172"/>
        <w:spacing w:after="0" w:line="311" w:lineRule="auto"/>
        <w:tabs>
          <w:tab w:leader="none" w:pos="180" w:val="left"/>
        </w:tabs>
        <w:numPr>
          <w:ilvl w:val="0"/>
          <w:numId w:val="72"/>
        </w:numPr>
        <w:rPr>
          <w:rFonts w:ascii="Arial" w:cs="Arial" w:eastAsia="Arial" w:hAnsi="Arial"/>
          <w:sz w:val="14"/>
          <w:szCs w:val="14"/>
          <w:color w:val="auto"/>
        </w:rPr>
      </w:pPr>
      <w:r>
        <w:rPr>
          <w:rFonts w:ascii="Arial" w:cs="Arial" w:eastAsia="Arial" w:hAnsi="Arial"/>
          <w:sz w:val="14"/>
          <w:szCs w:val="14"/>
          <w:color w:val="auto"/>
        </w:rPr>
        <w:t>Refer to Appendix A for an explanation of Non-GAAP terms as well as our disclosure regarding forward-looking statements concerning future performance or goals for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326390</wp:posOffset>
            </wp:positionV>
            <wp:extent cx="1440815" cy="3257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44081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808080"/>
        </w:rPr>
        <w:t>40</w:t>
      </w:r>
    </w:p>
    <w:p>
      <w:pPr>
        <w:sectPr>
          <w:pgSz w:w="11900" w:h="16838" w:orient="portrait"/>
          <w:cols w:equalWidth="0" w:num="1">
            <w:col w:w="11440"/>
          </w:cols>
          <w:pgMar w:left="240" w:top="292" w:right="219" w:bottom="1440" w:gutter="0" w:footer="0" w:header="0"/>
          <w:type w:val="continuous"/>
        </w:sectPr>
      </w:pPr>
    </w:p>
    <w:bookmarkStart w:id="43" w:name="page44"/>
    <w:bookmarkEnd w:id="43"/>
    <w:p>
      <w:pPr>
        <w:jc w:val="right"/>
        <w:spacing w:after="0"/>
        <w:rPr>
          <w:sz w:val="20"/>
          <w:szCs w:val="20"/>
          <w:color w:val="auto"/>
        </w:rPr>
      </w:pPr>
      <w:r>
        <w:rPr>
          <w:rFonts w:ascii="Arial" w:cs="Arial" w:eastAsia="Arial" w:hAnsi="Arial"/>
          <w:sz w:val="15"/>
          <w:szCs w:val="15"/>
          <w:color w:val="003478"/>
        </w:rPr>
        <w:t>Executive Compensation</w:t>
      </w:r>
    </w:p>
    <w:p>
      <w:pPr>
        <w:spacing w:after="0" w:line="357" w:lineRule="exact"/>
        <w:rPr>
          <w:sz w:val="20"/>
          <w:szCs w:val="20"/>
          <w:color w:val="auto"/>
        </w:rPr>
      </w:pPr>
    </w:p>
    <w:p>
      <w:pPr>
        <w:spacing w:after="0"/>
        <w:rPr>
          <w:sz w:val="20"/>
          <w:szCs w:val="20"/>
          <w:color w:val="auto"/>
        </w:rPr>
      </w:pPr>
      <w:r>
        <w:rPr>
          <w:rFonts w:ascii="Arial" w:cs="Arial" w:eastAsia="Arial" w:hAnsi="Arial"/>
          <w:sz w:val="22"/>
          <w:szCs w:val="22"/>
          <w:color w:val="848EB4"/>
        </w:rPr>
        <w:t>Base Salary</w:t>
      </w:r>
    </w:p>
    <w:p>
      <w:pPr>
        <w:spacing w:after="0" w:line="226" w:lineRule="exact"/>
        <w:rPr>
          <w:sz w:val="20"/>
          <w:szCs w:val="20"/>
          <w:color w:val="auto"/>
        </w:rPr>
      </w:pPr>
    </w:p>
    <w:p>
      <w:pPr>
        <w:ind w:right="280"/>
        <w:spacing w:after="0" w:line="232" w:lineRule="auto"/>
        <w:rPr>
          <w:sz w:val="20"/>
          <w:szCs w:val="20"/>
          <w:color w:val="auto"/>
        </w:rPr>
      </w:pPr>
      <w:r>
        <w:rPr>
          <w:rFonts w:ascii="Arial" w:cs="Arial" w:eastAsia="Arial" w:hAnsi="Arial"/>
          <w:sz w:val="17"/>
          <w:szCs w:val="17"/>
          <w:color w:val="auto"/>
        </w:rPr>
        <w:t>Base salaries are reviewed annually and may be increased to align more appropriately with the market rate (50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percentile), taking into account the executive’s individual performance and internal pay equity. In establishing the base salary for each NEO, we determined the market rate using comparator group company data and evaluated whether the market rate should be adjusted up or down based on differences in the scope of the NEO’s position as compared to the industry and the comparator group companies.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848EB4"/>
        </w:rPr>
        <w:t>2018 Annual Incentive</w:t>
      </w:r>
    </w:p>
    <w:p>
      <w:pPr>
        <w:spacing w:after="0" w:line="226"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As was the case for 2017, the 2018 annual incentive plan for our CEO, other NEOs and all other officers elected by the Board, was based 70% on financial goals and 30% on strategic and operational goals measured at the Enterprise level, as illustrated in the graphic below. Although the annual incentive plan uses a formulaic approach, the Compensation Committee retains discretion, which includes choosing and approving goals, assessing strategic and operational results and modifying payouts based on business segment and individual performance for any officer elected by the Board, including the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1325880</wp:posOffset>
            </wp:positionH>
            <wp:positionV relativeFrom="paragraph">
              <wp:posOffset>50165</wp:posOffset>
            </wp:positionV>
            <wp:extent cx="4605020" cy="7543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60502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Under the terms of our annual incentive plan, the CEO’s bonus cannot exceed 0.3% of Performance Cash (see Appendix A for Non-GAAP definition) and the bonus for each of the other NEOs cannot exceed 0.2% of Performance Cash. Annual incentive payouts range from 0% to 200% of target.</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012E6C"/>
        </w:rPr>
        <w:t>2018 Annual Incentive Goals and Results</w:t>
      </w:r>
    </w:p>
    <w:p>
      <w:pPr>
        <w:spacing w:after="0" w:line="129"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At its February 2018 meeting, the Compensation Committee approved Enterprise-wide objectives for 2018 reflecting financial and strategic and operational goals. These goals are used as the Enterprise Component for all executives in the Corporation and serve as the only goals for the CEO, other NEOs and all other officers elected by the Board.</w:t>
      </w:r>
    </w:p>
    <w:p>
      <w:pPr>
        <w:spacing w:after="0" w:line="164" w:lineRule="exact"/>
        <w:rPr>
          <w:sz w:val="20"/>
          <w:szCs w:val="20"/>
          <w:color w:val="auto"/>
        </w:rPr>
      </w:pPr>
    </w:p>
    <w:p>
      <w:pPr>
        <w:ind w:right="440"/>
        <w:spacing w:after="0" w:line="288" w:lineRule="auto"/>
        <w:rPr>
          <w:sz w:val="20"/>
          <w:szCs w:val="20"/>
          <w:color w:val="auto"/>
        </w:rPr>
      </w:pPr>
      <w:r>
        <w:rPr>
          <w:rFonts w:ascii="Arial" w:cs="Arial" w:eastAsia="Arial" w:hAnsi="Arial"/>
          <w:sz w:val="17"/>
          <w:szCs w:val="17"/>
          <w:b w:val="1"/>
          <w:bCs w:val="1"/>
          <w:color w:val="012E6C"/>
        </w:rPr>
        <w:t xml:space="preserve">Financial Assessment (70% Weight). </w:t>
      </w:r>
      <w:r>
        <w:rPr>
          <w:rFonts w:ascii="Arial" w:cs="Arial" w:eastAsia="Arial" w:hAnsi="Arial"/>
          <w:sz w:val="17"/>
          <w:szCs w:val="17"/>
          <w:color w:val="000000"/>
        </w:rPr>
        <w:t>The financial targets under the annual incentive plan align with the guidance we disclosed publicly at the</w:t>
      </w:r>
      <w:r>
        <w:rPr>
          <w:rFonts w:ascii="Arial" w:cs="Arial" w:eastAsia="Arial" w:hAnsi="Arial"/>
          <w:sz w:val="17"/>
          <w:szCs w:val="17"/>
          <w:b w:val="1"/>
          <w:bCs w:val="1"/>
          <w:color w:val="012E6C"/>
        </w:rPr>
        <w:t xml:space="preserve"> </w:t>
      </w:r>
      <w:r>
        <w:rPr>
          <w:rFonts w:ascii="Arial" w:cs="Arial" w:eastAsia="Arial" w:hAnsi="Arial"/>
          <w:sz w:val="17"/>
          <w:szCs w:val="17"/>
          <w:color w:val="000000"/>
        </w:rPr>
        <w:t>beginning of 2018. We believe this approach to setting the financial metrics for annual incentive purposes appropriately links compensation to our effectiveness in meeting our public commitments to our stockholders.</w:t>
      </w:r>
    </w:p>
    <w:p>
      <w:pPr>
        <w:spacing w:after="0" w:line="16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Our financial commitments are established at the completion of our annual long-range planning process and are consistent with our long-range plan commitments. The long-range planning process includes reviews of the assumptions used by the business segments in generating their financial projections, such as industry trends and competitive assessments, current and future projected program performance levels and the risks and opportunities surrounding these baseline assumptions. The long-range plan on which our financial goals are based is tied to the business environment in which we operate and can vary year-over-year.</w:t>
      </w:r>
    </w:p>
    <w:p>
      <w:pPr>
        <w:spacing w:after="0" w:line="17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long-range plan values for sales, segment operating profit (see Appendix A for definition of Non-GAAP terms) and Cash from Operations are set forth in the 2018 guidance we provided publicly to investors in January 2018 and represent the target level (100% performance) for each of these metrics. We established maximum (200% performance) and threshold payout levels (50% performance) around these targets based on a review of historical performance against long-range plan commitments for each of the three annual incentive goal metrics, which ensures the appropriate level of rigor on each of the threshold, target and maximum goals. Notably, our Cash from Operations goal for 2018 was lower than our 2017 goal because the Corporation accelerated future pension contributions of $3.4 billion to 2018 in order to preserve the benefit of the associated tax deduction at the higher statutory rate in 2017. We used straight-line interpolation between target and both maximum and minimum historical performance levels. In all cases, payouts deteriorate more rapidly as we move from target level to the minimum payout level compared to the level of increase as we move from target level to maximum payout level. This asymmetry reflects the importance we place on meeting our financial goals. The Compensation Committee reviewed the methodology and the targets established as part of its annual process during 2018.</w:t>
      </w:r>
    </w:p>
    <w:p>
      <w:pPr>
        <w:spacing w:after="0" w:line="200" w:lineRule="exact"/>
        <w:rPr>
          <w:sz w:val="20"/>
          <w:szCs w:val="20"/>
          <w:color w:val="auto"/>
        </w:rPr>
      </w:pPr>
    </w:p>
    <w:p>
      <w:pPr>
        <w:spacing w:after="0" w:line="212" w:lineRule="exact"/>
        <w:rPr>
          <w:sz w:val="20"/>
          <w:szCs w:val="20"/>
          <w:color w:val="auto"/>
        </w:rPr>
      </w:pPr>
    </w:p>
    <w:p>
      <w:pPr>
        <w:ind w:left="40"/>
        <w:spacing w:after="0"/>
        <w:tabs>
          <w:tab w:leader="none" w:pos="9420" w:val="left"/>
          <w:tab w:leader="none" w:pos="1122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2019 Proxy Statement</w:t>
      </w:r>
      <w:r>
        <w:rPr>
          <w:sz w:val="20"/>
          <w:szCs w:val="20"/>
          <w:color w:val="auto"/>
        </w:rPr>
        <w:tab/>
      </w:r>
      <w:r>
        <w:rPr>
          <w:rFonts w:ascii="Arial" w:cs="Arial" w:eastAsia="Arial" w:hAnsi="Arial"/>
          <w:sz w:val="14"/>
          <w:szCs w:val="14"/>
          <w:b w:val="1"/>
          <w:bCs w:val="1"/>
          <w:color w:val="808080"/>
        </w:rPr>
        <w:t>41</w:t>
      </w:r>
    </w:p>
    <w:p>
      <w:pPr>
        <w:sectPr>
          <w:pgSz w:w="11900" w:h="16838" w:orient="portrait"/>
          <w:cols w:equalWidth="0" w:num="1">
            <w:col w:w="11420"/>
          </w:cols>
          <w:pgMar w:left="240" w:top="292" w:right="239" w:bottom="1440" w:gutter="0" w:footer="0" w:header="0"/>
        </w:sectPr>
      </w:pPr>
    </w:p>
    <w:bookmarkStart w:id="44" w:name="page45"/>
    <w:bookmarkEnd w:id="44"/>
    <w:p>
      <w:pPr>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20" w:type="dxa"/>
            <w:vAlign w:val="bottom"/>
            <w:shd w:val="clear" w:color="auto" w:fill="ECECEC"/>
          </w:tcPr>
          <w:p>
            <w:pPr>
              <w:spacing w:after="0"/>
              <w:rPr>
                <w:sz w:val="13"/>
                <w:szCs w:val="13"/>
                <w:color w:val="auto"/>
              </w:rPr>
            </w:pPr>
          </w:p>
        </w:tc>
        <w:tc>
          <w:tcPr>
            <w:tcW w:w="2980" w:type="dxa"/>
            <w:vAlign w:val="bottom"/>
            <w:shd w:val="clear" w:color="auto" w:fill="ECECEC"/>
          </w:tcPr>
          <w:p>
            <w:pPr>
              <w:spacing w:after="0"/>
              <w:rPr>
                <w:sz w:val="13"/>
                <w:szCs w:val="13"/>
                <w:color w:val="auto"/>
              </w:rPr>
            </w:pPr>
          </w:p>
        </w:tc>
        <w:tc>
          <w:tcPr>
            <w:tcW w:w="1560" w:type="dxa"/>
            <w:vAlign w:val="bottom"/>
            <w:vMerge w:val="restart"/>
            <w:shd w:val="clear" w:color="auto" w:fill="ECECEC"/>
          </w:tcPr>
          <w:p>
            <w:pPr>
              <w:jc w:val="right"/>
              <w:ind w:right="132"/>
              <w:spacing w:after="0"/>
              <w:rPr>
                <w:sz w:val="20"/>
                <w:szCs w:val="20"/>
                <w:color w:val="auto"/>
              </w:rPr>
            </w:pPr>
            <w:r>
              <w:rPr>
                <w:rFonts w:ascii="Arial" w:cs="Arial" w:eastAsia="Arial" w:hAnsi="Arial"/>
                <w:sz w:val="13"/>
                <w:szCs w:val="13"/>
                <w:color w:val="auto"/>
              </w:rPr>
              <w:t>2018 Goals</w:t>
            </w:r>
          </w:p>
        </w:tc>
        <w:tc>
          <w:tcPr>
            <w:tcW w:w="940" w:type="dxa"/>
            <w:vAlign w:val="bottom"/>
            <w:shd w:val="clear" w:color="auto" w:fill="ECECEC"/>
          </w:tcPr>
          <w:p>
            <w:pPr>
              <w:jc w:val="right"/>
              <w:ind w:right="173"/>
              <w:spacing w:after="0"/>
              <w:rPr>
                <w:sz w:val="20"/>
                <w:szCs w:val="20"/>
                <w:color w:val="auto"/>
              </w:rPr>
            </w:pPr>
            <w:r>
              <w:rPr>
                <w:rFonts w:ascii="Arial" w:cs="Arial" w:eastAsia="Arial" w:hAnsi="Arial"/>
                <w:sz w:val="13"/>
                <w:szCs w:val="13"/>
                <w:color w:val="auto"/>
              </w:rPr>
              <w:t>Reported</w:t>
            </w:r>
          </w:p>
        </w:tc>
        <w:tc>
          <w:tcPr>
            <w:tcW w:w="960" w:type="dxa"/>
            <w:vAlign w:val="bottom"/>
            <w:vMerge w:val="restart"/>
            <w:shd w:val="clear" w:color="auto" w:fill="ECECEC"/>
          </w:tcPr>
          <w:p>
            <w:pPr>
              <w:jc w:val="right"/>
              <w:ind w:right="112"/>
              <w:spacing w:after="0"/>
              <w:rPr>
                <w:sz w:val="20"/>
                <w:szCs w:val="20"/>
                <w:color w:val="auto"/>
              </w:rPr>
            </w:pPr>
            <w:r>
              <w:rPr>
                <w:rFonts w:ascii="Arial" w:cs="Arial" w:eastAsia="Arial" w:hAnsi="Arial"/>
                <w:sz w:val="13"/>
                <w:szCs w:val="13"/>
                <w:color w:val="auto"/>
              </w:rPr>
              <w:t>Calculated</w:t>
            </w:r>
          </w:p>
        </w:tc>
        <w:tc>
          <w:tcPr>
            <w:tcW w:w="860" w:type="dxa"/>
            <w:vAlign w:val="bottom"/>
            <w:vMerge w:val="restart"/>
            <w:shd w:val="clear" w:color="auto" w:fill="ECECEC"/>
          </w:tcPr>
          <w:p>
            <w:pPr>
              <w:jc w:val="right"/>
              <w:ind w:right="150"/>
              <w:spacing w:after="0"/>
              <w:rPr>
                <w:sz w:val="20"/>
                <w:szCs w:val="20"/>
                <w:color w:val="auto"/>
              </w:rPr>
            </w:pPr>
            <w:r>
              <w:rPr>
                <w:rFonts w:ascii="Arial" w:cs="Arial" w:eastAsia="Arial" w:hAnsi="Arial"/>
                <w:sz w:val="13"/>
                <w:szCs w:val="13"/>
                <w:color w:val="auto"/>
              </w:rPr>
              <w:t>Weighted</w:t>
            </w:r>
          </w:p>
        </w:tc>
        <w:tc>
          <w:tcPr>
            <w:tcW w:w="0" w:type="dxa"/>
            <w:vAlign w:val="bottom"/>
          </w:tcPr>
          <w:p>
            <w:pPr>
              <w:spacing w:after="0"/>
              <w:rPr>
                <w:sz w:val="1"/>
                <w:szCs w:val="1"/>
                <w:color w:val="auto"/>
              </w:rPr>
            </w:pPr>
          </w:p>
        </w:tc>
      </w:tr>
      <w:tr>
        <w:trPr>
          <w:trHeight w:val="135"/>
        </w:trPr>
        <w:tc>
          <w:tcPr>
            <w:tcW w:w="4120" w:type="dxa"/>
            <w:vAlign w:val="bottom"/>
            <w:vMerge w:val="restart"/>
            <w:shd w:val="clear" w:color="auto" w:fill="ECECEC"/>
          </w:tcPr>
          <w:p>
            <w:pPr>
              <w:ind w:left="40"/>
              <w:spacing w:after="0"/>
              <w:rPr>
                <w:sz w:val="20"/>
                <w:szCs w:val="20"/>
                <w:color w:val="auto"/>
              </w:rPr>
            </w:pPr>
            <w:r>
              <w:rPr>
                <w:rFonts w:ascii="Arial" w:cs="Arial" w:eastAsia="Arial" w:hAnsi="Arial"/>
                <w:sz w:val="13"/>
                <w:szCs w:val="13"/>
                <w:color w:val="auto"/>
              </w:rPr>
              <w:t>2018 Financial Measures</w:t>
            </w:r>
          </w:p>
        </w:tc>
        <w:tc>
          <w:tcPr>
            <w:tcW w:w="2980" w:type="dxa"/>
            <w:vAlign w:val="bottom"/>
            <w:vMerge w:val="restart"/>
            <w:shd w:val="clear" w:color="auto" w:fill="ECECEC"/>
          </w:tcPr>
          <w:p>
            <w:pPr>
              <w:jc w:val="right"/>
              <w:ind w:right="270"/>
              <w:spacing w:after="0"/>
              <w:rPr>
                <w:sz w:val="20"/>
                <w:szCs w:val="20"/>
                <w:color w:val="auto"/>
              </w:rPr>
            </w:pPr>
            <w:r>
              <w:rPr>
                <w:rFonts w:ascii="Arial" w:cs="Arial" w:eastAsia="Arial" w:hAnsi="Arial"/>
                <w:sz w:val="13"/>
                <w:szCs w:val="13"/>
                <w:color w:val="auto"/>
              </w:rPr>
              <w:t>Weight</w:t>
            </w:r>
          </w:p>
        </w:tc>
        <w:tc>
          <w:tcPr>
            <w:tcW w:w="1560" w:type="dxa"/>
            <w:vAlign w:val="bottom"/>
            <w:vMerge w:val="continue"/>
            <w:shd w:val="clear" w:color="auto" w:fill="ECECEC"/>
          </w:tcPr>
          <w:p>
            <w:pPr>
              <w:spacing w:after="0"/>
              <w:rPr>
                <w:sz w:val="11"/>
                <w:szCs w:val="11"/>
                <w:color w:val="auto"/>
              </w:rPr>
            </w:pPr>
          </w:p>
        </w:tc>
        <w:tc>
          <w:tcPr>
            <w:tcW w:w="940" w:type="dxa"/>
            <w:vAlign w:val="bottom"/>
            <w:shd w:val="clear" w:color="auto" w:fill="ECECEC"/>
          </w:tcPr>
          <w:p>
            <w:pPr>
              <w:jc w:val="right"/>
              <w:ind w:right="173"/>
              <w:spacing w:after="0" w:line="135" w:lineRule="exact"/>
              <w:rPr>
                <w:sz w:val="20"/>
                <w:szCs w:val="20"/>
                <w:color w:val="auto"/>
              </w:rPr>
            </w:pPr>
            <w:r>
              <w:rPr>
                <w:rFonts w:ascii="Arial" w:cs="Arial" w:eastAsia="Arial" w:hAnsi="Arial"/>
                <w:sz w:val="13"/>
                <w:szCs w:val="13"/>
                <w:color w:val="auto"/>
              </w:rPr>
              <w:t>Results</w:t>
            </w:r>
          </w:p>
        </w:tc>
        <w:tc>
          <w:tcPr>
            <w:tcW w:w="960" w:type="dxa"/>
            <w:vAlign w:val="bottom"/>
            <w:vMerge w:val="continue"/>
            <w:shd w:val="clear" w:color="auto" w:fill="ECECEC"/>
          </w:tcPr>
          <w:p>
            <w:pPr>
              <w:spacing w:after="0"/>
              <w:rPr>
                <w:sz w:val="11"/>
                <w:szCs w:val="11"/>
                <w:color w:val="auto"/>
              </w:rPr>
            </w:pPr>
          </w:p>
        </w:tc>
        <w:tc>
          <w:tcPr>
            <w:tcW w:w="860" w:type="dxa"/>
            <w:vAlign w:val="bottom"/>
            <w:vMerge w:val="continue"/>
            <w:shd w:val="clear" w:color="auto" w:fill="ECECEC"/>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4120" w:type="dxa"/>
            <w:vAlign w:val="bottom"/>
            <w:tcBorders>
              <w:bottom w:val="single" w:sz="8" w:color="959595"/>
            </w:tcBorders>
            <w:vMerge w:val="continue"/>
            <w:shd w:val="clear" w:color="auto" w:fill="ECECEC"/>
          </w:tcPr>
          <w:p>
            <w:pPr>
              <w:spacing w:after="0"/>
              <w:rPr>
                <w:sz w:val="15"/>
                <w:szCs w:val="15"/>
                <w:color w:val="auto"/>
              </w:rPr>
            </w:pPr>
          </w:p>
        </w:tc>
        <w:tc>
          <w:tcPr>
            <w:tcW w:w="2980" w:type="dxa"/>
            <w:vAlign w:val="bottom"/>
            <w:tcBorders>
              <w:bottom w:val="single" w:sz="8" w:color="959595"/>
            </w:tcBorders>
            <w:vMerge w:val="continue"/>
            <w:shd w:val="clear" w:color="auto" w:fill="ECECEC"/>
          </w:tcPr>
          <w:p>
            <w:pPr>
              <w:spacing w:after="0"/>
              <w:rPr>
                <w:sz w:val="15"/>
                <w:szCs w:val="15"/>
                <w:color w:val="auto"/>
              </w:rPr>
            </w:pPr>
          </w:p>
        </w:tc>
        <w:tc>
          <w:tcPr>
            <w:tcW w:w="1560" w:type="dxa"/>
            <w:vAlign w:val="bottom"/>
            <w:tcBorders>
              <w:bottom w:val="single" w:sz="8" w:color="959595"/>
            </w:tcBorders>
            <w:shd w:val="clear" w:color="auto" w:fill="ECECEC"/>
          </w:tcPr>
          <w:p>
            <w:pPr>
              <w:jc w:val="right"/>
              <w:ind w:right="112"/>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959595"/>
            </w:tcBorders>
            <w:shd w:val="clear" w:color="auto" w:fill="ECECEC"/>
          </w:tcPr>
          <w:p>
            <w:pPr>
              <w:jc w:val="right"/>
              <w:ind w:right="133"/>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959595"/>
            </w:tcBorders>
            <w:shd w:val="clear" w:color="auto" w:fill="ECECEC"/>
          </w:tcPr>
          <w:p>
            <w:pPr>
              <w:jc w:val="right"/>
              <w:ind w:right="72"/>
              <w:spacing w:after="0"/>
              <w:rPr>
                <w:sz w:val="20"/>
                <w:szCs w:val="20"/>
                <w:color w:val="auto"/>
              </w:rPr>
            </w:pPr>
            <w:r>
              <w:rPr>
                <w:rFonts w:ascii="Arial" w:cs="Arial" w:eastAsia="Arial" w:hAnsi="Arial"/>
                <w:sz w:val="13"/>
                <w:szCs w:val="13"/>
                <w:color w:val="auto"/>
              </w:rPr>
              <w:t>Payout</w:t>
            </w:r>
          </w:p>
        </w:tc>
        <w:tc>
          <w:tcPr>
            <w:tcW w:w="860" w:type="dxa"/>
            <w:vAlign w:val="bottom"/>
            <w:tcBorders>
              <w:bottom w:val="single" w:sz="8" w:color="959595"/>
            </w:tcBorders>
            <w:shd w:val="clear" w:color="auto" w:fill="ECECEC"/>
          </w:tcPr>
          <w:p>
            <w:pPr>
              <w:jc w:val="right"/>
              <w:ind w:right="110"/>
              <w:spacing w:after="0"/>
              <w:rPr>
                <w:sz w:val="20"/>
                <w:szCs w:val="20"/>
                <w:color w:val="auto"/>
              </w:rPr>
            </w:pPr>
            <w:r>
              <w:rPr>
                <w:rFonts w:ascii="Arial" w:cs="Arial" w:eastAsia="Arial" w:hAnsi="Arial"/>
                <w:sz w:val="13"/>
                <w:szCs w:val="13"/>
                <w:color w:val="auto"/>
              </w:rPr>
              <w:t>Payout</w:t>
            </w:r>
          </w:p>
        </w:tc>
        <w:tc>
          <w:tcPr>
            <w:tcW w:w="0" w:type="dxa"/>
            <w:vAlign w:val="bottom"/>
          </w:tcPr>
          <w:p>
            <w:pPr>
              <w:spacing w:after="0"/>
              <w:rPr>
                <w:sz w:val="1"/>
                <w:szCs w:val="1"/>
                <w:color w:val="auto"/>
              </w:rPr>
            </w:pPr>
          </w:p>
        </w:tc>
      </w:tr>
      <w:tr>
        <w:trPr>
          <w:trHeight w:val="212"/>
        </w:trPr>
        <w:tc>
          <w:tcPr>
            <w:tcW w:w="4120" w:type="dxa"/>
            <w:vAlign w:val="bottom"/>
            <w:tcBorders>
              <w:bottom w:val="single" w:sz="8" w:color="959595"/>
            </w:tcBorders>
          </w:tcPr>
          <w:p>
            <w:pPr>
              <w:ind w:left="40"/>
              <w:spacing w:after="0"/>
              <w:rPr>
                <w:sz w:val="20"/>
                <w:szCs w:val="20"/>
                <w:color w:val="auto"/>
              </w:rPr>
            </w:pPr>
            <w:r>
              <w:rPr>
                <w:rFonts w:ascii="Arial" w:cs="Arial" w:eastAsia="Arial" w:hAnsi="Arial"/>
                <w:sz w:val="14"/>
                <w:szCs w:val="14"/>
                <w:color w:val="auto"/>
              </w:rPr>
              <w:t>Sales</w:t>
            </w:r>
          </w:p>
        </w:tc>
        <w:tc>
          <w:tcPr>
            <w:tcW w:w="2980" w:type="dxa"/>
            <w:vAlign w:val="bottom"/>
            <w:tcBorders>
              <w:bottom w:val="single" w:sz="8" w:color="959595"/>
            </w:tcBorders>
          </w:tcPr>
          <w:p>
            <w:pPr>
              <w:jc w:val="right"/>
              <w:ind w:right="150"/>
              <w:spacing w:after="0"/>
              <w:rPr>
                <w:sz w:val="20"/>
                <w:szCs w:val="20"/>
                <w:color w:val="auto"/>
              </w:rPr>
            </w:pPr>
            <w:r>
              <w:rPr>
                <w:rFonts w:ascii="Arial" w:cs="Arial" w:eastAsia="Arial" w:hAnsi="Arial"/>
                <w:sz w:val="14"/>
                <w:szCs w:val="14"/>
                <w:color w:val="auto"/>
              </w:rPr>
              <w:t>20%</w:t>
            </w:r>
          </w:p>
        </w:tc>
        <w:tc>
          <w:tcPr>
            <w:tcW w:w="1560" w:type="dxa"/>
            <w:vAlign w:val="bottom"/>
            <w:tcBorders>
              <w:bottom w:val="single" w:sz="8" w:color="959595"/>
            </w:tcBorders>
          </w:tcPr>
          <w:p>
            <w:pPr>
              <w:jc w:val="right"/>
              <w:ind w:right="112"/>
              <w:spacing w:after="0"/>
              <w:rPr>
                <w:sz w:val="20"/>
                <w:szCs w:val="20"/>
                <w:color w:val="auto"/>
              </w:rPr>
            </w:pPr>
            <w:r>
              <w:rPr>
                <w:rFonts w:ascii="Arial" w:cs="Arial" w:eastAsia="Arial" w:hAnsi="Arial"/>
                <w:sz w:val="14"/>
                <w:szCs w:val="14"/>
                <w:color w:val="auto"/>
              </w:rPr>
              <w:t>50,000 – 51,500M</w:t>
            </w:r>
          </w:p>
        </w:tc>
        <w:tc>
          <w:tcPr>
            <w:tcW w:w="940" w:type="dxa"/>
            <w:vAlign w:val="bottom"/>
            <w:tcBorders>
              <w:bottom w:val="single" w:sz="8" w:color="959595"/>
            </w:tcBorders>
          </w:tcPr>
          <w:p>
            <w:pPr>
              <w:jc w:val="right"/>
              <w:ind w:right="133"/>
              <w:spacing w:after="0"/>
              <w:rPr>
                <w:sz w:val="20"/>
                <w:szCs w:val="20"/>
                <w:color w:val="auto"/>
              </w:rPr>
            </w:pPr>
            <w:r>
              <w:rPr>
                <w:rFonts w:ascii="Arial" w:cs="Arial" w:eastAsia="Arial" w:hAnsi="Arial"/>
                <w:sz w:val="14"/>
                <w:szCs w:val="14"/>
                <w:color w:val="auto"/>
              </w:rPr>
              <w:t>53,762M</w:t>
            </w:r>
          </w:p>
        </w:tc>
        <w:tc>
          <w:tcPr>
            <w:tcW w:w="960" w:type="dxa"/>
            <w:vAlign w:val="bottom"/>
            <w:tcBorders>
              <w:bottom w:val="single" w:sz="8" w:color="959595"/>
            </w:tcBorders>
          </w:tcPr>
          <w:p>
            <w:pPr>
              <w:jc w:val="right"/>
              <w:ind w:right="72"/>
              <w:spacing w:after="0"/>
              <w:rPr>
                <w:sz w:val="20"/>
                <w:szCs w:val="20"/>
                <w:color w:val="auto"/>
              </w:rPr>
            </w:pPr>
            <w:r>
              <w:rPr>
                <w:rFonts w:ascii="Arial" w:cs="Arial" w:eastAsia="Arial" w:hAnsi="Arial"/>
                <w:sz w:val="14"/>
                <w:szCs w:val="14"/>
                <w:color w:val="auto"/>
              </w:rPr>
              <w:t>200%</w:t>
            </w:r>
          </w:p>
        </w:tc>
        <w:tc>
          <w:tcPr>
            <w:tcW w:w="860" w:type="dxa"/>
            <w:vAlign w:val="bottom"/>
            <w:tcBorders>
              <w:bottom w:val="single" w:sz="8" w:color="959595"/>
            </w:tcBorders>
          </w:tcPr>
          <w:p>
            <w:pPr>
              <w:jc w:val="right"/>
              <w:ind w:right="110"/>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10"/>
        </w:trPr>
        <w:tc>
          <w:tcPr>
            <w:tcW w:w="4120" w:type="dxa"/>
            <w:vAlign w:val="bottom"/>
            <w:tcBorders>
              <w:bottom w:val="single" w:sz="8" w:color="959595"/>
            </w:tcBorders>
          </w:tcPr>
          <w:p>
            <w:pPr>
              <w:ind w:left="40"/>
              <w:spacing w:after="0"/>
              <w:rPr>
                <w:sz w:val="20"/>
                <w:szCs w:val="20"/>
                <w:color w:val="auto"/>
              </w:rPr>
            </w:pPr>
            <w:r>
              <w:rPr>
                <w:rFonts w:ascii="Arial" w:cs="Arial" w:eastAsia="Arial" w:hAnsi="Arial"/>
                <w:sz w:val="14"/>
                <w:szCs w:val="14"/>
                <w:color w:val="auto"/>
              </w:rPr>
              <w:t>Segment Operating Profit*</w:t>
            </w:r>
          </w:p>
        </w:tc>
        <w:tc>
          <w:tcPr>
            <w:tcW w:w="2980" w:type="dxa"/>
            <w:vAlign w:val="bottom"/>
            <w:tcBorders>
              <w:bottom w:val="single" w:sz="8" w:color="959595"/>
            </w:tcBorders>
          </w:tcPr>
          <w:p>
            <w:pPr>
              <w:jc w:val="right"/>
              <w:ind w:right="150"/>
              <w:spacing w:after="0"/>
              <w:rPr>
                <w:sz w:val="20"/>
                <w:szCs w:val="20"/>
                <w:color w:val="auto"/>
              </w:rPr>
            </w:pPr>
            <w:r>
              <w:rPr>
                <w:rFonts w:ascii="Arial" w:cs="Arial" w:eastAsia="Arial" w:hAnsi="Arial"/>
                <w:sz w:val="14"/>
                <w:szCs w:val="14"/>
                <w:color w:val="auto"/>
              </w:rPr>
              <w:t>40%</w:t>
            </w:r>
          </w:p>
        </w:tc>
        <w:tc>
          <w:tcPr>
            <w:tcW w:w="1560" w:type="dxa"/>
            <w:vAlign w:val="bottom"/>
            <w:tcBorders>
              <w:bottom w:val="single" w:sz="8" w:color="959595"/>
            </w:tcBorders>
          </w:tcPr>
          <w:p>
            <w:pPr>
              <w:jc w:val="right"/>
              <w:ind w:right="112"/>
              <w:spacing w:after="0"/>
              <w:rPr>
                <w:sz w:val="20"/>
                <w:szCs w:val="20"/>
                <w:color w:val="auto"/>
              </w:rPr>
            </w:pPr>
            <w:r>
              <w:rPr>
                <w:rFonts w:ascii="Arial" w:cs="Arial" w:eastAsia="Arial" w:hAnsi="Arial"/>
                <w:sz w:val="14"/>
                <w:szCs w:val="14"/>
                <w:color w:val="auto"/>
              </w:rPr>
              <w:t>5,200– 5,350M</w:t>
            </w:r>
          </w:p>
        </w:tc>
        <w:tc>
          <w:tcPr>
            <w:tcW w:w="940" w:type="dxa"/>
            <w:vAlign w:val="bottom"/>
            <w:tcBorders>
              <w:bottom w:val="single" w:sz="8" w:color="959595"/>
            </w:tcBorders>
          </w:tcPr>
          <w:p>
            <w:pPr>
              <w:jc w:val="right"/>
              <w:ind w:right="133"/>
              <w:spacing w:after="0"/>
              <w:rPr>
                <w:sz w:val="20"/>
                <w:szCs w:val="20"/>
                <w:color w:val="auto"/>
              </w:rPr>
            </w:pPr>
            <w:r>
              <w:rPr>
                <w:rFonts w:ascii="Arial" w:cs="Arial" w:eastAsia="Arial" w:hAnsi="Arial"/>
                <w:sz w:val="14"/>
                <w:szCs w:val="14"/>
                <w:color w:val="auto"/>
              </w:rPr>
              <w:t>5,877M</w:t>
            </w:r>
          </w:p>
        </w:tc>
        <w:tc>
          <w:tcPr>
            <w:tcW w:w="960" w:type="dxa"/>
            <w:vAlign w:val="bottom"/>
            <w:tcBorders>
              <w:bottom w:val="single" w:sz="8" w:color="959595"/>
            </w:tcBorders>
          </w:tcPr>
          <w:p>
            <w:pPr>
              <w:jc w:val="right"/>
              <w:ind w:right="72"/>
              <w:spacing w:after="0"/>
              <w:rPr>
                <w:sz w:val="20"/>
                <w:szCs w:val="20"/>
                <w:color w:val="auto"/>
              </w:rPr>
            </w:pPr>
            <w:r>
              <w:rPr>
                <w:rFonts w:ascii="Arial" w:cs="Arial" w:eastAsia="Arial" w:hAnsi="Arial"/>
                <w:sz w:val="14"/>
                <w:szCs w:val="14"/>
                <w:color w:val="auto"/>
              </w:rPr>
              <w:t>200%</w:t>
            </w:r>
          </w:p>
        </w:tc>
        <w:tc>
          <w:tcPr>
            <w:tcW w:w="860" w:type="dxa"/>
            <w:vAlign w:val="bottom"/>
            <w:tcBorders>
              <w:bottom w:val="single" w:sz="8" w:color="959595"/>
            </w:tcBorders>
          </w:tcPr>
          <w:p>
            <w:pPr>
              <w:jc w:val="right"/>
              <w:ind w:right="110"/>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210"/>
        </w:trPr>
        <w:tc>
          <w:tcPr>
            <w:tcW w:w="4120" w:type="dxa"/>
            <w:vAlign w:val="bottom"/>
            <w:tcBorders>
              <w:bottom w:val="single" w:sz="8" w:color="959595"/>
            </w:tcBorders>
          </w:tcPr>
          <w:p>
            <w:pPr>
              <w:ind w:left="40"/>
              <w:spacing w:after="0"/>
              <w:rPr>
                <w:sz w:val="20"/>
                <w:szCs w:val="20"/>
                <w:color w:val="auto"/>
              </w:rPr>
            </w:pPr>
            <w:r>
              <w:rPr>
                <w:rFonts w:ascii="Arial" w:cs="Arial" w:eastAsia="Arial" w:hAnsi="Arial"/>
                <w:sz w:val="14"/>
                <w:szCs w:val="14"/>
                <w:color w:val="auto"/>
              </w:rPr>
              <w:t>Cash from Operations</w:t>
            </w:r>
          </w:p>
        </w:tc>
        <w:tc>
          <w:tcPr>
            <w:tcW w:w="2980" w:type="dxa"/>
            <w:vAlign w:val="bottom"/>
            <w:tcBorders>
              <w:bottom w:val="single" w:sz="8" w:color="959595"/>
            </w:tcBorders>
          </w:tcPr>
          <w:p>
            <w:pPr>
              <w:jc w:val="right"/>
              <w:ind w:right="150"/>
              <w:spacing w:after="0"/>
              <w:rPr>
                <w:sz w:val="20"/>
                <w:szCs w:val="20"/>
                <w:color w:val="auto"/>
              </w:rPr>
            </w:pPr>
            <w:r>
              <w:rPr>
                <w:rFonts w:ascii="Arial" w:cs="Arial" w:eastAsia="Arial" w:hAnsi="Arial"/>
                <w:sz w:val="14"/>
                <w:szCs w:val="14"/>
                <w:color w:val="auto"/>
              </w:rPr>
              <w:t>40%</w:t>
            </w:r>
          </w:p>
        </w:tc>
        <w:tc>
          <w:tcPr>
            <w:tcW w:w="1560" w:type="dxa"/>
            <w:vAlign w:val="bottom"/>
            <w:tcBorders>
              <w:bottom w:val="single" w:sz="8" w:color="959595"/>
            </w:tcBorders>
          </w:tcPr>
          <w:p>
            <w:pPr>
              <w:jc w:val="right"/>
              <w:ind w:right="112"/>
              <w:spacing w:after="0"/>
              <w:rPr>
                <w:sz w:val="20"/>
                <w:szCs w:val="20"/>
                <w:color w:val="auto"/>
              </w:rPr>
            </w:pPr>
            <w:r>
              <w:rPr>
                <w:rFonts w:ascii="Arial" w:cs="Arial" w:eastAsia="Arial" w:hAnsi="Arial"/>
                <w:sz w:val="14"/>
                <w:szCs w:val="14"/>
                <w:color w:val="auto"/>
              </w:rPr>
              <w:t>≥ 3,000M</w:t>
            </w:r>
          </w:p>
        </w:tc>
        <w:tc>
          <w:tcPr>
            <w:tcW w:w="940" w:type="dxa"/>
            <w:vAlign w:val="bottom"/>
            <w:tcBorders>
              <w:bottom w:val="single" w:sz="8" w:color="959595"/>
            </w:tcBorders>
          </w:tcPr>
          <w:p>
            <w:pPr>
              <w:jc w:val="right"/>
              <w:ind w:right="133"/>
              <w:spacing w:after="0"/>
              <w:rPr>
                <w:sz w:val="20"/>
                <w:szCs w:val="20"/>
                <w:color w:val="auto"/>
              </w:rPr>
            </w:pPr>
            <w:r>
              <w:rPr>
                <w:rFonts w:ascii="Arial" w:cs="Arial" w:eastAsia="Arial" w:hAnsi="Arial"/>
                <w:sz w:val="14"/>
                <w:szCs w:val="14"/>
                <w:color w:val="auto"/>
              </w:rPr>
              <w:t>3,138M</w:t>
            </w:r>
          </w:p>
        </w:tc>
        <w:tc>
          <w:tcPr>
            <w:tcW w:w="960" w:type="dxa"/>
            <w:vAlign w:val="bottom"/>
            <w:tcBorders>
              <w:bottom w:val="single" w:sz="8" w:color="959595"/>
            </w:tcBorders>
          </w:tcPr>
          <w:p>
            <w:pPr>
              <w:jc w:val="right"/>
              <w:ind w:right="72"/>
              <w:spacing w:after="0"/>
              <w:rPr>
                <w:sz w:val="20"/>
                <w:szCs w:val="20"/>
                <w:color w:val="auto"/>
              </w:rPr>
            </w:pPr>
            <w:r>
              <w:rPr>
                <w:rFonts w:ascii="Arial" w:cs="Arial" w:eastAsia="Arial" w:hAnsi="Arial"/>
                <w:sz w:val="14"/>
                <w:szCs w:val="14"/>
                <w:color w:val="auto"/>
              </w:rPr>
              <w:t>146%</w:t>
            </w:r>
          </w:p>
        </w:tc>
        <w:tc>
          <w:tcPr>
            <w:tcW w:w="860" w:type="dxa"/>
            <w:vAlign w:val="bottom"/>
            <w:tcBorders>
              <w:bottom w:val="single" w:sz="8" w:color="959595"/>
            </w:tcBorders>
          </w:tcPr>
          <w:p>
            <w:pPr>
              <w:jc w:val="right"/>
              <w:ind w:right="110"/>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33"/>
        </w:trPr>
        <w:tc>
          <w:tcPr>
            <w:tcW w:w="4120" w:type="dxa"/>
            <w:vAlign w:val="bottom"/>
          </w:tcPr>
          <w:p>
            <w:pPr>
              <w:ind w:left="40"/>
              <w:spacing w:after="0"/>
              <w:rPr>
                <w:sz w:val="20"/>
                <w:szCs w:val="20"/>
                <w:color w:val="auto"/>
              </w:rPr>
            </w:pPr>
            <w:r>
              <w:rPr>
                <w:rFonts w:ascii="Arial" w:cs="Arial" w:eastAsia="Arial" w:hAnsi="Arial"/>
                <w:sz w:val="16"/>
                <w:szCs w:val="16"/>
                <w:b w:val="1"/>
                <w:bCs w:val="1"/>
                <w:color w:val="012E6C"/>
              </w:rPr>
              <w:t>Financial Payout Factor</w:t>
            </w:r>
          </w:p>
        </w:tc>
        <w:tc>
          <w:tcPr>
            <w:tcW w:w="29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012E6C"/>
              </w:rPr>
              <w:t>178%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See Appendix A for definition of Non-GAAP terms.</w:t>
      </w:r>
    </w:p>
    <w:p>
      <w:pPr>
        <w:spacing w:after="0" w:line="173"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b w:val="1"/>
          <w:bCs w:val="1"/>
          <w:color w:val="012E6C"/>
        </w:rPr>
        <w:t xml:space="preserve">Strategic &amp; Operational Assessment (30% Weight). </w:t>
      </w:r>
      <w:r>
        <w:rPr>
          <w:rFonts w:ascii="Arial" w:cs="Arial" w:eastAsia="Arial" w:hAnsi="Arial"/>
          <w:sz w:val="17"/>
          <w:szCs w:val="17"/>
          <w:color w:val="000000"/>
        </w:rPr>
        <w:t>Our strategic and operational performance assessments are inherently different than financial</w:t>
      </w:r>
      <w:r>
        <w:rPr>
          <w:rFonts w:ascii="Arial" w:cs="Arial" w:eastAsia="Arial" w:hAnsi="Arial"/>
          <w:sz w:val="17"/>
          <w:szCs w:val="17"/>
          <w:b w:val="1"/>
          <w:bCs w:val="1"/>
          <w:color w:val="012E6C"/>
        </w:rPr>
        <w:t xml:space="preserve"> </w:t>
      </w:r>
      <w:r>
        <w:rPr>
          <w:rFonts w:ascii="Arial" w:cs="Arial" w:eastAsia="Arial" w:hAnsi="Arial"/>
          <w:sz w:val="17"/>
          <w:szCs w:val="17"/>
          <w:color w:val="000000"/>
        </w:rPr>
        <w:t>performance assessments. For the 2018 performance year, a broad set of goals were established for our strategic and operational commitments at the beginning of the year. The strategic and operational performance goals are not measured against quantitative performance criteria for each goal, because some are aspirational, cannot be forecasted reliably or are qualitative in nature. When determining the overall payout factor, the Compensation Committee considers both quantitative and qualitative results and applies discretion when evaluating performance in totality. The strategic and operational performance goals and results are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246620" cy="1714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70" w:lineRule="exact"/>
        <w:rPr>
          <w:sz w:val="20"/>
          <w:szCs w:val="20"/>
          <w:color w:val="auto"/>
        </w:rPr>
      </w:pPr>
    </w:p>
    <w:p>
      <w:pPr>
        <w:ind w:left="40"/>
        <w:spacing w:after="0"/>
        <w:tabs>
          <w:tab w:leader="none" w:pos="5460" w:val="left"/>
        </w:tabs>
        <w:rPr>
          <w:sz w:val="20"/>
          <w:szCs w:val="20"/>
          <w:color w:val="auto"/>
        </w:rPr>
      </w:pPr>
      <w:r>
        <w:rPr>
          <w:rFonts w:ascii="Arial" w:cs="Arial" w:eastAsia="Arial" w:hAnsi="Arial"/>
          <w:sz w:val="13"/>
          <w:szCs w:val="13"/>
          <w:color w:val="auto"/>
        </w:rPr>
        <w:t>2018 Strategic &amp; Operational Goals Summary</w:t>
      </w:r>
      <w:r>
        <w:rPr>
          <w:sz w:val="20"/>
          <w:szCs w:val="20"/>
          <w:color w:val="auto"/>
        </w:rPr>
        <w:tab/>
      </w:r>
      <w:r>
        <w:rPr>
          <w:rFonts w:ascii="Arial" w:cs="Arial" w:eastAsia="Arial" w:hAnsi="Arial"/>
          <w:sz w:val="12"/>
          <w:szCs w:val="12"/>
          <w:color w:val="auto"/>
        </w:rPr>
        <w:t>Assessment Summary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4286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428625"/>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p>
      <w:pPr>
        <w:spacing w:after="0" w:line="181" w:lineRule="exact"/>
        <w:rPr>
          <w:sz w:val="20"/>
          <w:szCs w:val="20"/>
          <w:color w:val="auto"/>
        </w:rPr>
      </w:pPr>
    </w:p>
    <w:p>
      <w:pPr>
        <w:ind w:left="920"/>
        <w:spacing w:after="0" w:line="294" w:lineRule="auto"/>
        <w:rPr>
          <w:sz w:val="20"/>
          <w:szCs w:val="20"/>
          <w:color w:val="auto"/>
        </w:rPr>
      </w:pPr>
      <w:r>
        <w:rPr>
          <w:rFonts w:ascii="Arial" w:cs="Arial" w:eastAsia="Arial" w:hAnsi="Arial"/>
          <w:sz w:val="14"/>
          <w:szCs w:val="14"/>
          <w:b w:val="1"/>
          <w:bCs w:val="1"/>
          <w:color w:val="auto"/>
        </w:rPr>
        <w:t xml:space="preserve">Focus Programs: </w:t>
      </w:r>
      <w:r>
        <w:rPr>
          <w:rFonts w:ascii="Arial" w:cs="Arial" w:eastAsia="Arial" w:hAnsi="Arial"/>
          <w:sz w:val="14"/>
          <w:szCs w:val="14"/>
          <w:color w:val="auto"/>
        </w:rPr>
        <w:t>Secure key Focus Program wins and achieve</w:t>
      </w:r>
      <w:r>
        <w:rPr>
          <w:rFonts w:ascii="Arial" w:cs="Arial" w:eastAsia="Arial" w:hAnsi="Arial"/>
          <w:sz w:val="14"/>
          <w:szCs w:val="14"/>
          <w:b w:val="1"/>
          <w:bCs w:val="1"/>
          <w:color w:val="auto"/>
        </w:rPr>
        <w:t xml:space="preserve"> </w:t>
      </w:r>
      <w:r>
        <w:rPr>
          <w:rFonts w:ascii="Arial" w:cs="Arial" w:eastAsia="Arial" w:hAnsi="Arial"/>
          <w:sz w:val="14"/>
          <w:szCs w:val="14"/>
          <w:color w:val="auto"/>
        </w:rPr>
        <w:t>Keep Sold Program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325120</wp:posOffset>
            </wp:positionV>
            <wp:extent cx="308610" cy="3429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08610" cy="3429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left="216" w:hanging="216"/>
        <w:spacing w:after="0"/>
        <w:tabs>
          <w:tab w:leader="none" w:pos="216" w:val="left"/>
        </w:tabs>
        <w:numPr>
          <w:ilvl w:val="0"/>
          <w:numId w:val="73"/>
        </w:numPr>
        <w:rPr>
          <w:rFonts w:ascii="Arial" w:cs="Arial" w:eastAsia="Arial" w:hAnsi="Arial"/>
          <w:sz w:val="14"/>
          <w:szCs w:val="14"/>
          <w:color w:val="012E6C"/>
        </w:rPr>
      </w:pPr>
      <w:r>
        <w:rPr>
          <w:rFonts w:ascii="Arial" w:cs="Arial" w:eastAsia="Arial" w:hAnsi="Arial"/>
          <w:sz w:val="14"/>
          <w:szCs w:val="14"/>
          <w:color w:val="auto"/>
        </w:rPr>
        <w:t>76% win rate on programs throughout the year</w:t>
      </w:r>
    </w:p>
    <w:p>
      <w:pPr>
        <w:spacing w:after="0" w:line="109" w:lineRule="exact"/>
        <w:rPr>
          <w:rFonts w:ascii="Arial" w:cs="Arial" w:eastAsia="Arial" w:hAnsi="Arial"/>
          <w:sz w:val="14"/>
          <w:szCs w:val="14"/>
          <w:color w:val="012E6C"/>
        </w:rPr>
      </w:pPr>
    </w:p>
    <w:p>
      <w:pPr>
        <w:ind w:left="136" w:right="360" w:hanging="136"/>
        <w:spacing w:after="0" w:line="281" w:lineRule="auto"/>
        <w:tabs>
          <w:tab w:leader="none" w:pos="211" w:val="left"/>
        </w:tabs>
        <w:numPr>
          <w:ilvl w:val="0"/>
          <w:numId w:val="73"/>
        </w:numPr>
        <w:rPr>
          <w:rFonts w:ascii="Arial" w:cs="Arial" w:eastAsia="Arial" w:hAnsi="Arial"/>
          <w:sz w:val="14"/>
          <w:szCs w:val="14"/>
          <w:color w:val="012E6C"/>
        </w:rPr>
      </w:pPr>
      <w:r>
        <w:rPr>
          <w:rFonts w:ascii="Arial" w:cs="Arial" w:eastAsia="Arial" w:hAnsi="Arial"/>
          <w:sz w:val="14"/>
          <w:szCs w:val="14"/>
          <w:color w:val="auto"/>
        </w:rPr>
        <w:t>Record orders of $79 billion with record backlog at year-end of approximately $130.5 billion</w:t>
      </w:r>
    </w:p>
    <w:p>
      <w:pPr>
        <w:spacing w:after="0" w:line="1" w:lineRule="exact"/>
        <w:rPr>
          <w:rFonts w:ascii="Arial" w:cs="Arial" w:eastAsia="Arial" w:hAnsi="Arial"/>
          <w:sz w:val="14"/>
          <w:szCs w:val="14"/>
          <w:color w:val="012E6C"/>
        </w:rPr>
      </w:pPr>
    </w:p>
    <w:p>
      <w:pPr>
        <w:ind w:left="136" w:hanging="122"/>
        <w:spacing w:after="0"/>
        <w:tabs>
          <w:tab w:leader="none" w:pos="136" w:val="left"/>
        </w:tabs>
        <w:numPr>
          <w:ilvl w:val="1"/>
          <w:numId w:val="73"/>
        </w:numPr>
        <w:rPr>
          <w:rFonts w:ascii="Arial" w:cs="Arial" w:eastAsia="Arial" w:hAnsi="Arial"/>
          <w:sz w:val="14"/>
          <w:szCs w:val="14"/>
          <w:color w:val="012E6C"/>
        </w:rPr>
      </w:pPr>
      <w:r>
        <w:rPr>
          <w:rFonts w:ascii="Arial" w:cs="Arial" w:eastAsia="Arial" w:hAnsi="Arial"/>
          <w:sz w:val="14"/>
          <w:szCs w:val="14"/>
          <w:color w:val="auto"/>
        </w:rPr>
        <w:t>More than 25 franchise wins and extensions &gt;$ 500M Total Program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-3463925</wp:posOffset>
            </wp:positionH>
            <wp:positionV relativeFrom="paragraph">
              <wp:posOffset>60325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7" w:lineRule="exact"/>
        <w:rPr>
          <w:sz w:val="20"/>
          <w:szCs w:val="20"/>
          <w:color w:val="auto"/>
        </w:rPr>
      </w:pPr>
    </w:p>
    <w:p>
      <w:pPr>
        <w:sectPr>
          <w:pgSz w:w="11900" w:h="16838" w:orient="portrait"/>
          <w:cols w:equalWidth="0" w:num="2">
            <w:col w:w="5040" w:space="424"/>
            <w:col w:w="5956"/>
          </w:cols>
          <w:pgMar w:left="240" w:top="292"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5240" w:type="dxa"/>
            <w:vAlign w:val="bottom"/>
          </w:tcPr>
          <w:p>
            <w:pPr>
              <w:ind w:left="920"/>
              <w:spacing w:after="0"/>
              <w:rPr>
                <w:sz w:val="20"/>
                <w:szCs w:val="20"/>
                <w:color w:val="auto"/>
              </w:rPr>
            </w:pPr>
            <w:r>
              <w:rPr>
                <w:rFonts w:ascii="Arial" w:cs="Arial" w:eastAsia="Arial" w:hAnsi="Arial"/>
                <w:sz w:val="14"/>
                <w:szCs w:val="14"/>
                <w:b w:val="1"/>
                <w:bCs w:val="1"/>
                <w:color w:val="auto"/>
              </w:rPr>
              <w:t xml:space="preserve">Mission Success: </w:t>
            </w:r>
            <w:r>
              <w:rPr>
                <w:rFonts w:ascii="Arial" w:cs="Arial" w:eastAsia="Arial" w:hAnsi="Arial"/>
                <w:sz w:val="14"/>
                <w:szCs w:val="14"/>
                <w:color w:val="auto"/>
              </w:rPr>
              <w:t>Achieve Mission</w:t>
            </w:r>
          </w:p>
        </w:tc>
        <w:tc>
          <w:tcPr>
            <w:tcW w:w="6180" w:type="dxa"/>
            <w:vAlign w:val="bottom"/>
          </w:tcPr>
          <w:p>
            <w:pPr>
              <w:ind w:left="220"/>
              <w:spacing w:after="0"/>
              <w:rPr>
                <w:sz w:val="20"/>
                <w:szCs w:val="20"/>
                <w:color w:val="auto"/>
              </w:rPr>
            </w:pPr>
            <w:r>
              <w:rPr>
                <w:rFonts w:ascii="Arial" w:cs="Arial" w:eastAsia="Arial" w:hAnsi="Arial"/>
                <w:sz w:val="14"/>
                <w:szCs w:val="14"/>
                <w:color w:val="012E6C"/>
              </w:rPr>
              <w:t xml:space="preserve">•  </w:t>
            </w:r>
            <w:r>
              <w:rPr>
                <w:rFonts w:ascii="Arial" w:cs="Arial" w:eastAsia="Arial" w:hAnsi="Arial"/>
                <w:sz w:val="14"/>
                <w:szCs w:val="14"/>
                <w:color w:val="000000"/>
              </w:rPr>
              <w:t>Continued operational excellence with 100% Mission Success in targeted events</w:t>
            </w:r>
          </w:p>
        </w:tc>
        <w:tc>
          <w:tcPr>
            <w:tcW w:w="0" w:type="dxa"/>
            <w:vAlign w:val="bottom"/>
          </w:tcPr>
          <w:p>
            <w:pPr>
              <w:spacing w:after="0"/>
              <w:rPr>
                <w:sz w:val="1"/>
                <w:szCs w:val="1"/>
                <w:color w:val="auto"/>
              </w:rPr>
            </w:pPr>
          </w:p>
        </w:tc>
      </w:tr>
      <w:tr>
        <w:trPr>
          <w:trHeight w:val="194"/>
        </w:trPr>
        <w:tc>
          <w:tcPr>
            <w:tcW w:w="5240" w:type="dxa"/>
            <w:vAlign w:val="bottom"/>
          </w:tcPr>
          <w:p>
            <w:pPr>
              <w:ind w:left="920"/>
              <w:spacing w:after="0"/>
              <w:rPr>
                <w:sz w:val="20"/>
                <w:szCs w:val="20"/>
                <w:color w:val="auto"/>
              </w:rPr>
            </w:pPr>
            <w:r>
              <w:rPr>
                <w:rFonts w:ascii="Arial" w:cs="Arial" w:eastAsia="Arial" w:hAnsi="Arial"/>
                <w:sz w:val="14"/>
                <w:szCs w:val="14"/>
                <w:color w:val="auto"/>
              </w:rPr>
              <w:t>Success milestones</w:t>
            </w:r>
          </w:p>
        </w:tc>
        <w:tc>
          <w:tcPr>
            <w:tcW w:w="6180" w:type="dxa"/>
            <w:vAlign w:val="bottom"/>
            <w:vMerge w:val="restart"/>
          </w:tcPr>
          <w:p>
            <w:pPr>
              <w:ind w:left="220"/>
              <w:spacing w:after="0"/>
              <w:rPr>
                <w:sz w:val="20"/>
                <w:szCs w:val="20"/>
                <w:color w:val="auto"/>
              </w:rPr>
            </w:pPr>
            <w:r>
              <w:rPr>
                <w:rFonts w:ascii="Arial" w:cs="Arial" w:eastAsia="Arial" w:hAnsi="Arial"/>
                <w:sz w:val="14"/>
                <w:szCs w:val="14"/>
                <w:color w:val="012E6C"/>
              </w:rPr>
              <w:t xml:space="preserve">•  </w:t>
            </w:r>
            <w:r>
              <w:rPr>
                <w:rFonts w:ascii="Arial" w:cs="Arial" w:eastAsia="Arial" w:hAnsi="Arial"/>
                <w:sz w:val="14"/>
                <w:szCs w:val="14"/>
                <w:color w:val="000000"/>
              </w:rPr>
              <w:t>Key program milestones achieved throughout the Corporation, including on F-35</w:t>
            </w:r>
          </w:p>
        </w:tc>
        <w:tc>
          <w:tcPr>
            <w:tcW w:w="0" w:type="dxa"/>
            <w:vAlign w:val="bottom"/>
          </w:tcPr>
          <w:p>
            <w:pPr>
              <w:spacing w:after="0"/>
              <w:rPr>
                <w:sz w:val="1"/>
                <w:szCs w:val="1"/>
                <w:color w:val="auto"/>
              </w:rPr>
            </w:pPr>
          </w:p>
        </w:tc>
      </w:tr>
      <w:tr>
        <w:trPr>
          <w:trHeight w:val="54"/>
        </w:trPr>
        <w:tc>
          <w:tcPr>
            <w:tcW w:w="5240" w:type="dxa"/>
            <w:vAlign w:val="bottom"/>
          </w:tcPr>
          <w:p>
            <w:pPr>
              <w:spacing w:after="0"/>
              <w:rPr>
                <w:sz w:val="4"/>
                <w:szCs w:val="4"/>
                <w:color w:val="auto"/>
              </w:rPr>
            </w:pPr>
          </w:p>
        </w:tc>
        <w:tc>
          <w:tcPr>
            <w:tcW w:w="6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9"/>
        </w:trPr>
        <w:tc>
          <w:tcPr>
            <w:tcW w:w="5240" w:type="dxa"/>
            <w:vAlign w:val="bottom"/>
            <w:tcBorders>
              <w:bottom w:val="single" w:sz="8" w:color="959595"/>
            </w:tcBorders>
          </w:tcPr>
          <w:p>
            <w:pPr>
              <w:spacing w:after="0"/>
              <w:rPr>
                <w:sz w:val="7"/>
                <w:szCs w:val="7"/>
                <w:color w:val="auto"/>
              </w:rPr>
            </w:pPr>
          </w:p>
        </w:tc>
        <w:tc>
          <w:tcPr>
            <w:tcW w:w="6180" w:type="dxa"/>
            <w:vAlign w:val="bottom"/>
            <w:tcBorders>
              <w:bottom w:val="single" w:sz="8" w:color="959595"/>
            </w:tcBorders>
          </w:tcPr>
          <w:p>
            <w:pPr>
              <w:spacing w:after="0"/>
              <w:rPr>
                <w:sz w:val="7"/>
                <w:szCs w:val="7"/>
                <w:color w:val="auto"/>
              </w:rPr>
            </w:pPr>
          </w:p>
        </w:tc>
        <w:tc>
          <w:tcPr>
            <w:tcW w:w="0" w:type="dxa"/>
            <w:vAlign w:val="bottom"/>
          </w:tcPr>
          <w:p>
            <w:pPr>
              <w:spacing w:after="0"/>
              <w:rPr>
                <w:sz w:val="1"/>
                <w:szCs w:val="1"/>
                <w:color w:val="auto"/>
              </w:rPr>
            </w:pPr>
          </w:p>
        </w:tc>
      </w:tr>
      <w:tr>
        <w:trPr>
          <w:trHeight w:val="277"/>
        </w:trPr>
        <w:tc>
          <w:tcPr>
            <w:tcW w:w="5240" w:type="dxa"/>
            <w:vAlign w:val="bottom"/>
          </w:tcPr>
          <w:p>
            <w:pPr>
              <w:ind w:left="920"/>
              <w:spacing w:after="0"/>
              <w:rPr>
                <w:sz w:val="20"/>
                <w:szCs w:val="20"/>
                <w:color w:val="auto"/>
              </w:rPr>
            </w:pPr>
            <w:r>
              <w:rPr>
                <w:rFonts w:ascii="Arial" w:cs="Arial" w:eastAsia="Arial" w:hAnsi="Arial"/>
                <w:sz w:val="14"/>
                <w:szCs w:val="14"/>
                <w:b w:val="1"/>
                <w:bCs w:val="1"/>
                <w:color w:val="auto"/>
              </w:rPr>
              <w:t xml:space="preserve">Program Performance: </w:t>
            </w:r>
            <w:r>
              <w:rPr>
                <w:rFonts w:ascii="Arial" w:cs="Arial" w:eastAsia="Arial" w:hAnsi="Arial"/>
                <w:sz w:val="14"/>
                <w:szCs w:val="14"/>
                <w:color w:val="auto"/>
              </w:rPr>
              <w:t>Execute programs to achieve customer</w:t>
            </w:r>
          </w:p>
        </w:tc>
        <w:tc>
          <w:tcPr>
            <w:tcW w:w="6180" w:type="dxa"/>
            <w:vAlign w:val="bottom"/>
          </w:tcPr>
          <w:p>
            <w:pPr>
              <w:ind w:left="220"/>
              <w:spacing w:after="0"/>
              <w:rPr>
                <w:sz w:val="20"/>
                <w:szCs w:val="20"/>
                <w:color w:val="auto"/>
              </w:rPr>
            </w:pPr>
            <w:r>
              <w:rPr>
                <w:rFonts w:ascii="Arial" w:cs="Arial" w:eastAsia="Arial" w:hAnsi="Arial"/>
                <w:sz w:val="14"/>
                <w:szCs w:val="14"/>
                <w:color w:val="012E6C"/>
              </w:rPr>
              <w:t xml:space="preserve">•  </w:t>
            </w:r>
            <w:r>
              <w:rPr>
                <w:rFonts w:ascii="Arial" w:cs="Arial" w:eastAsia="Arial" w:hAnsi="Arial"/>
                <w:sz w:val="14"/>
                <w:szCs w:val="14"/>
                <w:color w:val="000000"/>
              </w:rPr>
              <w:t>Exceeded affordability goals and optimized subcontractor performance objectives</w:t>
            </w:r>
          </w:p>
        </w:tc>
        <w:tc>
          <w:tcPr>
            <w:tcW w:w="0" w:type="dxa"/>
            <w:vAlign w:val="bottom"/>
          </w:tcPr>
          <w:p>
            <w:pPr>
              <w:spacing w:after="0"/>
              <w:rPr>
                <w:sz w:val="1"/>
                <w:szCs w:val="1"/>
                <w:color w:val="auto"/>
              </w:rPr>
            </w:pPr>
          </w:p>
        </w:tc>
      </w:tr>
      <w:tr>
        <w:trPr>
          <w:trHeight w:val="216"/>
        </w:trPr>
        <w:tc>
          <w:tcPr>
            <w:tcW w:w="5240" w:type="dxa"/>
            <w:vAlign w:val="bottom"/>
          </w:tcPr>
          <w:p>
            <w:pPr>
              <w:ind w:left="920"/>
              <w:spacing w:after="0"/>
              <w:rPr>
                <w:sz w:val="20"/>
                <w:szCs w:val="20"/>
                <w:color w:val="auto"/>
              </w:rPr>
            </w:pPr>
            <w:r>
              <w:rPr>
                <w:rFonts w:ascii="Arial" w:cs="Arial" w:eastAsia="Arial" w:hAnsi="Arial"/>
                <w:sz w:val="14"/>
                <w:szCs w:val="14"/>
                <w:color w:val="auto"/>
              </w:rPr>
              <w:t>commitments and increase stockholder value</w:t>
            </w:r>
          </w:p>
        </w:tc>
        <w:tc>
          <w:tcPr>
            <w:tcW w:w="6180" w:type="dxa"/>
            <w:vAlign w:val="bottom"/>
          </w:tcPr>
          <w:p>
            <w:pPr>
              <w:ind w:left="220"/>
              <w:spacing w:after="0"/>
              <w:rPr>
                <w:sz w:val="20"/>
                <w:szCs w:val="20"/>
                <w:color w:val="auto"/>
              </w:rPr>
            </w:pPr>
            <w:r>
              <w:rPr>
                <w:rFonts w:ascii="Arial" w:cs="Arial" w:eastAsia="Arial" w:hAnsi="Arial"/>
                <w:sz w:val="14"/>
                <w:szCs w:val="14"/>
                <w:color w:val="012E6C"/>
              </w:rPr>
              <w:t xml:space="preserve">•  </w:t>
            </w:r>
            <w:r>
              <w:rPr>
                <w:rFonts w:ascii="Arial" w:cs="Arial" w:eastAsia="Arial" w:hAnsi="Arial"/>
                <w:sz w:val="14"/>
                <w:szCs w:val="14"/>
                <w:color w:val="000000"/>
              </w:rPr>
              <w:t>Returned $3.8 billion of Cash from Operations to our stockholders through dividends and</w:t>
            </w:r>
          </w:p>
        </w:tc>
        <w:tc>
          <w:tcPr>
            <w:tcW w:w="0" w:type="dxa"/>
            <w:vAlign w:val="bottom"/>
          </w:tcPr>
          <w:p>
            <w:pPr>
              <w:spacing w:after="0"/>
              <w:rPr>
                <w:sz w:val="1"/>
                <w:szCs w:val="1"/>
                <w:color w:val="auto"/>
              </w:rPr>
            </w:pPr>
          </w:p>
        </w:tc>
      </w:tr>
      <w:tr>
        <w:trPr>
          <w:trHeight w:val="194"/>
        </w:trPr>
        <w:tc>
          <w:tcPr>
            <w:tcW w:w="5240" w:type="dxa"/>
            <w:vAlign w:val="bottom"/>
          </w:tcPr>
          <w:p>
            <w:pPr>
              <w:spacing w:after="0"/>
              <w:rPr>
                <w:sz w:val="16"/>
                <w:szCs w:val="16"/>
                <w:color w:val="auto"/>
              </w:rPr>
            </w:pPr>
          </w:p>
        </w:tc>
        <w:tc>
          <w:tcPr>
            <w:tcW w:w="6180" w:type="dxa"/>
            <w:vAlign w:val="bottom"/>
          </w:tcPr>
          <w:p>
            <w:pPr>
              <w:ind w:left="360"/>
              <w:spacing w:after="0"/>
              <w:rPr>
                <w:sz w:val="20"/>
                <w:szCs w:val="20"/>
                <w:color w:val="auto"/>
              </w:rPr>
            </w:pPr>
            <w:r>
              <w:rPr>
                <w:rFonts w:ascii="Arial" w:cs="Arial" w:eastAsia="Arial" w:hAnsi="Arial"/>
                <w:sz w:val="14"/>
                <w:szCs w:val="14"/>
                <w:color w:val="auto"/>
              </w:rPr>
              <w:t>share repurchases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246620" cy="10033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100330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Portfolio Shaping / Enterprise Initiatives:</w:t>
      </w:r>
    </w:p>
    <w:p>
      <w:pPr>
        <w:spacing w:after="0" w:line="21" w:lineRule="exact"/>
        <w:rPr>
          <w:sz w:val="20"/>
          <w:szCs w:val="20"/>
          <w:color w:val="auto"/>
        </w:rPr>
      </w:pPr>
    </w:p>
    <w:p>
      <w:pPr>
        <w:ind w:left="920"/>
        <w:spacing w:after="0" w:line="252" w:lineRule="auto"/>
        <w:rPr>
          <w:sz w:val="20"/>
          <w:szCs w:val="20"/>
          <w:color w:val="auto"/>
        </w:rPr>
      </w:pPr>
      <w:r>
        <w:rPr>
          <w:rFonts w:ascii="Arial" w:cs="Arial" w:eastAsia="Arial" w:hAnsi="Arial"/>
          <w:sz w:val="14"/>
          <w:szCs w:val="14"/>
          <w:color w:val="auto"/>
        </w:rPr>
        <w:t>Assess portfolio on an ongoing basis to maximize stockholder value, which includes M&amp;A activity, streamlining operations and other enterprise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103505</wp:posOffset>
            </wp:positionV>
            <wp:extent cx="291465" cy="3517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91465" cy="3517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ind w:left="216" w:hanging="216"/>
        <w:spacing w:after="0"/>
        <w:tabs>
          <w:tab w:leader="none" w:pos="216" w:val="left"/>
        </w:tabs>
        <w:numPr>
          <w:ilvl w:val="0"/>
          <w:numId w:val="74"/>
        </w:numPr>
        <w:rPr>
          <w:rFonts w:ascii="Arial" w:cs="Arial" w:eastAsia="Arial" w:hAnsi="Arial"/>
          <w:sz w:val="14"/>
          <w:szCs w:val="14"/>
          <w:color w:val="012E6C"/>
        </w:rPr>
      </w:pPr>
      <w:r>
        <w:rPr>
          <w:rFonts w:ascii="Arial" w:cs="Arial" w:eastAsia="Arial" w:hAnsi="Arial"/>
          <w:sz w:val="14"/>
          <w:szCs w:val="14"/>
          <w:color w:val="auto"/>
        </w:rPr>
        <w:t>Key strategic partnerships launched to drive business growth</w:t>
      </w:r>
    </w:p>
    <w:p>
      <w:pPr>
        <w:spacing w:after="0" w:line="109" w:lineRule="exact"/>
        <w:rPr>
          <w:rFonts w:ascii="Arial" w:cs="Arial" w:eastAsia="Arial" w:hAnsi="Arial"/>
          <w:sz w:val="14"/>
          <w:szCs w:val="14"/>
          <w:color w:val="012E6C"/>
        </w:rPr>
      </w:pPr>
    </w:p>
    <w:p>
      <w:pPr>
        <w:ind w:left="216" w:hanging="216"/>
        <w:spacing w:after="0"/>
        <w:tabs>
          <w:tab w:leader="none" w:pos="216" w:val="left"/>
        </w:tabs>
        <w:numPr>
          <w:ilvl w:val="0"/>
          <w:numId w:val="74"/>
        </w:numPr>
        <w:rPr>
          <w:rFonts w:ascii="Arial" w:cs="Arial" w:eastAsia="Arial" w:hAnsi="Arial"/>
          <w:sz w:val="14"/>
          <w:szCs w:val="14"/>
          <w:color w:val="012E6C"/>
        </w:rPr>
      </w:pPr>
      <w:r>
        <w:rPr>
          <w:rFonts w:ascii="Arial" w:cs="Arial" w:eastAsia="Arial" w:hAnsi="Arial"/>
          <w:sz w:val="14"/>
          <w:szCs w:val="14"/>
          <w:color w:val="auto"/>
        </w:rPr>
        <w:t>Positioned business to invest in and implement digital transformation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-3463925</wp:posOffset>
            </wp:positionH>
            <wp:positionV relativeFrom="paragraph">
              <wp:posOffset>266065</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01" w:lineRule="exact"/>
        <w:rPr>
          <w:sz w:val="20"/>
          <w:szCs w:val="20"/>
          <w:color w:val="auto"/>
        </w:rPr>
      </w:pPr>
    </w:p>
    <w:p>
      <w:pPr>
        <w:sectPr>
          <w:pgSz w:w="11900" w:h="16838" w:orient="portrait"/>
          <w:cols w:equalWidth="0" w:num="2">
            <w:col w:w="4960" w:space="504"/>
            <w:col w:w="5956"/>
          </w:cols>
          <w:pgMar w:left="240" w:top="292" w:right="239" w:bottom="1440" w:gutter="0" w:footer="0" w:header="0"/>
          <w:type w:val="continuous"/>
        </w:sectPr>
      </w:pPr>
    </w:p>
    <w:tbl>
      <w:tblPr>
        <w:tblLayout w:type="fixed"/>
        <w:tblInd w:w="920" w:type="dxa"/>
        <w:tblCellMar>
          <w:top w:w="0" w:type="dxa"/>
          <w:left w:w="0" w:type="dxa"/>
          <w:bottom w:w="0" w:type="dxa"/>
          <w:right w:w="0" w:type="dxa"/>
        </w:tblCellMar>
      </w:tblPr>
      <w:tr>
        <w:trPr>
          <w:trHeight w:val="216"/>
        </w:trPr>
        <w:tc>
          <w:tcPr>
            <w:tcW w:w="3600" w:type="dxa"/>
            <w:vAlign w:val="bottom"/>
          </w:tcPr>
          <w:p>
            <w:pPr>
              <w:spacing w:after="0"/>
              <w:rPr>
                <w:sz w:val="20"/>
                <w:szCs w:val="20"/>
                <w:color w:val="auto"/>
              </w:rPr>
            </w:pPr>
            <w:r>
              <w:rPr>
                <w:rFonts w:ascii="Arial" w:cs="Arial" w:eastAsia="Arial" w:hAnsi="Arial"/>
                <w:sz w:val="14"/>
                <w:szCs w:val="14"/>
                <w:b w:val="1"/>
                <w:bCs w:val="1"/>
                <w:color w:val="auto"/>
              </w:rPr>
              <w:t xml:space="preserve">Innovation: </w:t>
            </w:r>
            <w:r>
              <w:rPr>
                <w:rFonts w:ascii="Arial" w:cs="Arial" w:eastAsia="Arial" w:hAnsi="Arial"/>
                <w:sz w:val="14"/>
                <w:szCs w:val="14"/>
                <w:color w:val="auto"/>
              </w:rPr>
              <w:t>Execute technology strategy,</w:t>
            </w:r>
          </w:p>
        </w:tc>
        <w:tc>
          <w:tcPr>
            <w:tcW w:w="1080" w:type="dxa"/>
            <w:vAlign w:val="bottom"/>
          </w:tcPr>
          <w:p>
            <w:pPr>
              <w:ind w:left="940"/>
              <w:spacing w:after="0"/>
              <w:rPr>
                <w:sz w:val="20"/>
                <w:szCs w:val="20"/>
                <w:color w:val="auto"/>
              </w:rPr>
            </w:pPr>
            <w:r>
              <w:rPr>
                <w:rFonts w:ascii="Arial" w:cs="Arial" w:eastAsia="Arial" w:hAnsi="Arial"/>
                <w:sz w:val="14"/>
                <w:szCs w:val="14"/>
                <w:color w:val="012E6C"/>
              </w:rPr>
              <w:t>•</w:t>
            </w:r>
          </w:p>
        </w:tc>
        <w:tc>
          <w:tcPr>
            <w:tcW w:w="5680" w:type="dxa"/>
            <w:vAlign w:val="bottom"/>
          </w:tcPr>
          <w:p>
            <w:pPr>
              <w:ind w:left="60"/>
              <w:spacing w:after="0"/>
              <w:rPr>
                <w:sz w:val="20"/>
                <w:szCs w:val="20"/>
                <w:color w:val="auto"/>
              </w:rPr>
            </w:pPr>
            <w:r>
              <w:rPr>
                <w:rFonts w:ascii="Arial" w:cs="Arial" w:eastAsia="Arial" w:hAnsi="Arial"/>
                <w:sz w:val="14"/>
                <w:szCs w:val="14"/>
                <w:color w:val="auto"/>
              </w:rPr>
              <w:t>Achieved leading positions in hypersonics, directed energy, and other critical capabilities</w:t>
            </w:r>
          </w:p>
        </w:tc>
        <w:tc>
          <w:tcPr>
            <w:tcW w:w="0" w:type="dxa"/>
            <w:vAlign w:val="bottom"/>
          </w:tcPr>
          <w:p>
            <w:pPr>
              <w:spacing w:after="0"/>
              <w:rPr>
                <w:sz w:val="1"/>
                <w:szCs w:val="1"/>
                <w:color w:val="auto"/>
              </w:rPr>
            </w:pPr>
          </w:p>
        </w:tc>
      </w:tr>
      <w:tr>
        <w:trPr>
          <w:trHeight w:val="162"/>
        </w:trPr>
        <w:tc>
          <w:tcPr>
            <w:tcW w:w="3600" w:type="dxa"/>
            <w:vAlign w:val="bottom"/>
          </w:tcPr>
          <w:p>
            <w:pPr>
              <w:spacing w:after="0"/>
              <w:rPr>
                <w:sz w:val="20"/>
                <w:szCs w:val="20"/>
                <w:color w:val="auto"/>
              </w:rPr>
            </w:pPr>
            <w:r>
              <w:rPr>
                <w:rFonts w:ascii="Arial" w:cs="Arial" w:eastAsia="Arial" w:hAnsi="Arial"/>
                <w:sz w:val="14"/>
                <w:szCs w:val="14"/>
                <w:color w:val="auto"/>
              </w:rPr>
              <w:t>ensuring robust innovation, collaboration</w:t>
            </w:r>
          </w:p>
        </w:tc>
        <w:tc>
          <w:tcPr>
            <w:tcW w:w="1080" w:type="dxa"/>
            <w:vAlign w:val="bottom"/>
            <w:vMerge w:val="restart"/>
          </w:tcPr>
          <w:p>
            <w:pPr>
              <w:ind w:left="940"/>
              <w:spacing w:after="0"/>
              <w:rPr>
                <w:sz w:val="20"/>
                <w:szCs w:val="20"/>
                <w:color w:val="auto"/>
              </w:rPr>
            </w:pPr>
            <w:r>
              <w:rPr>
                <w:rFonts w:ascii="Arial" w:cs="Arial" w:eastAsia="Arial" w:hAnsi="Arial"/>
                <w:sz w:val="14"/>
                <w:szCs w:val="14"/>
                <w:color w:val="012E6C"/>
              </w:rPr>
              <w:t>•</w:t>
            </w:r>
          </w:p>
        </w:tc>
        <w:tc>
          <w:tcPr>
            <w:tcW w:w="5680" w:type="dxa"/>
            <w:vAlign w:val="bottom"/>
            <w:vMerge w:val="restart"/>
          </w:tcPr>
          <w:p>
            <w:pPr>
              <w:ind w:left="80"/>
              <w:spacing w:after="0"/>
              <w:rPr>
                <w:sz w:val="20"/>
                <w:szCs w:val="20"/>
                <w:color w:val="auto"/>
              </w:rPr>
            </w:pPr>
            <w:r>
              <w:rPr>
                <w:rFonts w:ascii="Arial" w:cs="Arial" w:eastAsia="Arial" w:hAnsi="Arial"/>
                <w:sz w:val="14"/>
                <w:szCs w:val="14"/>
                <w:color w:val="auto"/>
              </w:rPr>
              <w:t>Large strategic investments with prioritized focus on transformational technologies</w:t>
            </w:r>
          </w:p>
        </w:tc>
        <w:tc>
          <w:tcPr>
            <w:tcW w:w="0" w:type="dxa"/>
            <w:vAlign w:val="bottom"/>
          </w:tcPr>
          <w:p>
            <w:pPr>
              <w:spacing w:after="0"/>
              <w:rPr>
                <w:sz w:val="1"/>
                <w:szCs w:val="1"/>
                <w:color w:val="auto"/>
              </w:rPr>
            </w:pPr>
          </w:p>
        </w:tc>
      </w:tr>
      <w:tr>
        <w:trPr>
          <w:trHeight w:val="86"/>
        </w:trPr>
        <w:tc>
          <w:tcPr>
            <w:tcW w:w="3600" w:type="dxa"/>
            <w:vAlign w:val="bottom"/>
            <w:vMerge w:val="restart"/>
          </w:tcPr>
          <w:p>
            <w:pPr>
              <w:spacing w:after="0"/>
              <w:rPr>
                <w:sz w:val="20"/>
                <w:szCs w:val="20"/>
                <w:color w:val="auto"/>
              </w:rPr>
            </w:pPr>
            <w:r>
              <w:rPr>
                <w:rFonts w:ascii="Arial" w:cs="Arial" w:eastAsia="Arial" w:hAnsi="Arial"/>
                <w:sz w:val="14"/>
                <w:szCs w:val="14"/>
                <w:color w:val="auto"/>
              </w:rPr>
              <w:t>and strategic partnering</w:t>
            </w:r>
          </w:p>
        </w:tc>
        <w:tc>
          <w:tcPr>
            <w:tcW w:w="1080" w:type="dxa"/>
            <w:vAlign w:val="bottom"/>
            <w:vMerge w:val="continue"/>
          </w:tcPr>
          <w:p>
            <w:pPr>
              <w:spacing w:after="0"/>
              <w:rPr>
                <w:sz w:val="7"/>
                <w:szCs w:val="7"/>
                <w:color w:val="auto"/>
              </w:rPr>
            </w:pPr>
          </w:p>
        </w:tc>
        <w:tc>
          <w:tcPr>
            <w:tcW w:w="5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60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56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4114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type w:val="continuous"/>
        </w:sectPr>
      </w:pPr>
    </w:p>
    <w:p>
      <w:pPr>
        <w:spacing w:after="0" w:line="251" w:lineRule="exact"/>
        <w:rPr>
          <w:sz w:val="20"/>
          <w:szCs w:val="20"/>
          <w:color w:val="auto"/>
        </w:rPr>
      </w:pPr>
    </w:p>
    <w:p>
      <w:pPr>
        <w:ind w:left="920" w:right="964"/>
        <w:spacing w:after="0" w:line="266" w:lineRule="auto"/>
        <w:rPr>
          <w:sz w:val="20"/>
          <w:szCs w:val="20"/>
          <w:color w:val="auto"/>
        </w:rPr>
      </w:pPr>
      <w:r>
        <w:rPr>
          <w:rFonts w:ascii="Arial" w:cs="Arial" w:eastAsia="Arial" w:hAnsi="Arial"/>
          <w:sz w:val="14"/>
          <w:szCs w:val="14"/>
          <w:color w:val="auto"/>
        </w:rPr>
        <w:t>Talent Management: Attract, develop and retain the workforce needed to deliver commitments to customers and stockholders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216" w:hanging="216"/>
        <w:spacing w:after="0"/>
        <w:tabs>
          <w:tab w:leader="none" w:pos="216" w:val="left"/>
        </w:tabs>
        <w:numPr>
          <w:ilvl w:val="0"/>
          <w:numId w:val="75"/>
        </w:numPr>
        <w:rPr>
          <w:rFonts w:ascii="Arial" w:cs="Arial" w:eastAsia="Arial" w:hAnsi="Arial"/>
          <w:sz w:val="14"/>
          <w:szCs w:val="14"/>
          <w:color w:val="012E6C"/>
        </w:rPr>
      </w:pPr>
      <w:r>
        <w:rPr>
          <w:rFonts w:ascii="Arial" w:cs="Arial" w:eastAsia="Arial" w:hAnsi="Arial"/>
          <w:sz w:val="14"/>
          <w:szCs w:val="14"/>
          <w:color w:val="auto"/>
        </w:rPr>
        <w:t>Exceeded retention rate target for top performers</w:t>
      </w:r>
    </w:p>
    <w:p>
      <w:pPr>
        <w:spacing w:after="0" w:line="109" w:lineRule="exact"/>
        <w:rPr>
          <w:rFonts w:ascii="Arial" w:cs="Arial" w:eastAsia="Arial" w:hAnsi="Arial"/>
          <w:sz w:val="14"/>
          <w:szCs w:val="14"/>
          <w:color w:val="012E6C"/>
        </w:rPr>
      </w:pPr>
    </w:p>
    <w:p>
      <w:pPr>
        <w:ind w:left="216" w:hanging="216"/>
        <w:spacing w:after="0"/>
        <w:tabs>
          <w:tab w:leader="none" w:pos="216" w:val="left"/>
        </w:tabs>
        <w:numPr>
          <w:ilvl w:val="0"/>
          <w:numId w:val="75"/>
        </w:numPr>
        <w:rPr>
          <w:rFonts w:ascii="Arial" w:cs="Arial" w:eastAsia="Arial" w:hAnsi="Arial"/>
          <w:sz w:val="14"/>
          <w:szCs w:val="14"/>
          <w:color w:val="012E6C"/>
        </w:rPr>
      </w:pPr>
      <w:r>
        <w:rPr>
          <w:rFonts w:ascii="Arial" w:cs="Arial" w:eastAsia="Arial" w:hAnsi="Arial"/>
          <w:sz w:val="14"/>
          <w:szCs w:val="14"/>
          <w:color w:val="auto"/>
        </w:rPr>
        <w:t>Enhanced development and succession placements for key executive positions</w:t>
      </w:r>
    </w:p>
    <w:p>
      <w:pPr>
        <w:spacing w:after="0" w:line="109" w:lineRule="exact"/>
        <w:rPr>
          <w:rFonts w:ascii="Arial" w:cs="Arial" w:eastAsia="Arial" w:hAnsi="Arial"/>
          <w:sz w:val="14"/>
          <w:szCs w:val="14"/>
          <w:color w:val="012E6C"/>
        </w:rPr>
      </w:pPr>
    </w:p>
    <w:p>
      <w:pPr>
        <w:ind w:left="216" w:hanging="216"/>
        <w:spacing w:after="0"/>
        <w:tabs>
          <w:tab w:leader="none" w:pos="216" w:val="left"/>
        </w:tabs>
        <w:numPr>
          <w:ilvl w:val="0"/>
          <w:numId w:val="75"/>
        </w:numPr>
        <w:rPr>
          <w:rFonts w:ascii="Arial" w:cs="Arial" w:eastAsia="Arial" w:hAnsi="Arial"/>
          <w:sz w:val="14"/>
          <w:szCs w:val="14"/>
          <w:color w:val="012E6C"/>
        </w:rPr>
      </w:pPr>
      <w:r>
        <w:rPr>
          <w:rFonts w:ascii="Arial" w:cs="Arial" w:eastAsia="Arial" w:hAnsi="Arial"/>
          <w:sz w:val="14"/>
          <w:szCs w:val="14"/>
          <w:color w:val="auto"/>
        </w:rPr>
        <w:t>Successfully executed diversity and inclusion initiatives</w:t>
      </w:r>
    </w:p>
    <w:p>
      <w:pPr>
        <w:spacing w:after="0" w:line="109" w:lineRule="exact"/>
        <w:rPr>
          <w:rFonts w:ascii="Arial" w:cs="Arial" w:eastAsia="Arial" w:hAnsi="Arial"/>
          <w:sz w:val="14"/>
          <w:szCs w:val="14"/>
          <w:color w:val="012E6C"/>
        </w:rPr>
      </w:pPr>
    </w:p>
    <w:p>
      <w:pPr>
        <w:ind w:left="196" w:hanging="196"/>
        <w:spacing w:after="0"/>
        <w:tabs>
          <w:tab w:leader="none" w:pos="196" w:val="left"/>
        </w:tabs>
        <w:numPr>
          <w:ilvl w:val="0"/>
          <w:numId w:val="75"/>
        </w:numPr>
        <w:rPr>
          <w:rFonts w:ascii="Arial" w:cs="Arial" w:eastAsia="Arial" w:hAnsi="Arial"/>
          <w:sz w:val="14"/>
          <w:szCs w:val="14"/>
          <w:color w:val="012E6C"/>
        </w:rPr>
      </w:pPr>
      <w:r>
        <w:rPr>
          <w:rFonts w:ascii="Arial" w:cs="Arial" w:eastAsia="Arial" w:hAnsi="Arial"/>
          <w:sz w:val="14"/>
          <w:szCs w:val="14"/>
          <w:color w:val="auto"/>
        </w:rPr>
        <w:t>Achieved staffing targets in key growth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-3463925</wp:posOffset>
            </wp:positionH>
            <wp:positionV relativeFrom="paragraph">
              <wp:posOffset>60325</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6" w:lineRule="exact"/>
        <w:rPr>
          <w:sz w:val="20"/>
          <w:szCs w:val="20"/>
          <w:color w:val="auto"/>
        </w:rPr>
      </w:pPr>
    </w:p>
    <w:p>
      <w:pPr>
        <w:sectPr>
          <w:pgSz w:w="11900" w:h="16838" w:orient="portrait"/>
          <w:cols w:equalWidth="0" w:num="2">
            <w:col w:w="4744" w:space="720"/>
            <w:col w:w="5956"/>
          </w:cols>
          <w:pgMar w:left="240" w:top="292" w:right="2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6960" w:type="dxa"/>
            <w:vAlign w:val="bottom"/>
          </w:tcPr>
          <w:p>
            <w:pPr>
              <w:ind w:left="40"/>
              <w:spacing w:after="0"/>
              <w:rPr>
                <w:sz w:val="20"/>
                <w:szCs w:val="20"/>
                <w:color w:val="auto"/>
              </w:rPr>
            </w:pPr>
            <w:r>
              <w:rPr>
                <w:rFonts w:ascii="Arial" w:cs="Arial" w:eastAsia="Arial" w:hAnsi="Arial"/>
                <w:sz w:val="16"/>
                <w:szCs w:val="16"/>
                <w:b w:val="1"/>
                <w:bCs w:val="1"/>
                <w:color w:val="012E6C"/>
              </w:rPr>
              <w:t>Strategic &amp; Operational Payout Factor</w:t>
            </w:r>
          </w:p>
        </w:tc>
        <w:tc>
          <w:tcPr>
            <w:tcW w:w="4460" w:type="dxa"/>
            <w:vAlign w:val="bottom"/>
          </w:tcPr>
          <w:p>
            <w:pPr>
              <w:jc w:val="right"/>
              <w:spacing w:after="0"/>
              <w:rPr>
                <w:sz w:val="20"/>
                <w:szCs w:val="20"/>
                <w:color w:val="auto"/>
              </w:rPr>
            </w:pPr>
            <w:r>
              <w:rPr>
                <w:rFonts w:ascii="Arial" w:cs="Arial" w:eastAsia="Arial" w:hAnsi="Arial"/>
                <w:sz w:val="16"/>
                <w:szCs w:val="16"/>
                <w:b w:val="1"/>
                <w:bCs w:val="1"/>
                <w:color w:val="012E6C"/>
              </w:rPr>
              <w:t>195%</w:t>
            </w:r>
          </w:p>
        </w:tc>
      </w:tr>
      <w:tr>
        <w:trPr>
          <w:trHeight w:val="35"/>
        </w:trPr>
        <w:tc>
          <w:tcPr>
            <w:tcW w:w="6960" w:type="dxa"/>
            <w:vAlign w:val="bottom"/>
            <w:tcBorders>
              <w:bottom w:val="single" w:sz="8" w:color="959595"/>
            </w:tcBorders>
          </w:tcPr>
          <w:p>
            <w:pPr>
              <w:spacing w:after="0"/>
              <w:rPr>
                <w:sz w:val="3"/>
                <w:szCs w:val="3"/>
                <w:color w:val="auto"/>
              </w:rPr>
            </w:pPr>
          </w:p>
        </w:tc>
        <w:tc>
          <w:tcPr>
            <w:tcW w:w="4460" w:type="dxa"/>
            <w:vAlign w:val="bottom"/>
            <w:tcBorders>
              <w:bottom w:val="single" w:sz="8" w:color="959595"/>
            </w:tcBorders>
          </w:tcPr>
          <w:p>
            <w:pPr>
              <w:spacing w:after="0"/>
              <w:rPr>
                <w:sz w:val="3"/>
                <w:szCs w:val="3"/>
                <w:color w:val="auto"/>
              </w:rPr>
            </w:pPr>
          </w:p>
        </w:tc>
      </w:tr>
    </w:tbl>
    <w:p>
      <w:pPr>
        <w:spacing w:after="0" w:line="201"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The Compensation Committee reviewed these accomplishments and recommended this factor to recognize the Corporation’s strong operational performance in a highly competitive environment while undertaking major strategic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359410</wp:posOffset>
            </wp:positionV>
            <wp:extent cx="1440815" cy="3257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44081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808080"/>
        </w:rPr>
        <w:t>42</w:t>
      </w:r>
    </w:p>
    <w:p>
      <w:pPr>
        <w:sectPr>
          <w:pgSz w:w="11900" w:h="16838" w:orient="portrait"/>
          <w:cols w:equalWidth="0" w:num="1">
            <w:col w:w="11420"/>
          </w:cols>
          <w:pgMar w:left="240" w:top="292" w:right="239" w:bottom="1440" w:gutter="0" w:footer="0" w:header="0"/>
          <w:type w:val="continuous"/>
        </w:sectPr>
      </w:pPr>
    </w:p>
    <w:bookmarkStart w:id="45" w:name="page46"/>
    <w:bookmarkEnd w:id="45"/>
    <w:p>
      <w:pPr>
        <w:jc w:val="right"/>
        <w:spacing w:after="0"/>
        <w:rPr>
          <w:sz w:val="20"/>
          <w:szCs w:val="20"/>
          <w:color w:val="auto"/>
        </w:rPr>
      </w:pPr>
      <w:r>
        <w:rPr>
          <w:rFonts w:ascii="Arial" w:cs="Arial" w:eastAsia="Arial" w:hAnsi="Arial"/>
          <w:sz w:val="15"/>
          <w:szCs w:val="15"/>
          <w:color w:val="003478"/>
        </w:rPr>
        <w:t>Executive Compensation</w:t>
      </w:r>
    </w:p>
    <w:p>
      <w:pPr>
        <w:spacing w:after="0" w:line="357" w:lineRule="exact"/>
        <w:rPr>
          <w:sz w:val="20"/>
          <w:szCs w:val="20"/>
          <w:color w:val="auto"/>
        </w:rPr>
      </w:pPr>
    </w:p>
    <w:p>
      <w:pPr>
        <w:spacing w:after="0"/>
        <w:rPr>
          <w:sz w:val="20"/>
          <w:szCs w:val="20"/>
          <w:color w:val="auto"/>
        </w:rPr>
      </w:pPr>
      <w:r>
        <w:rPr>
          <w:rFonts w:ascii="Arial" w:cs="Arial" w:eastAsia="Arial" w:hAnsi="Arial"/>
          <w:sz w:val="22"/>
          <w:szCs w:val="22"/>
          <w:color w:val="848EB4"/>
        </w:rPr>
        <w:t>Summary of Annual Incentive Payout Calculations</w:t>
      </w:r>
    </w:p>
    <w:p>
      <w:pPr>
        <w:spacing w:after="0" w:line="22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2018, Ms. Hewson's annual incentive target percentage did not change and remained at 175% of her base salary. The Compensation Committee approved changes to annual incentive target percentages for other NEOs, aligning with the 2018 market rates (50th percentile). Mr. Tanner's target was increased from 110% to 115% of his base salary and our business segment EVPs' targets were set to 100% of their base salaries. The final payout factor and payout amounts for each of our NEOs, as determined by the Board, are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0" w:lineRule="exact"/>
        <w:rPr>
          <w:sz w:val="20"/>
          <w:szCs w:val="20"/>
          <w:color w:val="auto"/>
        </w:rPr>
      </w:pPr>
    </w:p>
    <w:p>
      <w:pPr>
        <w:ind w:left="40"/>
        <w:spacing w:after="0"/>
        <w:rPr>
          <w:sz w:val="20"/>
          <w:szCs w:val="20"/>
          <w:color w:val="auto"/>
        </w:rPr>
      </w:pPr>
      <w:r>
        <w:rPr>
          <w:rFonts w:ascii="Arial" w:cs="Arial" w:eastAsia="Arial" w:hAnsi="Arial"/>
          <w:sz w:val="16"/>
          <w:szCs w:val="16"/>
          <w:color w:val="003478"/>
        </w:rPr>
        <w:t>Summary of 2018 Enterprise Performance &amp; Overall Payout Factor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120" w:type="dxa"/>
            <w:vAlign w:val="bottom"/>
            <w:tcBorders>
              <w:bottom w:val="single" w:sz="8" w:color="959595"/>
            </w:tcBorders>
            <w:shd w:val="clear" w:color="auto" w:fill="ECECEC"/>
          </w:tcPr>
          <w:p>
            <w:pPr>
              <w:spacing w:after="0"/>
              <w:rPr>
                <w:sz w:val="22"/>
                <w:szCs w:val="22"/>
                <w:color w:val="auto"/>
              </w:rPr>
            </w:pPr>
          </w:p>
        </w:tc>
        <w:tc>
          <w:tcPr>
            <w:tcW w:w="1300" w:type="dxa"/>
            <w:vAlign w:val="bottom"/>
            <w:tcBorders>
              <w:bottom w:val="single" w:sz="8" w:color="959595"/>
            </w:tcBorders>
            <w:shd w:val="clear" w:color="auto" w:fill="ECECEC"/>
          </w:tcPr>
          <w:p>
            <w:pPr>
              <w:spacing w:after="0"/>
              <w:rPr>
                <w:sz w:val="22"/>
                <w:szCs w:val="22"/>
                <w:color w:val="auto"/>
              </w:rPr>
            </w:pPr>
          </w:p>
        </w:tc>
        <w:tc>
          <w:tcPr>
            <w:tcW w:w="1580" w:type="dxa"/>
            <w:vAlign w:val="bottom"/>
            <w:tcBorders>
              <w:bottom w:val="single" w:sz="8" w:color="959595"/>
            </w:tcBorders>
            <w:shd w:val="clear" w:color="auto" w:fill="ECECEC"/>
          </w:tcPr>
          <w:p>
            <w:pPr>
              <w:spacing w:after="0"/>
              <w:rPr>
                <w:sz w:val="22"/>
                <w:szCs w:val="22"/>
                <w:color w:val="auto"/>
              </w:rPr>
            </w:pPr>
          </w:p>
        </w:tc>
        <w:tc>
          <w:tcPr>
            <w:tcW w:w="1160" w:type="dxa"/>
            <w:vAlign w:val="bottom"/>
            <w:tcBorders>
              <w:bottom w:val="single" w:sz="8" w:color="959595"/>
            </w:tcBorders>
            <w:shd w:val="clear" w:color="auto" w:fill="ECECEC"/>
          </w:tcPr>
          <w:p>
            <w:pPr>
              <w:spacing w:after="0"/>
              <w:rPr>
                <w:sz w:val="22"/>
                <w:szCs w:val="22"/>
                <w:color w:val="auto"/>
              </w:rPr>
            </w:pPr>
          </w:p>
        </w:tc>
        <w:tc>
          <w:tcPr>
            <w:tcW w:w="720" w:type="dxa"/>
            <w:vAlign w:val="bottom"/>
            <w:tcBorders>
              <w:bottom w:val="single" w:sz="8" w:color="959595"/>
            </w:tcBorders>
            <w:gridSpan w:val="2"/>
            <w:shd w:val="clear" w:color="auto" w:fill="ECECEC"/>
          </w:tcPr>
          <w:p>
            <w:pPr>
              <w:jc w:val="right"/>
              <w:ind w:right="120"/>
              <w:spacing w:after="0"/>
              <w:rPr>
                <w:sz w:val="20"/>
                <w:szCs w:val="20"/>
                <w:color w:val="auto"/>
              </w:rPr>
            </w:pPr>
            <w:r>
              <w:rPr>
                <w:rFonts w:ascii="Arial" w:cs="Arial" w:eastAsia="Arial" w:hAnsi="Arial"/>
                <w:sz w:val="13"/>
                <w:szCs w:val="13"/>
                <w:color w:val="auto"/>
              </w:rPr>
              <w:t>Weight</w:t>
            </w:r>
          </w:p>
        </w:tc>
        <w:tc>
          <w:tcPr>
            <w:tcW w:w="1140" w:type="dxa"/>
            <w:vAlign w:val="bottom"/>
            <w:tcBorders>
              <w:bottom w:val="single" w:sz="8" w:color="959595"/>
            </w:tcBorders>
            <w:gridSpan w:val="2"/>
            <w:shd w:val="clear" w:color="auto" w:fill="ECECEC"/>
          </w:tcPr>
          <w:p>
            <w:pPr>
              <w:jc w:val="right"/>
              <w:ind w:right="120"/>
              <w:spacing w:after="0"/>
              <w:rPr>
                <w:sz w:val="20"/>
                <w:szCs w:val="20"/>
                <w:color w:val="auto"/>
              </w:rPr>
            </w:pPr>
            <w:r>
              <w:rPr>
                <w:rFonts w:ascii="Arial" w:cs="Arial" w:eastAsia="Arial" w:hAnsi="Arial"/>
                <w:sz w:val="13"/>
                <w:szCs w:val="13"/>
                <w:color w:val="auto"/>
              </w:rPr>
              <w:t>2018 Factors</w:t>
            </w:r>
          </w:p>
        </w:tc>
        <w:tc>
          <w:tcPr>
            <w:tcW w:w="300" w:type="dxa"/>
            <w:vAlign w:val="bottom"/>
            <w:tcBorders>
              <w:bottom w:val="single" w:sz="8" w:color="959595"/>
            </w:tcBorders>
            <w:shd w:val="clear" w:color="auto" w:fill="ECECEC"/>
          </w:tcPr>
          <w:p>
            <w:pPr>
              <w:spacing w:after="0"/>
              <w:rPr>
                <w:sz w:val="22"/>
                <w:szCs w:val="22"/>
                <w:color w:val="auto"/>
              </w:rPr>
            </w:pPr>
          </w:p>
        </w:tc>
        <w:tc>
          <w:tcPr>
            <w:tcW w:w="1080" w:type="dxa"/>
            <w:vAlign w:val="bottom"/>
            <w:tcBorders>
              <w:bottom w:val="single" w:sz="8" w:color="959595"/>
            </w:tcBorders>
            <w:shd w:val="clear" w:color="auto" w:fill="ECECEC"/>
          </w:tcPr>
          <w:p>
            <w:pPr>
              <w:jc w:val="right"/>
              <w:spacing w:after="0"/>
              <w:rPr>
                <w:sz w:val="20"/>
                <w:szCs w:val="20"/>
                <w:color w:val="auto"/>
              </w:rPr>
            </w:pPr>
            <w:r>
              <w:rPr>
                <w:rFonts w:ascii="Arial" w:cs="Arial" w:eastAsia="Arial" w:hAnsi="Arial"/>
                <w:sz w:val="13"/>
                <w:szCs w:val="13"/>
                <w:color w:val="auto"/>
              </w:rPr>
              <w:t>Weighted Payout</w:t>
            </w:r>
          </w:p>
        </w:tc>
        <w:tc>
          <w:tcPr>
            <w:tcW w:w="20" w:type="dxa"/>
            <w:vAlign w:val="bottom"/>
          </w:tcPr>
          <w:p>
            <w:pPr>
              <w:spacing w:after="0"/>
              <w:rPr>
                <w:sz w:val="22"/>
                <w:szCs w:val="22"/>
                <w:color w:val="auto"/>
              </w:rPr>
            </w:pPr>
          </w:p>
        </w:tc>
      </w:tr>
      <w:tr>
        <w:trPr>
          <w:trHeight w:val="212"/>
        </w:trPr>
        <w:tc>
          <w:tcPr>
            <w:tcW w:w="4120" w:type="dxa"/>
            <w:vAlign w:val="bottom"/>
            <w:tcBorders>
              <w:bottom w:val="single" w:sz="8" w:color="959595"/>
            </w:tcBorders>
          </w:tcPr>
          <w:p>
            <w:pPr>
              <w:ind w:left="40"/>
              <w:spacing w:after="0"/>
              <w:rPr>
                <w:sz w:val="20"/>
                <w:szCs w:val="20"/>
                <w:color w:val="auto"/>
              </w:rPr>
            </w:pPr>
            <w:r>
              <w:rPr>
                <w:rFonts w:ascii="Arial" w:cs="Arial" w:eastAsia="Arial" w:hAnsi="Arial"/>
                <w:sz w:val="14"/>
                <w:szCs w:val="14"/>
                <w:color w:val="auto"/>
              </w:rPr>
              <w:t>Financial</w:t>
            </w:r>
          </w:p>
        </w:tc>
        <w:tc>
          <w:tcPr>
            <w:tcW w:w="1300" w:type="dxa"/>
            <w:vAlign w:val="bottom"/>
            <w:tcBorders>
              <w:bottom w:val="single" w:sz="8" w:color="959595"/>
            </w:tcBorders>
          </w:tcPr>
          <w:p>
            <w:pPr>
              <w:spacing w:after="0"/>
              <w:rPr>
                <w:sz w:val="18"/>
                <w:szCs w:val="18"/>
                <w:color w:val="auto"/>
              </w:rPr>
            </w:pPr>
          </w:p>
        </w:tc>
        <w:tc>
          <w:tcPr>
            <w:tcW w:w="1580" w:type="dxa"/>
            <w:vAlign w:val="bottom"/>
            <w:tcBorders>
              <w:bottom w:val="single" w:sz="8" w:color="959595"/>
            </w:tcBorders>
          </w:tcPr>
          <w:p>
            <w:pPr>
              <w:spacing w:after="0"/>
              <w:rPr>
                <w:sz w:val="18"/>
                <w:szCs w:val="18"/>
                <w:color w:val="auto"/>
              </w:rPr>
            </w:pPr>
          </w:p>
        </w:tc>
        <w:tc>
          <w:tcPr>
            <w:tcW w:w="1160" w:type="dxa"/>
            <w:vAlign w:val="bottom"/>
            <w:tcBorders>
              <w:bottom w:val="single" w:sz="8" w:color="959595"/>
            </w:tcBorders>
          </w:tcPr>
          <w:p>
            <w:pPr>
              <w:spacing w:after="0"/>
              <w:rPr>
                <w:sz w:val="18"/>
                <w:szCs w:val="18"/>
                <w:color w:val="auto"/>
              </w:rPr>
            </w:pPr>
          </w:p>
        </w:tc>
        <w:tc>
          <w:tcPr>
            <w:tcW w:w="720" w:type="dxa"/>
            <w:vAlign w:val="bottom"/>
            <w:tcBorders>
              <w:bottom w:val="single" w:sz="8" w:color="959595"/>
            </w:tcBorders>
            <w:gridSpan w:val="2"/>
          </w:tcPr>
          <w:p>
            <w:pPr>
              <w:jc w:val="right"/>
              <w:ind w:right="120"/>
              <w:spacing w:after="0"/>
              <w:rPr>
                <w:sz w:val="20"/>
                <w:szCs w:val="20"/>
                <w:color w:val="auto"/>
              </w:rPr>
            </w:pPr>
            <w:r>
              <w:rPr>
                <w:rFonts w:ascii="Arial" w:cs="Arial" w:eastAsia="Arial" w:hAnsi="Arial"/>
                <w:sz w:val="14"/>
                <w:szCs w:val="14"/>
                <w:color w:val="auto"/>
              </w:rPr>
              <w:t>70%</w:t>
            </w:r>
          </w:p>
        </w:tc>
        <w:tc>
          <w:tcPr>
            <w:tcW w:w="1140" w:type="dxa"/>
            <w:vAlign w:val="bottom"/>
            <w:tcBorders>
              <w:bottom w:val="single" w:sz="8" w:color="959595"/>
            </w:tcBorders>
            <w:gridSpan w:val="2"/>
          </w:tcPr>
          <w:p>
            <w:pPr>
              <w:jc w:val="right"/>
              <w:ind w:right="120"/>
              <w:spacing w:after="0"/>
              <w:rPr>
                <w:sz w:val="20"/>
                <w:szCs w:val="20"/>
                <w:color w:val="auto"/>
              </w:rPr>
            </w:pPr>
            <w:r>
              <w:rPr>
                <w:rFonts w:ascii="Arial" w:cs="Arial" w:eastAsia="Arial" w:hAnsi="Arial"/>
                <w:sz w:val="14"/>
                <w:szCs w:val="14"/>
                <w:color w:val="auto"/>
              </w:rPr>
              <w:t>178%</w:t>
            </w:r>
          </w:p>
        </w:tc>
        <w:tc>
          <w:tcPr>
            <w:tcW w:w="300" w:type="dxa"/>
            <w:vAlign w:val="bottom"/>
            <w:tcBorders>
              <w:bottom w:val="single" w:sz="8" w:color="959595"/>
            </w:tcBorders>
          </w:tcPr>
          <w:p>
            <w:pPr>
              <w:spacing w:after="0"/>
              <w:rPr>
                <w:sz w:val="18"/>
                <w:szCs w:val="18"/>
                <w:color w:val="auto"/>
              </w:rPr>
            </w:pPr>
          </w:p>
        </w:tc>
        <w:tc>
          <w:tcPr>
            <w:tcW w:w="10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125%</w:t>
            </w:r>
          </w:p>
        </w:tc>
        <w:tc>
          <w:tcPr>
            <w:tcW w:w="20" w:type="dxa"/>
            <w:vAlign w:val="bottom"/>
          </w:tcPr>
          <w:p>
            <w:pPr>
              <w:spacing w:after="0"/>
              <w:rPr>
                <w:sz w:val="18"/>
                <w:szCs w:val="18"/>
                <w:color w:val="auto"/>
              </w:rPr>
            </w:pPr>
          </w:p>
        </w:tc>
      </w:tr>
      <w:tr>
        <w:trPr>
          <w:trHeight w:val="210"/>
        </w:trPr>
        <w:tc>
          <w:tcPr>
            <w:tcW w:w="4120" w:type="dxa"/>
            <w:vAlign w:val="bottom"/>
            <w:tcBorders>
              <w:bottom w:val="single" w:sz="8" w:color="959595"/>
            </w:tcBorders>
          </w:tcPr>
          <w:p>
            <w:pPr>
              <w:ind w:left="40"/>
              <w:spacing w:after="0"/>
              <w:rPr>
                <w:sz w:val="20"/>
                <w:szCs w:val="20"/>
                <w:color w:val="auto"/>
              </w:rPr>
            </w:pPr>
            <w:r>
              <w:rPr>
                <w:rFonts w:ascii="Arial" w:cs="Arial" w:eastAsia="Arial" w:hAnsi="Arial"/>
                <w:sz w:val="14"/>
                <w:szCs w:val="14"/>
                <w:color w:val="auto"/>
              </w:rPr>
              <w:t>Strategic &amp; Operational</w:t>
            </w:r>
          </w:p>
        </w:tc>
        <w:tc>
          <w:tcPr>
            <w:tcW w:w="1300" w:type="dxa"/>
            <w:vAlign w:val="bottom"/>
            <w:tcBorders>
              <w:bottom w:val="single" w:sz="8" w:color="959595"/>
            </w:tcBorders>
          </w:tcPr>
          <w:p>
            <w:pPr>
              <w:spacing w:after="0"/>
              <w:rPr>
                <w:sz w:val="18"/>
                <w:szCs w:val="18"/>
                <w:color w:val="auto"/>
              </w:rPr>
            </w:pPr>
          </w:p>
        </w:tc>
        <w:tc>
          <w:tcPr>
            <w:tcW w:w="1580" w:type="dxa"/>
            <w:vAlign w:val="bottom"/>
            <w:tcBorders>
              <w:bottom w:val="single" w:sz="8" w:color="959595"/>
            </w:tcBorders>
          </w:tcPr>
          <w:p>
            <w:pPr>
              <w:spacing w:after="0"/>
              <w:rPr>
                <w:sz w:val="18"/>
                <w:szCs w:val="18"/>
                <w:color w:val="auto"/>
              </w:rPr>
            </w:pPr>
          </w:p>
        </w:tc>
        <w:tc>
          <w:tcPr>
            <w:tcW w:w="1160" w:type="dxa"/>
            <w:vAlign w:val="bottom"/>
            <w:tcBorders>
              <w:bottom w:val="single" w:sz="8" w:color="959595"/>
            </w:tcBorders>
          </w:tcPr>
          <w:p>
            <w:pPr>
              <w:spacing w:after="0"/>
              <w:rPr>
                <w:sz w:val="18"/>
                <w:szCs w:val="18"/>
                <w:color w:val="auto"/>
              </w:rPr>
            </w:pPr>
          </w:p>
        </w:tc>
        <w:tc>
          <w:tcPr>
            <w:tcW w:w="720" w:type="dxa"/>
            <w:vAlign w:val="bottom"/>
            <w:tcBorders>
              <w:bottom w:val="single" w:sz="8" w:color="959595"/>
            </w:tcBorders>
            <w:gridSpan w:val="2"/>
          </w:tcPr>
          <w:p>
            <w:pPr>
              <w:jc w:val="right"/>
              <w:ind w:right="120"/>
              <w:spacing w:after="0"/>
              <w:rPr>
                <w:sz w:val="20"/>
                <w:szCs w:val="20"/>
                <w:color w:val="auto"/>
              </w:rPr>
            </w:pPr>
            <w:r>
              <w:rPr>
                <w:rFonts w:ascii="Arial" w:cs="Arial" w:eastAsia="Arial" w:hAnsi="Arial"/>
                <w:sz w:val="14"/>
                <w:szCs w:val="14"/>
                <w:color w:val="auto"/>
              </w:rPr>
              <w:t>30%</w:t>
            </w:r>
          </w:p>
        </w:tc>
        <w:tc>
          <w:tcPr>
            <w:tcW w:w="1140" w:type="dxa"/>
            <w:vAlign w:val="bottom"/>
            <w:tcBorders>
              <w:bottom w:val="single" w:sz="8" w:color="959595"/>
            </w:tcBorders>
            <w:gridSpan w:val="2"/>
          </w:tcPr>
          <w:p>
            <w:pPr>
              <w:jc w:val="right"/>
              <w:ind w:right="120"/>
              <w:spacing w:after="0"/>
              <w:rPr>
                <w:sz w:val="20"/>
                <w:szCs w:val="20"/>
                <w:color w:val="auto"/>
              </w:rPr>
            </w:pPr>
            <w:r>
              <w:rPr>
                <w:rFonts w:ascii="Arial" w:cs="Arial" w:eastAsia="Arial" w:hAnsi="Arial"/>
                <w:sz w:val="14"/>
                <w:szCs w:val="14"/>
                <w:color w:val="auto"/>
              </w:rPr>
              <w:t>195%</w:t>
            </w:r>
          </w:p>
        </w:tc>
        <w:tc>
          <w:tcPr>
            <w:tcW w:w="300" w:type="dxa"/>
            <w:vAlign w:val="bottom"/>
            <w:tcBorders>
              <w:bottom w:val="single" w:sz="8" w:color="959595"/>
            </w:tcBorders>
          </w:tcPr>
          <w:p>
            <w:pPr>
              <w:spacing w:after="0"/>
              <w:rPr>
                <w:sz w:val="18"/>
                <w:szCs w:val="18"/>
                <w:color w:val="auto"/>
              </w:rPr>
            </w:pPr>
          </w:p>
        </w:tc>
        <w:tc>
          <w:tcPr>
            <w:tcW w:w="10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59%</w:t>
            </w:r>
          </w:p>
        </w:tc>
        <w:tc>
          <w:tcPr>
            <w:tcW w:w="20" w:type="dxa"/>
            <w:vAlign w:val="bottom"/>
          </w:tcPr>
          <w:p>
            <w:pPr>
              <w:spacing w:after="0"/>
              <w:rPr>
                <w:sz w:val="18"/>
                <w:szCs w:val="18"/>
                <w:color w:val="auto"/>
              </w:rPr>
            </w:pPr>
          </w:p>
        </w:tc>
      </w:tr>
      <w:tr>
        <w:trPr>
          <w:trHeight w:val="233"/>
        </w:trPr>
        <w:tc>
          <w:tcPr>
            <w:tcW w:w="4120" w:type="dxa"/>
            <w:vAlign w:val="bottom"/>
          </w:tcPr>
          <w:p>
            <w:pPr>
              <w:ind w:left="40"/>
              <w:spacing w:after="0"/>
              <w:rPr>
                <w:sz w:val="20"/>
                <w:szCs w:val="20"/>
                <w:color w:val="auto"/>
              </w:rPr>
            </w:pPr>
            <w:r>
              <w:rPr>
                <w:rFonts w:ascii="Arial" w:cs="Arial" w:eastAsia="Arial" w:hAnsi="Arial"/>
                <w:sz w:val="16"/>
                <w:szCs w:val="16"/>
                <w:b w:val="1"/>
                <w:bCs w:val="1"/>
                <w:color w:val="012E6C"/>
              </w:rPr>
              <w:t>Overall Payout Factor</w:t>
            </w:r>
          </w:p>
        </w:tc>
        <w:tc>
          <w:tcPr>
            <w:tcW w:w="1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012E6C"/>
              </w:rPr>
              <w:t>184%</w:t>
            </w:r>
          </w:p>
        </w:tc>
        <w:tc>
          <w:tcPr>
            <w:tcW w:w="20" w:type="dxa"/>
            <w:vAlign w:val="bottom"/>
          </w:tcPr>
          <w:p>
            <w:pPr>
              <w:spacing w:after="0"/>
              <w:rPr>
                <w:sz w:val="20"/>
                <w:szCs w:val="20"/>
                <w:color w:val="auto"/>
              </w:rPr>
            </w:pPr>
          </w:p>
        </w:tc>
      </w:tr>
      <w:tr>
        <w:trPr>
          <w:trHeight w:val="35"/>
        </w:trPr>
        <w:tc>
          <w:tcPr>
            <w:tcW w:w="4120" w:type="dxa"/>
            <w:vAlign w:val="bottom"/>
            <w:tcBorders>
              <w:bottom w:val="single" w:sz="8" w:color="959595"/>
            </w:tcBorders>
          </w:tcPr>
          <w:p>
            <w:pPr>
              <w:spacing w:after="0"/>
              <w:rPr>
                <w:sz w:val="3"/>
                <w:szCs w:val="3"/>
                <w:color w:val="auto"/>
              </w:rPr>
            </w:pPr>
          </w:p>
        </w:tc>
        <w:tc>
          <w:tcPr>
            <w:tcW w:w="1300" w:type="dxa"/>
            <w:vAlign w:val="bottom"/>
            <w:tcBorders>
              <w:bottom w:val="single" w:sz="8" w:color="959595"/>
            </w:tcBorders>
          </w:tcPr>
          <w:p>
            <w:pPr>
              <w:spacing w:after="0"/>
              <w:rPr>
                <w:sz w:val="3"/>
                <w:szCs w:val="3"/>
                <w:color w:val="auto"/>
              </w:rPr>
            </w:pPr>
          </w:p>
        </w:tc>
        <w:tc>
          <w:tcPr>
            <w:tcW w:w="1580" w:type="dxa"/>
            <w:vAlign w:val="bottom"/>
            <w:tcBorders>
              <w:bottom w:val="single" w:sz="8" w:color="959595"/>
            </w:tcBorders>
          </w:tcPr>
          <w:p>
            <w:pPr>
              <w:spacing w:after="0"/>
              <w:rPr>
                <w:sz w:val="3"/>
                <w:szCs w:val="3"/>
                <w:color w:val="auto"/>
              </w:rPr>
            </w:pPr>
          </w:p>
        </w:tc>
        <w:tc>
          <w:tcPr>
            <w:tcW w:w="1160" w:type="dxa"/>
            <w:vAlign w:val="bottom"/>
            <w:tcBorders>
              <w:bottom w:val="single" w:sz="8" w:color="959595"/>
            </w:tcBorders>
          </w:tcPr>
          <w:p>
            <w:pPr>
              <w:spacing w:after="0"/>
              <w:rPr>
                <w:sz w:val="3"/>
                <w:szCs w:val="3"/>
                <w:color w:val="auto"/>
              </w:rPr>
            </w:pPr>
          </w:p>
        </w:tc>
        <w:tc>
          <w:tcPr>
            <w:tcW w:w="540" w:type="dxa"/>
            <w:vAlign w:val="bottom"/>
            <w:tcBorders>
              <w:bottom w:val="single" w:sz="8" w:color="959595"/>
            </w:tcBorders>
          </w:tcPr>
          <w:p>
            <w:pPr>
              <w:spacing w:after="0"/>
              <w:rPr>
                <w:sz w:val="3"/>
                <w:szCs w:val="3"/>
                <w:color w:val="auto"/>
              </w:rPr>
            </w:pPr>
          </w:p>
        </w:tc>
        <w:tc>
          <w:tcPr>
            <w:tcW w:w="180" w:type="dxa"/>
            <w:vAlign w:val="bottom"/>
            <w:tcBorders>
              <w:bottom w:val="single" w:sz="8" w:color="959595"/>
            </w:tcBorders>
          </w:tcPr>
          <w:p>
            <w:pPr>
              <w:spacing w:after="0"/>
              <w:rPr>
                <w:sz w:val="3"/>
                <w:szCs w:val="3"/>
                <w:color w:val="auto"/>
              </w:rPr>
            </w:pPr>
          </w:p>
        </w:tc>
        <w:tc>
          <w:tcPr>
            <w:tcW w:w="960" w:type="dxa"/>
            <w:vAlign w:val="bottom"/>
            <w:tcBorders>
              <w:bottom w:val="single" w:sz="8" w:color="959595"/>
            </w:tcBorders>
          </w:tcPr>
          <w:p>
            <w:pPr>
              <w:spacing w:after="0"/>
              <w:rPr>
                <w:sz w:val="3"/>
                <w:szCs w:val="3"/>
                <w:color w:val="auto"/>
              </w:rPr>
            </w:pPr>
          </w:p>
        </w:tc>
        <w:tc>
          <w:tcPr>
            <w:tcW w:w="180" w:type="dxa"/>
            <w:vAlign w:val="bottom"/>
            <w:tcBorders>
              <w:bottom w:val="single" w:sz="8" w:color="959595"/>
            </w:tcBorders>
          </w:tcPr>
          <w:p>
            <w:pPr>
              <w:spacing w:after="0"/>
              <w:rPr>
                <w:sz w:val="3"/>
                <w:szCs w:val="3"/>
                <w:color w:val="auto"/>
              </w:rPr>
            </w:pPr>
          </w:p>
        </w:tc>
        <w:tc>
          <w:tcPr>
            <w:tcW w:w="30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c>
          <w:tcPr>
            <w:tcW w:w="20" w:type="dxa"/>
            <w:vAlign w:val="bottom"/>
          </w:tcPr>
          <w:p>
            <w:pPr>
              <w:spacing w:after="0"/>
              <w:rPr>
                <w:sz w:val="3"/>
                <w:szCs w:val="3"/>
                <w:color w:val="auto"/>
              </w:rPr>
            </w:pPr>
          </w:p>
        </w:tc>
      </w:tr>
      <w:tr>
        <w:trPr>
          <w:trHeight w:val="129"/>
        </w:trPr>
        <w:tc>
          <w:tcPr>
            <w:tcW w:w="4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gridSpan w:val="2"/>
          </w:tcPr>
          <w:p>
            <w:pPr>
              <w:spacing w:after="0"/>
              <w:rPr>
                <w:sz w:val="11"/>
                <w:szCs w:val="11"/>
                <w:color w:val="auto"/>
              </w:rPr>
            </w:pPr>
          </w:p>
        </w:tc>
      </w:tr>
      <w:tr>
        <w:trPr>
          <w:trHeight w:val="256"/>
        </w:trPr>
        <w:tc>
          <w:tcPr>
            <w:tcW w:w="4120" w:type="dxa"/>
            <w:vAlign w:val="bottom"/>
            <w:shd w:val="clear" w:color="auto" w:fill="ECECEC"/>
          </w:tcPr>
          <w:p>
            <w:pPr>
              <w:spacing w:after="0"/>
              <w:rPr>
                <w:sz w:val="22"/>
                <w:szCs w:val="22"/>
                <w:color w:val="auto"/>
              </w:rPr>
            </w:pPr>
          </w:p>
        </w:tc>
        <w:tc>
          <w:tcPr>
            <w:tcW w:w="1300" w:type="dxa"/>
            <w:vAlign w:val="bottom"/>
            <w:shd w:val="clear" w:color="auto" w:fill="ECECEC"/>
          </w:tcPr>
          <w:p>
            <w:pPr>
              <w:jc w:val="right"/>
              <w:ind w:right="210"/>
              <w:spacing w:after="0"/>
              <w:rPr>
                <w:sz w:val="20"/>
                <w:szCs w:val="20"/>
                <w:color w:val="auto"/>
              </w:rPr>
            </w:pPr>
            <w:r>
              <w:rPr>
                <w:rFonts w:ascii="Arial" w:cs="Arial" w:eastAsia="Arial" w:hAnsi="Arial"/>
                <w:sz w:val="13"/>
                <w:szCs w:val="13"/>
                <w:color w:val="auto"/>
              </w:rPr>
              <w:t>Base Salary</w:t>
            </w:r>
          </w:p>
        </w:tc>
        <w:tc>
          <w:tcPr>
            <w:tcW w:w="1580" w:type="dxa"/>
            <w:vAlign w:val="bottom"/>
            <w:shd w:val="clear" w:color="auto" w:fill="ECECEC"/>
          </w:tcPr>
          <w:p>
            <w:pPr>
              <w:jc w:val="right"/>
              <w:ind w:right="190"/>
              <w:spacing w:after="0"/>
              <w:rPr>
                <w:sz w:val="20"/>
                <w:szCs w:val="20"/>
                <w:color w:val="auto"/>
              </w:rPr>
            </w:pPr>
            <w:r>
              <w:rPr>
                <w:rFonts w:ascii="Arial" w:cs="Arial" w:eastAsia="Arial" w:hAnsi="Arial"/>
                <w:sz w:val="13"/>
                <w:szCs w:val="13"/>
                <w:color w:val="auto"/>
              </w:rPr>
              <w:t>Target % of Salary</w:t>
            </w:r>
          </w:p>
        </w:tc>
        <w:tc>
          <w:tcPr>
            <w:tcW w:w="1160" w:type="dxa"/>
            <w:vAlign w:val="bottom"/>
            <w:shd w:val="clear" w:color="auto" w:fill="ECECEC"/>
          </w:tcPr>
          <w:p>
            <w:pPr>
              <w:jc w:val="right"/>
              <w:ind w:right="90"/>
              <w:spacing w:after="0"/>
              <w:rPr>
                <w:sz w:val="20"/>
                <w:szCs w:val="20"/>
                <w:color w:val="auto"/>
              </w:rPr>
            </w:pPr>
            <w:r>
              <w:rPr>
                <w:rFonts w:ascii="Arial" w:cs="Arial" w:eastAsia="Arial" w:hAnsi="Arial"/>
                <w:sz w:val="13"/>
                <w:szCs w:val="13"/>
                <w:color w:val="auto"/>
              </w:rPr>
              <w:t>Target Award</w:t>
            </w:r>
          </w:p>
        </w:tc>
        <w:tc>
          <w:tcPr>
            <w:tcW w:w="540" w:type="dxa"/>
            <w:vAlign w:val="bottom"/>
            <w:shd w:val="clear" w:color="auto" w:fill="ECECEC"/>
          </w:tcPr>
          <w:p>
            <w:pPr>
              <w:spacing w:after="0"/>
              <w:rPr>
                <w:sz w:val="22"/>
                <w:szCs w:val="22"/>
                <w:color w:val="auto"/>
              </w:rPr>
            </w:pPr>
          </w:p>
        </w:tc>
        <w:tc>
          <w:tcPr>
            <w:tcW w:w="180" w:type="dxa"/>
            <w:vAlign w:val="bottom"/>
            <w:shd w:val="clear" w:color="auto" w:fill="E6E7EF"/>
          </w:tcPr>
          <w:p>
            <w:pPr>
              <w:spacing w:after="0"/>
              <w:rPr>
                <w:sz w:val="22"/>
                <w:szCs w:val="22"/>
                <w:color w:val="auto"/>
              </w:rPr>
            </w:pPr>
          </w:p>
        </w:tc>
        <w:tc>
          <w:tcPr>
            <w:tcW w:w="960" w:type="dxa"/>
            <w:vAlign w:val="bottom"/>
            <w:shd w:val="clear" w:color="auto" w:fill="E6E7EF"/>
          </w:tcPr>
          <w:p>
            <w:pPr>
              <w:jc w:val="right"/>
              <w:spacing w:after="0"/>
              <w:rPr>
                <w:sz w:val="20"/>
                <w:szCs w:val="20"/>
                <w:color w:val="auto"/>
              </w:rPr>
            </w:pPr>
            <w:r>
              <w:rPr>
                <w:rFonts w:ascii="Arial" w:cs="Arial" w:eastAsia="Arial" w:hAnsi="Arial"/>
                <w:sz w:val="13"/>
                <w:szCs w:val="13"/>
                <w:color w:val="auto"/>
              </w:rPr>
              <w:t>Overall Payout</w:t>
            </w:r>
          </w:p>
        </w:tc>
        <w:tc>
          <w:tcPr>
            <w:tcW w:w="180" w:type="dxa"/>
            <w:vAlign w:val="bottom"/>
            <w:shd w:val="clear" w:color="auto" w:fill="ECECEC"/>
          </w:tcPr>
          <w:p>
            <w:pPr>
              <w:spacing w:after="0"/>
              <w:rPr>
                <w:sz w:val="22"/>
                <w:szCs w:val="22"/>
                <w:color w:val="auto"/>
              </w:rPr>
            </w:pPr>
          </w:p>
        </w:tc>
        <w:tc>
          <w:tcPr>
            <w:tcW w:w="300" w:type="dxa"/>
            <w:vAlign w:val="bottom"/>
            <w:shd w:val="clear" w:color="auto" w:fill="ECECEC"/>
          </w:tcPr>
          <w:p>
            <w:pPr>
              <w:spacing w:after="0"/>
              <w:rPr>
                <w:sz w:val="22"/>
                <w:szCs w:val="22"/>
                <w:color w:val="auto"/>
              </w:rPr>
            </w:pPr>
          </w:p>
        </w:tc>
        <w:tc>
          <w:tcPr>
            <w:tcW w:w="1100" w:type="dxa"/>
            <w:vAlign w:val="bottom"/>
            <w:gridSpan w:val="2"/>
            <w:shd w:val="clear" w:color="auto" w:fill="ECECEC"/>
          </w:tcPr>
          <w:p>
            <w:pPr>
              <w:ind w:left="680"/>
              <w:spacing w:after="0"/>
              <w:rPr>
                <w:sz w:val="20"/>
                <w:szCs w:val="20"/>
                <w:color w:val="auto"/>
              </w:rPr>
            </w:pPr>
            <w:r>
              <w:rPr>
                <w:rFonts w:ascii="Arial" w:cs="Arial" w:eastAsia="Arial" w:hAnsi="Arial"/>
                <w:sz w:val="13"/>
                <w:szCs w:val="13"/>
                <w:color w:val="auto"/>
                <w:w w:val="98"/>
              </w:rPr>
              <w:t>Payout</w:t>
            </w:r>
          </w:p>
        </w:tc>
      </w:tr>
      <w:tr>
        <w:trPr>
          <w:trHeight w:val="197"/>
        </w:trPr>
        <w:tc>
          <w:tcPr>
            <w:tcW w:w="4120" w:type="dxa"/>
            <w:vAlign w:val="bottom"/>
            <w:tcBorders>
              <w:bottom w:val="single" w:sz="8" w:color="959595"/>
            </w:tcBorders>
            <w:shd w:val="clear" w:color="auto" w:fill="ECECEC"/>
          </w:tcPr>
          <w:p>
            <w:pPr>
              <w:ind w:left="40"/>
              <w:spacing w:after="0"/>
              <w:rPr>
                <w:sz w:val="20"/>
                <w:szCs w:val="20"/>
                <w:color w:val="auto"/>
              </w:rPr>
            </w:pPr>
            <w:r>
              <w:rPr>
                <w:rFonts w:ascii="Arial" w:cs="Arial" w:eastAsia="Arial" w:hAnsi="Arial"/>
                <w:sz w:val="13"/>
                <w:szCs w:val="13"/>
                <w:color w:val="auto"/>
              </w:rPr>
              <w:t>NEO</w:t>
            </w:r>
          </w:p>
        </w:tc>
        <w:tc>
          <w:tcPr>
            <w:tcW w:w="1300" w:type="dxa"/>
            <w:vAlign w:val="bottom"/>
            <w:tcBorders>
              <w:bottom w:val="single" w:sz="8" w:color="959595"/>
            </w:tcBorders>
            <w:shd w:val="clear" w:color="auto" w:fill="ECECEC"/>
          </w:tcPr>
          <w:p>
            <w:pPr>
              <w:jc w:val="right"/>
              <w:ind w:right="210"/>
              <w:spacing w:after="0"/>
              <w:rPr>
                <w:sz w:val="20"/>
                <w:szCs w:val="20"/>
                <w:color w:val="auto"/>
              </w:rPr>
            </w:pPr>
            <w:r>
              <w:rPr>
                <w:rFonts w:ascii="Arial" w:cs="Arial" w:eastAsia="Arial" w:hAnsi="Arial"/>
                <w:sz w:val="13"/>
                <w:szCs w:val="13"/>
                <w:color w:val="auto"/>
              </w:rPr>
              <w:t>($)</w:t>
            </w:r>
          </w:p>
        </w:tc>
        <w:tc>
          <w:tcPr>
            <w:tcW w:w="1580" w:type="dxa"/>
            <w:vAlign w:val="bottom"/>
            <w:tcBorders>
              <w:bottom w:val="single" w:sz="8" w:color="959595"/>
            </w:tcBorders>
            <w:shd w:val="clear" w:color="auto" w:fill="ECECEC"/>
          </w:tcPr>
          <w:p>
            <w:pPr>
              <w:jc w:val="right"/>
              <w:ind w:right="190"/>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959595"/>
            </w:tcBorders>
            <w:shd w:val="clear" w:color="auto" w:fill="ECECEC"/>
          </w:tcPr>
          <w:p>
            <w:pPr>
              <w:jc w:val="right"/>
              <w:ind w:right="90"/>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959595"/>
            </w:tcBorders>
            <w:shd w:val="clear" w:color="auto" w:fill="ECECEC"/>
          </w:tcPr>
          <w:p>
            <w:pPr>
              <w:ind w:left="160"/>
              <w:spacing w:after="0"/>
              <w:rPr>
                <w:sz w:val="20"/>
                <w:szCs w:val="20"/>
                <w:color w:val="auto"/>
              </w:rPr>
            </w:pPr>
            <w:r>
              <w:rPr>
                <w:rFonts w:ascii="Arial" w:cs="Arial" w:eastAsia="Arial" w:hAnsi="Arial"/>
                <w:sz w:val="13"/>
                <w:szCs w:val="13"/>
                <w:color w:val="auto"/>
              </w:rPr>
              <w:t>X</w:t>
            </w:r>
          </w:p>
        </w:tc>
        <w:tc>
          <w:tcPr>
            <w:tcW w:w="180" w:type="dxa"/>
            <w:vAlign w:val="bottom"/>
            <w:tcBorders>
              <w:bottom w:val="single" w:sz="8" w:color="959595"/>
            </w:tcBorders>
            <w:shd w:val="clear" w:color="auto" w:fill="E6E7EF"/>
          </w:tcPr>
          <w:p>
            <w:pPr>
              <w:spacing w:after="0"/>
              <w:rPr>
                <w:sz w:val="17"/>
                <w:szCs w:val="17"/>
                <w:color w:val="auto"/>
              </w:rPr>
            </w:pPr>
          </w:p>
        </w:tc>
        <w:tc>
          <w:tcPr>
            <w:tcW w:w="960" w:type="dxa"/>
            <w:vAlign w:val="bottom"/>
            <w:tcBorders>
              <w:bottom w:val="single" w:sz="8" w:color="959595"/>
            </w:tcBorders>
            <w:shd w:val="clear" w:color="auto" w:fill="E6E7EF"/>
          </w:tcPr>
          <w:p>
            <w:pPr>
              <w:jc w:val="right"/>
              <w:spacing w:after="0"/>
              <w:rPr>
                <w:sz w:val="20"/>
                <w:szCs w:val="20"/>
                <w:color w:val="auto"/>
              </w:rPr>
            </w:pPr>
            <w:r>
              <w:rPr>
                <w:rFonts w:ascii="Arial" w:cs="Arial" w:eastAsia="Arial" w:hAnsi="Arial"/>
                <w:sz w:val="13"/>
                <w:szCs w:val="13"/>
                <w:color w:val="auto"/>
              </w:rPr>
              <w:t>Factor</w:t>
            </w:r>
          </w:p>
        </w:tc>
        <w:tc>
          <w:tcPr>
            <w:tcW w:w="180" w:type="dxa"/>
            <w:vAlign w:val="bottom"/>
            <w:tcBorders>
              <w:bottom w:val="single" w:sz="8" w:color="959595"/>
            </w:tcBorders>
            <w:shd w:val="clear" w:color="auto" w:fill="ECECEC"/>
          </w:tcPr>
          <w:p>
            <w:pPr>
              <w:spacing w:after="0"/>
              <w:rPr>
                <w:sz w:val="17"/>
                <w:szCs w:val="17"/>
                <w:color w:val="auto"/>
              </w:rPr>
            </w:pPr>
          </w:p>
        </w:tc>
        <w:tc>
          <w:tcPr>
            <w:tcW w:w="300" w:type="dxa"/>
            <w:vAlign w:val="bottom"/>
            <w:tcBorders>
              <w:bottom w:val="single" w:sz="8" w:color="959595"/>
            </w:tcBorders>
            <w:shd w:val="clear" w:color="auto" w:fill="ECECEC"/>
          </w:tcPr>
          <w:p>
            <w:pPr>
              <w:jc w:val="right"/>
              <w:ind w:right="37"/>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959595"/>
            </w:tcBorders>
            <w:gridSpan w:val="2"/>
            <w:shd w:val="clear" w:color="auto" w:fill="ECECEC"/>
          </w:tcPr>
          <w:p>
            <w:pPr>
              <w:jc w:val="right"/>
              <w:ind w:right="20"/>
              <w:spacing w:after="0"/>
              <w:rPr>
                <w:sz w:val="20"/>
                <w:szCs w:val="20"/>
                <w:color w:val="auto"/>
              </w:rPr>
            </w:pPr>
            <w:r>
              <w:rPr>
                <w:rFonts w:ascii="Arial" w:cs="Arial" w:eastAsia="Arial" w:hAnsi="Arial"/>
                <w:sz w:val="13"/>
                <w:szCs w:val="13"/>
                <w:color w:val="auto"/>
              </w:rPr>
              <w:t>($)</w:t>
            </w:r>
          </w:p>
        </w:tc>
      </w:tr>
      <w:tr>
        <w:trPr>
          <w:trHeight w:val="269"/>
        </w:trPr>
        <w:tc>
          <w:tcPr>
            <w:tcW w:w="412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012E6C"/>
              </w:rPr>
              <w:t>Ms. Hewson</w:t>
            </w:r>
          </w:p>
        </w:tc>
        <w:tc>
          <w:tcPr>
            <w:tcW w:w="1300" w:type="dxa"/>
            <w:vAlign w:val="bottom"/>
            <w:tcBorders>
              <w:bottom w:val="single" w:sz="8" w:color="959595"/>
            </w:tcBorders>
          </w:tcPr>
          <w:p>
            <w:pPr>
              <w:jc w:val="right"/>
              <w:ind w:right="210"/>
              <w:spacing w:after="0"/>
              <w:rPr>
                <w:sz w:val="20"/>
                <w:szCs w:val="20"/>
                <w:color w:val="auto"/>
              </w:rPr>
            </w:pPr>
            <w:r>
              <w:rPr>
                <w:rFonts w:ascii="Arial" w:cs="Arial" w:eastAsia="Arial" w:hAnsi="Arial"/>
                <w:sz w:val="14"/>
                <w:szCs w:val="14"/>
                <w:color w:val="auto"/>
              </w:rPr>
              <w:t>1,745,000</w:t>
            </w:r>
          </w:p>
        </w:tc>
        <w:tc>
          <w:tcPr>
            <w:tcW w:w="1580" w:type="dxa"/>
            <w:vAlign w:val="bottom"/>
            <w:tcBorders>
              <w:bottom w:val="single" w:sz="8" w:color="959595"/>
            </w:tcBorders>
          </w:tcPr>
          <w:p>
            <w:pPr>
              <w:jc w:val="right"/>
              <w:ind w:right="190"/>
              <w:spacing w:after="0"/>
              <w:rPr>
                <w:sz w:val="20"/>
                <w:szCs w:val="20"/>
                <w:color w:val="auto"/>
              </w:rPr>
            </w:pPr>
            <w:r>
              <w:rPr>
                <w:rFonts w:ascii="Arial" w:cs="Arial" w:eastAsia="Arial" w:hAnsi="Arial"/>
                <w:sz w:val="14"/>
                <w:szCs w:val="14"/>
                <w:color w:val="auto"/>
              </w:rPr>
              <w:t>175</w:t>
            </w:r>
          </w:p>
        </w:tc>
        <w:tc>
          <w:tcPr>
            <w:tcW w:w="1160" w:type="dxa"/>
            <w:vAlign w:val="bottom"/>
            <w:tcBorders>
              <w:bottom w:val="single" w:sz="8" w:color="959595"/>
            </w:tcBorders>
          </w:tcPr>
          <w:p>
            <w:pPr>
              <w:jc w:val="right"/>
              <w:ind w:right="90"/>
              <w:spacing w:after="0"/>
              <w:rPr>
                <w:sz w:val="20"/>
                <w:szCs w:val="20"/>
                <w:color w:val="auto"/>
              </w:rPr>
            </w:pPr>
            <w:r>
              <w:rPr>
                <w:rFonts w:ascii="Arial" w:cs="Arial" w:eastAsia="Arial" w:hAnsi="Arial"/>
                <w:sz w:val="14"/>
                <w:szCs w:val="14"/>
                <w:color w:val="auto"/>
              </w:rPr>
              <w:t>3,053,750</w:t>
            </w:r>
          </w:p>
        </w:tc>
        <w:tc>
          <w:tcPr>
            <w:tcW w:w="540" w:type="dxa"/>
            <w:vAlign w:val="bottom"/>
            <w:tcBorders>
              <w:bottom w:val="single" w:sz="8" w:color="959595"/>
            </w:tcBorders>
          </w:tcPr>
          <w:p>
            <w:pPr>
              <w:spacing w:after="0"/>
              <w:rPr>
                <w:sz w:val="23"/>
                <w:szCs w:val="23"/>
                <w:color w:val="auto"/>
              </w:rPr>
            </w:pPr>
          </w:p>
        </w:tc>
        <w:tc>
          <w:tcPr>
            <w:tcW w:w="180" w:type="dxa"/>
            <w:vAlign w:val="bottom"/>
            <w:tcBorders>
              <w:bottom w:val="single" w:sz="8" w:color="E6E7EF"/>
            </w:tcBorders>
            <w:shd w:val="clear" w:color="auto" w:fill="E6E7EF"/>
          </w:tcPr>
          <w:p>
            <w:pPr>
              <w:spacing w:after="0"/>
              <w:rPr>
                <w:sz w:val="23"/>
                <w:szCs w:val="23"/>
                <w:color w:val="auto"/>
              </w:rPr>
            </w:pPr>
          </w:p>
        </w:tc>
        <w:tc>
          <w:tcPr>
            <w:tcW w:w="960" w:type="dxa"/>
            <w:vAlign w:val="bottom"/>
            <w:tcBorders>
              <w:bottom w:val="single" w:sz="8" w:color="E6E7EF"/>
            </w:tcBorders>
            <w:shd w:val="clear" w:color="auto" w:fill="E6E7EF"/>
          </w:tcPr>
          <w:p>
            <w:pPr>
              <w:spacing w:after="0"/>
              <w:rPr>
                <w:sz w:val="23"/>
                <w:szCs w:val="23"/>
                <w:color w:val="auto"/>
              </w:rPr>
            </w:pPr>
          </w:p>
        </w:tc>
        <w:tc>
          <w:tcPr>
            <w:tcW w:w="180" w:type="dxa"/>
            <w:vAlign w:val="bottom"/>
            <w:tcBorders>
              <w:bottom w:val="single" w:sz="8" w:color="959595"/>
            </w:tcBorders>
          </w:tcPr>
          <w:p>
            <w:pPr>
              <w:spacing w:after="0"/>
              <w:rPr>
                <w:sz w:val="23"/>
                <w:szCs w:val="23"/>
                <w:color w:val="auto"/>
              </w:rPr>
            </w:pPr>
          </w:p>
        </w:tc>
        <w:tc>
          <w:tcPr>
            <w:tcW w:w="300" w:type="dxa"/>
            <w:vAlign w:val="bottom"/>
            <w:tcBorders>
              <w:bottom w:val="single" w:sz="8" w:color="959595"/>
            </w:tcBorders>
          </w:tcPr>
          <w:p>
            <w:pPr>
              <w:spacing w:after="0"/>
              <w:rPr>
                <w:sz w:val="23"/>
                <w:szCs w:val="23"/>
                <w:color w:val="auto"/>
              </w:rPr>
            </w:pPr>
          </w:p>
        </w:tc>
        <w:tc>
          <w:tcPr>
            <w:tcW w:w="1100" w:type="dxa"/>
            <w:vAlign w:val="bottom"/>
            <w:tcBorders>
              <w:bottom w:val="single" w:sz="8" w:color="959595"/>
            </w:tcBorders>
            <w:gridSpan w:val="2"/>
          </w:tcPr>
          <w:p>
            <w:pPr>
              <w:jc w:val="right"/>
              <w:ind w:right="20"/>
              <w:spacing w:after="0"/>
              <w:rPr>
                <w:sz w:val="20"/>
                <w:szCs w:val="20"/>
                <w:color w:val="auto"/>
              </w:rPr>
            </w:pPr>
            <w:r>
              <w:rPr>
                <w:rFonts w:ascii="Arial" w:cs="Arial" w:eastAsia="Arial" w:hAnsi="Arial"/>
                <w:sz w:val="14"/>
                <w:szCs w:val="14"/>
                <w:color w:val="auto"/>
              </w:rPr>
              <w:t>5,618,900</w:t>
            </w:r>
          </w:p>
        </w:tc>
      </w:tr>
      <w:tr>
        <w:trPr>
          <w:trHeight w:val="264"/>
        </w:trPr>
        <w:tc>
          <w:tcPr>
            <w:tcW w:w="412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012E6C"/>
              </w:rPr>
              <w:t>Mr. Tanner</w:t>
            </w:r>
          </w:p>
        </w:tc>
        <w:tc>
          <w:tcPr>
            <w:tcW w:w="1300" w:type="dxa"/>
            <w:vAlign w:val="bottom"/>
            <w:tcBorders>
              <w:bottom w:val="single" w:sz="8" w:color="959595"/>
            </w:tcBorders>
          </w:tcPr>
          <w:p>
            <w:pPr>
              <w:jc w:val="right"/>
              <w:ind w:right="210"/>
              <w:spacing w:after="0"/>
              <w:rPr>
                <w:sz w:val="20"/>
                <w:szCs w:val="20"/>
                <w:color w:val="auto"/>
              </w:rPr>
            </w:pPr>
            <w:r>
              <w:rPr>
                <w:rFonts w:ascii="Arial" w:cs="Arial" w:eastAsia="Arial" w:hAnsi="Arial"/>
                <w:sz w:val="14"/>
                <w:szCs w:val="14"/>
                <w:color w:val="auto"/>
              </w:rPr>
              <w:t>1,030,000</w:t>
            </w:r>
          </w:p>
        </w:tc>
        <w:tc>
          <w:tcPr>
            <w:tcW w:w="1580" w:type="dxa"/>
            <w:vAlign w:val="bottom"/>
            <w:tcBorders>
              <w:bottom w:val="single" w:sz="8" w:color="959595"/>
            </w:tcBorders>
          </w:tcPr>
          <w:p>
            <w:pPr>
              <w:jc w:val="right"/>
              <w:ind w:right="190"/>
              <w:spacing w:after="0"/>
              <w:rPr>
                <w:sz w:val="20"/>
                <w:szCs w:val="20"/>
                <w:color w:val="auto"/>
              </w:rPr>
            </w:pPr>
            <w:r>
              <w:rPr>
                <w:rFonts w:ascii="Arial" w:cs="Arial" w:eastAsia="Arial" w:hAnsi="Arial"/>
                <w:sz w:val="14"/>
                <w:szCs w:val="14"/>
                <w:color w:val="auto"/>
              </w:rPr>
              <w:t>115</w:t>
            </w:r>
          </w:p>
        </w:tc>
        <w:tc>
          <w:tcPr>
            <w:tcW w:w="1160" w:type="dxa"/>
            <w:vAlign w:val="bottom"/>
            <w:tcBorders>
              <w:bottom w:val="single" w:sz="8" w:color="959595"/>
            </w:tcBorders>
          </w:tcPr>
          <w:p>
            <w:pPr>
              <w:jc w:val="right"/>
              <w:ind w:right="90"/>
              <w:spacing w:after="0"/>
              <w:rPr>
                <w:sz w:val="20"/>
                <w:szCs w:val="20"/>
                <w:color w:val="auto"/>
              </w:rPr>
            </w:pPr>
            <w:r>
              <w:rPr>
                <w:rFonts w:ascii="Arial" w:cs="Arial" w:eastAsia="Arial" w:hAnsi="Arial"/>
                <w:sz w:val="14"/>
                <w:szCs w:val="14"/>
                <w:color w:val="auto"/>
              </w:rPr>
              <w:t>1,184,500</w:t>
            </w:r>
          </w:p>
        </w:tc>
        <w:tc>
          <w:tcPr>
            <w:tcW w:w="540" w:type="dxa"/>
            <w:vAlign w:val="bottom"/>
            <w:tcBorders>
              <w:bottom w:val="single" w:sz="8" w:color="959595"/>
            </w:tcBorders>
          </w:tcPr>
          <w:p>
            <w:pPr>
              <w:spacing w:after="0"/>
              <w:rPr>
                <w:sz w:val="22"/>
                <w:szCs w:val="22"/>
                <w:color w:val="auto"/>
              </w:rPr>
            </w:pPr>
          </w:p>
        </w:tc>
        <w:tc>
          <w:tcPr>
            <w:tcW w:w="180" w:type="dxa"/>
            <w:vAlign w:val="bottom"/>
            <w:tcBorders>
              <w:bottom w:val="single" w:sz="8" w:color="E6E7EF"/>
            </w:tcBorders>
            <w:shd w:val="clear" w:color="auto" w:fill="E6E7EF"/>
          </w:tcPr>
          <w:p>
            <w:pPr>
              <w:spacing w:after="0"/>
              <w:rPr>
                <w:sz w:val="22"/>
                <w:szCs w:val="22"/>
                <w:color w:val="auto"/>
              </w:rPr>
            </w:pPr>
          </w:p>
        </w:tc>
        <w:tc>
          <w:tcPr>
            <w:tcW w:w="960" w:type="dxa"/>
            <w:vAlign w:val="bottom"/>
            <w:tcBorders>
              <w:bottom w:val="single" w:sz="8" w:color="E6E7EF"/>
            </w:tcBorders>
            <w:shd w:val="clear" w:color="auto" w:fill="E6E7EF"/>
          </w:tcPr>
          <w:p>
            <w:pPr>
              <w:spacing w:after="0"/>
              <w:rPr>
                <w:sz w:val="22"/>
                <w:szCs w:val="22"/>
                <w:color w:val="auto"/>
              </w:rPr>
            </w:pPr>
          </w:p>
        </w:tc>
        <w:tc>
          <w:tcPr>
            <w:tcW w:w="180" w:type="dxa"/>
            <w:vAlign w:val="bottom"/>
            <w:tcBorders>
              <w:bottom w:val="single" w:sz="8" w:color="959595"/>
            </w:tcBorders>
          </w:tcPr>
          <w:p>
            <w:pPr>
              <w:spacing w:after="0"/>
              <w:rPr>
                <w:sz w:val="22"/>
                <w:szCs w:val="22"/>
                <w:color w:val="auto"/>
              </w:rPr>
            </w:pPr>
          </w:p>
        </w:tc>
        <w:tc>
          <w:tcPr>
            <w:tcW w:w="300" w:type="dxa"/>
            <w:vAlign w:val="bottom"/>
            <w:tcBorders>
              <w:bottom w:val="single" w:sz="8" w:color="959595"/>
            </w:tcBorders>
          </w:tcPr>
          <w:p>
            <w:pPr>
              <w:spacing w:after="0"/>
              <w:rPr>
                <w:sz w:val="22"/>
                <w:szCs w:val="22"/>
                <w:color w:val="auto"/>
              </w:rPr>
            </w:pPr>
          </w:p>
        </w:tc>
        <w:tc>
          <w:tcPr>
            <w:tcW w:w="1100" w:type="dxa"/>
            <w:vAlign w:val="bottom"/>
            <w:tcBorders>
              <w:bottom w:val="single" w:sz="8" w:color="959595"/>
            </w:tcBorders>
            <w:gridSpan w:val="2"/>
          </w:tcPr>
          <w:p>
            <w:pPr>
              <w:jc w:val="right"/>
              <w:ind w:right="20"/>
              <w:spacing w:after="0"/>
              <w:rPr>
                <w:sz w:val="20"/>
                <w:szCs w:val="20"/>
                <w:color w:val="auto"/>
              </w:rPr>
            </w:pPr>
            <w:r>
              <w:rPr>
                <w:rFonts w:ascii="Arial" w:cs="Arial" w:eastAsia="Arial" w:hAnsi="Arial"/>
                <w:sz w:val="14"/>
                <w:szCs w:val="14"/>
                <w:color w:val="auto"/>
              </w:rPr>
              <w:t>2,179,500</w:t>
            </w:r>
          </w:p>
        </w:tc>
      </w:tr>
      <w:tr>
        <w:trPr>
          <w:trHeight w:val="261"/>
        </w:trPr>
        <w:tc>
          <w:tcPr>
            <w:tcW w:w="412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012E6C"/>
              </w:rPr>
              <w:t>Mr. Ambrose</w:t>
            </w:r>
          </w:p>
        </w:tc>
        <w:tc>
          <w:tcPr>
            <w:tcW w:w="1300" w:type="dxa"/>
            <w:vAlign w:val="bottom"/>
            <w:tcBorders>
              <w:bottom w:val="single" w:sz="8" w:color="959595"/>
            </w:tcBorders>
          </w:tcPr>
          <w:p>
            <w:pPr>
              <w:jc w:val="right"/>
              <w:ind w:right="210"/>
              <w:spacing w:after="0"/>
              <w:rPr>
                <w:sz w:val="20"/>
                <w:szCs w:val="20"/>
                <w:color w:val="auto"/>
              </w:rPr>
            </w:pPr>
            <w:r>
              <w:rPr>
                <w:rFonts w:ascii="Arial" w:cs="Arial" w:eastAsia="Arial" w:hAnsi="Arial"/>
                <w:sz w:val="14"/>
                <w:szCs w:val="14"/>
                <w:color w:val="auto"/>
              </w:rPr>
              <w:t>880,000</w:t>
            </w:r>
          </w:p>
        </w:tc>
        <w:tc>
          <w:tcPr>
            <w:tcW w:w="1580" w:type="dxa"/>
            <w:vAlign w:val="bottom"/>
            <w:tcBorders>
              <w:bottom w:val="single" w:sz="8" w:color="959595"/>
            </w:tcBorders>
          </w:tcPr>
          <w:p>
            <w:pPr>
              <w:jc w:val="right"/>
              <w:ind w:right="190"/>
              <w:spacing w:after="0"/>
              <w:rPr>
                <w:sz w:val="20"/>
                <w:szCs w:val="20"/>
                <w:color w:val="auto"/>
              </w:rPr>
            </w:pPr>
            <w:r>
              <w:rPr>
                <w:rFonts w:ascii="Arial" w:cs="Arial" w:eastAsia="Arial" w:hAnsi="Arial"/>
                <w:sz w:val="14"/>
                <w:szCs w:val="14"/>
                <w:color w:val="auto"/>
              </w:rPr>
              <w:t>100</w:t>
            </w:r>
          </w:p>
        </w:tc>
        <w:tc>
          <w:tcPr>
            <w:tcW w:w="1160" w:type="dxa"/>
            <w:vAlign w:val="bottom"/>
            <w:tcBorders>
              <w:bottom w:val="single" w:sz="8" w:color="959595"/>
            </w:tcBorders>
          </w:tcPr>
          <w:p>
            <w:pPr>
              <w:jc w:val="right"/>
              <w:ind w:right="90"/>
              <w:spacing w:after="0"/>
              <w:rPr>
                <w:sz w:val="20"/>
                <w:szCs w:val="20"/>
                <w:color w:val="auto"/>
              </w:rPr>
            </w:pPr>
            <w:r>
              <w:rPr>
                <w:rFonts w:ascii="Arial" w:cs="Arial" w:eastAsia="Arial" w:hAnsi="Arial"/>
                <w:sz w:val="14"/>
                <w:szCs w:val="14"/>
                <w:color w:val="auto"/>
              </w:rPr>
              <w:t>880,000</w:t>
            </w:r>
          </w:p>
        </w:tc>
        <w:tc>
          <w:tcPr>
            <w:tcW w:w="540" w:type="dxa"/>
            <w:vAlign w:val="bottom"/>
            <w:tcBorders>
              <w:bottom w:val="single" w:sz="8" w:color="959595"/>
            </w:tcBorders>
          </w:tcPr>
          <w:p>
            <w:pPr>
              <w:spacing w:after="0"/>
              <w:rPr>
                <w:sz w:val="22"/>
                <w:szCs w:val="22"/>
                <w:color w:val="auto"/>
              </w:rPr>
            </w:pPr>
          </w:p>
        </w:tc>
        <w:tc>
          <w:tcPr>
            <w:tcW w:w="180" w:type="dxa"/>
            <w:vAlign w:val="bottom"/>
            <w:tcBorders>
              <w:bottom w:val="single" w:sz="8" w:color="E6E7EF"/>
            </w:tcBorders>
            <w:shd w:val="clear" w:color="auto" w:fill="E6E7EF"/>
          </w:tcPr>
          <w:p>
            <w:pPr>
              <w:spacing w:after="0"/>
              <w:rPr>
                <w:sz w:val="22"/>
                <w:szCs w:val="22"/>
                <w:color w:val="auto"/>
              </w:rPr>
            </w:pPr>
          </w:p>
        </w:tc>
        <w:tc>
          <w:tcPr>
            <w:tcW w:w="960" w:type="dxa"/>
            <w:vAlign w:val="bottom"/>
            <w:tcBorders>
              <w:bottom w:val="single" w:sz="8" w:color="E6E7EF"/>
            </w:tcBorders>
            <w:shd w:val="clear" w:color="auto" w:fill="E6E7EF"/>
          </w:tcPr>
          <w:p>
            <w:pPr>
              <w:spacing w:after="0"/>
              <w:rPr>
                <w:sz w:val="22"/>
                <w:szCs w:val="22"/>
                <w:color w:val="auto"/>
              </w:rPr>
            </w:pPr>
          </w:p>
        </w:tc>
        <w:tc>
          <w:tcPr>
            <w:tcW w:w="180" w:type="dxa"/>
            <w:vAlign w:val="bottom"/>
            <w:tcBorders>
              <w:bottom w:val="single" w:sz="8" w:color="959595"/>
            </w:tcBorders>
          </w:tcPr>
          <w:p>
            <w:pPr>
              <w:spacing w:after="0"/>
              <w:rPr>
                <w:sz w:val="22"/>
                <w:szCs w:val="22"/>
                <w:color w:val="auto"/>
              </w:rPr>
            </w:pPr>
          </w:p>
        </w:tc>
        <w:tc>
          <w:tcPr>
            <w:tcW w:w="300" w:type="dxa"/>
            <w:vAlign w:val="bottom"/>
            <w:tcBorders>
              <w:bottom w:val="single" w:sz="8" w:color="959595"/>
            </w:tcBorders>
          </w:tcPr>
          <w:p>
            <w:pPr>
              <w:spacing w:after="0"/>
              <w:rPr>
                <w:sz w:val="22"/>
                <w:szCs w:val="22"/>
                <w:color w:val="auto"/>
              </w:rPr>
            </w:pPr>
          </w:p>
        </w:tc>
        <w:tc>
          <w:tcPr>
            <w:tcW w:w="1100" w:type="dxa"/>
            <w:vAlign w:val="bottom"/>
            <w:tcBorders>
              <w:bottom w:val="single" w:sz="8" w:color="959595"/>
            </w:tcBorders>
            <w:gridSpan w:val="2"/>
          </w:tcPr>
          <w:p>
            <w:pPr>
              <w:jc w:val="right"/>
              <w:ind w:right="20"/>
              <w:spacing w:after="0"/>
              <w:rPr>
                <w:sz w:val="20"/>
                <w:szCs w:val="20"/>
                <w:color w:val="auto"/>
              </w:rPr>
            </w:pPr>
            <w:r>
              <w:rPr>
                <w:rFonts w:ascii="Arial" w:cs="Arial" w:eastAsia="Arial" w:hAnsi="Arial"/>
                <w:sz w:val="14"/>
                <w:szCs w:val="14"/>
                <w:color w:val="auto"/>
              </w:rPr>
              <w:t>1,619,200</w:t>
            </w:r>
          </w:p>
        </w:tc>
      </w:tr>
      <w:tr>
        <w:trPr>
          <w:trHeight w:val="264"/>
        </w:trPr>
        <w:tc>
          <w:tcPr>
            <w:tcW w:w="412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012E6C"/>
              </w:rPr>
              <w:t>Mr. Bennett</w:t>
            </w:r>
          </w:p>
        </w:tc>
        <w:tc>
          <w:tcPr>
            <w:tcW w:w="1300" w:type="dxa"/>
            <w:vAlign w:val="bottom"/>
            <w:tcBorders>
              <w:bottom w:val="single" w:sz="8" w:color="959595"/>
            </w:tcBorders>
          </w:tcPr>
          <w:p>
            <w:pPr>
              <w:jc w:val="right"/>
              <w:ind w:right="210"/>
              <w:spacing w:after="0"/>
              <w:rPr>
                <w:sz w:val="20"/>
                <w:szCs w:val="20"/>
                <w:color w:val="auto"/>
              </w:rPr>
            </w:pPr>
            <w:r>
              <w:rPr>
                <w:rFonts w:ascii="Arial" w:cs="Arial" w:eastAsia="Arial" w:hAnsi="Arial"/>
                <w:sz w:val="14"/>
                <w:szCs w:val="14"/>
                <w:color w:val="auto"/>
              </w:rPr>
              <w:t>880,000</w:t>
            </w:r>
          </w:p>
        </w:tc>
        <w:tc>
          <w:tcPr>
            <w:tcW w:w="1580" w:type="dxa"/>
            <w:vAlign w:val="bottom"/>
            <w:tcBorders>
              <w:bottom w:val="single" w:sz="8" w:color="959595"/>
            </w:tcBorders>
          </w:tcPr>
          <w:p>
            <w:pPr>
              <w:jc w:val="right"/>
              <w:ind w:right="190"/>
              <w:spacing w:after="0"/>
              <w:rPr>
                <w:sz w:val="20"/>
                <w:szCs w:val="20"/>
                <w:color w:val="auto"/>
              </w:rPr>
            </w:pPr>
            <w:r>
              <w:rPr>
                <w:rFonts w:ascii="Arial" w:cs="Arial" w:eastAsia="Arial" w:hAnsi="Arial"/>
                <w:sz w:val="14"/>
                <w:szCs w:val="14"/>
                <w:color w:val="auto"/>
              </w:rPr>
              <w:t>100</w:t>
            </w:r>
          </w:p>
        </w:tc>
        <w:tc>
          <w:tcPr>
            <w:tcW w:w="1160" w:type="dxa"/>
            <w:vAlign w:val="bottom"/>
            <w:tcBorders>
              <w:bottom w:val="single" w:sz="8" w:color="959595"/>
            </w:tcBorders>
          </w:tcPr>
          <w:p>
            <w:pPr>
              <w:jc w:val="right"/>
              <w:ind w:right="90"/>
              <w:spacing w:after="0"/>
              <w:rPr>
                <w:sz w:val="20"/>
                <w:szCs w:val="20"/>
                <w:color w:val="auto"/>
              </w:rPr>
            </w:pPr>
            <w:r>
              <w:rPr>
                <w:rFonts w:ascii="Arial" w:cs="Arial" w:eastAsia="Arial" w:hAnsi="Arial"/>
                <w:sz w:val="14"/>
                <w:szCs w:val="14"/>
                <w:color w:val="auto"/>
              </w:rPr>
              <w:t>880,000</w:t>
            </w:r>
          </w:p>
        </w:tc>
        <w:tc>
          <w:tcPr>
            <w:tcW w:w="540" w:type="dxa"/>
            <w:vAlign w:val="bottom"/>
            <w:tcBorders>
              <w:bottom w:val="single" w:sz="8" w:color="959595"/>
            </w:tcBorders>
          </w:tcPr>
          <w:p>
            <w:pPr>
              <w:spacing w:after="0"/>
              <w:rPr>
                <w:sz w:val="22"/>
                <w:szCs w:val="22"/>
                <w:color w:val="auto"/>
              </w:rPr>
            </w:pPr>
          </w:p>
        </w:tc>
        <w:tc>
          <w:tcPr>
            <w:tcW w:w="180" w:type="dxa"/>
            <w:vAlign w:val="bottom"/>
            <w:tcBorders>
              <w:bottom w:val="single" w:sz="8" w:color="E6E7EF"/>
            </w:tcBorders>
            <w:shd w:val="clear" w:color="auto" w:fill="E6E7EF"/>
          </w:tcPr>
          <w:p>
            <w:pPr>
              <w:spacing w:after="0"/>
              <w:rPr>
                <w:sz w:val="22"/>
                <w:szCs w:val="22"/>
                <w:color w:val="auto"/>
              </w:rPr>
            </w:pPr>
          </w:p>
        </w:tc>
        <w:tc>
          <w:tcPr>
            <w:tcW w:w="960" w:type="dxa"/>
            <w:vAlign w:val="bottom"/>
            <w:tcBorders>
              <w:bottom w:val="single" w:sz="8" w:color="E6E7EF"/>
            </w:tcBorders>
            <w:shd w:val="clear" w:color="auto" w:fill="E6E7EF"/>
          </w:tcPr>
          <w:p>
            <w:pPr>
              <w:jc w:val="right"/>
              <w:ind w:right="291"/>
              <w:spacing w:after="0"/>
              <w:rPr>
                <w:sz w:val="20"/>
                <w:szCs w:val="20"/>
                <w:color w:val="auto"/>
              </w:rPr>
            </w:pPr>
            <w:r>
              <w:rPr>
                <w:rFonts w:ascii="Arial" w:cs="Arial" w:eastAsia="Arial" w:hAnsi="Arial"/>
                <w:sz w:val="16"/>
                <w:szCs w:val="16"/>
                <w:b w:val="1"/>
                <w:bCs w:val="1"/>
                <w:color w:val="auto"/>
              </w:rPr>
              <w:t>184%</w:t>
            </w:r>
          </w:p>
        </w:tc>
        <w:tc>
          <w:tcPr>
            <w:tcW w:w="180" w:type="dxa"/>
            <w:vAlign w:val="bottom"/>
            <w:tcBorders>
              <w:bottom w:val="single" w:sz="8" w:color="959595"/>
            </w:tcBorders>
          </w:tcPr>
          <w:p>
            <w:pPr>
              <w:spacing w:after="0"/>
              <w:rPr>
                <w:sz w:val="22"/>
                <w:szCs w:val="22"/>
                <w:color w:val="auto"/>
              </w:rPr>
            </w:pPr>
          </w:p>
        </w:tc>
        <w:tc>
          <w:tcPr>
            <w:tcW w:w="300" w:type="dxa"/>
            <w:vAlign w:val="bottom"/>
            <w:tcBorders>
              <w:bottom w:val="single" w:sz="8" w:color="959595"/>
            </w:tcBorders>
          </w:tcPr>
          <w:p>
            <w:pPr>
              <w:spacing w:after="0"/>
              <w:rPr>
                <w:sz w:val="22"/>
                <w:szCs w:val="22"/>
                <w:color w:val="auto"/>
              </w:rPr>
            </w:pPr>
          </w:p>
        </w:tc>
        <w:tc>
          <w:tcPr>
            <w:tcW w:w="1100" w:type="dxa"/>
            <w:vAlign w:val="bottom"/>
            <w:tcBorders>
              <w:bottom w:val="single" w:sz="8" w:color="959595"/>
            </w:tcBorders>
            <w:gridSpan w:val="2"/>
          </w:tcPr>
          <w:p>
            <w:pPr>
              <w:jc w:val="right"/>
              <w:ind w:right="20"/>
              <w:spacing w:after="0"/>
              <w:rPr>
                <w:sz w:val="20"/>
                <w:szCs w:val="20"/>
                <w:color w:val="auto"/>
              </w:rPr>
            </w:pPr>
            <w:r>
              <w:rPr>
                <w:rFonts w:ascii="Arial" w:cs="Arial" w:eastAsia="Arial" w:hAnsi="Arial"/>
                <w:sz w:val="14"/>
                <w:szCs w:val="14"/>
                <w:color w:val="auto"/>
              </w:rPr>
              <w:t>1,619,200</w:t>
            </w:r>
          </w:p>
        </w:tc>
      </w:tr>
      <w:tr>
        <w:trPr>
          <w:trHeight w:val="264"/>
        </w:trPr>
        <w:tc>
          <w:tcPr>
            <w:tcW w:w="412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012E6C"/>
              </w:rPr>
              <w:t>Mr. St. John</w:t>
            </w:r>
          </w:p>
        </w:tc>
        <w:tc>
          <w:tcPr>
            <w:tcW w:w="1300" w:type="dxa"/>
            <w:vAlign w:val="bottom"/>
            <w:tcBorders>
              <w:bottom w:val="single" w:sz="8" w:color="959595"/>
            </w:tcBorders>
          </w:tcPr>
          <w:p>
            <w:pPr>
              <w:jc w:val="right"/>
              <w:ind w:right="210"/>
              <w:spacing w:after="0"/>
              <w:rPr>
                <w:sz w:val="20"/>
                <w:szCs w:val="20"/>
                <w:color w:val="auto"/>
              </w:rPr>
            </w:pPr>
            <w:r>
              <w:rPr>
                <w:rFonts w:ascii="Arial" w:cs="Arial" w:eastAsia="Arial" w:hAnsi="Arial"/>
                <w:sz w:val="14"/>
                <w:szCs w:val="14"/>
                <w:color w:val="auto"/>
              </w:rPr>
              <w:t>880,000</w:t>
            </w:r>
          </w:p>
        </w:tc>
        <w:tc>
          <w:tcPr>
            <w:tcW w:w="1580" w:type="dxa"/>
            <w:vAlign w:val="bottom"/>
            <w:tcBorders>
              <w:bottom w:val="single" w:sz="8" w:color="959595"/>
            </w:tcBorders>
          </w:tcPr>
          <w:p>
            <w:pPr>
              <w:jc w:val="right"/>
              <w:ind w:right="190"/>
              <w:spacing w:after="0"/>
              <w:rPr>
                <w:sz w:val="20"/>
                <w:szCs w:val="20"/>
                <w:color w:val="auto"/>
              </w:rPr>
            </w:pPr>
            <w:r>
              <w:rPr>
                <w:rFonts w:ascii="Arial" w:cs="Arial" w:eastAsia="Arial" w:hAnsi="Arial"/>
                <w:sz w:val="14"/>
                <w:szCs w:val="14"/>
                <w:color w:val="auto"/>
              </w:rPr>
              <w:t>100</w:t>
            </w:r>
          </w:p>
        </w:tc>
        <w:tc>
          <w:tcPr>
            <w:tcW w:w="1160" w:type="dxa"/>
            <w:vAlign w:val="bottom"/>
            <w:tcBorders>
              <w:bottom w:val="single" w:sz="8" w:color="959595"/>
            </w:tcBorders>
          </w:tcPr>
          <w:p>
            <w:pPr>
              <w:jc w:val="right"/>
              <w:ind w:right="90"/>
              <w:spacing w:after="0"/>
              <w:rPr>
                <w:sz w:val="20"/>
                <w:szCs w:val="20"/>
                <w:color w:val="auto"/>
              </w:rPr>
            </w:pPr>
            <w:r>
              <w:rPr>
                <w:rFonts w:ascii="Arial" w:cs="Arial" w:eastAsia="Arial" w:hAnsi="Arial"/>
                <w:sz w:val="14"/>
                <w:szCs w:val="14"/>
                <w:color w:val="auto"/>
              </w:rPr>
              <w:t>880,000</w:t>
            </w:r>
          </w:p>
        </w:tc>
        <w:tc>
          <w:tcPr>
            <w:tcW w:w="540" w:type="dxa"/>
            <w:vAlign w:val="bottom"/>
            <w:tcBorders>
              <w:bottom w:val="single" w:sz="8" w:color="959595"/>
            </w:tcBorders>
          </w:tcPr>
          <w:p>
            <w:pPr>
              <w:spacing w:after="0"/>
              <w:rPr>
                <w:sz w:val="22"/>
                <w:szCs w:val="22"/>
                <w:color w:val="auto"/>
              </w:rPr>
            </w:pPr>
          </w:p>
        </w:tc>
        <w:tc>
          <w:tcPr>
            <w:tcW w:w="180" w:type="dxa"/>
            <w:vAlign w:val="bottom"/>
            <w:tcBorders>
              <w:bottom w:val="single" w:sz="8" w:color="E6E7EF"/>
            </w:tcBorders>
            <w:shd w:val="clear" w:color="auto" w:fill="E6E7EF"/>
          </w:tcPr>
          <w:p>
            <w:pPr>
              <w:spacing w:after="0"/>
              <w:rPr>
                <w:sz w:val="22"/>
                <w:szCs w:val="22"/>
                <w:color w:val="auto"/>
              </w:rPr>
            </w:pPr>
          </w:p>
        </w:tc>
        <w:tc>
          <w:tcPr>
            <w:tcW w:w="960" w:type="dxa"/>
            <w:vAlign w:val="bottom"/>
            <w:tcBorders>
              <w:bottom w:val="single" w:sz="8" w:color="E6E7EF"/>
            </w:tcBorders>
            <w:shd w:val="clear" w:color="auto" w:fill="E6E7EF"/>
          </w:tcPr>
          <w:p>
            <w:pPr>
              <w:spacing w:after="0"/>
              <w:rPr>
                <w:sz w:val="22"/>
                <w:szCs w:val="22"/>
                <w:color w:val="auto"/>
              </w:rPr>
            </w:pPr>
          </w:p>
        </w:tc>
        <w:tc>
          <w:tcPr>
            <w:tcW w:w="180" w:type="dxa"/>
            <w:vAlign w:val="bottom"/>
            <w:tcBorders>
              <w:bottom w:val="single" w:sz="8" w:color="959595"/>
            </w:tcBorders>
          </w:tcPr>
          <w:p>
            <w:pPr>
              <w:spacing w:after="0"/>
              <w:rPr>
                <w:sz w:val="22"/>
                <w:szCs w:val="22"/>
                <w:color w:val="auto"/>
              </w:rPr>
            </w:pPr>
          </w:p>
        </w:tc>
        <w:tc>
          <w:tcPr>
            <w:tcW w:w="300" w:type="dxa"/>
            <w:vAlign w:val="bottom"/>
            <w:tcBorders>
              <w:bottom w:val="single" w:sz="8" w:color="959595"/>
            </w:tcBorders>
          </w:tcPr>
          <w:p>
            <w:pPr>
              <w:spacing w:after="0"/>
              <w:rPr>
                <w:sz w:val="22"/>
                <w:szCs w:val="22"/>
                <w:color w:val="auto"/>
              </w:rPr>
            </w:pPr>
          </w:p>
        </w:tc>
        <w:tc>
          <w:tcPr>
            <w:tcW w:w="1100" w:type="dxa"/>
            <w:vAlign w:val="bottom"/>
            <w:tcBorders>
              <w:bottom w:val="single" w:sz="8" w:color="959595"/>
            </w:tcBorders>
            <w:gridSpan w:val="2"/>
          </w:tcPr>
          <w:p>
            <w:pPr>
              <w:jc w:val="right"/>
              <w:ind w:right="20"/>
              <w:spacing w:after="0"/>
              <w:rPr>
                <w:sz w:val="20"/>
                <w:szCs w:val="20"/>
                <w:color w:val="auto"/>
              </w:rPr>
            </w:pPr>
            <w:r>
              <w:rPr>
                <w:rFonts w:ascii="Arial" w:cs="Arial" w:eastAsia="Arial" w:hAnsi="Arial"/>
                <w:sz w:val="14"/>
                <w:szCs w:val="14"/>
                <w:color w:val="auto"/>
              </w:rPr>
              <w:t>1,619,200</w:t>
            </w:r>
          </w:p>
        </w:tc>
      </w:tr>
      <w:tr>
        <w:trPr>
          <w:trHeight w:val="264"/>
        </w:trPr>
        <w:tc>
          <w:tcPr>
            <w:tcW w:w="412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012E6C"/>
              </w:rPr>
              <w:t>Mr. Carvalho</w:t>
            </w:r>
          </w:p>
        </w:tc>
        <w:tc>
          <w:tcPr>
            <w:tcW w:w="1300" w:type="dxa"/>
            <w:vAlign w:val="bottom"/>
            <w:tcBorders>
              <w:bottom w:val="single" w:sz="8" w:color="959595"/>
            </w:tcBorders>
          </w:tcPr>
          <w:p>
            <w:pPr>
              <w:jc w:val="right"/>
              <w:ind w:right="210"/>
              <w:spacing w:after="0"/>
              <w:rPr>
                <w:sz w:val="20"/>
                <w:szCs w:val="20"/>
                <w:color w:val="auto"/>
              </w:rPr>
            </w:pPr>
            <w:r>
              <w:rPr>
                <w:rFonts w:ascii="Arial" w:cs="Arial" w:eastAsia="Arial" w:hAnsi="Arial"/>
                <w:sz w:val="14"/>
                <w:szCs w:val="14"/>
                <w:color w:val="auto"/>
              </w:rPr>
              <w:t>880,000</w:t>
            </w:r>
          </w:p>
        </w:tc>
        <w:tc>
          <w:tcPr>
            <w:tcW w:w="1580" w:type="dxa"/>
            <w:vAlign w:val="bottom"/>
            <w:tcBorders>
              <w:bottom w:val="single" w:sz="8" w:color="959595"/>
            </w:tcBorders>
          </w:tcPr>
          <w:p>
            <w:pPr>
              <w:jc w:val="right"/>
              <w:ind w:right="190"/>
              <w:spacing w:after="0"/>
              <w:rPr>
                <w:sz w:val="20"/>
                <w:szCs w:val="20"/>
                <w:color w:val="auto"/>
              </w:rPr>
            </w:pPr>
            <w:r>
              <w:rPr>
                <w:rFonts w:ascii="Arial" w:cs="Arial" w:eastAsia="Arial" w:hAnsi="Arial"/>
                <w:sz w:val="14"/>
                <w:szCs w:val="14"/>
                <w:color w:val="auto"/>
              </w:rPr>
              <w:t>100</w:t>
            </w:r>
          </w:p>
        </w:tc>
        <w:tc>
          <w:tcPr>
            <w:tcW w:w="1160" w:type="dxa"/>
            <w:vAlign w:val="bottom"/>
            <w:tcBorders>
              <w:bottom w:val="single" w:sz="8" w:color="959595"/>
            </w:tcBorders>
          </w:tcPr>
          <w:p>
            <w:pPr>
              <w:jc w:val="right"/>
              <w:ind w:right="90"/>
              <w:spacing w:after="0"/>
              <w:rPr>
                <w:sz w:val="20"/>
                <w:szCs w:val="20"/>
                <w:color w:val="auto"/>
              </w:rPr>
            </w:pPr>
            <w:r>
              <w:rPr>
                <w:rFonts w:ascii="Arial" w:cs="Arial" w:eastAsia="Arial" w:hAnsi="Arial"/>
                <w:sz w:val="14"/>
                <w:szCs w:val="14"/>
                <w:color w:val="auto"/>
              </w:rPr>
              <w:t>880,000</w:t>
            </w:r>
          </w:p>
        </w:tc>
        <w:tc>
          <w:tcPr>
            <w:tcW w:w="540" w:type="dxa"/>
            <w:vAlign w:val="bottom"/>
            <w:tcBorders>
              <w:bottom w:val="single" w:sz="8" w:color="959595"/>
            </w:tcBorders>
          </w:tcPr>
          <w:p>
            <w:pPr>
              <w:spacing w:after="0"/>
              <w:rPr>
                <w:sz w:val="22"/>
                <w:szCs w:val="22"/>
                <w:color w:val="auto"/>
              </w:rPr>
            </w:pPr>
          </w:p>
        </w:tc>
        <w:tc>
          <w:tcPr>
            <w:tcW w:w="180" w:type="dxa"/>
            <w:vAlign w:val="bottom"/>
            <w:tcBorders>
              <w:bottom w:val="single" w:sz="8" w:color="E6E7EF"/>
            </w:tcBorders>
            <w:shd w:val="clear" w:color="auto" w:fill="E6E7EF"/>
          </w:tcPr>
          <w:p>
            <w:pPr>
              <w:spacing w:after="0"/>
              <w:rPr>
                <w:sz w:val="22"/>
                <w:szCs w:val="22"/>
                <w:color w:val="auto"/>
              </w:rPr>
            </w:pPr>
          </w:p>
        </w:tc>
        <w:tc>
          <w:tcPr>
            <w:tcW w:w="960" w:type="dxa"/>
            <w:vAlign w:val="bottom"/>
            <w:tcBorders>
              <w:bottom w:val="single" w:sz="8" w:color="E6E7EF"/>
            </w:tcBorders>
            <w:shd w:val="clear" w:color="auto" w:fill="E6E7EF"/>
          </w:tcPr>
          <w:p>
            <w:pPr>
              <w:spacing w:after="0"/>
              <w:rPr>
                <w:sz w:val="22"/>
                <w:szCs w:val="22"/>
                <w:color w:val="auto"/>
              </w:rPr>
            </w:pPr>
          </w:p>
        </w:tc>
        <w:tc>
          <w:tcPr>
            <w:tcW w:w="180" w:type="dxa"/>
            <w:vAlign w:val="bottom"/>
            <w:tcBorders>
              <w:bottom w:val="single" w:sz="8" w:color="959595"/>
            </w:tcBorders>
          </w:tcPr>
          <w:p>
            <w:pPr>
              <w:spacing w:after="0"/>
              <w:rPr>
                <w:sz w:val="22"/>
                <w:szCs w:val="22"/>
                <w:color w:val="auto"/>
              </w:rPr>
            </w:pPr>
          </w:p>
        </w:tc>
        <w:tc>
          <w:tcPr>
            <w:tcW w:w="300" w:type="dxa"/>
            <w:vAlign w:val="bottom"/>
            <w:tcBorders>
              <w:bottom w:val="single" w:sz="8" w:color="959595"/>
            </w:tcBorders>
          </w:tcPr>
          <w:p>
            <w:pPr>
              <w:spacing w:after="0"/>
              <w:rPr>
                <w:sz w:val="22"/>
                <w:szCs w:val="22"/>
                <w:color w:val="auto"/>
              </w:rPr>
            </w:pPr>
          </w:p>
        </w:tc>
        <w:tc>
          <w:tcPr>
            <w:tcW w:w="1100" w:type="dxa"/>
            <w:vAlign w:val="bottom"/>
            <w:tcBorders>
              <w:bottom w:val="single" w:sz="8" w:color="959595"/>
            </w:tcBorders>
            <w:gridSpan w:val="2"/>
          </w:tcPr>
          <w:p>
            <w:pPr>
              <w:jc w:val="right"/>
              <w:ind w:right="20"/>
              <w:spacing w:after="0"/>
              <w:rPr>
                <w:sz w:val="20"/>
                <w:szCs w:val="20"/>
                <w:color w:val="auto"/>
              </w:rPr>
            </w:pPr>
            <w:r>
              <w:rPr>
                <w:rFonts w:ascii="Arial" w:cs="Arial" w:eastAsia="Arial" w:hAnsi="Arial"/>
                <w:sz w:val="14"/>
                <w:szCs w:val="14"/>
                <w:color w:val="auto"/>
              </w:rPr>
              <w:t>1,619,200</w:t>
            </w:r>
          </w:p>
        </w:tc>
      </w:tr>
      <w:tr>
        <w:trPr>
          <w:trHeight w:val="264"/>
        </w:trPr>
        <w:tc>
          <w:tcPr>
            <w:tcW w:w="412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012E6C"/>
              </w:rPr>
              <w:t>Mr. Edwards</w:t>
            </w:r>
          </w:p>
        </w:tc>
        <w:tc>
          <w:tcPr>
            <w:tcW w:w="1300" w:type="dxa"/>
            <w:vAlign w:val="bottom"/>
            <w:tcBorders>
              <w:bottom w:val="single" w:sz="8" w:color="959595"/>
            </w:tcBorders>
          </w:tcPr>
          <w:p>
            <w:pPr>
              <w:jc w:val="right"/>
              <w:ind w:right="210"/>
              <w:spacing w:after="0"/>
              <w:rPr>
                <w:sz w:val="20"/>
                <w:szCs w:val="20"/>
                <w:color w:val="auto"/>
              </w:rPr>
            </w:pPr>
            <w:r>
              <w:rPr>
                <w:rFonts w:ascii="Arial" w:cs="Arial" w:eastAsia="Arial" w:hAnsi="Arial"/>
                <w:sz w:val="14"/>
                <w:szCs w:val="14"/>
                <w:color w:val="auto"/>
              </w:rPr>
              <w:t>880,000</w:t>
            </w:r>
          </w:p>
        </w:tc>
        <w:tc>
          <w:tcPr>
            <w:tcW w:w="1580" w:type="dxa"/>
            <w:vAlign w:val="bottom"/>
            <w:tcBorders>
              <w:bottom w:val="single" w:sz="8" w:color="959595"/>
            </w:tcBorders>
          </w:tcPr>
          <w:p>
            <w:pPr>
              <w:jc w:val="right"/>
              <w:ind w:right="190"/>
              <w:spacing w:after="0"/>
              <w:rPr>
                <w:sz w:val="20"/>
                <w:szCs w:val="20"/>
                <w:color w:val="auto"/>
              </w:rPr>
            </w:pPr>
            <w:r>
              <w:rPr>
                <w:rFonts w:ascii="Arial" w:cs="Arial" w:eastAsia="Arial" w:hAnsi="Arial"/>
                <w:sz w:val="14"/>
                <w:szCs w:val="14"/>
                <w:color w:val="auto"/>
              </w:rPr>
              <w:t>100</w:t>
            </w:r>
          </w:p>
        </w:tc>
        <w:tc>
          <w:tcPr>
            <w:tcW w:w="1160" w:type="dxa"/>
            <w:vAlign w:val="bottom"/>
            <w:tcBorders>
              <w:bottom w:val="single" w:sz="8" w:color="959595"/>
            </w:tcBorders>
          </w:tcPr>
          <w:p>
            <w:pPr>
              <w:jc w:val="right"/>
              <w:ind w:right="90"/>
              <w:spacing w:after="0"/>
              <w:rPr>
                <w:sz w:val="20"/>
                <w:szCs w:val="20"/>
                <w:color w:val="auto"/>
              </w:rPr>
            </w:pPr>
            <w:r>
              <w:rPr>
                <w:rFonts w:ascii="Arial" w:cs="Arial" w:eastAsia="Arial" w:hAnsi="Arial"/>
                <w:sz w:val="14"/>
                <w:szCs w:val="14"/>
                <w:color w:val="auto"/>
              </w:rPr>
              <w:t>880,000</w:t>
            </w:r>
          </w:p>
        </w:tc>
        <w:tc>
          <w:tcPr>
            <w:tcW w:w="540" w:type="dxa"/>
            <w:vAlign w:val="bottom"/>
            <w:tcBorders>
              <w:bottom w:val="single" w:sz="8" w:color="959595"/>
            </w:tcBorders>
          </w:tcPr>
          <w:p>
            <w:pPr>
              <w:spacing w:after="0"/>
              <w:rPr>
                <w:sz w:val="22"/>
                <w:szCs w:val="22"/>
                <w:color w:val="auto"/>
              </w:rPr>
            </w:pPr>
          </w:p>
        </w:tc>
        <w:tc>
          <w:tcPr>
            <w:tcW w:w="180" w:type="dxa"/>
            <w:vAlign w:val="bottom"/>
            <w:tcBorders>
              <w:bottom w:val="single" w:sz="8" w:color="ACACAC"/>
            </w:tcBorders>
            <w:shd w:val="clear" w:color="auto" w:fill="E6E7EF"/>
          </w:tcPr>
          <w:p>
            <w:pPr>
              <w:spacing w:after="0"/>
              <w:rPr>
                <w:sz w:val="22"/>
                <w:szCs w:val="22"/>
                <w:color w:val="auto"/>
              </w:rPr>
            </w:pPr>
          </w:p>
        </w:tc>
        <w:tc>
          <w:tcPr>
            <w:tcW w:w="960" w:type="dxa"/>
            <w:vAlign w:val="bottom"/>
            <w:tcBorders>
              <w:bottom w:val="single" w:sz="8" w:color="ACACAC"/>
            </w:tcBorders>
            <w:shd w:val="clear" w:color="auto" w:fill="E6E7EF"/>
          </w:tcPr>
          <w:p>
            <w:pPr>
              <w:spacing w:after="0"/>
              <w:rPr>
                <w:sz w:val="22"/>
                <w:szCs w:val="22"/>
                <w:color w:val="auto"/>
              </w:rPr>
            </w:pPr>
          </w:p>
        </w:tc>
        <w:tc>
          <w:tcPr>
            <w:tcW w:w="180" w:type="dxa"/>
            <w:vAlign w:val="bottom"/>
            <w:tcBorders>
              <w:bottom w:val="single" w:sz="8" w:color="959595"/>
            </w:tcBorders>
          </w:tcPr>
          <w:p>
            <w:pPr>
              <w:spacing w:after="0"/>
              <w:rPr>
                <w:sz w:val="22"/>
                <w:szCs w:val="22"/>
                <w:color w:val="auto"/>
              </w:rPr>
            </w:pPr>
          </w:p>
        </w:tc>
        <w:tc>
          <w:tcPr>
            <w:tcW w:w="300" w:type="dxa"/>
            <w:vAlign w:val="bottom"/>
            <w:tcBorders>
              <w:bottom w:val="single" w:sz="8" w:color="959595"/>
            </w:tcBorders>
          </w:tcPr>
          <w:p>
            <w:pPr>
              <w:spacing w:after="0"/>
              <w:rPr>
                <w:sz w:val="22"/>
                <w:szCs w:val="22"/>
                <w:color w:val="auto"/>
              </w:rPr>
            </w:pPr>
          </w:p>
        </w:tc>
        <w:tc>
          <w:tcPr>
            <w:tcW w:w="1100" w:type="dxa"/>
            <w:vAlign w:val="bottom"/>
            <w:tcBorders>
              <w:bottom w:val="single" w:sz="8" w:color="959595"/>
            </w:tcBorders>
            <w:gridSpan w:val="2"/>
          </w:tcPr>
          <w:p>
            <w:pPr>
              <w:jc w:val="right"/>
              <w:ind w:right="20"/>
              <w:spacing w:after="0"/>
              <w:rPr>
                <w:sz w:val="20"/>
                <w:szCs w:val="20"/>
                <w:color w:val="auto"/>
              </w:rPr>
            </w:pPr>
            <w:r>
              <w:rPr>
                <w:rFonts w:ascii="Arial" w:cs="Arial" w:eastAsia="Arial" w:hAnsi="Arial"/>
                <w:sz w:val="14"/>
                <w:szCs w:val="14"/>
                <w:color w:val="auto"/>
              </w:rPr>
              <w:t>1,619,200</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848EB4"/>
        </w:rPr>
        <w:t>2018 Long-Term Incentive Compensation</w:t>
      </w:r>
    </w:p>
    <w:p>
      <w:pPr>
        <w:spacing w:after="0" w:line="226"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following summary shows the 2018 LTI compensation mix for the CEO, EVPs and Senior Vice Presidents (SVPs) and other principal terms of the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6586220" cy="36017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586220" cy="360172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959595"/>
        </w:rPr>
        <w:t>PSUs (distributed in common stock):</w:t>
      </w:r>
    </w:p>
    <w:p>
      <w:pPr>
        <w:spacing w:after="0" w:line="210" w:lineRule="exact"/>
        <w:rPr>
          <w:sz w:val="20"/>
          <w:szCs w:val="20"/>
          <w:color w:val="auto"/>
        </w:rPr>
      </w:pPr>
    </w:p>
    <w:p>
      <w:pPr>
        <w:ind w:left="40" w:right="5820"/>
        <w:spacing w:after="0" w:line="277" w:lineRule="auto"/>
        <w:rPr>
          <w:sz w:val="20"/>
          <w:szCs w:val="20"/>
          <w:color w:val="auto"/>
        </w:rPr>
      </w:pPr>
      <w:r>
        <w:rPr>
          <w:rFonts w:ascii="Arial" w:cs="Arial" w:eastAsia="Arial" w:hAnsi="Arial"/>
          <w:sz w:val="17"/>
          <w:szCs w:val="17"/>
          <w:b w:val="1"/>
          <w:bCs w:val="1"/>
          <w:color w:val="959595"/>
        </w:rPr>
        <w:t xml:space="preserve">Performance Measures: </w:t>
      </w:r>
      <w:r>
        <w:rPr>
          <w:rFonts w:ascii="Arial" w:cs="Arial" w:eastAsia="Arial" w:hAnsi="Arial"/>
          <w:sz w:val="17"/>
          <w:szCs w:val="17"/>
          <w:color w:val="000000"/>
        </w:rPr>
        <w:t>Three-year Relative TSR (50%), ROIC (25%) &amp;</w:t>
      </w:r>
      <w:r>
        <w:rPr>
          <w:rFonts w:ascii="Arial" w:cs="Arial" w:eastAsia="Arial" w:hAnsi="Arial"/>
          <w:sz w:val="17"/>
          <w:szCs w:val="17"/>
          <w:b w:val="1"/>
          <w:bCs w:val="1"/>
          <w:color w:val="959595"/>
        </w:rPr>
        <w:t xml:space="preserve"> </w:t>
      </w:r>
      <w:r>
        <w:rPr>
          <w:rFonts w:ascii="Arial" w:cs="Arial" w:eastAsia="Arial" w:hAnsi="Arial"/>
          <w:sz w:val="17"/>
          <w:szCs w:val="17"/>
          <w:color w:val="000000"/>
        </w:rPr>
        <w:t>Performance Cash (25%)</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959595"/>
        </w:rPr>
        <w:t>Caps:</w:t>
      </w:r>
    </w:p>
    <w:p>
      <w:pPr>
        <w:spacing w:after="0" w:line="11" w:lineRule="exact"/>
        <w:rPr>
          <w:sz w:val="20"/>
          <w:szCs w:val="20"/>
          <w:color w:val="auto"/>
        </w:rPr>
      </w:pPr>
    </w:p>
    <w:p>
      <w:pPr>
        <w:ind w:left="400" w:hanging="257"/>
        <w:spacing w:after="0"/>
        <w:tabs>
          <w:tab w:leader="none" w:pos="400" w:val="left"/>
        </w:tabs>
        <w:numPr>
          <w:ilvl w:val="0"/>
          <w:numId w:val="76"/>
        </w:numPr>
        <w:rPr>
          <w:rFonts w:ascii="Arial" w:cs="Arial" w:eastAsia="Arial" w:hAnsi="Arial"/>
          <w:sz w:val="17"/>
          <w:szCs w:val="17"/>
          <w:color w:val="808080"/>
        </w:rPr>
      </w:pPr>
      <w:r>
        <w:rPr>
          <w:rFonts w:ascii="Arial" w:cs="Arial" w:eastAsia="Arial" w:hAnsi="Arial"/>
          <w:sz w:val="17"/>
          <w:szCs w:val="17"/>
          <w:color w:val="auto"/>
        </w:rPr>
        <w:t>200% of target shares</w:t>
      </w:r>
    </w:p>
    <w:p>
      <w:pPr>
        <w:ind w:left="280" w:right="5980" w:hanging="137"/>
        <w:spacing w:after="0" w:line="232" w:lineRule="auto"/>
        <w:tabs>
          <w:tab w:leader="none" w:pos="395" w:val="left"/>
        </w:tabs>
        <w:numPr>
          <w:ilvl w:val="0"/>
          <w:numId w:val="76"/>
        </w:numPr>
        <w:rPr>
          <w:rFonts w:ascii="Arial" w:cs="Arial" w:eastAsia="Arial" w:hAnsi="Arial"/>
          <w:sz w:val="17"/>
          <w:szCs w:val="17"/>
          <w:color w:val="808080"/>
        </w:rPr>
      </w:pPr>
      <w:r>
        <w:rPr>
          <w:rFonts w:ascii="Arial" w:cs="Arial" w:eastAsia="Arial" w:hAnsi="Arial"/>
          <w:sz w:val="17"/>
          <w:szCs w:val="17"/>
          <w:color w:val="auto"/>
        </w:rPr>
        <w:t>Relative TSR measure capped at 100% if the Corporation’s TSR is negative</w:t>
      </w:r>
    </w:p>
    <w:p>
      <w:pPr>
        <w:ind w:left="400" w:hanging="257"/>
        <w:spacing w:after="0"/>
        <w:tabs>
          <w:tab w:leader="none" w:pos="400" w:val="left"/>
        </w:tabs>
        <w:numPr>
          <w:ilvl w:val="0"/>
          <w:numId w:val="76"/>
        </w:numPr>
        <w:rPr>
          <w:rFonts w:ascii="Arial" w:cs="Arial" w:eastAsia="Arial" w:hAnsi="Arial"/>
          <w:sz w:val="17"/>
          <w:szCs w:val="17"/>
          <w:color w:val="808080"/>
        </w:rPr>
      </w:pPr>
      <w:r>
        <w:rPr>
          <w:rFonts w:ascii="Arial" w:cs="Arial" w:eastAsia="Arial" w:hAnsi="Arial"/>
          <w:sz w:val="17"/>
          <w:szCs w:val="17"/>
          <w:color w:val="auto"/>
        </w:rPr>
        <w:t>Value capped at 400% of stock price on date of grant times shares earned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3841750" cy="10287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84175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384175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841750" cy="889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40"/>
        <w:spacing w:after="0"/>
        <w:rPr>
          <w:sz w:val="20"/>
          <w:szCs w:val="20"/>
          <w:color w:val="auto"/>
        </w:rPr>
      </w:pPr>
      <w:r>
        <w:rPr>
          <w:rFonts w:ascii="Arial" w:cs="Arial" w:eastAsia="Arial" w:hAnsi="Arial"/>
          <w:sz w:val="17"/>
          <w:szCs w:val="17"/>
          <w:color w:val="969BAD"/>
        </w:rPr>
        <w:t>RSUs (distributed in common stock):</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969BAD"/>
        </w:rPr>
        <w:t xml:space="preserve">Vesting Schedule: </w:t>
      </w:r>
      <w:r>
        <w:rPr>
          <w:rFonts w:ascii="Arial" w:cs="Arial" w:eastAsia="Arial" w:hAnsi="Arial"/>
          <w:sz w:val="17"/>
          <w:szCs w:val="17"/>
          <w:color w:val="000000"/>
        </w:rPr>
        <w:t>RSUs cliff vest 100% three years after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3841750" cy="1028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84175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384175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8417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7"/>
          <w:szCs w:val="17"/>
          <w:color w:val="012E6C"/>
        </w:rPr>
        <w:t>3-Year LTIP (paid in cash):</w:t>
      </w:r>
    </w:p>
    <w:p>
      <w:pPr>
        <w:spacing w:after="0" w:line="208" w:lineRule="exact"/>
        <w:rPr>
          <w:sz w:val="20"/>
          <w:szCs w:val="20"/>
          <w:color w:val="auto"/>
        </w:rPr>
      </w:pPr>
    </w:p>
    <w:p>
      <w:pPr>
        <w:ind w:left="40" w:right="5780"/>
        <w:spacing w:after="0" w:line="277" w:lineRule="auto"/>
        <w:rPr>
          <w:sz w:val="20"/>
          <w:szCs w:val="20"/>
          <w:color w:val="auto"/>
        </w:rPr>
      </w:pPr>
      <w:r>
        <w:rPr>
          <w:rFonts w:ascii="Arial" w:cs="Arial" w:eastAsia="Arial" w:hAnsi="Arial"/>
          <w:sz w:val="17"/>
          <w:szCs w:val="17"/>
          <w:b w:val="1"/>
          <w:bCs w:val="1"/>
          <w:color w:val="012E6C"/>
        </w:rPr>
        <w:t xml:space="preserve">Performance Measures: </w:t>
      </w:r>
      <w:r>
        <w:rPr>
          <w:rFonts w:ascii="Arial" w:cs="Arial" w:eastAsia="Arial" w:hAnsi="Arial"/>
          <w:sz w:val="17"/>
          <w:szCs w:val="17"/>
          <w:color w:val="000000"/>
        </w:rPr>
        <w:t>Three-year Relative TSR (50%), ROIC (25%), &amp;</w:t>
      </w:r>
      <w:r>
        <w:rPr>
          <w:rFonts w:ascii="Arial" w:cs="Arial" w:eastAsia="Arial" w:hAnsi="Arial"/>
          <w:sz w:val="17"/>
          <w:szCs w:val="17"/>
          <w:b w:val="1"/>
          <w:bCs w:val="1"/>
          <w:color w:val="012E6C"/>
        </w:rPr>
        <w:t xml:space="preserve"> </w:t>
      </w:r>
      <w:r>
        <w:rPr>
          <w:rFonts w:ascii="Arial" w:cs="Arial" w:eastAsia="Arial" w:hAnsi="Arial"/>
          <w:sz w:val="17"/>
          <w:szCs w:val="17"/>
          <w:color w:val="000000"/>
        </w:rPr>
        <w:t>Performance Cash (25%)</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012E6C"/>
        </w:rPr>
        <w:t>Caps:</w:t>
      </w:r>
    </w:p>
    <w:p>
      <w:pPr>
        <w:spacing w:after="0" w:line="11" w:lineRule="exact"/>
        <w:rPr>
          <w:sz w:val="20"/>
          <w:szCs w:val="20"/>
          <w:color w:val="auto"/>
        </w:rPr>
      </w:pPr>
    </w:p>
    <w:p>
      <w:pPr>
        <w:ind w:left="400" w:hanging="257"/>
        <w:spacing w:after="0"/>
        <w:tabs>
          <w:tab w:leader="none" w:pos="400" w:val="left"/>
        </w:tabs>
        <w:numPr>
          <w:ilvl w:val="0"/>
          <w:numId w:val="77"/>
        </w:numPr>
        <w:rPr>
          <w:rFonts w:ascii="Arial" w:cs="Arial" w:eastAsia="Arial" w:hAnsi="Arial"/>
          <w:sz w:val="17"/>
          <w:szCs w:val="17"/>
          <w:color w:val="012E6C"/>
        </w:rPr>
      </w:pPr>
      <w:r>
        <w:rPr>
          <w:rFonts w:ascii="Arial" w:cs="Arial" w:eastAsia="Arial" w:hAnsi="Arial"/>
          <w:sz w:val="17"/>
          <w:szCs w:val="17"/>
          <w:color w:val="auto"/>
        </w:rPr>
        <w:t>200% of target amount</w:t>
      </w:r>
    </w:p>
    <w:p>
      <w:pPr>
        <w:ind w:left="280" w:right="5980" w:hanging="137"/>
        <w:spacing w:after="0" w:line="232" w:lineRule="auto"/>
        <w:tabs>
          <w:tab w:leader="none" w:pos="395" w:val="left"/>
        </w:tabs>
        <w:numPr>
          <w:ilvl w:val="0"/>
          <w:numId w:val="77"/>
        </w:numPr>
        <w:rPr>
          <w:rFonts w:ascii="Arial" w:cs="Arial" w:eastAsia="Arial" w:hAnsi="Arial"/>
          <w:sz w:val="17"/>
          <w:szCs w:val="17"/>
          <w:color w:val="012E6C"/>
        </w:rPr>
      </w:pPr>
      <w:r>
        <w:rPr>
          <w:rFonts w:ascii="Arial" w:cs="Arial" w:eastAsia="Arial" w:hAnsi="Arial"/>
          <w:sz w:val="17"/>
          <w:szCs w:val="17"/>
          <w:color w:val="auto"/>
        </w:rPr>
        <w:t>Relative TSR measure capped at 100% if the Corporation’s TSR is negative</w:t>
      </w:r>
    </w:p>
    <w:p>
      <w:pPr>
        <w:ind w:left="260" w:hanging="117"/>
        <w:spacing w:after="0"/>
        <w:tabs>
          <w:tab w:leader="none" w:pos="260" w:val="left"/>
        </w:tabs>
        <w:numPr>
          <w:ilvl w:val="0"/>
          <w:numId w:val="77"/>
        </w:numPr>
        <w:rPr>
          <w:rFonts w:ascii="Arial" w:cs="Arial" w:eastAsia="Arial" w:hAnsi="Arial"/>
          <w:sz w:val="17"/>
          <w:szCs w:val="17"/>
          <w:color w:val="012E6C"/>
        </w:rPr>
      </w:pPr>
      <w:r>
        <w:rPr>
          <w:rFonts w:ascii="Arial" w:cs="Arial" w:eastAsia="Arial" w:hAnsi="Arial"/>
          <w:sz w:val="17"/>
          <w:szCs w:val="17"/>
          <w:color w:val="auto"/>
        </w:rPr>
        <w:t>Individual payout capped at $10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84175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841750" cy="88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p>
      <w:pPr>
        <w:spacing w:after="0" w:line="200" w:lineRule="exact"/>
        <w:rPr>
          <w:sz w:val="20"/>
          <w:szCs w:val="20"/>
          <w:color w:val="auto"/>
        </w:rPr>
      </w:pPr>
    </w:p>
    <w:p>
      <w:pPr>
        <w:spacing w:after="0" w:line="330" w:lineRule="exact"/>
        <w:rPr>
          <w:sz w:val="20"/>
          <w:szCs w:val="20"/>
          <w:color w:val="auto"/>
        </w:rPr>
      </w:pPr>
    </w:p>
    <w:p>
      <w:pPr>
        <w:ind w:left="40"/>
        <w:spacing w:after="0"/>
        <w:tabs>
          <w:tab w:leader="none" w:pos="9420" w:val="left"/>
          <w:tab w:leader="none" w:pos="1122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2019 Proxy Statement</w:t>
      </w:r>
      <w:r>
        <w:rPr>
          <w:sz w:val="20"/>
          <w:szCs w:val="20"/>
          <w:color w:val="auto"/>
        </w:rPr>
        <w:tab/>
      </w:r>
      <w:r>
        <w:rPr>
          <w:rFonts w:ascii="Arial" w:cs="Arial" w:eastAsia="Arial" w:hAnsi="Arial"/>
          <w:sz w:val="14"/>
          <w:szCs w:val="14"/>
          <w:b w:val="1"/>
          <w:bCs w:val="1"/>
          <w:color w:val="808080"/>
        </w:rPr>
        <w:t>43</w:t>
      </w:r>
    </w:p>
    <w:p>
      <w:pPr>
        <w:sectPr>
          <w:pgSz w:w="11900" w:h="16838" w:orient="portrait"/>
          <w:cols w:equalWidth="0" w:num="1">
            <w:col w:w="11420"/>
          </w:cols>
          <w:pgMar w:left="240" w:top="292" w:right="2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5"/>
          <w:szCs w:val="15"/>
          <w:color w:val="003478"/>
        </w:rPr>
        <w:t>Executive Compensation</w:t>
      </w:r>
    </w:p>
    <w:p>
      <w:pPr>
        <w:spacing w:after="0" w:line="363"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In determining the appropriate level of equity grants for 2018, the Compensation Committee took into consideration the long-term incentive market rate (50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percentile) along with a variety of other factors, including the number of awards outstanding and shares remaining available for issuance under the Corporation’s equity incentive plans, the number of shares that would be issued under contemplated awards over the range of potential performance achievement, the total number of the Corporation’s outstanding shares, the resulting implications for stockholder dilution and the number of shares granted to our executives year-over-year.</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012E6C"/>
        </w:rPr>
        <w:t>PSU Awards (50% of the LTI award)</w:t>
      </w:r>
    </w:p>
    <w:p>
      <w:pPr>
        <w:spacing w:after="0" w:line="183" w:lineRule="exact"/>
        <w:rPr>
          <w:sz w:val="20"/>
          <w:szCs w:val="20"/>
          <w:color w:val="auto"/>
        </w:rPr>
      </w:pPr>
    </w:p>
    <w:p>
      <w:pPr>
        <w:jc w:val="both"/>
        <w:ind w:right="120"/>
        <w:spacing w:after="0" w:line="279" w:lineRule="auto"/>
        <w:rPr>
          <w:sz w:val="20"/>
          <w:szCs w:val="20"/>
          <w:color w:val="auto"/>
        </w:rPr>
      </w:pPr>
      <w:r>
        <w:rPr>
          <w:rFonts w:ascii="Arial" w:cs="Arial" w:eastAsia="Arial" w:hAnsi="Arial"/>
          <w:sz w:val="17"/>
          <w:szCs w:val="17"/>
          <w:color w:val="auto"/>
        </w:rPr>
        <w:t>PSU awards are calculated by multiplying the overall target LTI award value by the 50% weighting assigned to the PSU element. The total PSU value is then multiplied by the weighting assigned to each PSU component (50% to Relative TSR, 25% to ROIC, 25% to Performance Cash). For 2018, the number of PSUs granted is based on the grant date fair market value of each PSU element using the Monte Carlo simulation method for the Relative TSR component and the grant date fair market value discounted to reflect the deferral of dividends for ROIC and Performance Cash components.</w:t>
      </w:r>
    </w:p>
    <w:p>
      <w:pPr>
        <w:spacing w:after="0" w:line="171"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Each NEO’s PSU target number of shares is determined at the beginning of the three-year performance period, and the actual number of shares earned at the end of the period is calculated based on our performance measured against the three financial metrics.</w:t>
      </w:r>
    </w:p>
    <w:p>
      <w:pPr>
        <w:spacing w:after="0" w:line="14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number of shares granted at the end of the cycle can range from 0% to 200% of the applicable target number of shares. If TSR is negative at the end of the performance cycle, the rating for the Relative TSR measure is capped at 100%. In addition, the maximum value that can be earned under a PSU award is 400% of the stock price on the date of grant times the shares earned. The award calculation is formulaic pursuant to the provisions defined in the award agreement, and no adjustment can be made to the final number of shares granted, which is determined based on the performance outcomes relative to our pre-set goals. Participants also accrue dividend equivalents on the shares earned, which are paid in cash following vesting of the underlying shares.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012E6C"/>
        </w:rPr>
        <w:t>RSU Awards (30% of LTI award)</w:t>
      </w:r>
    </w:p>
    <w:p>
      <w:pPr>
        <w:spacing w:after="0" w:line="183"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RSU awards are calculated by multiplying the overall target LTI award value by the 30% weighting assigned to the RSU element. The number of RSUs granted is determined by the grant date fair market value discounted to reflect deferral of dividends. Deferred dividend equivalents are accrued during the vesting period and paid in cash following the vesting of the underlying shares.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012E6C"/>
        </w:rPr>
        <w:t>LTIP Awards (20% of the LTI award)</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LTIP awards are cash-based and are calculated by multiplying the overall target LTI award value by the 20% weighting assigned to the LTIP element.</w:t>
      </w:r>
    </w:p>
    <w:p>
      <w:pPr>
        <w:spacing w:after="0" w:line="23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Each NEO’s LTIP target is determined at the beginning of the three-year performance period, and the actual award earned at the end of the period is calculated based on the same performance measures as those used for the PSUs: 50% Relative TSR, 25% ROIC and 25% Performance Cash. Payouts can range from 0% to 200% of the applicable target. If TSR is negative at the end of the performance cycle, the rating for the Relative TSR measure is capped at 100%. The award calculation is formulaic pursuant to the provisions defined in the award agreement, and no adjustment can be made to the final payout factor, which is determined based on the performance outcomes relative to our pre-set goals.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For the 2018-2020 LTIP grants, any amount payable to a single participant in excess of $10 million will be forfeited.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012E6C"/>
        </w:rPr>
        <w:t>Selection of LTI Performance Measures</w:t>
      </w:r>
    </w:p>
    <w:p>
      <w:pPr>
        <w:spacing w:after="0" w:line="18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LTI performance metrics approved by the Compensation Committee are measures that we believe most effectively support our long-term business and strategic goals and directly tie the long-term goals of our executive leadership team to the interests of our stockholders. The measurements used for the financial component of our 2018 annual incentive plan (Sales, Segment Operating Profit and Cash from Operations) also serve as the foundation for achieving our long-term goals such that we must consistently achieve or exceed the Corporation’s annual goals in order to achieve our LTI goals.</w:t>
      </w:r>
    </w:p>
    <w:p>
      <w:pPr>
        <w:spacing w:after="0" w:line="173"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The selected LTI performance metrics consist of Relative TSR (50% weight), ROIC (25% weight) and Performance Cash (25% weight). We chose these three metrics because we believe they represent the best measures of value creation for the Corporation over a long-term period. We also applied equal weighting to the market-based measure of value creation, TSR, to what we believe are the best internal measures of value creation, Performance Cash and ROIC.</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selected Relative TSR to measure our performance against our industry peers in the S&amp;P Aerospace Index. Because every industry faces different challenges and opportunities, we believe that comparing our TSR against peers facing a similar business environment is preferred to comparisons outside our industry. Commensurate with this philosophy, we expanded this comparator group in 2019 as further described on page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371475</wp:posOffset>
            </wp:positionV>
            <wp:extent cx="1440815" cy="3257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440815" cy="325755"/>
                    </a:xfrm>
                    <a:prstGeom prst="rect">
                      <a:avLst/>
                    </a:prstGeom>
                    <a:noFill/>
                  </pic:spPr>
                </pic:pic>
              </a:graphicData>
            </a:graphic>
          </wp:anchor>
        </w:drawing>
      </w:r>
    </w:p>
    <w:p>
      <w:pPr>
        <w:sectPr>
          <w:pgSz w:w="11900" w:h="16838" w:orient="portrait"/>
          <w:cols w:equalWidth="0" w:num="1">
            <w:col w:w="11400"/>
          </w:cols>
          <w:pgMar w:left="240" w:top="292"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808080"/>
        </w:rPr>
        <w:t>44</w:t>
      </w:r>
    </w:p>
    <w:p>
      <w:pPr>
        <w:sectPr>
          <w:pgSz w:w="11900" w:h="16838" w:orient="portrait"/>
          <w:cols w:equalWidth="0" w:num="1">
            <w:col w:w="11400"/>
          </w:cols>
          <w:pgMar w:left="240" w:top="292" w:right="259" w:bottom="1440" w:gutter="0" w:footer="0" w:header="0"/>
          <w:type w:val="continuous"/>
        </w:sectPr>
      </w:pPr>
    </w:p>
    <w:bookmarkStart w:id="47" w:name="page48"/>
    <w:bookmarkEnd w:id="47"/>
    <w:p>
      <w:pPr>
        <w:jc w:val="right"/>
        <w:spacing w:after="0"/>
        <w:rPr>
          <w:sz w:val="20"/>
          <w:szCs w:val="20"/>
          <w:color w:val="auto"/>
        </w:rPr>
      </w:pPr>
      <w:r>
        <w:rPr>
          <w:rFonts w:ascii="Arial" w:cs="Arial" w:eastAsia="Arial" w:hAnsi="Arial"/>
          <w:sz w:val="15"/>
          <w:szCs w:val="15"/>
          <w:color w:val="003478"/>
        </w:rPr>
        <w:t>Executive Compensation</w:t>
      </w:r>
    </w:p>
    <w:p>
      <w:pPr>
        <w:spacing w:after="0" w:line="363"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Because the Relative TSR index is not perfectly aligned with the businesses in which Lockheed Martin operates and because any number of macro-economic factors that could affect market performance are beyond the control of the Corporation, we use ROIC and Performance Cash as internal measures that can be directly affected by management’s decisions. ROIC measures how effectively we employ our capital over time, while our Performance Cash provides the means for investment or value creation. By including a cash measure in both our annual and long-term incentive plans, the plans also mitigate the risk of short-term cash strategies that do not create long-term value.</w:t>
      </w:r>
    </w:p>
    <w:p>
      <w:pPr>
        <w:spacing w:after="0" w:line="173"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In tandem, we believe that these metrics drive the behaviors of our management team in ways that are intended to create the most value for our stockholders.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012E6C"/>
        </w:rPr>
        <w:t>Setting Performance Goals for PSUs and LTIP</w:t>
      </w:r>
    </w:p>
    <w:p>
      <w:pPr>
        <w:spacing w:after="0" w:line="183"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Our long-range planning process is used to establish the target (100% level of payment) for the Performance Cash and ROIC metrics in the PSU and LTIP grants. In setting minimum and maximum levels of payment, we reviewed historical levels of performance against long-range plan commitments, and conducted sensitivity analyses on alternative outcomes focused on identifying likely minimum and maximum boundary performance levels. Levels between 100% and the minimum and maximum levels were derived using linear interpolation between the performance hurdles. As with our annual incentive performance goals, PSU and LTIP payouts deteriorate more rapidly as we move from target level to the minimum payout level than they increase as we move from target level to maximum payout level. This asymmetry reflects the importance we place on meeting our financial commitments.</w:t>
      </w:r>
    </w:p>
    <w:p>
      <w:pPr>
        <w:spacing w:after="0" w:line="17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specific Performance Cash and ROIC target values for the 2018-2020 PSU and LTIP plans are not publicly disclosed at the time of grant due to the proprietary nature and competitive sensitivity of the information. However, the method used to calculate the awards will be based on actual performance compared to the Corporation’s 2018-2020 targets, which use straight-line interpolation between points. The individual award agreements require specified adjustments to ensure that the ultimate payouts are not impacted to the benefit or detriment of management by specified events, such as unplanned pension contributions, changes in accounting (GAAP) standards or impact of an acquisition or divestiture valued at more than $1 billion. The Compensation Committee does not have discretion to adjust the results of the PSU and LTIP awards beyond the adjustments specified in the award agreements.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012E6C"/>
        </w:rPr>
        <w:t>2018-2020 Performance Goals</w:t>
      </w:r>
    </w:p>
    <w:p>
      <w:pPr>
        <w:spacing w:after="0" w:line="278" w:lineRule="exact"/>
        <w:rPr>
          <w:sz w:val="20"/>
          <w:szCs w:val="20"/>
          <w:color w:val="auto"/>
        </w:rPr>
      </w:pPr>
    </w:p>
    <w:tbl>
      <w:tblPr>
        <w:tblLayout w:type="fixed"/>
        <w:tblInd w:w="120" w:type="dxa"/>
        <w:tblCellMar>
          <w:top w:w="0" w:type="dxa"/>
          <w:left w:w="0" w:type="dxa"/>
          <w:bottom w:w="0" w:type="dxa"/>
          <w:right w:w="0" w:type="dxa"/>
        </w:tblCellMar>
      </w:tblPr>
      <w:tr>
        <w:trPr>
          <w:trHeight w:val="264"/>
        </w:trPr>
        <w:tc>
          <w:tcPr>
            <w:tcW w:w="2420" w:type="dxa"/>
            <w:vAlign w:val="bottom"/>
            <w:tcBorders>
              <w:bottom w:val="single" w:sz="8" w:color="959595"/>
            </w:tcBorders>
            <w:shd w:val="clear" w:color="auto" w:fill="ECECEC"/>
          </w:tcPr>
          <w:p>
            <w:pPr>
              <w:jc w:val="right"/>
              <w:spacing w:after="0"/>
              <w:rPr>
                <w:sz w:val="20"/>
                <w:szCs w:val="20"/>
                <w:color w:val="auto"/>
              </w:rPr>
            </w:pPr>
            <w:r>
              <w:rPr>
                <w:rFonts w:ascii="Arial" w:cs="Arial" w:eastAsia="Arial" w:hAnsi="Arial"/>
                <w:sz w:val="13"/>
                <w:szCs w:val="13"/>
                <w:color w:val="auto"/>
              </w:rPr>
              <w:t>Relative TSR (50%)*</w:t>
            </w:r>
          </w:p>
        </w:tc>
        <w:tc>
          <w:tcPr>
            <w:tcW w:w="1140" w:type="dxa"/>
            <w:vAlign w:val="bottom"/>
            <w:tcBorders>
              <w:bottom w:val="single" w:sz="8" w:color="959595"/>
            </w:tcBorders>
            <w:shd w:val="clear" w:color="auto" w:fill="ECECEC"/>
          </w:tcPr>
          <w:p>
            <w:pPr>
              <w:spacing w:after="0"/>
              <w:rPr>
                <w:sz w:val="22"/>
                <w:szCs w:val="22"/>
                <w:color w:val="auto"/>
              </w:rPr>
            </w:pPr>
          </w:p>
        </w:tc>
        <w:tc>
          <w:tcPr>
            <w:tcW w:w="220" w:type="dxa"/>
            <w:vAlign w:val="bottom"/>
          </w:tcPr>
          <w:p>
            <w:pPr>
              <w:spacing w:after="0"/>
              <w:rPr>
                <w:sz w:val="22"/>
                <w:szCs w:val="22"/>
                <w:color w:val="auto"/>
              </w:rPr>
            </w:pPr>
          </w:p>
        </w:tc>
        <w:tc>
          <w:tcPr>
            <w:tcW w:w="2580" w:type="dxa"/>
            <w:vAlign w:val="bottom"/>
            <w:tcBorders>
              <w:bottom w:val="single" w:sz="8" w:color="959595"/>
            </w:tcBorders>
            <w:shd w:val="clear" w:color="auto" w:fill="ECECEC"/>
          </w:tcPr>
          <w:p>
            <w:pPr>
              <w:jc w:val="right"/>
              <w:ind w:right="10"/>
              <w:spacing w:after="0"/>
              <w:rPr>
                <w:sz w:val="20"/>
                <w:szCs w:val="20"/>
                <w:color w:val="auto"/>
              </w:rPr>
            </w:pPr>
            <w:r>
              <w:rPr>
                <w:rFonts w:ascii="Arial" w:cs="Arial" w:eastAsia="Arial" w:hAnsi="Arial"/>
                <w:sz w:val="13"/>
                <w:szCs w:val="13"/>
                <w:color w:val="auto"/>
              </w:rPr>
              <w:t>Performance Cash (25%)</w:t>
            </w:r>
          </w:p>
        </w:tc>
        <w:tc>
          <w:tcPr>
            <w:tcW w:w="1000" w:type="dxa"/>
            <w:vAlign w:val="bottom"/>
            <w:tcBorders>
              <w:bottom w:val="single" w:sz="8" w:color="959595"/>
            </w:tcBorders>
            <w:shd w:val="clear" w:color="auto" w:fill="ECECEC"/>
          </w:tcPr>
          <w:p>
            <w:pPr>
              <w:spacing w:after="0"/>
              <w:rPr>
                <w:sz w:val="22"/>
                <w:szCs w:val="22"/>
                <w:color w:val="auto"/>
              </w:rPr>
            </w:pPr>
          </w:p>
        </w:tc>
        <w:tc>
          <w:tcPr>
            <w:tcW w:w="220" w:type="dxa"/>
            <w:vAlign w:val="bottom"/>
          </w:tcPr>
          <w:p>
            <w:pPr>
              <w:spacing w:after="0"/>
              <w:rPr>
                <w:sz w:val="22"/>
                <w:szCs w:val="22"/>
                <w:color w:val="auto"/>
              </w:rPr>
            </w:pPr>
          </w:p>
        </w:tc>
        <w:tc>
          <w:tcPr>
            <w:tcW w:w="2400" w:type="dxa"/>
            <w:vAlign w:val="bottom"/>
            <w:tcBorders>
              <w:bottom w:val="single" w:sz="8" w:color="959595"/>
            </w:tcBorders>
            <w:shd w:val="clear" w:color="auto" w:fill="ECECEC"/>
          </w:tcPr>
          <w:p>
            <w:pPr>
              <w:jc w:val="right"/>
              <w:ind w:right="170"/>
              <w:spacing w:after="0"/>
              <w:rPr>
                <w:sz w:val="20"/>
                <w:szCs w:val="20"/>
                <w:color w:val="auto"/>
              </w:rPr>
            </w:pPr>
            <w:r>
              <w:rPr>
                <w:rFonts w:ascii="Arial" w:cs="Arial" w:eastAsia="Arial" w:hAnsi="Arial"/>
                <w:sz w:val="13"/>
                <w:szCs w:val="13"/>
                <w:color w:val="auto"/>
              </w:rPr>
              <w:t>ROIC (25%)</w:t>
            </w:r>
          </w:p>
        </w:tc>
        <w:tc>
          <w:tcPr>
            <w:tcW w:w="1220" w:type="dxa"/>
            <w:vAlign w:val="bottom"/>
            <w:tcBorders>
              <w:bottom w:val="single" w:sz="8" w:color="959595"/>
            </w:tcBorders>
            <w:shd w:val="clear" w:color="auto" w:fill="ECECEC"/>
          </w:tcPr>
          <w:p>
            <w:pPr>
              <w:spacing w:after="0"/>
              <w:rPr>
                <w:sz w:val="22"/>
                <w:szCs w:val="22"/>
                <w:color w:val="auto"/>
              </w:rPr>
            </w:pPr>
          </w:p>
        </w:tc>
        <w:tc>
          <w:tcPr>
            <w:tcW w:w="0" w:type="dxa"/>
            <w:vAlign w:val="bottom"/>
          </w:tcPr>
          <w:p>
            <w:pPr>
              <w:spacing w:after="0"/>
              <w:rPr>
                <w:sz w:val="1"/>
                <w:szCs w:val="1"/>
                <w:color w:val="auto"/>
              </w:rPr>
            </w:pPr>
          </w:p>
        </w:tc>
      </w:tr>
      <w:tr>
        <w:trPr>
          <w:trHeight w:val="140"/>
        </w:trPr>
        <w:tc>
          <w:tcPr>
            <w:tcW w:w="2420" w:type="dxa"/>
            <w:vAlign w:val="bottom"/>
            <w:shd w:val="clear" w:color="auto" w:fill="ECECEC"/>
          </w:tcPr>
          <w:p>
            <w:pPr>
              <w:jc w:val="right"/>
              <w:ind w:right="630"/>
              <w:spacing w:after="0" w:line="140" w:lineRule="exact"/>
              <w:rPr>
                <w:sz w:val="20"/>
                <w:szCs w:val="20"/>
                <w:color w:val="auto"/>
              </w:rPr>
            </w:pPr>
            <w:r>
              <w:rPr>
                <w:rFonts w:ascii="Arial" w:cs="Arial" w:eastAsia="Arial" w:hAnsi="Arial"/>
                <w:sz w:val="13"/>
                <w:szCs w:val="13"/>
                <w:color w:val="auto"/>
              </w:rPr>
              <w:t>Relative TSR</w:t>
            </w:r>
          </w:p>
        </w:tc>
        <w:tc>
          <w:tcPr>
            <w:tcW w:w="1140" w:type="dxa"/>
            <w:vAlign w:val="bottom"/>
            <w:vMerge w:val="restart"/>
            <w:shd w:val="clear" w:color="auto" w:fill="ECECEC"/>
          </w:tcPr>
          <w:p>
            <w:pPr>
              <w:jc w:val="right"/>
              <w:ind w:right="89"/>
              <w:spacing w:after="0"/>
              <w:rPr>
                <w:sz w:val="20"/>
                <w:szCs w:val="20"/>
                <w:color w:val="auto"/>
              </w:rPr>
            </w:pPr>
            <w:r>
              <w:rPr>
                <w:rFonts w:ascii="Arial" w:cs="Arial" w:eastAsia="Arial" w:hAnsi="Arial"/>
                <w:sz w:val="13"/>
                <w:szCs w:val="13"/>
                <w:color w:val="auto"/>
              </w:rPr>
              <w:t>Payout Factor</w:t>
            </w:r>
          </w:p>
        </w:tc>
        <w:tc>
          <w:tcPr>
            <w:tcW w:w="220" w:type="dxa"/>
            <w:vAlign w:val="bottom"/>
          </w:tcPr>
          <w:p>
            <w:pPr>
              <w:spacing w:after="0"/>
              <w:rPr>
                <w:sz w:val="12"/>
                <w:szCs w:val="12"/>
                <w:color w:val="auto"/>
              </w:rPr>
            </w:pPr>
          </w:p>
        </w:tc>
        <w:tc>
          <w:tcPr>
            <w:tcW w:w="2580" w:type="dxa"/>
            <w:vAlign w:val="bottom"/>
            <w:vMerge w:val="restart"/>
            <w:shd w:val="clear" w:color="auto" w:fill="ECECEC"/>
          </w:tcPr>
          <w:p>
            <w:pPr>
              <w:jc w:val="right"/>
              <w:ind w:right="750"/>
              <w:spacing w:after="0"/>
              <w:rPr>
                <w:sz w:val="20"/>
                <w:szCs w:val="20"/>
                <w:color w:val="auto"/>
              </w:rPr>
            </w:pPr>
            <w:r>
              <w:rPr>
                <w:rFonts w:ascii="Arial" w:cs="Arial" w:eastAsia="Arial" w:hAnsi="Arial"/>
                <w:sz w:val="13"/>
                <w:szCs w:val="13"/>
                <w:color w:val="auto"/>
              </w:rPr>
              <w:t>Performance Cash Metric</w:t>
            </w:r>
          </w:p>
        </w:tc>
        <w:tc>
          <w:tcPr>
            <w:tcW w:w="1000" w:type="dxa"/>
            <w:vAlign w:val="bottom"/>
            <w:vMerge w:val="restart"/>
            <w:shd w:val="clear" w:color="auto" w:fill="ECECEC"/>
          </w:tcPr>
          <w:p>
            <w:pPr>
              <w:jc w:val="right"/>
              <w:ind w:right="89"/>
              <w:spacing w:after="0"/>
              <w:rPr>
                <w:sz w:val="20"/>
                <w:szCs w:val="20"/>
                <w:color w:val="auto"/>
              </w:rPr>
            </w:pPr>
            <w:r>
              <w:rPr>
                <w:rFonts w:ascii="Arial" w:cs="Arial" w:eastAsia="Arial" w:hAnsi="Arial"/>
                <w:sz w:val="13"/>
                <w:szCs w:val="13"/>
                <w:color w:val="auto"/>
              </w:rPr>
              <w:t>Payout Factor</w:t>
            </w:r>
          </w:p>
        </w:tc>
        <w:tc>
          <w:tcPr>
            <w:tcW w:w="220" w:type="dxa"/>
            <w:vAlign w:val="bottom"/>
          </w:tcPr>
          <w:p>
            <w:pPr>
              <w:spacing w:after="0"/>
              <w:rPr>
                <w:sz w:val="12"/>
                <w:szCs w:val="12"/>
                <w:color w:val="auto"/>
              </w:rPr>
            </w:pPr>
          </w:p>
        </w:tc>
        <w:tc>
          <w:tcPr>
            <w:tcW w:w="2400" w:type="dxa"/>
            <w:vAlign w:val="bottom"/>
            <w:vMerge w:val="restart"/>
            <w:shd w:val="clear" w:color="auto" w:fill="ECECEC"/>
          </w:tcPr>
          <w:p>
            <w:pPr>
              <w:jc w:val="right"/>
              <w:ind w:right="570"/>
              <w:spacing w:after="0"/>
              <w:rPr>
                <w:sz w:val="20"/>
                <w:szCs w:val="20"/>
                <w:color w:val="auto"/>
              </w:rPr>
            </w:pPr>
            <w:r>
              <w:rPr>
                <w:rFonts w:ascii="Arial" w:cs="Arial" w:eastAsia="Arial" w:hAnsi="Arial"/>
                <w:sz w:val="13"/>
                <w:szCs w:val="13"/>
                <w:color w:val="auto"/>
              </w:rPr>
              <w:t>ROIC Performance Metric</w:t>
            </w:r>
          </w:p>
        </w:tc>
        <w:tc>
          <w:tcPr>
            <w:tcW w:w="1220" w:type="dxa"/>
            <w:vAlign w:val="bottom"/>
            <w:vMerge w:val="restart"/>
            <w:shd w:val="clear" w:color="auto" w:fill="ECECEC"/>
          </w:tcPr>
          <w:p>
            <w:pPr>
              <w:jc w:val="right"/>
              <w:ind w:right="89"/>
              <w:spacing w:after="0"/>
              <w:rPr>
                <w:sz w:val="20"/>
                <w:szCs w:val="20"/>
                <w:color w:val="auto"/>
              </w:rPr>
            </w:pPr>
            <w:r>
              <w:rPr>
                <w:rFonts w:ascii="Arial" w:cs="Arial" w:eastAsia="Arial" w:hAnsi="Arial"/>
                <w:sz w:val="13"/>
                <w:szCs w:val="13"/>
                <w:color w:val="auto"/>
              </w:rPr>
              <w:t>Payout Factor</w:t>
            </w:r>
          </w:p>
        </w:tc>
        <w:tc>
          <w:tcPr>
            <w:tcW w:w="0" w:type="dxa"/>
            <w:vAlign w:val="bottom"/>
          </w:tcPr>
          <w:p>
            <w:pPr>
              <w:spacing w:after="0"/>
              <w:rPr>
                <w:sz w:val="1"/>
                <w:szCs w:val="1"/>
                <w:color w:val="auto"/>
              </w:rPr>
            </w:pPr>
          </w:p>
        </w:tc>
      </w:tr>
      <w:tr>
        <w:trPr>
          <w:trHeight w:val="178"/>
        </w:trPr>
        <w:tc>
          <w:tcPr>
            <w:tcW w:w="2420" w:type="dxa"/>
            <w:vAlign w:val="bottom"/>
            <w:tcBorders>
              <w:bottom w:val="single" w:sz="8" w:color="959595"/>
            </w:tcBorders>
            <w:shd w:val="clear" w:color="auto" w:fill="ECECEC"/>
          </w:tcPr>
          <w:p>
            <w:pPr>
              <w:jc w:val="right"/>
              <w:ind w:right="630"/>
              <w:spacing w:after="0"/>
              <w:rPr>
                <w:sz w:val="20"/>
                <w:szCs w:val="20"/>
                <w:color w:val="auto"/>
              </w:rPr>
            </w:pPr>
            <w:r>
              <w:rPr>
                <w:rFonts w:ascii="Arial" w:cs="Arial" w:eastAsia="Arial" w:hAnsi="Arial"/>
                <w:sz w:val="13"/>
                <w:szCs w:val="13"/>
                <w:color w:val="auto"/>
              </w:rPr>
              <w:t>Percentile</w:t>
            </w:r>
          </w:p>
        </w:tc>
        <w:tc>
          <w:tcPr>
            <w:tcW w:w="1140" w:type="dxa"/>
            <w:vAlign w:val="bottom"/>
            <w:tcBorders>
              <w:bottom w:val="single" w:sz="8" w:color="959595"/>
            </w:tcBorders>
            <w:vMerge w:val="continue"/>
            <w:shd w:val="clear" w:color="auto" w:fill="ECECEC"/>
          </w:tcPr>
          <w:p>
            <w:pPr>
              <w:spacing w:after="0"/>
              <w:rPr>
                <w:sz w:val="15"/>
                <w:szCs w:val="15"/>
                <w:color w:val="auto"/>
              </w:rPr>
            </w:pPr>
          </w:p>
        </w:tc>
        <w:tc>
          <w:tcPr>
            <w:tcW w:w="220" w:type="dxa"/>
            <w:vAlign w:val="bottom"/>
          </w:tcPr>
          <w:p>
            <w:pPr>
              <w:spacing w:after="0"/>
              <w:rPr>
                <w:sz w:val="15"/>
                <w:szCs w:val="15"/>
                <w:color w:val="auto"/>
              </w:rPr>
            </w:pPr>
          </w:p>
        </w:tc>
        <w:tc>
          <w:tcPr>
            <w:tcW w:w="2580" w:type="dxa"/>
            <w:vAlign w:val="bottom"/>
            <w:tcBorders>
              <w:bottom w:val="single" w:sz="8" w:color="959595"/>
            </w:tcBorders>
            <w:vMerge w:val="continue"/>
            <w:shd w:val="clear" w:color="auto" w:fill="ECECEC"/>
          </w:tcPr>
          <w:p>
            <w:pPr>
              <w:spacing w:after="0"/>
              <w:rPr>
                <w:sz w:val="15"/>
                <w:szCs w:val="15"/>
                <w:color w:val="auto"/>
              </w:rPr>
            </w:pPr>
          </w:p>
        </w:tc>
        <w:tc>
          <w:tcPr>
            <w:tcW w:w="1000" w:type="dxa"/>
            <w:vAlign w:val="bottom"/>
            <w:tcBorders>
              <w:bottom w:val="single" w:sz="8" w:color="959595"/>
            </w:tcBorders>
            <w:vMerge w:val="continue"/>
            <w:shd w:val="clear" w:color="auto" w:fill="ECECEC"/>
          </w:tcPr>
          <w:p>
            <w:pPr>
              <w:spacing w:after="0"/>
              <w:rPr>
                <w:sz w:val="15"/>
                <w:szCs w:val="15"/>
                <w:color w:val="auto"/>
              </w:rPr>
            </w:pPr>
          </w:p>
        </w:tc>
        <w:tc>
          <w:tcPr>
            <w:tcW w:w="220" w:type="dxa"/>
            <w:vAlign w:val="bottom"/>
          </w:tcPr>
          <w:p>
            <w:pPr>
              <w:spacing w:after="0"/>
              <w:rPr>
                <w:sz w:val="15"/>
                <w:szCs w:val="15"/>
                <w:color w:val="auto"/>
              </w:rPr>
            </w:pPr>
          </w:p>
        </w:tc>
        <w:tc>
          <w:tcPr>
            <w:tcW w:w="2400" w:type="dxa"/>
            <w:vAlign w:val="bottom"/>
            <w:tcBorders>
              <w:bottom w:val="single" w:sz="8" w:color="959595"/>
            </w:tcBorders>
            <w:vMerge w:val="continue"/>
            <w:shd w:val="clear" w:color="auto" w:fill="ECECEC"/>
          </w:tcPr>
          <w:p>
            <w:pPr>
              <w:spacing w:after="0"/>
              <w:rPr>
                <w:sz w:val="15"/>
                <w:szCs w:val="15"/>
                <w:color w:val="auto"/>
              </w:rPr>
            </w:pPr>
          </w:p>
        </w:tc>
        <w:tc>
          <w:tcPr>
            <w:tcW w:w="1220" w:type="dxa"/>
            <w:vAlign w:val="bottom"/>
            <w:tcBorders>
              <w:bottom w:val="single" w:sz="8" w:color="959595"/>
            </w:tcBorders>
            <w:vMerge w:val="continue"/>
            <w:shd w:val="clear" w:color="auto" w:fill="ECECEC"/>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2420" w:type="dxa"/>
            <w:vAlign w:val="bottom"/>
            <w:tcBorders>
              <w:bottom w:val="single" w:sz="8" w:color="959595"/>
            </w:tcBorders>
          </w:tcPr>
          <w:p>
            <w:pPr>
              <w:jc w:val="right"/>
              <w:ind w:right="630"/>
              <w:spacing w:after="0"/>
              <w:rPr>
                <w:sz w:val="20"/>
                <w:szCs w:val="20"/>
                <w:color w:val="auto"/>
              </w:rPr>
            </w:pPr>
            <w:r>
              <w:rPr>
                <w:rFonts w:ascii="Arial" w:cs="Arial" w:eastAsia="Arial" w:hAnsi="Arial"/>
                <w:sz w:val="14"/>
                <w:szCs w:val="14"/>
                <w:color w:val="auto"/>
              </w:rPr>
              <w:t>75th – 100th</w:t>
            </w:r>
          </w:p>
        </w:tc>
        <w:tc>
          <w:tcPr>
            <w:tcW w:w="11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200%</w:t>
            </w:r>
          </w:p>
        </w:tc>
        <w:tc>
          <w:tcPr>
            <w:tcW w:w="220" w:type="dxa"/>
            <w:vAlign w:val="bottom"/>
          </w:tcPr>
          <w:p>
            <w:pPr>
              <w:spacing w:after="0"/>
              <w:rPr>
                <w:sz w:val="23"/>
                <w:szCs w:val="23"/>
                <w:color w:val="auto"/>
              </w:rPr>
            </w:pPr>
          </w:p>
        </w:tc>
        <w:tc>
          <w:tcPr>
            <w:tcW w:w="2580" w:type="dxa"/>
            <w:vAlign w:val="bottom"/>
            <w:tcBorders>
              <w:bottom w:val="single" w:sz="8" w:color="959595"/>
            </w:tcBorders>
          </w:tcPr>
          <w:p>
            <w:pPr>
              <w:jc w:val="right"/>
              <w:ind w:right="750"/>
              <w:spacing w:after="0"/>
              <w:rPr>
                <w:sz w:val="20"/>
                <w:szCs w:val="20"/>
                <w:color w:val="auto"/>
              </w:rPr>
            </w:pPr>
            <w:r>
              <w:rPr>
                <w:rFonts w:ascii="Arial" w:cs="Arial" w:eastAsia="Arial" w:hAnsi="Arial"/>
                <w:sz w:val="14"/>
                <w:szCs w:val="14"/>
                <w:color w:val="auto"/>
              </w:rPr>
              <w:t>Plan + ≥ $2.0B</w:t>
            </w:r>
          </w:p>
        </w:tc>
        <w:tc>
          <w:tcPr>
            <w:tcW w:w="10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200%</w:t>
            </w:r>
          </w:p>
        </w:tc>
        <w:tc>
          <w:tcPr>
            <w:tcW w:w="220" w:type="dxa"/>
            <w:vAlign w:val="bottom"/>
          </w:tcPr>
          <w:p>
            <w:pPr>
              <w:spacing w:after="0"/>
              <w:rPr>
                <w:sz w:val="23"/>
                <w:szCs w:val="23"/>
                <w:color w:val="auto"/>
              </w:rPr>
            </w:pPr>
          </w:p>
        </w:tc>
        <w:tc>
          <w:tcPr>
            <w:tcW w:w="2400" w:type="dxa"/>
            <w:vAlign w:val="bottom"/>
            <w:tcBorders>
              <w:bottom w:val="single" w:sz="8" w:color="959595"/>
            </w:tcBorders>
          </w:tcPr>
          <w:p>
            <w:pPr>
              <w:jc w:val="right"/>
              <w:ind w:right="570"/>
              <w:spacing w:after="0"/>
              <w:rPr>
                <w:sz w:val="20"/>
                <w:szCs w:val="20"/>
                <w:color w:val="auto"/>
              </w:rPr>
            </w:pPr>
            <w:r>
              <w:rPr>
                <w:rFonts w:ascii="Arial" w:cs="Arial" w:eastAsia="Arial" w:hAnsi="Arial"/>
                <w:sz w:val="14"/>
                <w:szCs w:val="14"/>
                <w:color w:val="auto"/>
              </w:rPr>
              <w:t>Plan + ≥ 160 bps</w:t>
            </w:r>
          </w:p>
        </w:tc>
        <w:tc>
          <w:tcPr>
            <w:tcW w:w="12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959595"/>
            </w:tcBorders>
          </w:tcPr>
          <w:p>
            <w:pPr>
              <w:jc w:val="right"/>
              <w:ind w:right="630"/>
              <w:spacing w:after="0"/>
              <w:rPr>
                <w:sz w:val="20"/>
                <w:szCs w:val="20"/>
                <w:color w:val="auto"/>
              </w:rPr>
            </w:pPr>
            <w:r>
              <w:rPr>
                <w:rFonts w:ascii="Arial" w:cs="Arial" w:eastAsia="Arial" w:hAnsi="Arial"/>
                <w:sz w:val="14"/>
                <w:szCs w:val="14"/>
                <w:color w:val="auto"/>
              </w:rPr>
              <w:t>60th</w:t>
            </w:r>
          </w:p>
        </w:tc>
        <w:tc>
          <w:tcPr>
            <w:tcW w:w="11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150%</w:t>
            </w:r>
          </w:p>
        </w:tc>
        <w:tc>
          <w:tcPr>
            <w:tcW w:w="220" w:type="dxa"/>
            <w:vAlign w:val="bottom"/>
          </w:tcPr>
          <w:p>
            <w:pPr>
              <w:spacing w:after="0"/>
              <w:rPr>
                <w:sz w:val="22"/>
                <w:szCs w:val="22"/>
                <w:color w:val="auto"/>
              </w:rPr>
            </w:pPr>
          </w:p>
        </w:tc>
        <w:tc>
          <w:tcPr>
            <w:tcW w:w="2580" w:type="dxa"/>
            <w:vAlign w:val="bottom"/>
            <w:tcBorders>
              <w:bottom w:val="single" w:sz="8" w:color="959595"/>
            </w:tcBorders>
          </w:tcPr>
          <w:p>
            <w:pPr>
              <w:jc w:val="right"/>
              <w:ind w:right="750"/>
              <w:spacing w:after="0"/>
              <w:rPr>
                <w:sz w:val="20"/>
                <w:szCs w:val="20"/>
                <w:color w:val="auto"/>
              </w:rPr>
            </w:pPr>
            <w:r>
              <w:rPr>
                <w:rFonts w:ascii="Arial" w:cs="Arial" w:eastAsia="Arial" w:hAnsi="Arial"/>
                <w:sz w:val="14"/>
                <w:szCs w:val="14"/>
                <w:color w:val="auto"/>
              </w:rPr>
              <w:t>Plan + $1.5B</w:t>
            </w:r>
          </w:p>
        </w:tc>
        <w:tc>
          <w:tcPr>
            <w:tcW w:w="10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175%</w:t>
            </w:r>
          </w:p>
        </w:tc>
        <w:tc>
          <w:tcPr>
            <w:tcW w:w="220" w:type="dxa"/>
            <w:vAlign w:val="bottom"/>
          </w:tcPr>
          <w:p>
            <w:pPr>
              <w:spacing w:after="0"/>
              <w:rPr>
                <w:sz w:val="22"/>
                <w:szCs w:val="22"/>
                <w:color w:val="auto"/>
              </w:rPr>
            </w:pPr>
          </w:p>
        </w:tc>
        <w:tc>
          <w:tcPr>
            <w:tcW w:w="2400" w:type="dxa"/>
            <w:vAlign w:val="bottom"/>
            <w:tcBorders>
              <w:bottom w:val="single" w:sz="8" w:color="959595"/>
            </w:tcBorders>
          </w:tcPr>
          <w:p>
            <w:pPr>
              <w:jc w:val="right"/>
              <w:ind w:right="570"/>
              <w:spacing w:after="0"/>
              <w:rPr>
                <w:sz w:val="20"/>
                <w:szCs w:val="20"/>
                <w:color w:val="auto"/>
              </w:rPr>
            </w:pPr>
            <w:r>
              <w:rPr>
                <w:rFonts w:ascii="Arial" w:cs="Arial" w:eastAsia="Arial" w:hAnsi="Arial"/>
                <w:sz w:val="14"/>
                <w:szCs w:val="14"/>
                <w:color w:val="auto"/>
              </w:rPr>
              <w:t>Plan + 120 bps</w:t>
            </w:r>
          </w:p>
        </w:tc>
        <w:tc>
          <w:tcPr>
            <w:tcW w:w="12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959595"/>
            </w:tcBorders>
          </w:tcPr>
          <w:p>
            <w:pPr>
              <w:jc w:val="right"/>
              <w:ind w:right="630"/>
              <w:spacing w:after="0"/>
              <w:rPr>
                <w:sz w:val="20"/>
                <w:szCs w:val="20"/>
                <w:color w:val="auto"/>
              </w:rPr>
            </w:pPr>
            <w:r>
              <w:rPr>
                <w:rFonts w:ascii="Arial" w:cs="Arial" w:eastAsia="Arial" w:hAnsi="Arial"/>
                <w:sz w:val="14"/>
                <w:szCs w:val="14"/>
                <w:color w:val="auto"/>
              </w:rPr>
              <w:t>50th</w:t>
            </w:r>
          </w:p>
        </w:tc>
        <w:tc>
          <w:tcPr>
            <w:tcW w:w="1140" w:type="dxa"/>
            <w:vAlign w:val="bottom"/>
            <w:tcBorders>
              <w:bottom w:val="single" w:sz="8" w:color="959595"/>
            </w:tcBorders>
          </w:tcPr>
          <w:p>
            <w:pPr>
              <w:jc w:val="right"/>
              <w:ind w:right="89"/>
              <w:spacing w:after="0"/>
              <w:rPr>
                <w:sz w:val="20"/>
                <w:szCs w:val="20"/>
                <w:color w:val="auto"/>
              </w:rPr>
            </w:pPr>
            <w:r>
              <w:rPr>
                <w:rFonts w:ascii="Arial" w:cs="Arial" w:eastAsia="Arial" w:hAnsi="Arial"/>
                <w:sz w:val="14"/>
                <w:szCs w:val="14"/>
                <w:color w:val="auto"/>
              </w:rPr>
              <w:t>100% (Target)</w:t>
            </w:r>
          </w:p>
        </w:tc>
        <w:tc>
          <w:tcPr>
            <w:tcW w:w="220" w:type="dxa"/>
            <w:vAlign w:val="bottom"/>
          </w:tcPr>
          <w:p>
            <w:pPr>
              <w:spacing w:after="0"/>
              <w:rPr>
                <w:sz w:val="22"/>
                <w:szCs w:val="22"/>
                <w:color w:val="auto"/>
              </w:rPr>
            </w:pPr>
          </w:p>
        </w:tc>
        <w:tc>
          <w:tcPr>
            <w:tcW w:w="2580" w:type="dxa"/>
            <w:vAlign w:val="bottom"/>
            <w:tcBorders>
              <w:bottom w:val="single" w:sz="8" w:color="959595"/>
            </w:tcBorders>
          </w:tcPr>
          <w:p>
            <w:pPr>
              <w:jc w:val="right"/>
              <w:ind w:right="750"/>
              <w:spacing w:after="0"/>
              <w:rPr>
                <w:sz w:val="20"/>
                <w:szCs w:val="20"/>
                <w:color w:val="auto"/>
              </w:rPr>
            </w:pPr>
            <w:r>
              <w:rPr>
                <w:rFonts w:ascii="Arial" w:cs="Arial" w:eastAsia="Arial" w:hAnsi="Arial"/>
                <w:sz w:val="14"/>
                <w:szCs w:val="14"/>
                <w:color w:val="auto"/>
              </w:rPr>
              <w:t>Plan + $1.0B</w:t>
            </w:r>
          </w:p>
        </w:tc>
        <w:tc>
          <w:tcPr>
            <w:tcW w:w="10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150%</w:t>
            </w:r>
          </w:p>
        </w:tc>
        <w:tc>
          <w:tcPr>
            <w:tcW w:w="220" w:type="dxa"/>
            <w:vAlign w:val="bottom"/>
          </w:tcPr>
          <w:p>
            <w:pPr>
              <w:spacing w:after="0"/>
              <w:rPr>
                <w:sz w:val="22"/>
                <w:szCs w:val="22"/>
                <w:color w:val="auto"/>
              </w:rPr>
            </w:pPr>
          </w:p>
        </w:tc>
        <w:tc>
          <w:tcPr>
            <w:tcW w:w="2400" w:type="dxa"/>
            <w:vAlign w:val="bottom"/>
            <w:tcBorders>
              <w:bottom w:val="single" w:sz="8" w:color="959595"/>
            </w:tcBorders>
          </w:tcPr>
          <w:p>
            <w:pPr>
              <w:jc w:val="right"/>
              <w:ind w:right="570"/>
              <w:spacing w:after="0"/>
              <w:rPr>
                <w:sz w:val="20"/>
                <w:szCs w:val="20"/>
                <w:color w:val="auto"/>
              </w:rPr>
            </w:pPr>
            <w:r>
              <w:rPr>
                <w:rFonts w:ascii="Arial" w:cs="Arial" w:eastAsia="Arial" w:hAnsi="Arial"/>
                <w:sz w:val="14"/>
                <w:szCs w:val="14"/>
                <w:color w:val="auto"/>
              </w:rPr>
              <w:t>Plan + 80 bps</w:t>
            </w:r>
          </w:p>
        </w:tc>
        <w:tc>
          <w:tcPr>
            <w:tcW w:w="12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959595"/>
            </w:tcBorders>
          </w:tcPr>
          <w:p>
            <w:pPr>
              <w:jc w:val="right"/>
              <w:ind w:right="630"/>
              <w:spacing w:after="0"/>
              <w:rPr>
                <w:sz w:val="20"/>
                <w:szCs w:val="20"/>
                <w:color w:val="auto"/>
              </w:rPr>
            </w:pPr>
            <w:r>
              <w:rPr>
                <w:rFonts w:ascii="Arial" w:cs="Arial" w:eastAsia="Arial" w:hAnsi="Arial"/>
                <w:sz w:val="14"/>
                <w:szCs w:val="14"/>
                <w:color w:val="auto"/>
              </w:rPr>
              <w:t>40th</w:t>
            </w:r>
          </w:p>
        </w:tc>
        <w:tc>
          <w:tcPr>
            <w:tcW w:w="11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50%</w:t>
            </w:r>
          </w:p>
        </w:tc>
        <w:tc>
          <w:tcPr>
            <w:tcW w:w="220" w:type="dxa"/>
            <w:vAlign w:val="bottom"/>
          </w:tcPr>
          <w:p>
            <w:pPr>
              <w:spacing w:after="0"/>
              <w:rPr>
                <w:sz w:val="22"/>
                <w:szCs w:val="22"/>
                <w:color w:val="auto"/>
              </w:rPr>
            </w:pPr>
          </w:p>
        </w:tc>
        <w:tc>
          <w:tcPr>
            <w:tcW w:w="2580" w:type="dxa"/>
            <w:vAlign w:val="bottom"/>
            <w:tcBorders>
              <w:bottom w:val="single" w:sz="8" w:color="959595"/>
            </w:tcBorders>
          </w:tcPr>
          <w:p>
            <w:pPr>
              <w:jc w:val="right"/>
              <w:ind w:right="750"/>
              <w:spacing w:after="0"/>
              <w:rPr>
                <w:sz w:val="20"/>
                <w:szCs w:val="20"/>
                <w:color w:val="auto"/>
              </w:rPr>
            </w:pPr>
            <w:r>
              <w:rPr>
                <w:rFonts w:ascii="Arial" w:cs="Arial" w:eastAsia="Arial" w:hAnsi="Arial"/>
                <w:sz w:val="14"/>
                <w:szCs w:val="14"/>
                <w:color w:val="auto"/>
              </w:rPr>
              <w:t>Plan + $0.5B</w:t>
            </w:r>
          </w:p>
        </w:tc>
        <w:tc>
          <w:tcPr>
            <w:tcW w:w="10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125%</w:t>
            </w:r>
          </w:p>
        </w:tc>
        <w:tc>
          <w:tcPr>
            <w:tcW w:w="220" w:type="dxa"/>
            <w:vAlign w:val="bottom"/>
          </w:tcPr>
          <w:p>
            <w:pPr>
              <w:spacing w:after="0"/>
              <w:rPr>
                <w:sz w:val="22"/>
                <w:szCs w:val="22"/>
                <w:color w:val="auto"/>
              </w:rPr>
            </w:pPr>
          </w:p>
        </w:tc>
        <w:tc>
          <w:tcPr>
            <w:tcW w:w="2400" w:type="dxa"/>
            <w:vAlign w:val="bottom"/>
            <w:tcBorders>
              <w:bottom w:val="single" w:sz="8" w:color="959595"/>
            </w:tcBorders>
          </w:tcPr>
          <w:p>
            <w:pPr>
              <w:jc w:val="right"/>
              <w:ind w:right="570"/>
              <w:spacing w:after="0"/>
              <w:rPr>
                <w:sz w:val="20"/>
                <w:szCs w:val="20"/>
                <w:color w:val="auto"/>
              </w:rPr>
            </w:pPr>
            <w:r>
              <w:rPr>
                <w:rFonts w:ascii="Arial" w:cs="Arial" w:eastAsia="Arial" w:hAnsi="Arial"/>
                <w:sz w:val="14"/>
                <w:szCs w:val="14"/>
                <w:color w:val="auto"/>
              </w:rPr>
              <w:t>Plan + 40 bps</w:t>
            </w:r>
          </w:p>
        </w:tc>
        <w:tc>
          <w:tcPr>
            <w:tcW w:w="12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959595"/>
            </w:tcBorders>
          </w:tcPr>
          <w:p>
            <w:pPr>
              <w:jc w:val="right"/>
              <w:ind w:right="630"/>
              <w:spacing w:after="0"/>
              <w:rPr>
                <w:sz w:val="20"/>
                <w:szCs w:val="20"/>
                <w:color w:val="auto"/>
              </w:rPr>
            </w:pPr>
            <w:r>
              <w:rPr>
                <w:rFonts w:ascii="Arial" w:cs="Arial" w:eastAsia="Arial" w:hAnsi="Arial"/>
                <w:sz w:val="14"/>
                <w:szCs w:val="14"/>
                <w:color w:val="auto"/>
              </w:rPr>
              <w:t>35th</w:t>
            </w:r>
          </w:p>
        </w:tc>
        <w:tc>
          <w:tcPr>
            <w:tcW w:w="11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25%</w:t>
            </w:r>
          </w:p>
        </w:tc>
        <w:tc>
          <w:tcPr>
            <w:tcW w:w="220" w:type="dxa"/>
            <w:vAlign w:val="bottom"/>
          </w:tcPr>
          <w:p>
            <w:pPr>
              <w:spacing w:after="0"/>
              <w:rPr>
                <w:sz w:val="22"/>
                <w:szCs w:val="22"/>
                <w:color w:val="auto"/>
              </w:rPr>
            </w:pPr>
          </w:p>
        </w:tc>
        <w:tc>
          <w:tcPr>
            <w:tcW w:w="2580" w:type="dxa"/>
            <w:vAlign w:val="bottom"/>
            <w:tcBorders>
              <w:bottom w:val="single" w:sz="8" w:color="959595"/>
            </w:tcBorders>
          </w:tcPr>
          <w:p>
            <w:pPr>
              <w:jc w:val="right"/>
              <w:ind w:right="750"/>
              <w:spacing w:after="0"/>
              <w:rPr>
                <w:sz w:val="20"/>
                <w:szCs w:val="20"/>
                <w:color w:val="auto"/>
              </w:rPr>
            </w:pPr>
            <w:r>
              <w:rPr>
                <w:rFonts w:ascii="Arial" w:cs="Arial" w:eastAsia="Arial" w:hAnsi="Arial"/>
                <w:sz w:val="14"/>
                <w:szCs w:val="14"/>
                <w:color w:val="auto"/>
              </w:rPr>
              <w:t>Plan</w:t>
            </w:r>
          </w:p>
        </w:tc>
        <w:tc>
          <w:tcPr>
            <w:tcW w:w="10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100%</w:t>
            </w:r>
          </w:p>
        </w:tc>
        <w:tc>
          <w:tcPr>
            <w:tcW w:w="220" w:type="dxa"/>
            <w:vAlign w:val="bottom"/>
          </w:tcPr>
          <w:p>
            <w:pPr>
              <w:spacing w:after="0"/>
              <w:rPr>
                <w:sz w:val="22"/>
                <w:szCs w:val="22"/>
                <w:color w:val="auto"/>
              </w:rPr>
            </w:pPr>
          </w:p>
        </w:tc>
        <w:tc>
          <w:tcPr>
            <w:tcW w:w="2400" w:type="dxa"/>
            <w:vAlign w:val="bottom"/>
            <w:tcBorders>
              <w:bottom w:val="single" w:sz="8" w:color="959595"/>
            </w:tcBorders>
          </w:tcPr>
          <w:p>
            <w:pPr>
              <w:jc w:val="right"/>
              <w:ind w:right="570"/>
              <w:spacing w:after="0"/>
              <w:rPr>
                <w:sz w:val="20"/>
                <w:szCs w:val="20"/>
                <w:color w:val="auto"/>
              </w:rPr>
            </w:pPr>
            <w:r>
              <w:rPr>
                <w:rFonts w:ascii="Arial" w:cs="Arial" w:eastAsia="Arial" w:hAnsi="Arial"/>
                <w:sz w:val="14"/>
                <w:szCs w:val="14"/>
                <w:color w:val="auto"/>
              </w:rPr>
              <w:t>Plan</w:t>
            </w:r>
          </w:p>
        </w:tc>
        <w:tc>
          <w:tcPr>
            <w:tcW w:w="12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959595"/>
            </w:tcBorders>
          </w:tcPr>
          <w:p>
            <w:pPr>
              <w:jc w:val="right"/>
              <w:ind w:right="630"/>
              <w:spacing w:after="0"/>
              <w:rPr>
                <w:sz w:val="20"/>
                <w:szCs w:val="20"/>
                <w:color w:val="auto"/>
              </w:rPr>
            </w:pPr>
            <w:r>
              <w:rPr>
                <w:rFonts w:ascii="Arial" w:cs="Arial" w:eastAsia="Arial" w:hAnsi="Arial"/>
                <w:sz w:val="14"/>
                <w:szCs w:val="14"/>
                <w:color w:val="auto"/>
              </w:rPr>
              <w:t>&lt; 35th</w:t>
            </w:r>
          </w:p>
        </w:tc>
        <w:tc>
          <w:tcPr>
            <w:tcW w:w="11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0%</w:t>
            </w:r>
          </w:p>
        </w:tc>
        <w:tc>
          <w:tcPr>
            <w:tcW w:w="220" w:type="dxa"/>
            <w:vAlign w:val="bottom"/>
          </w:tcPr>
          <w:p>
            <w:pPr>
              <w:spacing w:after="0"/>
              <w:rPr>
                <w:sz w:val="22"/>
                <w:szCs w:val="22"/>
                <w:color w:val="auto"/>
              </w:rPr>
            </w:pPr>
          </w:p>
        </w:tc>
        <w:tc>
          <w:tcPr>
            <w:tcW w:w="2580" w:type="dxa"/>
            <w:vAlign w:val="bottom"/>
            <w:tcBorders>
              <w:bottom w:val="single" w:sz="8" w:color="959595"/>
            </w:tcBorders>
          </w:tcPr>
          <w:p>
            <w:pPr>
              <w:jc w:val="right"/>
              <w:ind w:right="750"/>
              <w:spacing w:after="0"/>
              <w:rPr>
                <w:sz w:val="20"/>
                <w:szCs w:val="20"/>
                <w:color w:val="auto"/>
              </w:rPr>
            </w:pPr>
            <w:r>
              <w:rPr>
                <w:rFonts w:ascii="Arial" w:cs="Arial" w:eastAsia="Arial" w:hAnsi="Arial"/>
                <w:sz w:val="14"/>
                <w:szCs w:val="14"/>
                <w:color w:val="auto"/>
              </w:rPr>
              <w:t>Plan - $0.2B</w:t>
            </w:r>
          </w:p>
        </w:tc>
        <w:tc>
          <w:tcPr>
            <w:tcW w:w="10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75%</w:t>
            </w:r>
          </w:p>
        </w:tc>
        <w:tc>
          <w:tcPr>
            <w:tcW w:w="220" w:type="dxa"/>
            <w:vAlign w:val="bottom"/>
          </w:tcPr>
          <w:p>
            <w:pPr>
              <w:spacing w:after="0"/>
              <w:rPr>
                <w:sz w:val="22"/>
                <w:szCs w:val="22"/>
                <w:color w:val="auto"/>
              </w:rPr>
            </w:pPr>
          </w:p>
        </w:tc>
        <w:tc>
          <w:tcPr>
            <w:tcW w:w="2400" w:type="dxa"/>
            <w:vAlign w:val="bottom"/>
            <w:tcBorders>
              <w:bottom w:val="single" w:sz="8" w:color="959595"/>
            </w:tcBorders>
          </w:tcPr>
          <w:p>
            <w:pPr>
              <w:jc w:val="right"/>
              <w:ind w:right="570"/>
              <w:spacing w:after="0"/>
              <w:rPr>
                <w:sz w:val="20"/>
                <w:szCs w:val="20"/>
                <w:color w:val="auto"/>
              </w:rPr>
            </w:pPr>
            <w:r>
              <w:rPr>
                <w:rFonts w:ascii="Arial" w:cs="Arial" w:eastAsia="Arial" w:hAnsi="Arial"/>
                <w:sz w:val="14"/>
                <w:szCs w:val="14"/>
                <w:color w:val="auto"/>
              </w:rPr>
              <w:t>Plan - 10 bps</w:t>
            </w:r>
          </w:p>
        </w:tc>
        <w:tc>
          <w:tcPr>
            <w:tcW w:w="12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73"/>
        </w:trPr>
        <w:tc>
          <w:tcPr>
            <w:tcW w:w="3560" w:type="dxa"/>
            <w:vAlign w:val="bottom"/>
            <w:gridSpan w:val="2"/>
          </w:tcPr>
          <w:p>
            <w:pPr>
              <w:jc w:val="right"/>
              <w:ind w:right="9"/>
              <w:spacing w:after="0"/>
              <w:rPr>
                <w:sz w:val="20"/>
                <w:szCs w:val="20"/>
                <w:color w:val="auto"/>
              </w:rPr>
            </w:pPr>
            <w:r>
              <w:rPr>
                <w:rFonts w:ascii="Arial" w:cs="Arial" w:eastAsia="Arial" w:hAnsi="Arial"/>
                <w:sz w:val="14"/>
                <w:szCs w:val="14"/>
                <w:color w:val="auto"/>
              </w:rPr>
              <w:t>*  2018-2020 Relative TSR performance is measured</w:t>
            </w:r>
          </w:p>
        </w:tc>
        <w:tc>
          <w:tcPr>
            <w:tcW w:w="220" w:type="dxa"/>
            <w:vAlign w:val="bottom"/>
          </w:tcPr>
          <w:p>
            <w:pPr>
              <w:spacing w:after="0"/>
              <w:rPr>
                <w:sz w:val="15"/>
                <w:szCs w:val="15"/>
                <w:color w:val="auto"/>
              </w:rPr>
            </w:pPr>
          </w:p>
        </w:tc>
        <w:tc>
          <w:tcPr>
            <w:tcW w:w="2580" w:type="dxa"/>
            <w:vAlign w:val="bottom"/>
            <w:vMerge w:val="restart"/>
          </w:tcPr>
          <w:p>
            <w:pPr>
              <w:jc w:val="right"/>
              <w:ind w:right="750"/>
              <w:spacing w:after="0"/>
              <w:rPr>
                <w:sz w:val="20"/>
                <w:szCs w:val="20"/>
                <w:color w:val="auto"/>
              </w:rPr>
            </w:pPr>
            <w:r>
              <w:rPr>
                <w:rFonts w:ascii="Arial" w:cs="Arial" w:eastAsia="Arial" w:hAnsi="Arial"/>
                <w:sz w:val="14"/>
                <w:szCs w:val="14"/>
                <w:color w:val="auto"/>
              </w:rPr>
              <w:t>Plan - $0.5B</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50%</w:t>
            </w:r>
          </w:p>
        </w:tc>
        <w:tc>
          <w:tcPr>
            <w:tcW w:w="220" w:type="dxa"/>
            <w:vAlign w:val="bottom"/>
          </w:tcPr>
          <w:p>
            <w:pPr>
              <w:spacing w:after="0"/>
              <w:rPr>
                <w:sz w:val="15"/>
                <w:szCs w:val="15"/>
                <w:color w:val="auto"/>
              </w:rPr>
            </w:pPr>
          </w:p>
        </w:tc>
        <w:tc>
          <w:tcPr>
            <w:tcW w:w="2400" w:type="dxa"/>
            <w:vAlign w:val="bottom"/>
            <w:vMerge w:val="restart"/>
          </w:tcPr>
          <w:p>
            <w:pPr>
              <w:jc w:val="right"/>
              <w:ind w:right="570"/>
              <w:spacing w:after="0"/>
              <w:rPr>
                <w:sz w:val="20"/>
                <w:szCs w:val="20"/>
                <w:color w:val="auto"/>
              </w:rPr>
            </w:pPr>
            <w:r>
              <w:rPr>
                <w:rFonts w:ascii="Arial" w:cs="Arial" w:eastAsia="Arial" w:hAnsi="Arial"/>
                <w:sz w:val="14"/>
                <w:szCs w:val="14"/>
                <w:color w:val="auto"/>
              </w:rPr>
              <w:t>Plan - 20 bps</w:t>
            </w: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95"/>
        </w:trPr>
        <w:tc>
          <w:tcPr>
            <w:tcW w:w="3560" w:type="dxa"/>
            <w:vAlign w:val="bottom"/>
            <w:gridSpan w:val="2"/>
            <w:vMerge w:val="restart"/>
          </w:tcPr>
          <w:p>
            <w:pPr>
              <w:ind w:left="180"/>
              <w:spacing w:after="0"/>
              <w:rPr>
                <w:sz w:val="20"/>
                <w:szCs w:val="20"/>
                <w:color w:val="auto"/>
              </w:rPr>
            </w:pPr>
            <w:r>
              <w:rPr>
                <w:rFonts w:ascii="Arial" w:cs="Arial" w:eastAsia="Arial" w:hAnsi="Arial"/>
                <w:sz w:val="14"/>
                <w:szCs w:val="14"/>
                <w:color w:val="auto"/>
              </w:rPr>
              <w:t>against our industry peers in the S&amp;P Aerospace</w:t>
            </w:r>
          </w:p>
        </w:tc>
        <w:tc>
          <w:tcPr>
            <w:tcW w:w="220" w:type="dxa"/>
            <w:vAlign w:val="bottom"/>
          </w:tcPr>
          <w:p>
            <w:pPr>
              <w:spacing w:after="0"/>
              <w:rPr>
                <w:sz w:val="7"/>
                <w:szCs w:val="7"/>
                <w:color w:val="auto"/>
              </w:rPr>
            </w:pPr>
          </w:p>
        </w:tc>
        <w:tc>
          <w:tcPr>
            <w:tcW w:w="2580" w:type="dxa"/>
            <w:vAlign w:val="bottom"/>
            <w:tcBorders>
              <w:bottom w:val="single" w:sz="8" w:color="959595"/>
            </w:tcBorders>
            <w:vMerge w:val="continue"/>
          </w:tcPr>
          <w:p>
            <w:pPr>
              <w:spacing w:after="0"/>
              <w:rPr>
                <w:sz w:val="7"/>
                <w:szCs w:val="7"/>
                <w:color w:val="auto"/>
              </w:rPr>
            </w:pPr>
          </w:p>
        </w:tc>
        <w:tc>
          <w:tcPr>
            <w:tcW w:w="1000" w:type="dxa"/>
            <w:vAlign w:val="bottom"/>
            <w:tcBorders>
              <w:bottom w:val="single" w:sz="8" w:color="959595"/>
            </w:tcBorders>
            <w:vMerge w:val="continue"/>
          </w:tcPr>
          <w:p>
            <w:pPr>
              <w:spacing w:after="0"/>
              <w:rPr>
                <w:sz w:val="7"/>
                <w:szCs w:val="7"/>
                <w:color w:val="auto"/>
              </w:rPr>
            </w:pPr>
          </w:p>
        </w:tc>
        <w:tc>
          <w:tcPr>
            <w:tcW w:w="220" w:type="dxa"/>
            <w:vAlign w:val="bottom"/>
          </w:tcPr>
          <w:p>
            <w:pPr>
              <w:spacing w:after="0"/>
              <w:rPr>
                <w:sz w:val="7"/>
                <w:szCs w:val="7"/>
                <w:color w:val="auto"/>
              </w:rPr>
            </w:pPr>
          </w:p>
        </w:tc>
        <w:tc>
          <w:tcPr>
            <w:tcW w:w="2400" w:type="dxa"/>
            <w:vAlign w:val="bottom"/>
            <w:tcBorders>
              <w:bottom w:val="single" w:sz="8" w:color="959595"/>
            </w:tcBorders>
            <w:vMerge w:val="continue"/>
          </w:tcPr>
          <w:p>
            <w:pPr>
              <w:spacing w:after="0"/>
              <w:rPr>
                <w:sz w:val="7"/>
                <w:szCs w:val="7"/>
                <w:color w:val="auto"/>
              </w:rPr>
            </w:pPr>
          </w:p>
        </w:tc>
        <w:tc>
          <w:tcPr>
            <w:tcW w:w="1220" w:type="dxa"/>
            <w:vAlign w:val="bottom"/>
            <w:tcBorders>
              <w:bottom w:val="single" w:sz="8" w:color="959595"/>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35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25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2420" w:type="dxa"/>
            <w:vAlign w:val="bottom"/>
          </w:tcPr>
          <w:p>
            <w:pPr>
              <w:ind w:left="180"/>
              <w:spacing w:after="0"/>
              <w:rPr>
                <w:sz w:val="20"/>
                <w:szCs w:val="20"/>
                <w:color w:val="auto"/>
              </w:rPr>
            </w:pPr>
            <w:r>
              <w:rPr>
                <w:rFonts w:ascii="Arial" w:cs="Arial" w:eastAsia="Arial" w:hAnsi="Arial"/>
                <w:sz w:val="14"/>
                <w:szCs w:val="14"/>
                <w:color w:val="auto"/>
              </w:rPr>
              <w:t>Index.</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Borders>
              <w:bottom w:val="single" w:sz="8" w:color="959595"/>
            </w:tcBorders>
          </w:tcPr>
          <w:p>
            <w:pPr>
              <w:jc w:val="right"/>
              <w:ind w:right="750"/>
              <w:spacing w:after="0"/>
              <w:rPr>
                <w:sz w:val="20"/>
                <w:szCs w:val="20"/>
                <w:color w:val="auto"/>
              </w:rPr>
            </w:pPr>
            <w:r>
              <w:rPr>
                <w:rFonts w:ascii="Arial" w:cs="Arial" w:eastAsia="Arial" w:hAnsi="Arial"/>
                <w:sz w:val="14"/>
                <w:szCs w:val="14"/>
                <w:color w:val="auto"/>
              </w:rPr>
              <w:t>Plan - $0.7B</w:t>
            </w:r>
          </w:p>
        </w:tc>
        <w:tc>
          <w:tcPr>
            <w:tcW w:w="10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25%</w:t>
            </w:r>
          </w:p>
        </w:tc>
        <w:tc>
          <w:tcPr>
            <w:tcW w:w="220" w:type="dxa"/>
            <w:vAlign w:val="bottom"/>
          </w:tcPr>
          <w:p>
            <w:pPr>
              <w:spacing w:after="0"/>
              <w:rPr>
                <w:sz w:val="18"/>
                <w:szCs w:val="18"/>
                <w:color w:val="auto"/>
              </w:rPr>
            </w:pPr>
          </w:p>
        </w:tc>
        <w:tc>
          <w:tcPr>
            <w:tcW w:w="2400" w:type="dxa"/>
            <w:vAlign w:val="bottom"/>
            <w:tcBorders>
              <w:bottom w:val="single" w:sz="8" w:color="959595"/>
            </w:tcBorders>
          </w:tcPr>
          <w:p>
            <w:pPr>
              <w:jc w:val="right"/>
              <w:ind w:right="570"/>
              <w:spacing w:after="0"/>
              <w:rPr>
                <w:sz w:val="20"/>
                <w:szCs w:val="20"/>
                <w:color w:val="auto"/>
              </w:rPr>
            </w:pPr>
            <w:r>
              <w:rPr>
                <w:rFonts w:ascii="Arial" w:cs="Arial" w:eastAsia="Arial" w:hAnsi="Arial"/>
                <w:sz w:val="14"/>
                <w:szCs w:val="14"/>
                <w:color w:val="auto"/>
              </w:rPr>
              <w:t>Plan - 30 bps</w:t>
            </w:r>
          </w:p>
        </w:tc>
        <w:tc>
          <w:tcPr>
            <w:tcW w:w="12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580" w:type="dxa"/>
            <w:vAlign w:val="bottom"/>
            <w:tcBorders>
              <w:bottom w:val="single" w:sz="8" w:color="959595"/>
            </w:tcBorders>
          </w:tcPr>
          <w:p>
            <w:pPr>
              <w:jc w:val="right"/>
              <w:ind w:right="750"/>
              <w:spacing w:after="0"/>
              <w:rPr>
                <w:sz w:val="20"/>
                <w:szCs w:val="20"/>
                <w:color w:val="auto"/>
              </w:rPr>
            </w:pPr>
            <w:r>
              <w:rPr>
                <w:rFonts w:ascii="Arial" w:cs="Arial" w:eastAsia="Arial" w:hAnsi="Arial"/>
                <w:sz w:val="14"/>
                <w:szCs w:val="14"/>
                <w:color w:val="auto"/>
              </w:rPr>
              <w:t>Below Plan - $0.7B</w:t>
            </w:r>
          </w:p>
        </w:tc>
        <w:tc>
          <w:tcPr>
            <w:tcW w:w="10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0%</w:t>
            </w:r>
          </w:p>
        </w:tc>
        <w:tc>
          <w:tcPr>
            <w:tcW w:w="220" w:type="dxa"/>
            <w:vAlign w:val="bottom"/>
          </w:tcPr>
          <w:p>
            <w:pPr>
              <w:spacing w:after="0"/>
              <w:rPr>
                <w:sz w:val="22"/>
                <w:szCs w:val="22"/>
                <w:color w:val="auto"/>
              </w:rPr>
            </w:pPr>
          </w:p>
        </w:tc>
        <w:tc>
          <w:tcPr>
            <w:tcW w:w="2400" w:type="dxa"/>
            <w:vAlign w:val="bottom"/>
            <w:tcBorders>
              <w:bottom w:val="single" w:sz="8" w:color="959595"/>
            </w:tcBorders>
          </w:tcPr>
          <w:p>
            <w:pPr>
              <w:jc w:val="right"/>
              <w:ind w:right="570"/>
              <w:spacing w:after="0"/>
              <w:rPr>
                <w:sz w:val="20"/>
                <w:szCs w:val="20"/>
                <w:color w:val="auto"/>
              </w:rPr>
            </w:pPr>
            <w:r>
              <w:rPr>
                <w:rFonts w:ascii="Arial" w:cs="Arial" w:eastAsia="Arial" w:hAnsi="Arial"/>
                <w:sz w:val="14"/>
                <w:szCs w:val="14"/>
                <w:color w:val="auto"/>
              </w:rPr>
              <w:t>Below Plan - 30 bps</w:t>
            </w:r>
          </w:p>
        </w:tc>
        <w:tc>
          <w:tcPr>
            <w:tcW w:w="12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bl>
    <w:p>
      <w:pPr>
        <w:spacing w:after="0" w:line="344" w:lineRule="exact"/>
        <w:rPr>
          <w:sz w:val="20"/>
          <w:szCs w:val="20"/>
          <w:color w:val="auto"/>
        </w:rPr>
      </w:pPr>
    </w:p>
    <w:p>
      <w:pPr>
        <w:spacing w:after="0"/>
        <w:rPr>
          <w:sz w:val="20"/>
          <w:szCs w:val="20"/>
          <w:color w:val="auto"/>
        </w:rPr>
      </w:pPr>
      <w:r>
        <w:rPr>
          <w:rFonts w:ascii="Arial" w:cs="Arial" w:eastAsia="Arial" w:hAnsi="Arial"/>
          <w:sz w:val="22"/>
          <w:szCs w:val="22"/>
          <w:color w:val="848EB4"/>
        </w:rPr>
        <w:t>2016-2018 LTIP and PSU Awards</w:t>
      </w:r>
    </w:p>
    <w:p>
      <w:pPr>
        <w:spacing w:after="0" w:line="226"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The cash-based LTIP and share-based PSU payouts for the three-year performance period ended December 31, 2018, were calculated by comparing actual corporate performance for each metric for the period January 1, 2016 through December 31, 2018, against a table of payment levels from 0% to 200% (with the 100% payout level being considered target) established at the beginning of the performance period in January 2016.</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160" w:type="dxa"/>
            <w:vAlign w:val="bottom"/>
            <w:vMerge w:val="restart"/>
            <w:shd w:val="clear" w:color="auto" w:fill="ECECEC"/>
          </w:tcPr>
          <w:p>
            <w:pPr>
              <w:ind w:left="20"/>
              <w:spacing w:after="0"/>
              <w:rPr>
                <w:sz w:val="20"/>
                <w:szCs w:val="20"/>
                <w:color w:val="auto"/>
              </w:rPr>
            </w:pPr>
            <w:r>
              <w:rPr>
                <w:rFonts w:ascii="Arial" w:cs="Arial" w:eastAsia="Arial" w:hAnsi="Arial"/>
                <w:sz w:val="13"/>
                <w:szCs w:val="13"/>
                <w:color w:val="auto"/>
              </w:rPr>
              <w:t>Measure</w:t>
            </w:r>
          </w:p>
        </w:tc>
        <w:tc>
          <w:tcPr>
            <w:tcW w:w="2920" w:type="dxa"/>
            <w:vAlign w:val="bottom"/>
            <w:shd w:val="clear" w:color="auto" w:fill="ECECEC"/>
          </w:tcPr>
          <w:p>
            <w:pPr>
              <w:jc w:val="right"/>
              <w:ind w:right="132"/>
              <w:spacing w:after="0"/>
              <w:rPr>
                <w:sz w:val="20"/>
                <w:szCs w:val="20"/>
                <w:color w:val="auto"/>
              </w:rPr>
            </w:pPr>
            <w:r>
              <w:rPr>
                <w:rFonts w:ascii="Arial" w:cs="Arial" w:eastAsia="Arial" w:hAnsi="Arial"/>
                <w:sz w:val="13"/>
                <w:szCs w:val="13"/>
                <w:color w:val="auto"/>
              </w:rPr>
              <w:t>Performance</w:t>
            </w:r>
          </w:p>
        </w:tc>
        <w:tc>
          <w:tcPr>
            <w:tcW w:w="1240" w:type="dxa"/>
            <w:vAlign w:val="bottom"/>
            <w:shd w:val="clear" w:color="auto" w:fill="ECECEC"/>
          </w:tcPr>
          <w:p>
            <w:pPr>
              <w:jc w:val="right"/>
              <w:ind w:right="192"/>
              <w:spacing w:after="0"/>
              <w:rPr>
                <w:sz w:val="20"/>
                <w:szCs w:val="20"/>
                <w:color w:val="auto"/>
              </w:rPr>
            </w:pPr>
            <w:r>
              <w:rPr>
                <w:rFonts w:ascii="Arial" w:cs="Arial" w:eastAsia="Arial" w:hAnsi="Arial"/>
                <w:sz w:val="13"/>
                <w:szCs w:val="13"/>
                <w:color w:val="auto"/>
              </w:rPr>
              <w:t>Performance</w:t>
            </w:r>
          </w:p>
        </w:tc>
        <w:tc>
          <w:tcPr>
            <w:tcW w:w="940" w:type="dxa"/>
            <w:vAlign w:val="bottom"/>
            <w:vMerge w:val="restart"/>
            <w:shd w:val="clear" w:color="auto" w:fill="ECECEC"/>
          </w:tcPr>
          <w:p>
            <w:pPr>
              <w:jc w:val="right"/>
              <w:ind w:right="190"/>
              <w:spacing w:after="0"/>
              <w:rPr>
                <w:sz w:val="20"/>
                <w:szCs w:val="20"/>
                <w:color w:val="auto"/>
              </w:rPr>
            </w:pPr>
            <w:r>
              <w:rPr>
                <w:rFonts w:ascii="Arial" w:cs="Arial" w:eastAsia="Arial" w:hAnsi="Arial"/>
                <w:sz w:val="13"/>
                <w:szCs w:val="13"/>
                <w:color w:val="auto"/>
              </w:rPr>
              <w:t>Weighting</w:t>
            </w:r>
          </w:p>
        </w:tc>
        <w:tc>
          <w:tcPr>
            <w:tcW w:w="1080" w:type="dxa"/>
            <w:vAlign w:val="bottom"/>
            <w:vMerge w:val="restart"/>
            <w:shd w:val="clear" w:color="auto" w:fill="ECECEC"/>
          </w:tcPr>
          <w:p>
            <w:pPr>
              <w:jc w:val="right"/>
              <w:ind w:right="90"/>
              <w:spacing w:after="0"/>
              <w:rPr>
                <w:sz w:val="20"/>
                <w:szCs w:val="20"/>
                <w:color w:val="auto"/>
              </w:rPr>
            </w:pPr>
            <w:r>
              <w:rPr>
                <w:rFonts w:ascii="Arial" w:cs="Arial" w:eastAsia="Arial" w:hAnsi="Arial"/>
                <w:sz w:val="13"/>
                <w:szCs w:val="13"/>
                <w:color w:val="auto"/>
              </w:rPr>
              <w:t>Payout Factor</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160" w:type="dxa"/>
            <w:vAlign w:val="bottom"/>
            <w:tcBorders>
              <w:bottom w:val="single" w:sz="8" w:color="959595"/>
            </w:tcBorders>
            <w:vMerge w:val="continue"/>
            <w:shd w:val="clear" w:color="auto" w:fill="ECECEC"/>
          </w:tcPr>
          <w:p>
            <w:pPr>
              <w:spacing w:after="0"/>
              <w:rPr>
                <w:sz w:val="15"/>
                <w:szCs w:val="15"/>
                <w:color w:val="auto"/>
              </w:rPr>
            </w:pPr>
          </w:p>
        </w:tc>
        <w:tc>
          <w:tcPr>
            <w:tcW w:w="2920" w:type="dxa"/>
            <w:vAlign w:val="bottom"/>
            <w:tcBorders>
              <w:bottom w:val="single" w:sz="8" w:color="959595"/>
            </w:tcBorders>
            <w:shd w:val="clear" w:color="auto" w:fill="ECECEC"/>
          </w:tcPr>
          <w:p>
            <w:pPr>
              <w:jc w:val="right"/>
              <w:ind w:right="132"/>
              <w:spacing w:after="0"/>
              <w:rPr>
                <w:sz w:val="20"/>
                <w:szCs w:val="20"/>
                <w:color w:val="auto"/>
              </w:rPr>
            </w:pPr>
            <w:r>
              <w:rPr>
                <w:rFonts w:ascii="Arial" w:cs="Arial" w:eastAsia="Arial" w:hAnsi="Arial"/>
                <w:sz w:val="13"/>
                <w:szCs w:val="13"/>
                <w:color w:val="auto"/>
              </w:rPr>
              <w:t>Target</w:t>
            </w:r>
          </w:p>
        </w:tc>
        <w:tc>
          <w:tcPr>
            <w:tcW w:w="1240" w:type="dxa"/>
            <w:vAlign w:val="bottom"/>
            <w:tcBorders>
              <w:bottom w:val="single" w:sz="8" w:color="959595"/>
            </w:tcBorders>
            <w:shd w:val="clear" w:color="auto" w:fill="ECECEC"/>
          </w:tcPr>
          <w:p>
            <w:pPr>
              <w:jc w:val="right"/>
              <w:ind w:right="192"/>
              <w:spacing w:after="0"/>
              <w:rPr>
                <w:sz w:val="20"/>
                <w:szCs w:val="20"/>
                <w:color w:val="auto"/>
              </w:rPr>
            </w:pPr>
            <w:r>
              <w:rPr>
                <w:rFonts w:ascii="Arial" w:cs="Arial" w:eastAsia="Arial" w:hAnsi="Arial"/>
                <w:sz w:val="13"/>
                <w:szCs w:val="13"/>
                <w:color w:val="auto"/>
              </w:rPr>
              <w:t>Result</w:t>
            </w:r>
          </w:p>
        </w:tc>
        <w:tc>
          <w:tcPr>
            <w:tcW w:w="940" w:type="dxa"/>
            <w:vAlign w:val="bottom"/>
            <w:tcBorders>
              <w:bottom w:val="single" w:sz="8" w:color="959595"/>
            </w:tcBorders>
            <w:vMerge w:val="continue"/>
            <w:shd w:val="clear" w:color="auto" w:fill="ECECEC"/>
          </w:tcPr>
          <w:p>
            <w:pPr>
              <w:spacing w:after="0"/>
              <w:rPr>
                <w:sz w:val="15"/>
                <w:szCs w:val="15"/>
                <w:color w:val="auto"/>
              </w:rPr>
            </w:pPr>
          </w:p>
        </w:tc>
        <w:tc>
          <w:tcPr>
            <w:tcW w:w="1080" w:type="dxa"/>
            <w:vAlign w:val="bottom"/>
            <w:tcBorders>
              <w:bottom w:val="single" w:sz="8" w:color="959595"/>
            </w:tcBorders>
            <w:vMerge w:val="continue"/>
            <w:shd w:val="clear" w:color="auto" w:fill="ECECE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Borders>
              <w:bottom w:val="single" w:sz="8" w:color="959595"/>
            </w:tcBorders>
          </w:tcPr>
          <w:p>
            <w:pPr>
              <w:ind w:left="20"/>
              <w:spacing w:after="0"/>
              <w:rPr>
                <w:sz w:val="20"/>
                <w:szCs w:val="20"/>
                <w:color w:val="auto"/>
              </w:rPr>
            </w:pPr>
            <w:r>
              <w:rPr>
                <w:rFonts w:ascii="Arial" w:cs="Arial" w:eastAsia="Arial" w:hAnsi="Arial"/>
                <w:sz w:val="14"/>
                <w:szCs w:val="14"/>
                <w:color w:val="auto"/>
              </w:rPr>
              <w:t>Relative TSR</w:t>
            </w:r>
          </w:p>
        </w:tc>
        <w:tc>
          <w:tcPr>
            <w:tcW w:w="2920" w:type="dxa"/>
            <w:vAlign w:val="bottom"/>
            <w:tcBorders>
              <w:bottom w:val="single" w:sz="8" w:color="959595"/>
            </w:tcBorders>
          </w:tcPr>
          <w:p>
            <w:pPr>
              <w:jc w:val="right"/>
              <w:ind w:right="132"/>
              <w:spacing w:after="0" w:line="216" w:lineRule="exact"/>
              <w:rPr>
                <w:sz w:val="20"/>
                <w:szCs w:val="20"/>
                <w:color w:val="auto"/>
              </w:rPr>
            </w:pPr>
            <w:r>
              <w:rPr>
                <w:rFonts w:ascii="Arial" w:cs="Arial" w:eastAsia="Arial" w:hAnsi="Arial"/>
                <w:sz w:val="14"/>
                <w:szCs w:val="14"/>
                <w:color w:val="auto"/>
              </w:rPr>
              <w:t>50</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Percentile</w:t>
            </w:r>
          </w:p>
        </w:tc>
        <w:tc>
          <w:tcPr>
            <w:tcW w:w="1240" w:type="dxa"/>
            <w:vAlign w:val="bottom"/>
            <w:tcBorders>
              <w:bottom w:val="single" w:sz="8" w:color="959595"/>
            </w:tcBorders>
          </w:tcPr>
          <w:p>
            <w:pPr>
              <w:jc w:val="right"/>
              <w:ind w:right="192"/>
              <w:spacing w:after="0" w:line="216" w:lineRule="exact"/>
              <w:rPr>
                <w:sz w:val="20"/>
                <w:szCs w:val="20"/>
                <w:color w:val="auto"/>
              </w:rPr>
            </w:pPr>
            <w:r>
              <w:rPr>
                <w:rFonts w:ascii="Arial" w:cs="Arial" w:eastAsia="Arial" w:hAnsi="Arial"/>
                <w:sz w:val="14"/>
                <w:szCs w:val="14"/>
                <w:color w:val="auto"/>
              </w:rPr>
              <w:t>44</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Percentile</w:t>
            </w:r>
          </w:p>
        </w:tc>
        <w:tc>
          <w:tcPr>
            <w:tcW w:w="940" w:type="dxa"/>
            <w:vAlign w:val="bottom"/>
            <w:tcBorders>
              <w:bottom w:val="single" w:sz="8" w:color="959595"/>
            </w:tcBorders>
          </w:tcPr>
          <w:p>
            <w:pPr>
              <w:jc w:val="right"/>
              <w:ind w:right="50"/>
              <w:spacing w:after="0"/>
              <w:rPr>
                <w:sz w:val="20"/>
                <w:szCs w:val="20"/>
                <w:color w:val="auto"/>
              </w:rPr>
            </w:pPr>
            <w:r>
              <w:rPr>
                <w:rFonts w:ascii="Arial" w:cs="Arial" w:eastAsia="Arial" w:hAnsi="Arial"/>
                <w:sz w:val="14"/>
                <w:szCs w:val="14"/>
                <w:color w:val="auto"/>
              </w:rPr>
              <w:t>50%</w:t>
            </w:r>
          </w:p>
        </w:tc>
        <w:tc>
          <w:tcPr>
            <w:tcW w:w="10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72.2%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160" w:type="dxa"/>
            <w:vAlign w:val="bottom"/>
            <w:tcBorders>
              <w:bottom w:val="single" w:sz="8" w:color="959595"/>
            </w:tcBorders>
          </w:tcPr>
          <w:p>
            <w:pPr>
              <w:ind w:left="20"/>
              <w:spacing w:after="0"/>
              <w:rPr>
                <w:sz w:val="20"/>
                <w:szCs w:val="20"/>
                <w:color w:val="auto"/>
              </w:rPr>
            </w:pPr>
            <w:r>
              <w:rPr>
                <w:rFonts w:ascii="Arial" w:cs="Arial" w:eastAsia="Arial" w:hAnsi="Arial"/>
                <w:sz w:val="14"/>
                <w:szCs w:val="14"/>
                <w:color w:val="auto"/>
              </w:rPr>
              <w:t>Performance Cash*</w:t>
            </w:r>
          </w:p>
        </w:tc>
        <w:tc>
          <w:tcPr>
            <w:tcW w:w="2920" w:type="dxa"/>
            <w:vAlign w:val="bottom"/>
            <w:tcBorders>
              <w:bottom w:val="single" w:sz="8" w:color="959595"/>
            </w:tcBorders>
          </w:tcPr>
          <w:p>
            <w:pPr>
              <w:jc w:val="right"/>
              <w:ind w:right="132"/>
              <w:spacing w:after="0"/>
              <w:rPr>
                <w:sz w:val="20"/>
                <w:szCs w:val="20"/>
                <w:color w:val="auto"/>
              </w:rPr>
            </w:pPr>
            <w:r>
              <w:rPr>
                <w:rFonts w:ascii="Arial" w:cs="Arial" w:eastAsia="Arial" w:hAnsi="Arial"/>
                <w:sz w:val="14"/>
                <w:szCs w:val="14"/>
                <w:color w:val="auto"/>
              </w:rPr>
              <w:t>$14.6B</w:t>
            </w:r>
          </w:p>
        </w:tc>
        <w:tc>
          <w:tcPr>
            <w:tcW w:w="1240" w:type="dxa"/>
            <w:vAlign w:val="bottom"/>
            <w:tcBorders>
              <w:bottom w:val="single" w:sz="8" w:color="959595"/>
            </w:tcBorders>
          </w:tcPr>
          <w:p>
            <w:pPr>
              <w:jc w:val="right"/>
              <w:ind w:right="192"/>
              <w:spacing w:after="0"/>
              <w:rPr>
                <w:sz w:val="20"/>
                <w:szCs w:val="20"/>
                <w:color w:val="auto"/>
              </w:rPr>
            </w:pPr>
            <w:r>
              <w:rPr>
                <w:rFonts w:ascii="Arial" w:cs="Arial" w:eastAsia="Arial" w:hAnsi="Arial"/>
                <w:sz w:val="14"/>
                <w:szCs w:val="14"/>
                <w:color w:val="auto"/>
              </w:rPr>
              <w:t>$17.9B</w:t>
            </w:r>
          </w:p>
        </w:tc>
        <w:tc>
          <w:tcPr>
            <w:tcW w:w="940" w:type="dxa"/>
            <w:vAlign w:val="bottom"/>
            <w:tcBorders>
              <w:bottom w:val="single" w:sz="8" w:color="959595"/>
            </w:tcBorders>
          </w:tcPr>
          <w:p>
            <w:pPr>
              <w:jc w:val="right"/>
              <w:ind w:right="50"/>
              <w:spacing w:after="0"/>
              <w:rPr>
                <w:sz w:val="20"/>
                <w:szCs w:val="20"/>
                <w:color w:val="auto"/>
              </w:rPr>
            </w:pPr>
            <w:r>
              <w:rPr>
                <w:rFonts w:ascii="Arial" w:cs="Arial" w:eastAsia="Arial" w:hAnsi="Arial"/>
                <w:sz w:val="14"/>
                <w:szCs w:val="14"/>
                <w:color w:val="auto"/>
              </w:rPr>
              <w:t>25%</w:t>
            </w:r>
          </w:p>
        </w:tc>
        <w:tc>
          <w:tcPr>
            <w:tcW w:w="10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bottom w:val="single" w:sz="8" w:color="959595"/>
            </w:tcBorders>
          </w:tcPr>
          <w:p>
            <w:pPr>
              <w:ind w:left="20"/>
              <w:spacing w:after="0"/>
              <w:rPr>
                <w:sz w:val="20"/>
                <w:szCs w:val="20"/>
                <w:color w:val="auto"/>
              </w:rPr>
            </w:pPr>
            <w:r>
              <w:rPr>
                <w:rFonts w:ascii="Arial" w:cs="Arial" w:eastAsia="Arial" w:hAnsi="Arial"/>
                <w:sz w:val="14"/>
                <w:szCs w:val="14"/>
                <w:color w:val="auto"/>
              </w:rPr>
              <w:t>ROIC*</w:t>
            </w:r>
          </w:p>
        </w:tc>
        <w:tc>
          <w:tcPr>
            <w:tcW w:w="29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15.3%</w:t>
            </w:r>
          </w:p>
        </w:tc>
        <w:tc>
          <w:tcPr>
            <w:tcW w:w="1240" w:type="dxa"/>
            <w:vAlign w:val="bottom"/>
            <w:tcBorders>
              <w:bottom w:val="single" w:sz="8" w:color="959595"/>
            </w:tcBorders>
          </w:tcPr>
          <w:p>
            <w:pPr>
              <w:jc w:val="right"/>
              <w:ind w:right="52"/>
              <w:spacing w:after="0"/>
              <w:rPr>
                <w:sz w:val="20"/>
                <w:szCs w:val="20"/>
                <w:color w:val="auto"/>
              </w:rPr>
            </w:pPr>
            <w:r>
              <w:rPr>
                <w:rFonts w:ascii="Arial" w:cs="Arial" w:eastAsia="Arial" w:hAnsi="Arial"/>
                <w:sz w:val="14"/>
                <w:szCs w:val="14"/>
                <w:color w:val="auto"/>
              </w:rPr>
              <w:t>17.9%</w:t>
            </w:r>
          </w:p>
        </w:tc>
        <w:tc>
          <w:tcPr>
            <w:tcW w:w="940" w:type="dxa"/>
            <w:vAlign w:val="bottom"/>
            <w:tcBorders>
              <w:bottom w:val="single" w:sz="8" w:color="959595"/>
            </w:tcBorders>
          </w:tcPr>
          <w:p>
            <w:pPr>
              <w:jc w:val="right"/>
              <w:ind w:right="50"/>
              <w:spacing w:after="0"/>
              <w:rPr>
                <w:sz w:val="20"/>
                <w:szCs w:val="20"/>
                <w:color w:val="auto"/>
              </w:rPr>
            </w:pPr>
            <w:r>
              <w:rPr>
                <w:rFonts w:ascii="Arial" w:cs="Arial" w:eastAsia="Arial" w:hAnsi="Arial"/>
                <w:sz w:val="14"/>
                <w:szCs w:val="14"/>
                <w:color w:val="auto"/>
              </w:rPr>
              <w:t>25%</w:t>
            </w:r>
          </w:p>
        </w:tc>
        <w:tc>
          <w:tcPr>
            <w:tcW w:w="10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160" w:type="dxa"/>
            <w:vAlign w:val="bottom"/>
          </w:tcPr>
          <w:p>
            <w:pPr>
              <w:spacing w:after="0"/>
              <w:rPr>
                <w:sz w:val="20"/>
                <w:szCs w:val="20"/>
                <w:color w:val="auto"/>
              </w:rPr>
            </w:pPr>
            <w:r>
              <w:rPr>
                <w:rFonts w:ascii="Arial" w:cs="Arial" w:eastAsia="Arial" w:hAnsi="Arial"/>
                <w:sz w:val="14"/>
                <w:szCs w:val="14"/>
                <w:color w:val="auto"/>
              </w:rPr>
              <w:t>*  See Appendix A for definition of Non-GAAP terms.</w:t>
            </w:r>
          </w:p>
        </w:tc>
        <w:tc>
          <w:tcPr>
            <w:tcW w:w="29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92" w:right="239" w:bottom="1440" w:gutter="0" w:footer="0" w:header="0"/>
        </w:sectPr>
      </w:pPr>
    </w:p>
    <w:p>
      <w:pPr>
        <w:spacing w:after="0" w:line="217" w:lineRule="exact"/>
        <w:rPr>
          <w:sz w:val="20"/>
          <w:szCs w:val="20"/>
          <w:color w:val="auto"/>
        </w:rPr>
      </w:pPr>
    </w:p>
    <w:p>
      <w:pPr>
        <w:ind w:left="40"/>
        <w:spacing w:after="0"/>
        <w:tabs>
          <w:tab w:leader="none" w:pos="9420" w:val="left"/>
          <w:tab w:leader="none" w:pos="1122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2019 Proxy Statement</w:t>
      </w:r>
      <w:r>
        <w:rPr>
          <w:sz w:val="20"/>
          <w:szCs w:val="20"/>
          <w:color w:val="auto"/>
        </w:rPr>
        <w:tab/>
      </w:r>
      <w:r>
        <w:rPr>
          <w:rFonts w:ascii="Arial" w:cs="Arial" w:eastAsia="Arial" w:hAnsi="Arial"/>
          <w:sz w:val="14"/>
          <w:szCs w:val="14"/>
          <w:b w:val="1"/>
          <w:bCs w:val="1"/>
          <w:color w:val="808080"/>
        </w:rPr>
        <w:t>45</w:t>
      </w:r>
    </w:p>
    <w:p>
      <w:pPr>
        <w:sectPr>
          <w:pgSz w:w="11900" w:h="16838" w:orient="portrait"/>
          <w:cols w:equalWidth="0" w:num="1">
            <w:col w:w="11420"/>
          </w:cols>
          <w:pgMar w:left="240" w:top="292" w:right="2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5"/>
          <w:szCs w:val="15"/>
          <w:color w:val="003478"/>
        </w:rPr>
        <w:t>Executive Compensation</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color w:val="848EB4"/>
        </w:rPr>
        <w:t>2016-2018 LTIP Payouts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Based on a weighted payout factor of </w:t>
      </w:r>
      <w:r>
        <w:rPr>
          <w:rFonts w:ascii="Arial" w:cs="Arial" w:eastAsia="Arial" w:hAnsi="Arial"/>
          <w:sz w:val="17"/>
          <w:szCs w:val="17"/>
          <w:b w:val="1"/>
          <w:bCs w:val="1"/>
          <w:color w:val="auto"/>
        </w:rPr>
        <w:t>136.1%</w:t>
      </w:r>
      <w:r>
        <w:rPr>
          <w:rFonts w:ascii="Arial" w:cs="Arial" w:eastAsia="Arial" w:hAnsi="Arial"/>
          <w:sz w:val="17"/>
          <w:szCs w:val="17"/>
          <w:color w:val="auto"/>
        </w:rPr>
        <w:t>, the following table shows the payouts under the 2016-2018 LTIP made in January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246620" cy="4629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46291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10040"/>
        <w:spacing w:after="0"/>
        <w:rPr>
          <w:sz w:val="20"/>
          <w:szCs w:val="20"/>
          <w:color w:val="auto"/>
        </w:rPr>
      </w:pPr>
      <w:r>
        <w:rPr>
          <w:rFonts w:ascii="Arial" w:cs="Arial" w:eastAsia="Arial" w:hAnsi="Arial"/>
          <w:sz w:val="13"/>
          <w:szCs w:val="13"/>
          <w:color w:val="auto"/>
        </w:rPr>
        <w:t>2016–2018 LTIP</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9600" w:type="dxa"/>
            <w:vAlign w:val="bottom"/>
          </w:tcPr>
          <w:p>
            <w:pPr>
              <w:spacing w:after="0"/>
              <w:rPr>
                <w:sz w:val="21"/>
                <w:szCs w:val="21"/>
                <w:color w:val="auto"/>
              </w:rPr>
            </w:pPr>
          </w:p>
        </w:tc>
        <w:tc>
          <w:tcPr>
            <w:tcW w:w="920" w:type="dxa"/>
            <w:vAlign w:val="bottom"/>
            <w:tcBorders>
              <w:top w:val="single" w:sz="8" w:color="959595"/>
            </w:tcBorders>
            <w:shd w:val="clear" w:color="auto" w:fill="ECECEC"/>
          </w:tcPr>
          <w:p>
            <w:pPr>
              <w:jc w:val="right"/>
              <w:spacing w:after="0"/>
              <w:rPr>
                <w:sz w:val="20"/>
                <w:szCs w:val="20"/>
                <w:color w:val="auto"/>
              </w:rPr>
            </w:pPr>
            <w:r>
              <w:rPr>
                <w:rFonts w:ascii="Arial" w:cs="Arial" w:eastAsia="Arial" w:hAnsi="Arial"/>
                <w:sz w:val="13"/>
                <w:szCs w:val="13"/>
                <w:color w:val="auto"/>
              </w:rPr>
              <w:t>Target</w:t>
            </w:r>
          </w:p>
        </w:tc>
        <w:tc>
          <w:tcPr>
            <w:tcW w:w="900" w:type="dxa"/>
            <w:vAlign w:val="bottom"/>
            <w:tcBorders>
              <w:top w:val="single" w:sz="8" w:color="959595"/>
            </w:tcBorders>
            <w:shd w:val="clear" w:color="auto" w:fill="ECECEC"/>
          </w:tcPr>
          <w:p>
            <w:pPr>
              <w:jc w:val="right"/>
              <w:spacing w:after="0"/>
              <w:rPr>
                <w:sz w:val="20"/>
                <w:szCs w:val="20"/>
                <w:color w:val="auto"/>
              </w:rPr>
            </w:pPr>
            <w:r>
              <w:rPr>
                <w:rFonts w:ascii="Arial" w:cs="Arial" w:eastAsia="Arial" w:hAnsi="Arial"/>
                <w:sz w:val="13"/>
                <w:szCs w:val="13"/>
                <w:color w:val="auto"/>
              </w:rPr>
              <w:t>Payout</w:t>
            </w:r>
          </w:p>
        </w:tc>
      </w:tr>
      <w:tr>
        <w:trPr>
          <w:trHeight w:val="197"/>
        </w:trPr>
        <w:tc>
          <w:tcPr>
            <w:tcW w:w="9600" w:type="dxa"/>
            <w:vAlign w:val="bottom"/>
            <w:tcBorders>
              <w:bottom w:val="single" w:sz="8" w:color="959595"/>
            </w:tcBorders>
          </w:tcPr>
          <w:p>
            <w:pPr>
              <w:ind w:left="40"/>
              <w:spacing w:after="0"/>
              <w:rPr>
                <w:sz w:val="20"/>
                <w:szCs w:val="20"/>
                <w:color w:val="auto"/>
              </w:rPr>
            </w:pPr>
            <w:r>
              <w:rPr>
                <w:rFonts w:ascii="Arial" w:cs="Arial" w:eastAsia="Arial" w:hAnsi="Arial"/>
                <w:sz w:val="13"/>
                <w:szCs w:val="13"/>
                <w:color w:val="auto"/>
              </w:rPr>
              <w:t>NEO</w:t>
            </w:r>
          </w:p>
        </w:tc>
        <w:tc>
          <w:tcPr>
            <w:tcW w:w="920" w:type="dxa"/>
            <w:vAlign w:val="bottom"/>
            <w:tcBorders>
              <w:bottom w:val="single" w:sz="8" w:color="959595"/>
            </w:tcBorders>
            <w:shd w:val="clear" w:color="auto" w:fill="ECECEC"/>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959595"/>
            </w:tcBorders>
            <w:shd w:val="clear" w:color="auto" w:fill="ECECEC"/>
          </w:tcPr>
          <w:p>
            <w:pPr>
              <w:jc w:val="right"/>
              <w:spacing w:after="0"/>
              <w:rPr>
                <w:sz w:val="20"/>
                <w:szCs w:val="20"/>
                <w:color w:val="auto"/>
              </w:rPr>
            </w:pPr>
            <w:r>
              <w:rPr>
                <w:rFonts w:ascii="Arial" w:cs="Arial" w:eastAsia="Arial" w:hAnsi="Arial"/>
                <w:sz w:val="13"/>
                <w:szCs w:val="13"/>
                <w:color w:val="auto"/>
              </w:rPr>
              <w:t>($)</w:t>
            </w:r>
          </w:p>
        </w:tc>
      </w:tr>
      <w:tr>
        <w:trPr>
          <w:trHeight w:val="215"/>
        </w:trPr>
        <w:tc>
          <w:tcPr>
            <w:tcW w:w="960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012E6C"/>
              </w:rPr>
              <w:t>Ms. Hewson</w:t>
            </w:r>
          </w:p>
        </w:tc>
        <w:tc>
          <w:tcPr>
            <w:tcW w:w="9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2,307,000</w:t>
            </w:r>
          </w:p>
        </w:tc>
        <w:tc>
          <w:tcPr>
            <w:tcW w:w="9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3,139,827</w:t>
            </w:r>
          </w:p>
        </w:tc>
      </w:tr>
      <w:tr>
        <w:trPr>
          <w:trHeight w:val="210"/>
        </w:trPr>
        <w:tc>
          <w:tcPr>
            <w:tcW w:w="960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012E6C"/>
              </w:rPr>
              <w:t>Mr. Tanner</w:t>
            </w:r>
          </w:p>
        </w:tc>
        <w:tc>
          <w:tcPr>
            <w:tcW w:w="9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803,000</w:t>
            </w:r>
          </w:p>
        </w:tc>
        <w:tc>
          <w:tcPr>
            <w:tcW w:w="9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1,092,883</w:t>
            </w:r>
          </w:p>
        </w:tc>
      </w:tr>
      <w:tr>
        <w:trPr>
          <w:trHeight w:val="210"/>
        </w:trPr>
        <w:tc>
          <w:tcPr>
            <w:tcW w:w="960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012E6C"/>
              </w:rPr>
              <w:t>Mr. Ambrose</w:t>
            </w:r>
          </w:p>
        </w:tc>
        <w:tc>
          <w:tcPr>
            <w:tcW w:w="9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503,000</w:t>
            </w:r>
          </w:p>
        </w:tc>
        <w:tc>
          <w:tcPr>
            <w:tcW w:w="9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684,583</w:t>
            </w:r>
          </w:p>
        </w:tc>
      </w:tr>
      <w:tr>
        <w:trPr>
          <w:trHeight w:val="210"/>
        </w:trPr>
        <w:tc>
          <w:tcPr>
            <w:tcW w:w="960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012E6C"/>
              </w:rPr>
              <w:t>Mr. Bennett</w:t>
            </w:r>
          </w:p>
        </w:tc>
        <w:tc>
          <w:tcPr>
            <w:tcW w:w="9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664,000</w:t>
            </w:r>
          </w:p>
        </w:tc>
        <w:tc>
          <w:tcPr>
            <w:tcW w:w="9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903,704</w:t>
            </w:r>
          </w:p>
        </w:tc>
      </w:tr>
      <w:tr>
        <w:trPr>
          <w:trHeight w:val="210"/>
        </w:trPr>
        <w:tc>
          <w:tcPr>
            <w:tcW w:w="960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012E6C"/>
              </w:rPr>
              <w:t>Mr. St. John</w:t>
            </w:r>
          </w:p>
        </w:tc>
        <w:tc>
          <w:tcPr>
            <w:tcW w:w="9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340,000</w:t>
            </w:r>
          </w:p>
        </w:tc>
        <w:tc>
          <w:tcPr>
            <w:tcW w:w="9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462,740</w:t>
            </w:r>
          </w:p>
        </w:tc>
      </w:tr>
      <w:tr>
        <w:trPr>
          <w:trHeight w:val="210"/>
        </w:trPr>
        <w:tc>
          <w:tcPr>
            <w:tcW w:w="960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012E6C"/>
              </w:rPr>
              <w:t>Mr. Carvalho</w:t>
            </w:r>
          </w:p>
        </w:tc>
        <w:tc>
          <w:tcPr>
            <w:tcW w:w="9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664,000</w:t>
            </w:r>
          </w:p>
        </w:tc>
        <w:tc>
          <w:tcPr>
            <w:tcW w:w="9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903,704</w:t>
            </w:r>
          </w:p>
        </w:tc>
      </w:tr>
      <w:tr>
        <w:trPr>
          <w:trHeight w:val="210"/>
        </w:trPr>
        <w:tc>
          <w:tcPr>
            <w:tcW w:w="960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012E6C"/>
              </w:rPr>
              <w:t>Mr. Edwards</w:t>
            </w:r>
          </w:p>
        </w:tc>
        <w:tc>
          <w:tcPr>
            <w:tcW w:w="9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503,000</w:t>
            </w:r>
          </w:p>
        </w:tc>
        <w:tc>
          <w:tcPr>
            <w:tcW w:w="9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684,583</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848EB4"/>
        </w:rPr>
        <w:t>2016-2018 PSU Awards</w:t>
      </w:r>
    </w:p>
    <w:p>
      <w:pPr>
        <w:spacing w:after="0" w:line="226" w:lineRule="exact"/>
        <w:rPr>
          <w:sz w:val="20"/>
          <w:szCs w:val="20"/>
          <w:color w:val="auto"/>
        </w:rPr>
      </w:pPr>
    </w:p>
    <w:p>
      <w:pPr>
        <w:jc w:val="both"/>
        <w:ind w:right="220"/>
        <w:spacing w:after="0" w:line="279" w:lineRule="auto"/>
        <w:rPr>
          <w:sz w:val="20"/>
          <w:szCs w:val="20"/>
          <w:color w:val="auto"/>
        </w:rPr>
      </w:pPr>
      <w:r>
        <w:rPr>
          <w:rFonts w:ascii="Arial" w:cs="Arial" w:eastAsia="Arial" w:hAnsi="Arial"/>
          <w:sz w:val="17"/>
          <w:szCs w:val="17"/>
          <w:color w:val="auto"/>
        </w:rPr>
        <w:t>The 2016-2018 target PSU award value was allocated to each performance measure based on the pre-defined weightings, namely 50% to Relative TSR, 25% to ROIC, and 25% to Performance Cash. PSU awards earned are calculated by multiplying the payout factor for each performance metric by the target number of units for each performance metric. The actual value realized by the NEOs at vesting also depends on our stock price, which may be higher or lower than the grant date fair market value.</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5260" w:type="dxa"/>
            <w:vAlign w:val="bottom"/>
            <w:tcBorders>
              <w:bottom w:val="single" w:sz="8" w:color="ECECEC"/>
            </w:tcBorders>
            <w:shd w:val="clear" w:color="auto" w:fill="ECECEC"/>
          </w:tcPr>
          <w:p>
            <w:pPr>
              <w:spacing w:after="0"/>
              <w:rPr>
                <w:sz w:val="22"/>
                <w:szCs w:val="22"/>
                <w:color w:val="auto"/>
              </w:rPr>
            </w:pPr>
          </w:p>
        </w:tc>
        <w:tc>
          <w:tcPr>
            <w:tcW w:w="1360" w:type="dxa"/>
            <w:vAlign w:val="bottom"/>
            <w:tcBorders>
              <w:bottom w:val="single" w:sz="8" w:color="959595"/>
            </w:tcBorders>
            <w:shd w:val="clear" w:color="auto" w:fill="ECECEC"/>
          </w:tcPr>
          <w:p>
            <w:pPr>
              <w:spacing w:after="0"/>
              <w:rPr>
                <w:sz w:val="22"/>
                <w:szCs w:val="22"/>
                <w:color w:val="auto"/>
              </w:rPr>
            </w:pPr>
          </w:p>
        </w:tc>
        <w:tc>
          <w:tcPr>
            <w:tcW w:w="2040" w:type="dxa"/>
            <w:vAlign w:val="bottom"/>
            <w:tcBorders>
              <w:bottom w:val="single" w:sz="8" w:color="959595"/>
            </w:tcBorders>
            <w:shd w:val="clear" w:color="auto" w:fill="ECECEC"/>
          </w:tcPr>
          <w:p>
            <w:pPr>
              <w:jc w:val="right"/>
              <w:ind w:right="430"/>
              <w:spacing w:after="0"/>
              <w:rPr>
                <w:sz w:val="20"/>
                <w:szCs w:val="20"/>
                <w:color w:val="auto"/>
              </w:rPr>
            </w:pPr>
            <w:r>
              <w:rPr>
                <w:rFonts w:ascii="Arial" w:cs="Arial" w:eastAsia="Arial" w:hAnsi="Arial"/>
                <w:sz w:val="13"/>
                <w:szCs w:val="13"/>
                <w:color w:val="auto"/>
                <w:w w:val="95"/>
              </w:rPr>
              <w:t>2016-2018 Target PSUs (#)</w:t>
            </w:r>
          </w:p>
        </w:tc>
        <w:tc>
          <w:tcPr>
            <w:tcW w:w="880" w:type="dxa"/>
            <w:vAlign w:val="bottom"/>
            <w:tcBorders>
              <w:bottom w:val="single" w:sz="8" w:color="959595"/>
            </w:tcBorders>
            <w:shd w:val="clear" w:color="auto" w:fill="ECECEC"/>
          </w:tcPr>
          <w:p>
            <w:pPr>
              <w:spacing w:after="0"/>
              <w:rPr>
                <w:sz w:val="22"/>
                <w:szCs w:val="22"/>
                <w:color w:val="auto"/>
              </w:rPr>
            </w:pPr>
          </w:p>
        </w:tc>
        <w:tc>
          <w:tcPr>
            <w:tcW w:w="220" w:type="dxa"/>
            <w:vAlign w:val="bottom"/>
            <w:tcBorders>
              <w:bottom w:val="single" w:sz="8" w:color="ECECEC"/>
            </w:tcBorders>
            <w:shd w:val="clear" w:color="auto" w:fill="ECECEC"/>
          </w:tcPr>
          <w:p>
            <w:pPr>
              <w:spacing w:after="0"/>
              <w:rPr>
                <w:sz w:val="22"/>
                <w:szCs w:val="22"/>
                <w:color w:val="auto"/>
              </w:rPr>
            </w:pPr>
          </w:p>
        </w:tc>
        <w:tc>
          <w:tcPr>
            <w:tcW w:w="1440" w:type="dxa"/>
            <w:vAlign w:val="bottom"/>
            <w:tcBorders>
              <w:bottom w:val="single" w:sz="8" w:color="ECECEC"/>
            </w:tcBorders>
            <w:vMerge w:val="restart"/>
            <w:shd w:val="clear" w:color="auto" w:fill="ECECEC"/>
          </w:tcPr>
          <w:p>
            <w:pPr>
              <w:jc w:val="right"/>
              <w:spacing w:after="0"/>
              <w:rPr>
                <w:sz w:val="20"/>
                <w:szCs w:val="20"/>
                <w:color w:val="auto"/>
              </w:rPr>
            </w:pPr>
            <w:r>
              <w:rPr>
                <w:rFonts w:ascii="Arial" w:cs="Arial" w:eastAsia="Arial" w:hAnsi="Arial"/>
                <w:sz w:val="13"/>
                <w:szCs w:val="13"/>
                <w:color w:val="auto"/>
              </w:rPr>
              <w:t>Total Shares</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5260" w:type="dxa"/>
            <w:vAlign w:val="bottom"/>
            <w:vMerge w:val="restart"/>
            <w:shd w:val="clear" w:color="auto" w:fill="ECECEC"/>
          </w:tcPr>
          <w:p>
            <w:pPr>
              <w:ind w:left="20"/>
              <w:spacing w:after="0"/>
              <w:rPr>
                <w:sz w:val="20"/>
                <w:szCs w:val="20"/>
                <w:color w:val="auto"/>
              </w:rPr>
            </w:pPr>
            <w:r>
              <w:rPr>
                <w:rFonts w:ascii="Arial" w:cs="Arial" w:eastAsia="Arial" w:hAnsi="Arial"/>
                <w:sz w:val="13"/>
                <w:szCs w:val="13"/>
                <w:color w:val="auto"/>
              </w:rPr>
              <w:t>NEO</w:t>
            </w:r>
          </w:p>
        </w:tc>
        <w:tc>
          <w:tcPr>
            <w:tcW w:w="1360" w:type="dxa"/>
            <w:vAlign w:val="bottom"/>
            <w:vMerge w:val="restart"/>
            <w:shd w:val="clear" w:color="auto" w:fill="ECECEC"/>
          </w:tcPr>
          <w:p>
            <w:pPr>
              <w:jc w:val="right"/>
              <w:spacing w:after="0"/>
              <w:rPr>
                <w:sz w:val="20"/>
                <w:szCs w:val="20"/>
                <w:color w:val="auto"/>
              </w:rPr>
            </w:pPr>
            <w:r>
              <w:rPr>
                <w:rFonts w:ascii="Arial" w:cs="Arial" w:eastAsia="Arial" w:hAnsi="Arial"/>
                <w:sz w:val="13"/>
                <w:szCs w:val="13"/>
                <w:color w:val="auto"/>
              </w:rPr>
              <w:t>Relative TSR</w:t>
            </w:r>
          </w:p>
        </w:tc>
        <w:tc>
          <w:tcPr>
            <w:tcW w:w="2040" w:type="dxa"/>
            <w:vAlign w:val="bottom"/>
            <w:vMerge w:val="restart"/>
            <w:shd w:val="clear" w:color="auto" w:fill="ECECEC"/>
          </w:tcPr>
          <w:p>
            <w:pPr>
              <w:jc w:val="right"/>
              <w:ind w:right="410"/>
              <w:spacing w:after="0"/>
              <w:rPr>
                <w:sz w:val="20"/>
                <w:szCs w:val="20"/>
                <w:color w:val="auto"/>
              </w:rPr>
            </w:pPr>
            <w:r>
              <w:rPr>
                <w:rFonts w:ascii="Arial" w:cs="Arial" w:eastAsia="Arial" w:hAnsi="Arial"/>
                <w:sz w:val="13"/>
                <w:szCs w:val="13"/>
                <w:color w:val="auto"/>
              </w:rPr>
              <w:t>Performance Cash*</w:t>
            </w:r>
          </w:p>
        </w:tc>
        <w:tc>
          <w:tcPr>
            <w:tcW w:w="1100" w:type="dxa"/>
            <w:vAlign w:val="bottom"/>
            <w:gridSpan w:val="2"/>
            <w:vMerge w:val="restart"/>
            <w:shd w:val="clear" w:color="auto" w:fill="ECECEC"/>
          </w:tcPr>
          <w:p>
            <w:pPr>
              <w:ind w:left="480"/>
              <w:spacing w:after="0"/>
              <w:rPr>
                <w:sz w:val="20"/>
                <w:szCs w:val="20"/>
                <w:color w:val="auto"/>
              </w:rPr>
            </w:pPr>
            <w:r>
              <w:rPr>
                <w:rFonts w:ascii="Arial" w:cs="Arial" w:eastAsia="Arial" w:hAnsi="Arial"/>
                <w:sz w:val="13"/>
                <w:szCs w:val="13"/>
                <w:color w:val="auto"/>
              </w:rPr>
              <w:t>ROIC*</w:t>
            </w:r>
          </w:p>
        </w:tc>
        <w:tc>
          <w:tcPr>
            <w:tcW w:w="1440" w:type="dxa"/>
            <w:vAlign w:val="bottom"/>
            <w:vMerge w:val="continue"/>
            <w:shd w:val="clear" w:color="auto" w:fill="ECECEC"/>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260" w:type="dxa"/>
            <w:vAlign w:val="bottom"/>
            <w:tcBorders>
              <w:bottom w:val="single" w:sz="8" w:color="959595"/>
            </w:tcBorders>
            <w:vMerge w:val="continue"/>
            <w:shd w:val="clear" w:color="auto" w:fill="ECECEC"/>
          </w:tcPr>
          <w:p>
            <w:pPr>
              <w:spacing w:after="0"/>
              <w:rPr>
                <w:sz w:val="15"/>
                <w:szCs w:val="15"/>
                <w:color w:val="auto"/>
              </w:rPr>
            </w:pPr>
          </w:p>
        </w:tc>
        <w:tc>
          <w:tcPr>
            <w:tcW w:w="1360" w:type="dxa"/>
            <w:vAlign w:val="bottom"/>
            <w:tcBorders>
              <w:bottom w:val="single" w:sz="8" w:color="959595"/>
            </w:tcBorders>
            <w:vMerge w:val="continue"/>
            <w:shd w:val="clear" w:color="auto" w:fill="ECECEC"/>
          </w:tcPr>
          <w:p>
            <w:pPr>
              <w:spacing w:after="0"/>
              <w:rPr>
                <w:sz w:val="15"/>
                <w:szCs w:val="15"/>
                <w:color w:val="auto"/>
              </w:rPr>
            </w:pPr>
          </w:p>
        </w:tc>
        <w:tc>
          <w:tcPr>
            <w:tcW w:w="2040" w:type="dxa"/>
            <w:vAlign w:val="bottom"/>
            <w:tcBorders>
              <w:bottom w:val="single" w:sz="8" w:color="959595"/>
            </w:tcBorders>
            <w:vMerge w:val="continue"/>
            <w:shd w:val="clear" w:color="auto" w:fill="ECECEC"/>
          </w:tcPr>
          <w:p>
            <w:pPr>
              <w:spacing w:after="0"/>
              <w:rPr>
                <w:sz w:val="15"/>
                <w:szCs w:val="15"/>
                <w:color w:val="auto"/>
              </w:rPr>
            </w:pPr>
          </w:p>
        </w:tc>
        <w:tc>
          <w:tcPr>
            <w:tcW w:w="1100" w:type="dxa"/>
            <w:vAlign w:val="bottom"/>
            <w:tcBorders>
              <w:bottom w:val="single" w:sz="8" w:color="959595"/>
            </w:tcBorders>
            <w:gridSpan w:val="2"/>
            <w:vMerge w:val="continue"/>
            <w:shd w:val="clear" w:color="auto" w:fill="ECECEC"/>
          </w:tcPr>
          <w:p>
            <w:pPr>
              <w:spacing w:after="0"/>
              <w:rPr>
                <w:sz w:val="15"/>
                <w:szCs w:val="15"/>
                <w:color w:val="auto"/>
              </w:rPr>
            </w:pPr>
          </w:p>
        </w:tc>
        <w:tc>
          <w:tcPr>
            <w:tcW w:w="1440" w:type="dxa"/>
            <w:vAlign w:val="bottom"/>
            <w:tcBorders>
              <w:bottom w:val="single" w:sz="8" w:color="959595"/>
            </w:tcBorders>
            <w:shd w:val="clear" w:color="auto" w:fill="ECECEC"/>
          </w:tcPr>
          <w:p>
            <w:pPr>
              <w:jc w:val="right"/>
              <w:spacing w:after="0"/>
              <w:rPr>
                <w:sz w:val="20"/>
                <w:szCs w:val="20"/>
                <w:color w:val="auto"/>
              </w:rPr>
            </w:pPr>
            <w:r>
              <w:rPr>
                <w:rFonts w:ascii="Arial" w:cs="Arial" w:eastAsia="Arial" w:hAnsi="Arial"/>
                <w:sz w:val="13"/>
                <w:szCs w:val="13"/>
                <w:color w:val="auto"/>
              </w:rPr>
              <w:t>Distributed/Earned</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5260" w:type="dxa"/>
            <w:vAlign w:val="bottom"/>
            <w:tcBorders>
              <w:bottom w:val="single" w:sz="8" w:color="959595"/>
            </w:tcBorders>
          </w:tcPr>
          <w:p>
            <w:pPr>
              <w:ind w:left="20"/>
              <w:spacing w:after="0"/>
              <w:rPr>
                <w:sz w:val="20"/>
                <w:szCs w:val="20"/>
                <w:color w:val="auto"/>
              </w:rPr>
            </w:pPr>
            <w:r>
              <w:rPr>
                <w:rFonts w:ascii="Arial" w:cs="Arial" w:eastAsia="Arial" w:hAnsi="Arial"/>
                <w:sz w:val="14"/>
                <w:szCs w:val="14"/>
                <w:b w:val="1"/>
                <w:bCs w:val="1"/>
                <w:color w:val="012E6C"/>
              </w:rPr>
              <w:t>Ms. Hewson</w:t>
            </w:r>
          </w:p>
        </w:tc>
        <w:tc>
          <w:tcPr>
            <w:tcW w:w="13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13,580</w:t>
            </w:r>
          </w:p>
        </w:tc>
        <w:tc>
          <w:tcPr>
            <w:tcW w:w="2040" w:type="dxa"/>
            <w:vAlign w:val="bottom"/>
            <w:tcBorders>
              <w:bottom w:val="single" w:sz="8" w:color="959595"/>
            </w:tcBorders>
          </w:tcPr>
          <w:p>
            <w:pPr>
              <w:jc w:val="right"/>
              <w:ind w:right="410"/>
              <w:spacing w:after="0"/>
              <w:rPr>
                <w:sz w:val="20"/>
                <w:szCs w:val="20"/>
                <w:color w:val="auto"/>
              </w:rPr>
            </w:pPr>
            <w:r>
              <w:rPr>
                <w:rFonts w:ascii="Arial" w:cs="Arial" w:eastAsia="Arial" w:hAnsi="Arial"/>
                <w:sz w:val="14"/>
                <w:szCs w:val="14"/>
                <w:color w:val="auto"/>
              </w:rPr>
              <w:t>6,987</w:t>
            </w:r>
          </w:p>
        </w:tc>
        <w:tc>
          <w:tcPr>
            <w:tcW w:w="8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6,987</w:t>
            </w:r>
          </w:p>
        </w:tc>
        <w:tc>
          <w:tcPr>
            <w:tcW w:w="220" w:type="dxa"/>
            <w:vAlign w:val="bottom"/>
            <w:tcBorders>
              <w:bottom w:val="single" w:sz="8" w:color="959595"/>
            </w:tcBorders>
          </w:tcPr>
          <w:p>
            <w:pPr>
              <w:spacing w:after="0"/>
              <w:rPr>
                <w:sz w:val="23"/>
                <w:szCs w:val="23"/>
                <w:color w:val="auto"/>
              </w:rPr>
            </w:pPr>
          </w:p>
        </w:tc>
        <w:tc>
          <w:tcPr>
            <w:tcW w:w="14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37,753</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260" w:type="dxa"/>
            <w:vAlign w:val="bottom"/>
            <w:tcBorders>
              <w:bottom w:val="single" w:sz="8" w:color="959595"/>
            </w:tcBorders>
          </w:tcPr>
          <w:p>
            <w:pPr>
              <w:ind w:left="20"/>
              <w:spacing w:after="0"/>
              <w:rPr>
                <w:sz w:val="20"/>
                <w:szCs w:val="20"/>
                <w:color w:val="auto"/>
              </w:rPr>
            </w:pPr>
            <w:r>
              <w:rPr>
                <w:rFonts w:ascii="Arial" w:cs="Arial" w:eastAsia="Arial" w:hAnsi="Arial"/>
                <w:sz w:val="14"/>
                <w:szCs w:val="14"/>
                <w:b w:val="1"/>
                <w:bCs w:val="1"/>
                <w:color w:val="012E6C"/>
              </w:rPr>
              <w:t>Mr. Tanner</w:t>
            </w:r>
          </w:p>
        </w:tc>
        <w:tc>
          <w:tcPr>
            <w:tcW w:w="13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4,727</w:t>
            </w:r>
          </w:p>
        </w:tc>
        <w:tc>
          <w:tcPr>
            <w:tcW w:w="2040" w:type="dxa"/>
            <w:vAlign w:val="bottom"/>
            <w:tcBorders>
              <w:bottom w:val="single" w:sz="8" w:color="959595"/>
            </w:tcBorders>
          </w:tcPr>
          <w:p>
            <w:pPr>
              <w:jc w:val="right"/>
              <w:ind w:right="410"/>
              <w:spacing w:after="0"/>
              <w:rPr>
                <w:sz w:val="20"/>
                <w:szCs w:val="20"/>
                <w:color w:val="auto"/>
              </w:rPr>
            </w:pPr>
            <w:r>
              <w:rPr>
                <w:rFonts w:ascii="Arial" w:cs="Arial" w:eastAsia="Arial" w:hAnsi="Arial"/>
                <w:sz w:val="14"/>
                <w:szCs w:val="14"/>
                <w:color w:val="auto"/>
              </w:rPr>
              <w:t>2,432</w:t>
            </w:r>
          </w:p>
        </w:tc>
        <w:tc>
          <w:tcPr>
            <w:tcW w:w="8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2,432</w:t>
            </w:r>
          </w:p>
        </w:tc>
        <w:tc>
          <w:tcPr>
            <w:tcW w:w="220" w:type="dxa"/>
            <w:vAlign w:val="bottom"/>
            <w:tcBorders>
              <w:bottom w:val="single" w:sz="8" w:color="959595"/>
            </w:tcBorders>
          </w:tcPr>
          <w:p>
            <w:pPr>
              <w:spacing w:after="0"/>
              <w:rPr>
                <w:sz w:val="22"/>
                <w:szCs w:val="22"/>
                <w:color w:val="auto"/>
              </w:rPr>
            </w:pPr>
          </w:p>
        </w:tc>
        <w:tc>
          <w:tcPr>
            <w:tcW w:w="14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13,141</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5260" w:type="dxa"/>
            <w:vAlign w:val="bottom"/>
            <w:tcBorders>
              <w:bottom w:val="single" w:sz="8" w:color="959595"/>
            </w:tcBorders>
          </w:tcPr>
          <w:p>
            <w:pPr>
              <w:ind w:left="20"/>
              <w:spacing w:after="0"/>
              <w:rPr>
                <w:sz w:val="20"/>
                <w:szCs w:val="20"/>
                <w:color w:val="auto"/>
              </w:rPr>
            </w:pPr>
            <w:r>
              <w:rPr>
                <w:rFonts w:ascii="Arial" w:cs="Arial" w:eastAsia="Arial" w:hAnsi="Arial"/>
                <w:sz w:val="14"/>
                <w:szCs w:val="14"/>
                <w:b w:val="1"/>
                <w:bCs w:val="1"/>
                <w:color w:val="012E6C"/>
              </w:rPr>
              <w:t>Mr. Ambrose</w:t>
            </w:r>
          </w:p>
        </w:tc>
        <w:tc>
          <w:tcPr>
            <w:tcW w:w="13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2,962</w:t>
            </w:r>
          </w:p>
        </w:tc>
        <w:tc>
          <w:tcPr>
            <w:tcW w:w="2040" w:type="dxa"/>
            <w:vAlign w:val="bottom"/>
            <w:tcBorders>
              <w:bottom w:val="single" w:sz="8" w:color="959595"/>
            </w:tcBorders>
          </w:tcPr>
          <w:p>
            <w:pPr>
              <w:jc w:val="right"/>
              <w:ind w:right="410"/>
              <w:spacing w:after="0"/>
              <w:rPr>
                <w:sz w:val="20"/>
                <w:szCs w:val="20"/>
                <w:color w:val="auto"/>
              </w:rPr>
            </w:pPr>
            <w:r>
              <w:rPr>
                <w:rFonts w:ascii="Arial" w:cs="Arial" w:eastAsia="Arial" w:hAnsi="Arial"/>
                <w:sz w:val="14"/>
                <w:szCs w:val="14"/>
                <w:color w:val="auto"/>
              </w:rPr>
              <w:t>1,523</w:t>
            </w:r>
          </w:p>
        </w:tc>
        <w:tc>
          <w:tcPr>
            <w:tcW w:w="8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1,523</w:t>
            </w:r>
          </w:p>
        </w:tc>
        <w:tc>
          <w:tcPr>
            <w:tcW w:w="220" w:type="dxa"/>
            <w:vAlign w:val="bottom"/>
            <w:tcBorders>
              <w:bottom w:val="single" w:sz="8" w:color="959595"/>
            </w:tcBorders>
          </w:tcPr>
          <w:p>
            <w:pPr>
              <w:spacing w:after="0"/>
              <w:rPr>
                <w:sz w:val="22"/>
                <w:szCs w:val="22"/>
                <w:color w:val="auto"/>
              </w:rPr>
            </w:pPr>
          </w:p>
        </w:tc>
        <w:tc>
          <w:tcPr>
            <w:tcW w:w="14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8,231</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260" w:type="dxa"/>
            <w:vAlign w:val="bottom"/>
            <w:tcBorders>
              <w:bottom w:val="single" w:sz="8" w:color="959595"/>
            </w:tcBorders>
          </w:tcPr>
          <w:p>
            <w:pPr>
              <w:ind w:left="20"/>
              <w:spacing w:after="0"/>
              <w:rPr>
                <w:sz w:val="20"/>
                <w:szCs w:val="20"/>
                <w:color w:val="auto"/>
              </w:rPr>
            </w:pPr>
            <w:r>
              <w:rPr>
                <w:rFonts w:ascii="Arial" w:cs="Arial" w:eastAsia="Arial" w:hAnsi="Arial"/>
                <w:sz w:val="14"/>
                <w:szCs w:val="14"/>
                <w:b w:val="1"/>
                <w:bCs w:val="1"/>
                <w:color w:val="012E6C"/>
              </w:rPr>
              <w:t>Mr. Bennett</w:t>
            </w:r>
          </w:p>
        </w:tc>
        <w:tc>
          <w:tcPr>
            <w:tcW w:w="13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3,909</w:t>
            </w:r>
          </w:p>
        </w:tc>
        <w:tc>
          <w:tcPr>
            <w:tcW w:w="2040" w:type="dxa"/>
            <w:vAlign w:val="bottom"/>
            <w:tcBorders>
              <w:bottom w:val="single" w:sz="8" w:color="959595"/>
            </w:tcBorders>
          </w:tcPr>
          <w:p>
            <w:pPr>
              <w:jc w:val="right"/>
              <w:ind w:right="410"/>
              <w:spacing w:after="0"/>
              <w:rPr>
                <w:sz w:val="20"/>
                <w:szCs w:val="20"/>
                <w:color w:val="auto"/>
              </w:rPr>
            </w:pPr>
            <w:r>
              <w:rPr>
                <w:rFonts w:ascii="Arial" w:cs="Arial" w:eastAsia="Arial" w:hAnsi="Arial"/>
                <w:sz w:val="14"/>
                <w:szCs w:val="14"/>
                <w:color w:val="auto"/>
              </w:rPr>
              <w:t>2,011</w:t>
            </w:r>
          </w:p>
        </w:tc>
        <w:tc>
          <w:tcPr>
            <w:tcW w:w="8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2,011</w:t>
            </w:r>
          </w:p>
        </w:tc>
        <w:tc>
          <w:tcPr>
            <w:tcW w:w="220" w:type="dxa"/>
            <w:vAlign w:val="bottom"/>
            <w:tcBorders>
              <w:bottom w:val="single" w:sz="8" w:color="959595"/>
            </w:tcBorders>
          </w:tcPr>
          <w:p>
            <w:pPr>
              <w:spacing w:after="0"/>
              <w:rPr>
                <w:sz w:val="22"/>
                <w:szCs w:val="22"/>
                <w:color w:val="auto"/>
              </w:rPr>
            </w:pPr>
          </w:p>
        </w:tc>
        <w:tc>
          <w:tcPr>
            <w:tcW w:w="14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10,867</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260" w:type="dxa"/>
            <w:vAlign w:val="bottom"/>
            <w:tcBorders>
              <w:bottom w:val="single" w:sz="8" w:color="959595"/>
            </w:tcBorders>
          </w:tcPr>
          <w:p>
            <w:pPr>
              <w:ind w:left="20"/>
              <w:spacing w:after="0"/>
              <w:rPr>
                <w:sz w:val="20"/>
                <w:szCs w:val="20"/>
                <w:color w:val="auto"/>
              </w:rPr>
            </w:pPr>
            <w:r>
              <w:rPr>
                <w:rFonts w:ascii="Arial" w:cs="Arial" w:eastAsia="Arial" w:hAnsi="Arial"/>
                <w:sz w:val="14"/>
                <w:szCs w:val="14"/>
                <w:b w:val="1"/>
                <w:bCs w:val="1"/>
                <w:color w:val="012E6C"/>
              </w:rPr>
              <w:t>Mr. St. John</w:t>
            </w:r>
          </w:p>
        </w:tc>
        <w:tc>
          <w:tcPr>
            <w:tcW w:w="13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201</w:t>
            </w:r>
          </w:p>
        </w:tc>
        <w:tc>
          <w:tcPr>
            <w:tcW w:w="2040" w:type="dxa"/>
            <w:vAlign w:val="bottom"/>
            <w:tcBorders>
              <w:bottom w:val="single" w:sz="8" w:color="959595"/>
            </w:tcBorders>
          </w:tcPr>
          <w:p>
            <w:pPr>
              <w:jc w:val="right"/>
              <w:ind w:right="410"/>
              <w:spacing w:after="0"/>
              <w:rPr>
                <w:sz w:val="20"/>
                <w:szCs w:val="20"/>
                <w:color w:val="auto"/>
              </w:rPr>
            </w:pPr>
            <w:r>
              <w:rPr>
                <w:rFonts w:ascii="Arial" w:cs="Arial" w:eastAsia="Arial" w:hAnsi="Arial"/>
                <w:sz w:val="14"/>
                <w:szCs w:val="14"/>
                <w:color w:val="auto"/>
              </w:rPr>
              <w:t>103</w:t>
            </w:r>
          </w:p>
        </w:tc>
        <w:tc>
          <w:tcPr>
            <w:tcW w:w="8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103</w:t>
            </w:r>
          </w:p>
        </w:tc>
        <w:tc>
          <w:tcPr>
            <w:tcW w:w="220" w:type="dxa"/>
            <w:vAlign w:val="bottom"/>
            <w:tcBorders>
              <w:bottom w:val="single" w:sz="8" w:color="959595"/>
            </w:tcBorders>
          </w:tcPr>
          <w:p>
            <w:pPr>
              <w:spacing w:after="0"/>
              <w:rPr>
                <w:sz w:val="22"/>
                <w:szCs w:val="22"/>
                <w:color w:val="auto"/>
              </w:rPr>
            </w:pPr>
          </w:p>
        </w:tc>
        <w:tc>
          <w:tcPr>
            <w:tcW w:w="14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558</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260" w:type="dxa"/>
            <w:vAlign w:val="bottom"/>
            <w:tcBorders>
              <w:bottom w:val="single" w:sz="8" w:color="959595"/>
            </w:tcBorders>
          </w:tcPr>
          <w:p>
            <w:pPr>
              <w:ind w:left="20"/>
              <w:spacing w:after="0"/>
              <w:rPr>
                <w:sz w:val="20"/>
                <w:szCs w:val="20"/>
                <w:color w:val="auto"/>
              </w:rPr>
            </w:pPr>
            <w:r>
              <w:rPr>
                <w:rFonts w:ascii="Arial" w:cs="Arial" w:eastAsia="Arial" w:hAnsi="Arial"/>
                <w:sz w:val="14"/>
                <w:szCs w:val="14"/>
                <w:b w:val="1"/>
                <w:bCs w:val="1"/>
                <w:color w:val="012E6C"/>
              </w:rPr>
              <w:t>Mr. Carvalho</w:t>
            </w:r>
          </w:p>
        </w:tc>
        <w:tc>
          <w:tcPr>
            <w:tcW w:w="13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3,909</w:t>
            </w:r>
          </w:p>
        </w:tc>
        <w:tc>
          <w:tcPr>
            <w:tcW w:w="2040" w:type="dxa"/>
            <w:vAlign w:val="bottom"/>
            <w:tcBorders>
              <w:bottom w:val="single" w:sz="8" w:color="959595"/>
            </w:tcBorders>
          </w:tcPr>
          <w:p>
            <w:pPr>
              <w:jc w:val="right"/>
              <w:ind w:right="410"/>
              <w:spacing w:after="0"/>
              <w:rPr>
                <w:sz w:val="20"/>
                <w:szCs w:val="20"/>
                <w:color w:val="auto"/>
              </w:rPr>
            </w:pPr>
            <w:r>
              <w:rPr>
                <w:rFonts w:ascii="Arial" w:cs="Arial" w:eastAsia="Arial" w:hAnsi="Arial"/>
                <w:sz w:val="14"/>
                <w:szCs w:val="14"/>
                <w:color w:val="auto"/>
              </w:rPr>
              <w:t>2,011</w:t>
            </w:r>
          </w:p>
        </w:tc>
        <w:tc>
          <w:tcPr>
            <w:tcW w:w="8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2,011</w:t>
            </w:r>
          </w:p>
        </w:tc>
        <w:tc>
          <w:tcPr>
            <w:tcW w:w="220" w:type="dxa"/>
            <w:vAlign w:val="bottom"/>
            <w:tcBorders>
              <w:bottom w:val="single" w:sz="8" w:color="959595"/>
            </w:tcBorders>
          </w:tcPr>
          <w:p>
            <w:pPr>
              <w:spacing w:after="0"/>
              <w:rPr>
                <w:sz w:val="22"/>
                <w:szCs w:val="22"/>
                <w:color w:val="auto"/>
              </w:rPr>
            </w:pPr>
          </w:p>
        </w:tc>
        <w:tc>
          <w:tcPr>
            <w:tcW w:w="14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10,587</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260" w:type="dxa"/>
            <w:vAlign w:val="bottom"/>
            <w:tcBorders>
              <w:bottom w:val="single" w:sz="8" w:color="959595"/>
            </w:tcBorders>
          </w:tcPr>
          <w:p>
            <w:pPr>
              <w:ind w:left="20"/>
              <w:spacing w:after="0"/>
              <w:rPr>
                <w:sz w:val="20"/>
                <w:szCs w:val="20"/>
                <w:color w:val="auto"/>
              </w:rPr>
            </w:pPr>
            <w:r>
              <w:rPr>
                <w:rFonts w:ascii="Arial" w:cs="Arial" w:eastAsia="Arial" w:hAnsi="Arial"/>
                <w:sz w:val="14"/>
                <w:szCs w:val="14"/>
                <w:b w:val="1"/>
                <w:bCs w:val="1"/>
                <w:color w:val="012E6C"/>
              </w:rPr>
              <w:t>Mr. Edwards</w:t>
            </w:r>
          </w:p>
        </w:tc>
        <w:tc>
          <w:tcPr>
            <w:tcW w:w="13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2,962</w:t>
            </w:r>
          </w:p>
        </w:tc>
        <w:tc>
          <w:tcPr>
            <w:tcW w:w="2040" w:type="dxa"/>
            <w:vAlign w:val="bottom"/>
            <w:tcBorders>
              <w:bottom w:val="single" w:sz="8" w:color="959595"/>
            </w:tcBorders>
          </w:tcPr>
          <w:p>
            <w:pPr>
              <w:jc w:val="right"/>
              <w:ind w:right="410"/>
              <w:spacing w:after="0"/>
              <w:rPr>
                <w:sz w:val="20"/>
                <w:szCs w:val="20"/>
                <w:color w:val="auto"/>
              </w:rPr>
            </w:pPr>
            <w:r>
              <w:rPr>
                <w:rFonts w:ascii="Arial" w:cs="Arial" w:eastAsia="Arial" w:hAnsi="Arial"/>
                <w:sz w:val="14"/>
                <w:szCs w:val="14"/>
                <w:color w:val="auto"/>
              </w:rPr>
              <w:t>1,523</w:t>
            </w:r>
          </w:p>
        </w:tc>
        <w:tc>
          <w:tcPr>
            <w:tcW w:w="8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1,523</w:t>
            </w:r>
          </w:p>
        </w:tc>
        <w:tc>
          <w:tcPr>
            <w:tcW w:w="220" w:type="dxa"/>
            <w:vAlign w:val="bottom"/>
            <w:tcBorders>
              <w:bottom w:val="single" w:sz="8" w:color="959595"/>
            </w:tcBorders>
          </w:tcPr>
          <w:p>
            <w:pPr>
              <w:spacing w:after="0"/>
              <w:rPr>
                <w:sz w:val="22"/>
                <w:szCs w:val="22"/>
                <w:color w:val="auto"/>
              </w:rPr>
            </w:pPr>
          </w:p>
        </w:tc>
        <w:tc>
          <w:tcPr>
            <w:tcW w:w="14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8,231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260" w:type="dxa"/>
            <w:vAlign w:val="bottom"/>
          </w:tcPr>
          <w:p>
            <w:pPr>
              <w:spacing w:after="0"/>
              <w:rPr>
                <w:sz w:val="20"/>
                <w:szCs w:val="20"/>
                <w:color w:val="auto"/>
              </w:rPr>
            </w:pPr>
            <w:r>
              <w:rPr>
                <w:rFonts w:ascii="Arial" w:cs="Arial" w:eastAsia="Arial" w:hAnsi="Arial"/>
                <w:sz w:val="14"/>
                <w:szCs w:val="14"/>
                <w:color w:val="auto"/>
              </w:rPr>
              <w:t>*  See Appendix A for definition of Non-GAAP terms.</w:t>
            </w:r>
          </w:p>
        </w:tc>
        <w:tc>
          <w:tcPr>
            <w:tcW w:w="13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1"/>
        </w:trPr>
        <w:tc>
          <w:tcPr>
            <w:tcW w:w="5280" w:type="dxa"/>
            <w:vAlign w:val="bottom"/>
            <w:gridSpan w:val="2"/>
          </w:tcPr>
          <w:p>
            <w:pPr>
              <w:ind w:left="40"/>
              <w:spacing w:after="0"/>
              <w:rPr>
                <w:sz w:val="20"/>
                <w:szCs w:val="20"/>
                <w:color w:val="auto"/>
              </w:rPr>
            </w:pPr>
            <w:r>
              <w:rPr>
                <w:rFonts w:ascii="Arial" w:cs="Arial" w:eastAsia="Arial" w:hAnsi="Arial"/>
                <w:sz w:val="14"/>
                <w:szCs w:val="14"/>
                <w:b w:val="1"/>
                <w:bCs w:val="1"/>
                <w:color w:val="808080"/>
              </w:rPr>
              <w:t>46</w:t>
            </w:r>
          </w:p>
        </w:tc>
        <w:tc>
          <w:tcPr>
            <w:tcW w:w="13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-229870</wp:posOffset>
            </wp:positionV>
            <wp:extent cx="1440815" cy="3257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440815" cy="325755"/>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5"/>
          <w:szCs w:val="15"/>
          <w:color w:val="003478"/>
        </w:rPr>
        <w:t>Executive Compensation</w:t>
      </w:r>
    </w:p>
    <w:p>
      <w:pPr>
        <w:spacing w:after="0" w:line="347" w:lineRule="exact"/>
        <w:rPr>
          <w:sz w:val="20"/>
          <w:szCs w:val="20"/>
          <w:color w:val="auto"/>
        </w:rPr>
      </w:pPr>
    </w:p>
    <w:p>
      <w:pPr>
        <w:spacing w:after="0"/>
        <w:rPr>
          <w:sz w:val="20"/>
          <w:szCs w:val="20"/>
          <w:color w:val="auto"/>
        </w:rPr>
      </w:pPr>
      <w:r>
        <w:rPr>
          <w:rFonts w:ascii="Arial" w:cs="Arial" w:eastAsia="Arial" w:hAnsi="Arial"/>
          <w:sz w:val="25"/>
          <w:szCs w:val="25"/>
          <w:color w:val="475C90"/>
        </w:rPr>
        <w:t>2019 Compensation Decisions</w:t>
      </w:r>
    </w:p>
    <w:p>
      <w:pPr>
        <w:spacing w:after="0" w:line="242"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The Compensation Committee approved 2019 target compensation for the NEOs based on the market rate, along with other factors such as the executive’s performance, internal equity, job scope and criticality to the Corporation.</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color w:val="848EB4"/>
        </w:rPr>
        <w:t>2019 Base Salary</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0" w:type="dxa"/>
            <w:vAlign w:val="bottom"/>
          </w:tcPr>
          <w:p>
            <w:pPr>
              <w:spacing w:after="0"/>
              <w:rPr>
                <w:sz w:val="22"/>
                <w:szCs w:val="22"/>
                <w:color w:val="auto"/>
              </w:rPr>
            </w:pPr>
          </w:p>
        </w:tc>
        <w:tc>
          <w:tcPr>
            <w:tcW w:w="8560" w:type="dxa"/>
            <w:vAlign w:val="bottom"/>
            <w:shd w:val="clear" w:color="auto" w:fill="ECECEC"/>
          </w:tcPr>
          <w:p>
            <w:pPr>
              <w:spacing w:after="0"/>
              <w:rPr>
                <w:sz w:val="22"/>
                <w:szCs w:val="22"/>
                <w:color w:val="auto"/>
              </w:rPr>
            </w:pPr>
          </w:p>
        </w:tc>
        <w:tc>
          <w:tcPr>
            <w:tcW w:w="2840" w:type="dxa"/>
            <w:vAlign w:val="bottom"/>
            <w:shd w:val="clear" w:color="auto" w:fill="ECECEC"/>
          </w:tcPr>
          <w:p>
            <w:pPr>
              <w:jc w:val="right"/>
              <w:spacing w:after="0"/>
              <w:rPr>
                <w:sz w:val="20"/>
                <w:szCs w:val="20"/>
                <w:color w:val="auto"/>
              </w:rPr>
            </w:pPr>
            <w:r>
              <w:rPr>
                <w:rFonts w:ascii="Arial" w:cs="Arial" w:eastAsia="Arial" w:hAnsi="Arial"/>
                <w:sz w:val="13"/>
                <w:szCs w:val="13"/>
                <w:color w:val="auto"/>
              </w:rPr>
              <w:t>2019 Base Salary</w:t>
            </w:r>
          </w:p>
        </w:tc>
      </w:tr>
      <w:tr>
        <w:trPr>
          <w:trHeight w:val="197"/>
        </w:trPr>
        <w:tc>
          <w:tcPr>
            <w:tcW w:w="20" w:type="dxa"/>
            <w:vAlign w:val="bottom"/>
          </w:tcPr>
          <w:p>
            <w:pPr>
              <w:spacing w:after="0"/>
              <w:rPr>
                <w:sz w:val="17"/>
                <w:szCs w:val="17"/>
                <w:color w:val="auto"/>
              </w:rPr>
            </w:pPr>
          </w:p>
        </w:tc>
        <w:tc>
          <w:tcPr>
            <w:tcW w:w="8560" w:type="dxa"/>
            <w:vAlign w:val="bottom"/>
            <w:tcBorders>
              <w:bottom w:val="single" w:sz="8" w:color="959595"/>
            </w:tcBorders>
            <w:shd w:val="clear" w:color="auto" w:fill="ECECEC"/>
          </w:tcPr>
          <w:p>
            <w:pPr>
              <w:ind w:left="20"/>
              <w:spacing w:after="0"/>
              <w:rPr>
                <w:sz w:val="20"/>
                <w:szCs w:val="20"/>
                <w:color w:val="auto"/>
              </w:rPr>
            </w:pPr>
            <w:r>
              <w:rPr>
                <w:rFonts w:ascii="Arial" w:cs="Arial" w:eastAsia="Arial" w:hAnsi="Arial"/>
                <w:sz w:val="13"/>
                <w:szCs w:val="13"/>
                <w:color w:val="auto"/>
              </w:rPr>
              <w:t>NEO</w:t>
            </w:r>
          </w:p>
        </w:tc>
        <w:tc>
          <w:tcPr>
            <w:tcW w:w="2840" w:type="dxa"/>
            <w:vAlign w:val="bottom"/>
            <w:tcBorders>
              <w:bottom w:val="single" w:sz="8" w:color="959595"/>
            </w:tcBorders>
            <w:shd w:val="clear" w:color="auto" w:fill="ECECEC"/>
          </w:tcPr>
          <w:p>
            <w:pPr>
              <w:jc w:val="right"/>
              <w:spacing w:after="0"/>
              <w:rPr>
                <w:sz w:val="20"/>
                <w:szCs w:val="20"/>
                <w:color w:val="auto"/>
              </w:rPr>
            </w:pPr>
            <w:r>
              <w:rPr>
                <w:rFonts w:ascii="Arial" w:cs="Arial" w:eastAsia="Arial" w:hAnsi="Arial"/>
                <w:sz w:val="13"/>
                <w:szCs w:val="13"/>
                <w:color w:val="auto"/>
              </w:rPr>
              <w:t>($)</w:t>
            </w:r>
          </w:p>
        </w:tc>
      </w:tr>
      <w:tr>
        <w:trPr>
          <w:trHeight w:val="215"/>
        </w:trPr>
        <w:tc>
          <w:tcPr>
            <w:tcW w:w="20" w:type="dxa"/>
            <w:vAlign w:val="bottom"/>
          </w:tcPr>
          <w:p>
            <w:pPr>
              <w:spacing w:after="0"/>
              <w:rPr>
                <w:sz w:val="18"/>
                <w:szCs w:val="18"/>
                <w:color w:val="auto"/>
              </w:rPr>
            </w:pPr>
          </w:p>
        </w:tc>
        <w:tc>
          <w:tcPr>
            <w:tcW w:w="8560" w:type="dxa"/>
            <w:vAlign w:val="bottom"/>
            <w:tcBorders>
              <w:bottom w:val="single" w:sz="8" w:color="959595"/>
            </w:tcBorders>
          </w:tcPr>
          <w:p>
            <w:pPr>
              <w:ind w:left="20"/>
              <w:spacing w:after="0"/>
              <w:rPr>
                <w:sz w:val="20"/>
                <w:szCs w:val="20"/>
                <w:color w:val="auto"/>
              </w:rPr>
            </w:pPr>
            <w:r>
              <w:rPr>
                <w:rFonts w:ascii="Arial" w:cs="Arial" w:eastAsia="Arial" w:hAnsi="Arial"/>
                <w:sz w:val="14"/>
                <w:szCs w:val="14"/>
                <w:b w:val="1"/>
                <w:bCs w:val="1"/>
                <w:color w:val="012E6C"/>
              </w:rPr>
              <w:t>Ms. Hewson</w:t>
            </w:r>
          </w:p>
        </w:tc>
        <w:tc>
          <w:tcPr>
            <w:tcW w:w="28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1,798,000</w:t>
            </w:r>
          </w:p>
        </w:tc>
      </w:tr>
      <w:tr>
        <w:trPr>
          <w:trHeight w:val="210"/>
        </w:trPr>
        <w:tc>
          <w:tcPr>
            <w:tcW w:w="20" w:type="dxa"/>
            <w:vAlign w:val="bottom"/>
          </w:tcPr>
          <w:p>
            <w:pPr>
              <w:spacing w:after="0"/>
              <w:rPr>
                <w:sz w:val="18"/>
                <w:szCs w:val="18"/>
                <w:color w:val="auto"/>
              </w:rPr>
            </w:pPr>
          </w:p>
        </w:tc>
        <w:tc>
          <w:tcPr>
            <w:tcW w:w="8560" w:type="dxa"/>
            <w:vAlign w:val="bottom"/>
            <w:tcBorders>
              <w:bottom w:val="single" w:sz="8" w:color="959595"/>
            </w:tcBorders>
          </w:tcPr>
          <w:p>
            <w:pPr>
              <w:ind w:left="20"/>
              <w:spacing w:after="0"/>
              <w:rPr>
                <w:sz w:val="20"/>
                <w:szCs w:val="20"/>
                <w:color w:val="auto"/>
              </w:rPr>
            </w:pPr>
            <w:r>
              <w:rPr>
                <w:rFonts w:ascii="Arial" w:cs="Arial" w:eastAsia="Arial" w:hAnsi="Arial"/>
                <w:sz w:val="14"/>
                <w:szCs w:val="14"/>
                <w:b w:val="1"/>
                <w:bCs w:val="1"/>
                <w:color w:val="012E6C"/>
              </w:rPr>
              <w:t>Mr. Tanner*</w:t>
            </w:r>
          </w:p>
        </w:tc>
        <w:tc>
          <w:tcPr>
            <w:tcW w:w="28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1,030,000</w:t>
            </w:r>
          </w:p>
        </w:tc>
      </w:tr>
      <w:tr>
        <w:trPr>
          <w:trHeight w:val="210"/>
        </w:trPr>
        <w:tc>
          <w:tcPr>
            <w:tcW w:w="20" w:type="dxa"/>
            <w:vAlign w:val="bottom"/>
          </w:tcPr>
          <w:p>
            <w:pPr>
              <w:spacing w:after="0"/>
              <w:rPr>
                <w:sz w:val="18"/>
                <w:szCs w:val="18"/>
                <w:color w:val="auto"/>
              </w:rPr>
            </w:pPr>
          </w:p>
        </w:tc>
        <w:tc>
          <w:tcPr>
            <w:tcW w:w="8560" w:type="dxa"/>
            <w:vAlign w:val="bottom"/>
            <w:tcBorders>
              <w:bottom w:val="single" w:sz="8" w:color="959595"/>
            </w:tcBorders>
          </w:tcPr>
          <w:p>
            <w:pPr>
              <w:ind w:left="20"/>
              <w:spacing w:after="0"/>
              <w:rPr>
                <w:sz w:val="20"/>
                <w:szCs w:val="20"/>
                <w:color w:val="auto"/>
              </w:rPr>
            </w:pPr>
            <w:r>
              <w:rPr>
                <w:rFonts w:ascii="Arial" w:cs="Arial" w:eastAsia="Arial" w:hAnsi="Arial"/>
                <w:sz w:val="14"/>
                <w:szCs w:val="14"/>
                <w:b w:val="1"/>
                <w:bCs w:val="1"/>
                <w:color w:val="012E6C"/>
              </w:rPr>
              <w:t>Mr. Ambrose</w:t>
            </w:r>
          </w:p>
        </w:tc>
        <w:tc>
          <w:tcPr>
            <w:tcW w:w="28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905,000</w:t>
            </w:r>
          </w:p>
        </w:tc>
      </w:tr>
      <w:tr>
        <w:trPr>
          <w:trHeight w:val="210"/>
        </w:trPr>
        <w:tc>
          <w:tcPr>
            <w:tcW w:w="20" w:type="dxa"/>
            <w:vAlign w:val="bottom"/>
          </w:tcPr>
          <w:p>
            <w:pPr>
              <w:spacing w:after="0"/>
              <w:rPr>
                <w:sz w:val="18"/>
                <w:szCs w:val="18"/>
                <w:color w:val="auto"/>
              </w:rPr>
            </w:pPr>
          </w:p>
        </w:tc>
        <w:tc>
          <w:tcPr>
            <w:tcW w:w="8560" w:type="dxa"/>
            <w:vAlign w:val="bottom"/>
            <w:tcBorders>
              <w:bottom w:val="single" w:sz="8" w:color="959595"/>
            </w:tcBorders>
          </w:tcPr>
          <w:p>
            <w:pPr>
              <w:ind w:left="20"/>
              <w:spacing w:after="0"/>
              <w:rPr>
                <w:sz w:val="20"/>
                <w:szCs w:val="20"/>
                <w:color w:val="auto"/>
              </w:rPr>
            </w:pPr>
            <w:r>
              <w:rPr>
                <w:rFonts w:ascii="Arial" w:cs="Arial" w:eastAsia="Arial" w:hAnsi="Arial"/>
                <w:sz w:val="14"/>
                <w:szCs w:val="14"/>
                <w:b w:val="1"/>
                <w:bCs w:val="1"/>
                <w:color w:val="012E6C"/>
              </w:rPr>
              <w:t>Mr. Bennett</w:t>
            </w:r>
          </w:p>
        </w:tc>
        <w:tc>
          <w:tcPr>
            <w:tcW w:w="28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905,000</w:t>
            </w:r>
          </w:p>
        </w:tc>
      </w:tr>
      <w:tr>
        <w:trPr>
          <w:trHeight w:val="210"/>
        </w:trPr>
        <w:tc>
          <w:tcPr>
            <w:tcW w:w="20" w:type="dxa"/>
            <w:vAlign w:val="bottom"/>
          </w:tcPr>
          <w:p>
            <w:pPr>
              <w:spacing w:after="0"/>
              <w:rPr>
                <w:sz w:val="18"/>
                <w:szCs w:val="18"/>
                <w:color w:val="auto"/>
              </w:rPr>
            </w:pPr>
          </w:p>
        </w:tc>
        <w:tc>
          <w:tcPr>
            <w:tcW w:w="8560" w:type="dxa"/>
            <w:vAlign w:val="bottom"/>
            <w:tcBorders>
              <w:bottom w:val="single" w:sz="8" w:color="828282"/>
            </w:tcBorders>
          </w:tcPr>
          <w:p>
            <w:pPr>
              <w:ind w:left="20"/>
              <w:spacing w:after="0"/>
              <w:rPr>
                <w:sz w:val="20"/>
                <w:szCs w:val="20"/>
                <w:color w:val="auto"/>
              </w:rPr>
            </w:pPr>
            <w:r>
              <w:rPr>
                <w:rFonts w:ascii="Arial" w:cs="Arial" w:eastAsia="Arial" w:hAnsi="Arial"/>
                <w:sz w:val="14"/>
                <w:szCs w:val="14"/>
                <w:b w:val="1"/>
                <w:bCs w:val="1"/>
                <w:color w:val="012E6C"/>
              </w:rPr>
              <w:t>Mr. St. John</w:t>
            </w:r>
          </w:p>
        </w:tc>
        <w:tc>
          <w:tcPr>
            <w:tcW w:w="2840" w:type="dxa"/>
            <w:vAlign w:val="bottom"/>
            <w:tcBorders>
              <w:bottom w:val="single" w:sz="8" w:color="828282"/>
            </w:tcBorders>
          </w:tcPr>
          <w:p>
            <w:pPr>
              <w:jc w:val="right"/>
              <w:spacing w:after="0"/>
              <w:rPr>
                <w:sz w:val="20"/>
                <w:szCs w:val="20"/>
                <w:color w:val="auto"/>
              </w:rPr>
            </w:pPr>
            <w:r>
              <w:rPr>
                <w:rFonts w:ascii="Arial" w:cs="Arial" w:eastAsia="Arial" w:hAnsi="Arial"/>
                <w:sz w:val="14"/>
                <w:szCs w:val="14"/>
                <w:color w:val="auto"/>
              </w:rPr>
              <w:t>905,000</w:t>
            </w:r>
          </w:p>
        </w:tc>
      </w:tr>
      <w:tr>
        <w:trPr>
          <w:trHeight w:val="210"/>
        </w:trPr>
        <w:tc>
          <w:tcPr>
            <w:tcW w:w="20" w:type="dxa"/>
            <w:vAlign w:val="bottom"/>
          </w:tcPr>
          <w:p>
            <w:pPr>
              <w:spacing w:after="0"/>
              <w:rPr>
                <w:sz w:val="18"/>
                <w:szCs w:val="18"/>
                <w:color w:val="auto"/>
              </w:rPr>
            </w:pPr>
          </w:p>
        </w:tc>
        <w:tc>
          <w:tcPr>
            <w:tcW w:w="8560" w:type="dxa"/>
            <w:vAlign w:val="bottom"/>
            <w:tcBorders>
              <w:bottom w:val="single" w:sz="8" w:color="959595"/>
            </w:tcBorders>
          </w:tcPr>
          <w:p>
            <w:pPr>
              <w:ind w:left="20"/>
              <w:spacing w:after="0"/>
              <w:rPr>
                <w:sz w:val="20"/>
                <w:szCs w:val="20"/>
                <w:color w:val="auto"/>
              </w:rPr>
            </w:pPr>
            <w:r>
              <w:rPr>
                <w:rFonts w:ascii="Arial" w:cs="Arial" w:eastAsia="Arial" w:hAnsi="Arial"/>
                <w:sz w:val="14"/>
                <w:szCs w:val="14"/>
                <w:b w:val="1"/>
                <w:bCs w:val="1"/>
                <w:color w:val="012E6C"/>
              </w:rPr>
              <w:t>Mr. Edwards</w:t>
            </w:r>
          </w:p>
        </w:tc>
        <w:tc>
          <w:tcPr>
            <w:tcW w:w="28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905,000</w:t>
            </w:r>
          </w:p>
        </w:tc>
      </w:tr>
      <w:tr>
        <w:trPr>
          <w:trHeight w:val="189"/>
        </w:trPr>
        <w:tc>
          <w:tcPr>
            <w:tcW w:w="20" w:type="dxa"/>
            <w:vAlign w:val="bottom"/>
          </w:tcPr>
          <w:p>
            <w:pPr>
              <w:spacing w:after="0"/>
              <w:rPr>
                <w:sz w:val="16"/>
                <w:szCs w:val="16"/>
                <w:color w:val="auto"/>
              </w:rPr>
            </w:pPr>
          </w:p>
        </w:tc>
        <w:tc>
          <w:tcPr>
            <w:tcW w:w="8560" w:type="dxa"/>
            <w:vAlign w:val="bottom"/>
          </w:tcPr>
          <w:p>
            <w:pPr>
              <w:spacing w:after="0"/>
              <w:rPr>
                <w:sz w:val="20"/>
                <w:szCs w:val="20"/>
                <w:color w:val="auto"/>
              </w:rPr>
            </w:pPr>
            <w:r>
              <w:rPr>
                <w:rFonts w:ascii="Arial" w:cs="Arial" w:eastAsia="Arial" w:hAnsi="Arial"/>
                <w:sz w:val="14"/>
                <w:szCs w:val="14"/>
                <w:color w:val="auto"/>
              </w:rPr>
              <w:t>*  Mr. Bruce L. Tanner is retiring in 2019 and is no longer serving as Chief Financial Officer effective February 11, 2019.</w:t>
            </w:r>
          </w:p>
        </w:tc>
        <w:tc>
          <w:tcPr>
            <w:tcW w:w="2840" w:type="dxa"/>
            <w:vAlign w:val="bottom"/>
          </w:tcPr>
          <w:p>
            <w:pPr>
              <w:spacing w:after="0"/>
              <w:rPr>
                <w:sz w:val="16"/>
                <w:szCs w:val="16"/>
                <w:color w:val="auto"/>
              </w:rPr>
            </w:pPr>
          </w:p>
        </w:tc>
      </w:tr>
    </w:tbl>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848EB4"/>
        </w:rPr>
        <w:t>2019 Annual Incentive Goals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There were no changes to our annual incentive plan design for the 2019 performance year.</w:t>
      </w:r>
    </w:p>
    <w:p>
      <w:pPr>
        <w:spacing w:after="0" w:line="23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Compensation Committee approved the key corporate commitments set forth below for purposes of assessing performance in 2019. Although the annual incentive plan uses a formulaic approach to determine payout, the Compensation Committee retains discretion to modify the payouts for the CEO, other NEOs and all other officers elected by the Board.</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012E6C"/>
        </w:rPr>
        <w:t>2019 Financial Goals (Weight 70%)</w:t>
      </w:r>
    </w:p>
    <w:p>
      <w:pPr>
        <w:spacing w:after="0" w:line="183"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financial commitments are consistent with our long-range plan commitments, and are the same ranges we provided as public guidance in January 2019 in our year-end earnings release. These commitments for 2019 are set forth below.</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9020" w:type="dxa"/>
            <w:vAlign w:val="bottom"/>
            <w:shd w:val="clear" w:color="auto" w:fill="ECECEC"/>
          </w:tcPr>
          <w:p>
            <w:pPr>
              <w:spacing w:after="0"/>
              <w:rPr>
                <w:sz w:val="22"/>
                <w:szCs w:val="22"/>
                <w:color w:val="auto"/>
              </w:rPr>
            </w:pPr>
          </w:p>
        </w:tc>
        <w:tc>
          <w:tcPr>
            <w:tcW w:w="1080" w:type="dxa"/>
            <w:vAlign w:val="bottom"/>
            <w:shd w:val="clear" w:color="auto" w:fill="ECECEC"/>
          </w:tcPr>
          <w:p>
            <w:pPr>
              <w:spacing w:after="0"/>
              <w:rPr>
                <w:sz w:val="22"/>
                <w:szCs w:val="22"/>
                <w:color w:val="auto"/>
              </w:rPr>
            </w:pPr>
          </w:p>
        </w:tc>
        <w:tc>
          <w:tcPr>
            <w:tcW w:w="1320" w:type="dxa"/>
            <w:vAlign w:val="bottom"/>
            <w:shd w:val="clear" w:color="auto" w:fill="ECECEC"/>
          </w:tcPr>
          <w:p>
            <w:pPr>
              <w:jc w:val="right"/>
              <w:spacing w:after="0"/>
              <w:rPr>
                <w:sz w:val="20"/>
                <w:szCs w:val="20"/>
                <w:color w:val="auto"/>
              </w:rPr>
            </w:pPr>
            <w:r>
              <w:rPr>
                <w:rFonts w:ascii="Arial" w:cs="Arial" w:eastAsia="Arial" w:hAnsi="Arial"/>
                <w:sz w:val="13"/>
                <w:szCs w:val="13"/>
                <w:color w:val="auto"/>
              </w:rPr>
              <w:t>2019 Goal</w:t>
            </w:r>
          </w:p>
        </w:tc>
      </w:tr>
      <w:tr>
        <w:trPr>
          <w:trHeight w:val="197"/>
        </w:trPr>
        <w:tc>
          <w:tcPr>
            <w:tcW w:w="9020" w:type="dxa"/>
            <w:vAlign w:val="bottom"/>
            <w:tcBorders>
              <w:bottom w:val="single" w:sz="8" w:color="959595"/>
            </w:tcBorders>
            <w:shd w:val="clear" w:color="auto" w:fill="ECECEC"/>
          </w:tcPr>
          <w:p>
            <w:pPr>
              <w:ind w:left="40"/>
              <w:spacing w:after="0"/>
              <w:rPr>
                <w:sz w:val="20"/>
                <w:szCs w:val="20"/>
                <w:color w:val="auto"/>
              </w:rPr>
            </w:pPr>
            <w:r>
              <w:rPr>
                <w:rFonts w:ascii="Arial" w:cs="Arial" w:eastAsia="Arial" w:hAnsi="Arial"/>
                <w:sz w:val="13"/>
                <w:szCs w:val="13"/>
                <w:color w:val="auto"/>
              </w:rPr>
              <w:t>2019 Commitments</w:t>
            </w:r>
          </w:p>
        </w:tc>
        <w:tc>
          <w:tcPr>
            <w:tcW w:w="1080" w:type="dxa"/>
            <w:vAlign w:val="bottom"/>
            <w:tcBorders>
              <w:bottom w:val="single" w:sz="8" w:color="959595"/>
            </w:tcBorders>
            <w:shd w:val="clear" w:color="auto" w:fill="ECECEC"/>
          </w:tcPr>
          <w:p>
            <w:pPr>
              <w:jc w:val="right"/>
              <w:ind w:right="110"/>
              <w:spacing w:after="0"/>
              <w:rPr>
                <w:sz w:val="20"/>
                <w:szCs w:val="20"/>
                <w:color w:val="auto"/>
              </w:rPr>
            </w:pPr>
            <w:r>
              <w:rPr>
                <w:rFonts w:ascii="Arial" w:cs="Arial" w:eastAsia="Arial" w:hAnsi="Arial"/>
                <w:sz w:val="13"/>
                <w:szCs w:val="13"/>
                <w:color w:val="auto"/>
              </w:rPr>
              <w:t>Weighting</w:t>
            </w:r>
          </w:p>
        </w:tc>
        <w:tc>
          <w:tcPr>
            <w:tcW w:w="1320" w:type="dxa"/>
            <w:vAlign w:val="bottom"/>
            <w:tcBorders>
              <w:bottom w:val="single" w:sz="8" w:color="959595"/>
            </w:tcBorders>
            <w:shd w:val="clear" w:color="auto" w:fill="ECECEC"/>
          </w:tcPr>
          <w:p>
            <w:pPr>
              <w:jc w:val="right"/>
              <w:spacing w:after="0"/>
              <w:rPr>
                <w:sz w:val="20"/>
                <w:szCs w:val="20"/>
                <w:color w:val="auto"/>
              </w:rPr>
            </w:pPr>
            <w:r>
              <w:rPr>
                <w:rFonts w:ascii="Arial" w:cs="Arial" w:eastAsia="Arial" w:hAnsi="Arial"/>
                <w:sz w:val="13"/>
                <w:szCs w:val="13"/>
                <w:color w:val="auto"/>
              </w:rPr>
              <w:t>($)</w:t>
            </w:r>
          </w:p>
        </w:tc>
      </w:tr>
      <w:tr>
        <w:trPr>
          <w:trHeight w:val="215"/>
        </w:trPr>
        <w:tc>
          <w:tcPr>
            <w:tcW w:w="902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auto"/>
              </w:rPr>
              <w:t>Sales</w:t>
            </w:r>
          </w:p>
        </w:tc>
        <w:tc>
          <w:tcPr>
            <w:tcW w:w="1080" w:type="dxa"/>
            <w:vAlign w:val="bottom"/>
            <w:tcBorders>
              <w:bottom w:val="single" w:sz="8" w:color="959595"/>
            </w:tcBorders>
          </w:tcPr>
          <w:p>
            <w:pPr>
              <w:jc w:val="right"/>
              <w:ind w:right="110"/>
              <w:spacing w:after="0"/>
              <w:rPr>
                <w:sz w:val="20"/>
                <w:szCs w:val="20"/>
                <w:color w:val="auto"/>
              </w:rPr>
            </w:pPr>
            <w:r>
              <w:rPr>
                <w:rFonts w:ascii="Arial" w:cs="Arial" w:eastAsia="Arial" w:hAnsi="Arial"/>
                <w:sz w:val="14"/>
                <w:szCs w:val="14"/>
                <w:color w:val="auto"/>
              </w:rPr>
              <w:t>20%</w:t>
            </w:r>
          </w:p>
        </w:tc>
        <w:tc>
          <w:tcPr>
            <w:tcW w:w="13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55,750 - 57,250M</w:t>
            </w:r>
          </w:p>
        </w:tc>
      </w:tr>
      <w:tr>
        <w:trPr>
          <w:trHeight w:val="210"/>
        </w:trPr>
        <w:tc>
          <w:tcPr>
            <w:tcW w:w="902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auto"/>
              </w:rPr>
              <w:t>Segment Operating Profit</w:t>
            </w:r>
          </w:p>
        </w:tc>
        <w:tc>
          <w:tcPr>
            <w:tcW w:w="1080" w:type="dxa"/>
            <w:vAlign w:val="bottom"/>
            <w:tcBorders>
              <w:bottom w:val="single" w:sz="8" w:color="959595"/>
            </w:tcBorders>
          </w:tcPr>
          <w:p>
            <w:pPr>
              <w:jc w:val="right"/>
              <w:ind w:right="110"/>
              <w:spacing w:after="0"/>
              <w:rPr>
                <w:sz w:val="20"/>
                <w:szCs w:val="20"/>
                <w:color w:val="auto"/>
              </w:rPr>
            </w:pPr>
            <w:r>
              <w:rPr>
                <w:rFonts w:ascii="Arial" w:cs="Arial" w:eastAsia="Arial" w:hAnsi="Arial"/>
                <w:sz w:val="14"/>
                <w:szCs w:val="14"/>
                <w:color w:val="auto"/>
              </w:rPr>
              <w:t>40%</w:t>
            </w:r>
          </w:p>
        </w:tc>
        <w:tc>
          <w:tcPr>
            <w:tcW w:w="13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6,000 - 6,150M</w:t>
            </w:r>
          </w:p>
        </w:tc>
      </w:tr>
      <w:tr>
        <w:trPr>
          <w:trHeight w:val="210"/>
        </w:trPr>
        <w:tc>
          <w:tcPr>
            <w:tcW w:w="902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auto"/>
              </w:rPr>
              <w:t>Cash from Operations</w:t>
            </w:r>
          </w:p>
        </w:tc>
        <w:tc>
          <w:tcPr>
            <w:tcW w:w="1080" w:type="dxa"/>
            <w:vAlign w:val="bottom"/>
            <w:tcBorders>
              <w:bottom w:val="single" w:sz="8" w:color="959595"/>
            </w:tcBorders>
          </w:tcPr>
          <w:p>
            <w:pPr>
              <w:jc w:val="right"/>
              <w:ind w:right="110"/>
              <w:spacing w:after="0"/>
              <w:rPr>
                <w:sz w:val="20"/>
                <w:szCs w:val="20"/>
                <w:color w:val="auto"/>
              </w:rPr>
            </w:pPr>
            <w:r>
              <w:rPr>
                <w:rFonts w:ascii="Arial" w:cs="Arial" w:eastAsia="Arial" w:hAnsi="Arial"/>
                <w:sz w:val="14"/>
                <w:szCs w:val="14"/>
                <w:color w:val="auto"/>
              </w:rPr>
              <w:t>40%</w:t>
            </w:r>
          </w:p>
        </w:tc>
        <w:tc>
          <w:tcPr>
            <w:tcW w:w="13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 7,400M</w:t>
            </w:r>
          </w:p>
        </w:tc>
      </w:tr>
    </w:tbl>
    <w:p>
      <w:pPr>
        <w:spacing w:after="0" w:line="20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For the purposes of assessing performance under our annual incentive program, results may be adjusted from reported amounts for the incremental benefits or impacts associated with non-recurring items, such as acquisitions or divestitures. Cash from Operations results have been adjusted in prior years for unplanned pension contributions so that the impact on incentive compensation is not a factor in the decision to make the additional pension contribution.</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012E6C"/>
        </w:rPr>
        <w:t>2019 Strategic and Operational Goals (Weight 30%)</w:t>
      </w:r>
    </w:p>
    <w:p>
      <w:pPr>
        <w:spacing w:after="0" w:line="181" w:lineRule="exact"/>
        <w:rPr>
          <w:sz w:val="20"/>
          <w:szCs w:val="20"/>
          <w:color w:val="auto"/>
        </w:rPr>
      </w:pPr>
    </w:p>
    <w:p>
      <w:pPr>
        <w:ind w:left="260" w:hanging="130"/>
        <w:spacing w:after="0"/>
        <w:tabs>
          <w:tab w:leader="none" w:pos="260" w:val="left"/>
        </w:tabs>
        <w:numPr>
          <w:ilvl w:val="0"/>
          <w:numId w:val="78"/>
        </w:numPr>
        <w:rPr>
          <w:rFonts w:ascii="Arial" w:cs="Arial" w:eastAsia="Arial" w:hAnsi="Arial"/>
          <w:sz w:val="17"/>
          <w:szCs w:val="17"/>
          <w:color w:val="012E6C"/>
        </w:rPr>
      </w:pPr>
      <w:r>
        <w:rPr>
          <w:rFonts w:ascii="Arial" w:cs="Arial" w:eastAsia="Arial" w:hAnsi="Arial"/>
          <w:sz w:val="17"/>
          <w:szCs w:val="17"/>
          <w:b w:val="1"/>
          <w:bCs w:val="1"/>
          <w:color w:val="auto"/>
        </w:rPr>
        <w:t xml:space="preserve">Focus Programs: </w:t>
      </w:r>
      <w:r>
        <w:rPr>
          <w:rFonts w:ascii="Arial" w:cs="Arial" w:eastAsia="Arial" w:hAnsi="Arial"/>
          <w:sz w:val="17"/>
          <w:szCs w:val="17"/>
          <w:color w:val="auto"/>
        </w:rPr>
        <w:t>Shape and secure Key Focus Program wins and achieve Keep Sold Program milestones</w:t>
      </w:r>
    </w:p>
    <w:p>
      <w:pPr>
        <w:spacing w:after="0" w:line="236" w:lineRule="exact"/>
        <w:rPr>
          <w:rFonts w:ascii="Arial" w:cs="Arial" w:eastAsia="Arial" w:hAnsi="Arial"/>
          <w:sz w:val="17"/>
          <w:szCs w:val="17"/>
          <w:color w:val="012E6C"/>
        </w:rPr>
      </w:pPr>
    </w:p>
    <w:p>
      <w:pPr>
        <w:ind w:left="260" w:hanging="130"/>
        <w:spacing w:after="0"/>
        <w:tabs>
          <w:tab w:leader="none" w:pos="260" w:val="left"/>
        </w:tabs>
        <w:numPr>
          <w:ilvl w:val="0"/>
          <w:numId w:val="78"/>
        </w:numPr>
        <w:rPr>
          <w:rFonts w:ascii="Arial" w:cs="Arial" w:eastAsia="Arial" w:hAnsi="Arial"/>
          <w:sz w:val="17"/>
          <w:szCs w:val="17"/>
          <w:color w:val="012E6C"/>
        </w:rPr>
      </w:pPr>
      <w:r>
        <w:rPr>
          <w:rFonts w:ascii="Arial" w:cs="Arial" w:eastAsia="Arial" w:hAnsi="Arial"/>
          <w:sz w:val="17"/>
          <w:szCs w:val="17"/>
          <w:b w:val="1"/>
          <w:bCs w:val="1"/>
          <w:color w:val="auto"/>
        </w:rPr>
        <w:t xml:space="preserve">Mission Success: </w:t>
      </w:r>
      <w:r>
        <w:rPr>
          <w:rFonts w:ascii="Arial" w:cs="Arial" w:eastAsia="Arial" w:hAnsi="Arial"/>
          <w:sz w:val="17"/>
          <w:szCs w:val="17"/>
          <w:color w:val="auto"/>
        </w:rPr>
        <w:t>Achieve Mission Success milestones</w:t>
      </w:r>
    </w:p>
    <w:p>
      <w:pPr>
        <w:spacing w:after="0" w:line="236" w:lineRule="exact"/>
        <w:rPr>
          <w:rFonts w:ascii="Arial" w:cs="Arial" w:eastAsia="Arial" w:hAnsi="Arial"/>
          <w:sz w:val="17"/>
          <w:szCs w:val="17"/>
          <w:color w:val="012E6C"/>
        </w:rPr>
      </w:pPr>
    </w:p>
    <w:p>
      <w:pPr>
        <w:ind w:left="260" w:hanging="130"/>
        <w:spacing w:after="0"/>
        <w:tabs>
          <w:tab w:leader="none" w:pos="260" w:val="left"/>
        </w:tabs>
        <w:numPr>
          <w:ilvl w:val="0"/>
          <w:numId w:val="78"/>
        </w:numPr>
        <w:rPr>
          <w:rFonts w:ascii="Arial" w:cs="Arial" w:eastAsia="Arial" w:hAnsi="Arial"/>
          <w:sz w:val="17"/>
          <w:szCs w:val="17"/>
          <w:color w:val="012E6C"/>
        </w:rPr>
      </w:pPr>
      <w:r>
        <w:rPr>
          <w:rFonts w:ascii="Arial" w:cs="Arial" w:eastAsia="Arial" w:hAnsi="Arial"/>
          <w:sz w:val="17"/>
          <w:szCs w:val="17"/>
          <w:b w:val="1"/>
          <w:bCs w:val="1"/>
          <w:color w:val="auto"/>
        </w:rPr>
        <w:t xml:space="preserve">Program Performance: </w:t>
      </w:r>
      <w:r>
        <w:rPr>
          <w:rFonts w:ascii="Arial" w:cs="Arial" w:eastAsia="Arial" w:hAnsi="Arial"/>
          <w:sz w:val="17"/>
          <w:szCs w:val="17"/>
          <w:color w:val="auto"/>
        </w:rPr>
        <w:t>Execute programs to achieve customer commitments and increase stockholder value</w:t>
      </w:r>
    </w:p>
    <w:p>
      <w:pPr>
        <w:spacing w:after="0" w:line="236" w:lineRule="exact"/>
        <w:rPr>
          <w:rFonts w:ascii="Arial" w:cs="Arial" w:eastAsia="Arial" w:hAnsi="Arial"/>
          <w:sz w:val="17"/>
          <w:szCs w:val="17"/>
          <w:color w:val="012E6C"/>
        </w:rPr>
      </w:pPr>
    </w:p>
    <w:p>
      <w:pPr>
        <w:ind w:left="260" w:right="480" w:hanging="130"/>
        <w:spacing w:after="0" w:line="311" w:lineRule="auto"/>
        <w:tabs>
          <w:tab w:leader="none" w:pos="260" w:val="left"/>
        </w:tabs>
        <w:numPr>
          <w:ilvl w:val="0"/>
          <w:numId w:val="78"/>
        </w:numPr>
        <w:rPr>
          <w:rFonts w:ascii="Arial" w:cs="Arial" w:eastAsia="Arial" w:hAnsi="Arial"/>
          <w:sz w:val="17"/>
          <w:szCs w:val="17"/>
          <w:color w:val="012E6C"/>
        </w:rPr>
      </w:pPr>
      <w:r>
        <w:rPr>
          <w:rFonts w:ascii="Arial" w:cs="Arial" w:eastAsia="Arial" w:hAnsi="Arial"/>
          <w:sz w:val="17"/>
          <w:szCs w:val="17"/>
          <w:b w:val="1"/>
          <w:bCs w:val="1"/>
          <w:color w:val="auto"/>
        </w:rPr>
        <w:t xml:space="preserve">Portfolio Shaping / Enterprise Initiatives: </w:t>
      </w:r>
      <w:r>
        <w:rPr>
          <w:rFonts w:ascii="Arial" w:cs="Arial" w:eastAsia="Arial" w:hAnsi="Arial"/>
          <w:sz w:val="17"/>
          <w:szCs w:val="17"/>
          <w:color w:val="auto"/>
        </w:rPr>
        <w:t>Assess the company portfolio on an ongoing basis to maximize stockholder value, including M&amp;A</w:t>
      </w:r>
      <w:r>
        <w:rPr>
          <w:rFonts w:ascii="Arial" w:cs="Arial" w:eastAsia="Arial" w:hAnsi="Arial"/>
          <w:sz w:val="17"/>
          <w:szCs w:val="17"/>
          <w:b w:val="1"/>
          <w:bCs w:val="1"/>
          <w:color w:val="auto"/>
        </w:rPr>
        <w:t xml:space="preserve"> </w:t>
      </w:r>
      <w:r>
        <w:rPr>
          <w:rFonts w:ascii="Arial" w:cs="Arial" w:eastAsia="Arial" w:hAnsi="Arial"/>
          <w:sz w:val="17"/>
          <w:szCs w:val="17"/>
          <w:color w:val="auto"/>
        </w:rPr>
        <w:t>activity, streamlining operations and other Enterprise-wide initiatives</w:t>
      </w:r>
    </w:p>
    <w:p>
      <w:pPr>
        <w:spacing w:after="0" w:line="141" w:lineRule="exact"/>
        <w:rPr>
          <w:rFonts w:ascii="Arial" w:cs="Arial" w:eastAsia="Arial" w:hAnsi="Arial"/>
          <w:sz w:val="17"/>
          <w:szCs w:val="17"/>
          <w:color w:val="012E6C"/>
        </w:rPr>
      </w:pPr>
    </w:p>
    <w:p>
      <w:pPr>
        <w:ind w:left="260" w:hanging="130"/>
        <w:spacing w:after="0"/>
        <w:tabs>
          <w:tab w:leader="none" w:pos="260" w:val="left"/>
        </w:tabs>
        <w:numPr>
          <w:ilvl w:val="0"/>
          <w:numId w:val="78"/>
        </w:numPr>
        <w:rPr>
          <w:rFonts w:ascii="Arial" w:cs="Arial" w:eastAsia="Arial" w:hAnsi="Arial"/>
          <w:sz w:val="17"/>
          <w:szCs w:val="17"/>
          <w:color w:val="012E6C"/>
        </w:rPr>
      </w:pPr>
      <w:r>
        <w:rPr>
          <w:rFonts w:ascii="Arial" w:cs="Arial" w:eastAsia="Arial" w:hAnsi="Arial"/>
          <w:sz w:val="17"/>
          <w:szCs w:val="17"/>
          <w:b w:val="1"/>
          <w:bCs w:val="1"/>
          <w:color w:val="auto"/>
        </w:rPr>
        <w:t xml:space="preserve">Innovation: </w:t>
      </w:r>
      <w:r>
        <w:rPr>
          <w:rFonts w:ascii="Arial" w:cs="Arial" w:eastAsia="Arial" w:hAnsi="Arial"/>
          <w:sz w:val="17"/>
          <w:szCs w:val="17"/>
          <w:color w:val="auto"/>
        </w:rPr>
        <w:t>Execute technology and digital transformation strategy, ensuring robust innovation, collaboration and strategic partnering</w:t>
      </w:r>
    </w:p>
    <w:p>
      <w:pPr>
        <w:spacing w:after="0" w:line="236" w:lineRule="exact"/>
        <w:rPr>
          <w:rFonts w:ascii="Arial" w:cs="Arial" w:eastAsia="Arial" w:hAnsi="Arial"/>
          <w:sz w:val="17"/>
          <w:szCs w:val="17"/>
          <w:color w:val="012E6C"/>
        </w:rPr>
      </w:pPr>
    </w:p>
    <w:p>
      <w:pPr>
        <w:ind w:left="260" w:hanging="130"/>
        <w:spacing w:after="0"/>
        <w:tabs>
          <w:tab w:leader="none" w:pos="260" w:val="left"/>
        </w:tabs>
        <w:numPr>
          <w:ilvl w:val="0"/>
          <w:numId w:val="78"/>
        </w:numPr>
        <w:rPr>
          <w:rFonts w:ascii="Arial" w:cs="Arial" w:eastAsia="Arial" w:hAnsi="Arial"/>
          <w:sz w:val="17"/>
          <w:szCs w:val="17"/>
          <w:color w:val="012E6C"/>
        </w:rPr>
      </w:pPr>
      <w:r>
        <w:rPr>
          <w:rFonts w:ascii="Arial" w:cs="Arial" w:eastAsia="Arial" w:hAnsi="Arial"/>
          <w:sz w:val="17"/>
          <w:szCs w:val="17"/>
          <w:b w:val="1"/>
          <w:bCs w:val="1"/>
          <w:color w:val="auto"/>
        </w:rPr>
        <w:t xml:space="preserve">Talent Management: </w:t>
      </w:r>
      <w:r>
        <w:rPr>
          <w:rFonts w:ascii="Arial" w:cs="Arial" w:eastAsia="Arial" w:hAnsi="Arial"/>
          <w:sz w:val="17"/>
          <w:szCs w:val="17"/>
          <w:color w:val="auto"/>
        </w:rPr>
        <w:t>Attract, develop and retain the workforce needed to deliver commitments to customers and stockholders</w:t>
      </w:r>
    </w:p>
    <w:p>
      <w:pPr>
        <w:sectPr>
          <w:pgSz w:w="11900" w:h="16838" w:orient="portrait"/>
          <w:cols w:equalWidth="0" w:num="1">
            <w:col w:w="11420"/>
          </w:cols>
          <w:pgMar w:left="240" w:top="292" w:right="23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ind w:left="40"/>
        <w:spacing w:after="0"/>
        <w:tabs>
          <w:tab w:leader="none" w:pos="9420" w:val="left"/>
          <w:tab w:leader="none" w:pos="1122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2019 Proxy Statement</w:t>
      </w:r>
      <w:r>
        <w:rPr>
          <w:sz w:val="20"/>
          <w:szCs w:val="20"/>
          <w:color w:val="auto"/>
        </w:rPr>
        <w:tab/>
      </w:r>
      <w:r>
        <w:rPr>
          <w:rFonts w:ascii="Arial" w:cs="Arial" w:eastAsia="Arial" w:hAnsi="Arial"/>
          <w:sz w:val="14"/>
          <w:szCs w:val="14"/>
          <w:b w:val="1"/>
          <w:bCs w:val="1"/>
          <w:color w:val="808080"/>
        </w:rPr>
        <w:t>47</w:t>
      </w:r>
    </w:p>
    <w:p>
      <w:pPr>
        <w:sectPr>
          <w:pgSz w:w="11900" w:h="16838" w:orient="portrait"/>
          <w:cols w:equalWidth="0" w:num="1">
            <w:col w:w="11420"/>
          </w:cols>
          <w:pgMar w:left="240" w:top="292" w:right="2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5"/>
          <w:szCs w:val="15"/>
          <w:color w:val="003478"/>
        </w:rPr>
        <w:t>Executive Compensation</w:t>
      </w: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color w:val="012E6C"/>
        </w:rPr>
        <w:t>2019 Long-Term Incentive Award Opportunities</w:t>
      </w:r>
    </w:p>
    <w:p>
      <w:pPr>
        <w:spacing w:after="0" w:line="183"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For 2019, the LTI award mix is the same as last year and is allocated 50% toward PSUs, 20% toward LTIP and 30% toward RSUs. The number of PSUs and RSUs granted to participants for 2019 will be determined using the closing stock price of Lockheed Martin common stock on the NYSE on the date of grant.</w:t>
      </w:r>
    </w:p>
    <w:p>
      <w:pPr>
        <w:spacing w:after="0" w:line="166"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For the 2019-2021 LTIP grants, any amount payable to a single participant in excess of $10 million will be forfeited. The terms and performance measures of the 2019-2021 PSUs and LTIP awards are similar to the 2018-2020 awards (see pages 43-45), with the exception of the enhanced clawback provision (as described in the next section) and the peer comparators to be used to measure the Corporation's Relative TSR performance.</w:t>
      </w:r>
    </w:p>
    <w:p>
      <w:pPr>
        <w:spacing w:after="0" w:line="166" w:lineRule="exact"/>
        <w:rPr>
          <w:sz w:val="20"/>
          <w:szCs w:val="20"/>
          <w:color w:val="auto"/>
        </w:rPr>
      </w:pPr>
    </w:p>
    <w:p>
      <w:pPr>
        <w:ind w:right="320"/>
        <w:spacing w:after="0" w:line="272" w:lineRule="auto"/>
        <w:rPr>
          <w:sz w:val="20"/>
          <w:szCs w:val="20"/>
          <w:color w:val="auto"/>
        </w:rPr>
      </w:pPr>
      <w:r>
        <w:rPr>
          <w:rFonts w:ascii="Arial" w:cs="Arial" w:eastAsia="Arial" w:hAnsi="Arial"/>
          <w:sz w:val="17"/>
          <w:szCs w:val="17"/>
          <w:color w:val="auto"/>
        </w:rPr>
        <w:t>The Compensation Committee approved an expanded performance peer group comprised of 15 industry peers beginning with the 2019-2021 performance cycle, including the S&amp;P Aerospace Index companies and several other large publicly traded U.S. Government Contractors. While the S&amp;P Aerospace Index has been, in our judgment, the best index against which to compare our Relative TSR, it has been impacted by multiple business transactions and exhibited significant volatility in the number of its constituents over the past several years. For example, the number of companies in the S&amp;P Aerospace Index varied between 9 to 12 companies between 2016 and 2018, the impact from which resulted in abrupt performance ranking and payout implications. As such, the Compensation Committee approved an expanded custom peer group starting with the 2019-2021 LTI awards,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0" w:lineRule="exact"/>
        <w:rPr>
          <w:sz w:val="20"/>
          <w:szCs w:val="20"/>
          <w:color w:val="auto"/>
        </w:rPr>
      </w:pPr>
    </w:p>
    <w:p>
      <w:pPr>
        <w:ind w:left="40"/>
        <w:spacing w:after="0"/>
        <w:rPr>
          <w:sz w:val="20"/>
          <w:szCs w:val="20"/>
          <w:color w:val="auto"/>
        </w:rPr>
      </w:pPr>
      <w:r>
        <w:rPr>
          <w:rFonts w:ascii="Arial" w:cs="Arial" w:eastAsia="Arial" w:hAnsi="Arial"/>
          <w:sz w:val="16"/>
          <w:szCs w:val="16"/>
          <w:color w:val="003478"/>
        </w:rPr>
        <w:t>2019-2021 Relative TSR Comparators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338"/>
        </w:trPr>
        <w:tc>
          <w:tcPr>
            <w:tcW w:w="3900" w:type="dxa"/>
            <w:vAlign w:val="bottom"/>
            <w:shd w:val="clear" w:color="auto" w:fill="E6E7EF"/>
          </w:tcPr>
          <w:p>
            <w:pPr>
              <w:ind w:left="120"/>
              <w:spacing w:after="0"/>
              <w:rPr>
                <w:sz w:val="20"/>
                <w:szCs w:val="20"/>
                <w:color w:val="auto"/>
              </w:rPr>
            </w:pPr>
            <w:r>
              <w:rPr>
                <w:rFonts w:ascii="Arial" w:cs="Arial" w:eastAsia="Arial" w:hAnsi="Arial"/>
                <w:sz w:val="17"/>
                <w:szCs w:val="17"/>
                <w:color w:val="auto"/>
              </w:rPr>
              <w:t>Arconic Inc.</w:t>
            </w:r>
          </w:p>
        </w:tc>
        <w:tc>
          <w:tcPr>
            <w:tcW w:w="3760" w:type="dxa"/>
            <w:vAlign w:val="bottom"/>
            <w:shd w:val="clear" w:color="auto" w:fill="E6E7EF"/>
          </w:tcPr>
          <w:p>
            <w:pPr>
              <w:ind w:left="100"/>
              <w:spacing w:after="0"/>
              <w:rPr>
                <w:sz w:val="20"/>
                <w:szCs w:val="20"/>
                <w:color w:val="auto"/>
              </w:rPr>
            </w:pPr>
            <w:r>
              <w:rPr>
                <w:rFonts w:ascii="Arial" w:cs="Arial" w:eastAsia="Arial" w:hAnsi="Arial"/>
                <w:sz w:val="17"/>
                <w:szCs w:val="17"/>
                <w:color w:val="auto"/>
              </w:rPr>
              <w:t>Honeywell International Inc.</w:t>
            </w:r>
          </w:p>
        </w:tc>
        <w:tc>
          <w:tcPr>
            <w:tcW w:w="3760" w:type="dxa"/>
            <w:vAlign w:val="bottom"/>
            <w:shd w:val="clear" w:color="auto" w:fill="E6E7EF"/>
          </w:tcPr>
          <w:p>
            <w:pPr>
              <w:ind w:left="120"/>
              <w:spacing w:after="0"/>
              <w:rPr>
                <w:sz w:val="20"/>
                <w:szCs w:val="20"/>
                <w:color w:val="auto"/>
              </w:rPr>
            </w:pPr>
            <w:r>
              <w:rPr>
                <w:rFonts w:ascii="Arial" w:cs="Arial" w:eastAsia="Arial" w:hAnsi="Arial"/>
                <w:sz w:val="17"/>
                <w:szCs w:val="17"/>
                <w:color w:val="auto"/>
              </w:rPr>
              <w:t>Science Applications International Corp.</w:t>
            </w:r>
          </w:p>
        </w:tc>
      </w:tr>
      <w:tr>
        <w:trPr>
          <w:trHeight w:val="459"/>
        </w:trPr>
        <w:tc>
          <w:tcPr>
            <w:tcW w:w="3900" w:type="dxa"/>
            <w:vAlign w:val="bottom"/>
            <w:shd w:val="clear" w:color="auto" w:fill="E6E7EF"/>
          </w:tcPr>
          <w:p>
            <w:pPr>
              <w:ind w:left="120"/>
              <w:spacing w:after="0"/>
              <w:rPr>
                <w:sz w:val="20"/>
                <w:szCs w:val="20"/>
                <w:color w:val="auto"/>
              </w:rPr>
            </w:pPr>
            <w:r>
              <w:rPr>
                <w:rFonts w:ascii="Arial" w:cs="Arial" w:eastAsia="Arial" w:hAnsi="Arial"/>
                <w:sz w:val="17"/>
                <w:szCs w:val="17"/>
                <w:color w:val="auto"/>
              </w:rPr>
              <w:t>Booz Allen Hamilton Holding Corporation</w:t>
            </w:r>
          </w:p>
        </w:tc>
        <w:tc>
          <w:tcPr>
            <w:tcW w:w="3760" w:type="dxa"/>
            <w:vAlign w:val="bottom"/>
            <w:shd w:val="clear" w:color="auto" w:fill="E6E7EF"/>
          </w:tcPr>
          <w:p>
            <w:pPr>
              <w:ind w:left="100"/>
              <w:spacing w:after="0"/>
              <w:rPr>
                <w:sz w:val="20"/>
                <w:szCs w:val="20"/>
                <w:color w:val="auto"/>
              </w:rPr>
            </w:pPr>
            <w:r>
              <w:rPr>
                <w:rFonts w:ascii="Arial" w:cs="Arial" w:eastAsia="Arial" w:hAnsi="Arial"/>
                <w:sz w:val="17"/>
                <w:szCs w:val="17"/>
                <w:color w:val="auto"/>
              </w:rPr>
              <w:t>Huntington Ingalls Industries, Inc.</w:t>
            </w:r>
          </w:p>
        </w:tc>
        <w:tc>
          <w:tcPr>
            <w:tcW w:w="3760" w:type="dxa"/>
            <w:vAlign w:val="bottom"/>
            <w:shd w:val="clear" w:color="auto" w:fill="E6E7EF"/>
          </w:tcPr>
          <w:p>
            <w:pPr>
              <w:ind w:left="120"/>
              <w:spacing w:after="0"/>
              <w:rPr>
                <w:sz w:val="20"/>
                <w:szCs w:val="20"/>
                <w:color w:val="auto"/>
              </w:rPr>
            </w:pPr>
            <w:r>
              <w:rPr>
                <w:rFonts w:ascii="Arial" w:cs="Arial" w:eastAsia="Arial" w:hAnsi="Arial"/>
                <w:sz w:val="17"/>
                <w:szCs w:val="17"/>
                <w:color w:val="auto"/>
              </w:rPr>
              <w:t>Textron Inc.</w:t>
            </w:r>
          </w:p>
        </w:tc>
      </w:tr>
      <w:tr>
        <w:trPr>
          <w:trHeight w:val="459"/>
        </w:trPr>
        <w:tc>
          <w:tcPr>
            <w:tcW w:w="3900" w:type="dxa"/>
            <w:vAlign w:val="bottom"/>
            <w:shd w:val="clear" w:color="auto" w:fill="E6E7EF"/>
          </w:tcPr>
          <w:p>
            <w:pPr>
              <w:ind w:left="120"/>
              <w:spacing w:after="0"/>
              <w:rPr>
                <w:sz w:val="20"/>
                <w:szCs w:val="20"/>
                <w:color w:val="auto"/>
              </w:rPr>
            </w:pPr>
            <w:r>
              <w:rPr>
                <w:rFonts w:ascii="Arial" w:cs="Arial" w:eastAsia="Arial" w:hAnsi="Arial"/>
                <w:sz w:val="17"/>
                <w:szCs w:val="17"/>
                <w:color w:val="auto"/>
              </w:rPr>
              <w:t>CACI International Inc</w:t>
            </w:r>
          </w:p>
        </w:tc>
        <w:tc>
          <w:tcPr>
            <w:tcW w:w="3760" w:type="dxa"/>
            <w:vAlign w:val="bottom"/>
            <w:shd w:val="clear" w:color="auto" w:fill="E6E7EF"/>
          </w:tcPr>
          <w:p>
            <w:pPr>
              <w:ind w:left="100"/>
              <w:spacing w:after="0"/>
              <w:rPr>
                <w:sz w:val="20"/>
                <w:szCs w:val="20"/>
                <w:color w:val="auto"/>
              </w:rPr>
            </w:pPr>
            <w:r>
              <w:rPr>
                <w:rFonts w:ascii="Arial" w:cs="Arial" w:eastAsia="Arial" w:hAnsi="Arial"/>
                <w:sz w:val="17"/>
                <w:szCs w:val="17"/>
                <w:color w:val="auto"/>
              </w:rPr>
              <w:t>Leidos Holdings, Inc.</w:t>
            </w:r>
          </w:p>
        </w:tc>
        <w:tc>
          <w:tcPr>
            <w:tcW w:w="3760" w:type="dxa"/>
            <w:vAlign w:val="bottom"/>
            <w:shd w:val="clear" w:color="auto" w:fill="E6E7EF"/>
          </w:tcPr>
          <w:p>
            <w:pPr>
              <w:ind w:left="120"/>
              <w:spacing w:after="0"/>
              <w:rPr>
                <w:sz w:val="20"/>
                <w:szCs w:val="20"/>
                <w:color w:val="auto"/>
              </w:rPr>
            </w:pPr>
            <w:r>
              <w:rPr>
                <w:rFonts w:ascii="Arial" w:cs="Arial" w:eastAsia="Arial" w:hAnsi="Arial"/>
                <w:sz w:val="17"/>
                <w:szCs w:val="17"/>
                <w:color w:val="auto"/>
              </w:rPr>
              <w:t>The Boeing Company</w:t>
            </w:r>
          </w:p>
        </w:tc>
      </w:tr>
      <w:tr>
        <w:trPr>
          <w:trHeight w:val="459"/>
        </w:trPr>
        <w:tc>
          <w:tcPr>
            <w:tcW w:w="3900" w:type="dxa"/>
            <w:vAlign w:val="bottom"/>
            <w:shd w:val="clear" w:color="auto" w:fill="E6E7EF"/>
          </w:tcPr>
          <w:p>
            <w:pPr>
              <w:ind w:left="120"/>
              <w:spacing w:after="0"/>
              <w:rPr>
                <w:sz w:val="20"/>
                <w:szCs w:val="20"/>
                <w:color w:val="auto"/>
              </w:rPr>
            </w:pPr>
            <w:r>
              <w:rPr>
                <w:rFonts w:ascii="Arial" w:cs="Arial" w:eastAsia="Arial" w:hAnsi="Arial"/>
                <w:sz w:val="17"/>
                <w:szCs w:val="17"/>
                <w:color w:val="auto"/>
              </w:rPr>
              <w:t>General Dynamics Corporation</w:t>
            </w:r>
          </w:p>
        </w:tc>
        <w:tc>
          <w:tcPr>
            <w:tcW w:w="3760" w:type="dxa"/>
            <w:vAlign w:val="bottom"/>
            <w:shd w:val="clear" w:color="auto" w:fill="E6E7EF"/>
          </w:tcPr>
          <w:p>
            <w:pPr>
              <w:ind w:left="100"/>
              <w:spacing w:after="0"/>
              <w:rPr>
                <w:sz w:val="20"/>
                <w:szCs w:val="20"/>
                <w:color w:val="auto"/>
              </w:rPr>
            </w:pPr>
            <w:r>
              <w:rPr>
                <w:rFonts w:ascii="Arial" w:cs="Arial" w:eastAsia="Arial" w:hAnsi="Arial"/>
                <w:sz w:val="17"/>
                <w:szCs w:val="17"/>
                <w:color w:val="auto"/>
              </w:rPr>
              <w:t>Northrop Grumman Corporation</w:t>
            </w:r>
          </w:p>
        </w:tc>
        <w:tc>
          <w:tcPr>
            <w:tcW w:w="3760" w:type="dxa"/>
            <w:vAlign w:val="bottom"/>
            <w:shd w:val="clear" w:color="auto" w:fill="E6E7EF"/>
          </w:tcPr>
          <w:p>
            <w:pPr>
              <w:ind w:left="120"/>
              <w:spacing w:after="0"/>
              <w:rPr>
                <w:sz w:val="20"/>
                <w:szCs w:val="20"/>
                <w:color w:val="auto"/>
              </w:rPr>
            </w:pPr>
            <w:r>
              <w:rPr>
                <w:rFonts w:ascii="Arial" w:cs="Arial" w:eastAsia="Arial" w:hAnsi="Arial"/>
                <w:sz w:val="17"/>
                <w:szCs w:val="17"/>
                <w:color w:val="auto"/>
              </w:rPr>
              <w:t>TransDigm Group Incorporated</w:t>
            </w:r>
          </w:p>
        </w:tc>
      </w:tr>
      <w:tr>
        <w:trPr>
          <w:trHeight w:val="459"/>
        </w:trPr>
        <w:tc>
          <w:tcPr>
            <w:tcW w:w="3900" w:type="dxa"/>
            <w:vAlign w:val="bottom"/>
            <w:shd w:val="clear" w:color="auto" w:fill="E6E7EF"/>
          </w:tcPr>
          <w:p>
            <w:pPr>
              <w:ind w:left="120"/>
              <w:spacing w:after="0"/>
              <w:rPr>
                <w:sz w:val="20"/>
                <w:szCs w:val="20"/>
                <w:color w:val="auto"/>
              </w:rPr>
            </w:pPr>
            <w:r>
              <w:rPr>
                <w:rFonts w:ascii="Arial" w:cs="Arial" w:eastAsia="Arial" w:hAnsi="Arial"/>
                <w:sz w:val="17"/>
                <w:szCs w:val="17"/>
                <w:color w:val="auto"/>
              </w:rPr>
              <w:t>Harris Corporation</w:t>
            </w:r>
          </w:p>
        </w:tc>
        <w:tc>
          <w:tcPr>
            <w:tcW w:w="3760" w:type="dxa"/>
            <w:vAlign w:val="bottom"/>
            <w:shd w:val="clear" w:color="auto" w:fill="E6E7EF"/>
          </w:tcPr>
          <w:p>
            <w:pPr>
              <w:ind w:left="100"/>
              <w:spacing w:after="0"/>
              <w:rPr>
                <w:sz w:val="20"/>
                <w:szCs w:val="20"/>
                <w:color w:val="auto"/>
              </w:rPr>
            </w:pPr>
            <w:r>
              <w:rPr>
                <w:rFonts w:ascii="Arial" w:cs="Arial" w:eastAsia="Arial" w:hAnsi="Arial"/>
                <w:sz w:val="17"/>
                <w:szCs w:val="17"/>
                <w:color w:val="auto"/>
              </w:rPr>
              <w:t>Raytheon Company</w:t>
            </w:r>
          </w:p>
        </w:tc>
        <w:tc>
          <w:tcPr>
            <w:tcW w:w="3760" w:type="dxa"/>
            <w:vAlign w:val="bottom"/>
            <w:shd w:val="clear" w:color="auto" w:fill="E6E7EF"/>
          </w:tcPr>
          <w:p>
            <w:pPr>
              <w:ind w:left="120"/>
              <w:spacing w:after="0"/>
              <w:rPr>
                <w:sz w:val="20"/>
                <w:szCs w:val="20"/>
                <w:color w:val="auto"/>
              </w:rPr>
            </w:pPr>
            <w:r>
              <w:rPr>
                <w:rFonts w:ascii="Arial" w:cs="Arial" w:eastAsia="Arial" w:hAnsi="Arial"/>
                <w:sz w:val="17"/>
                <w:szCs w:val="17"/>
                <w:color w:val="auto"/>
              </w:rPr>
              <w:t>United Technologies Corporation</w:t>
            </w:r>
          </w:p>
        </w:tc>
      </w:tr>
      <w:tr>
        <w:trPr>
          <w:trHeight w:val="122"/>
        </w:trPr>
        <w:tc>
          <w:tcPr>
            <w:tcW w:w="3900" w:type="dxa"/>
            <w:vAlign w:val="bottom"/>
            <w:shd w:val="clear" w:color="auto" w:fill="E6E7EF"/>
          </w:tcPr>
          <w:p>
            <w:pPr>
              <w:spacing w:after="0"/>
              <w:rPr>
                <w:sz w:val="10"/>
                <w:szCs w:val="10"/>
                <w:color w:val="auto"/>
              </w:rPr>
            </w:pPr>
          </w:p>
        </w:tc>
        <w:tc>
          <w:tcPr>
            <w:tcW w:w="3760" w:type="dxa"/>
            <w:vAlign w:val="bottom"/>
            <w:shd w:val="clear" w:color="auto" w:fill="E6E7EF"/>
          </w:tcPr>
          <w:p>
            <w:pPr>
              <w:spacing w:after="0"/>
              <w:rPr>
                <w:sz w:val="10"/>
                <w:szCs w:val="10"/>
                <w:color w:val="auto"/>
              </w:rPr>
            </w:pPr>
          </w:p>
        </w:tc>
        <w:tc>
          <w:tcPr>
            <w:tcW w:w="3760" w:type="dxa"/>
            <w:vAlign w:val="bottom"/>
            <w:shd w:val="clear" w:color="auto" w:fill="E6E7EF"/>
          </w:tcPr>
          <w:p>
            <w:pPr>
              <w:spacing w:after="0"/>
              <w:rPr>
                <w:sz w:val="10"/>
                <w:szCs w:val="10"/>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25"/>
          <w:szCs w:val="25"/>
          <w:color w:val="475C90"/>
        </w:rPr>
        <w:t>Other Compensation Matters</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848EB4"/>
        </w:rPr>
        <w:t>Our Use of Independent Compensation Consultants</w:t>
      </w:r>
    </w:p>
    <w:p>
      <w:pPr>
        <w:spacing w:after="0" w:line="226"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The independent compensation consultant provides important information about market practices, the types and amounts of compensation offered to executives generally and the role of corporate governance considerations in making compensation decisions. The Compensation Committee’s charter authorizes it to retain outside advisors that it believes are appropriate to assist in evaluating executive compensation.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For 2018, the Compensation Committee continued to retain Meridian as an independent compensation consultant. In connection with its retention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Meridian, the Compensation Committee considered the following factors in assessing Meridian’s independence:</w:t>
      </w:r>
    </w:p>
    <w:p>
      <w:pPr>
        <w:spacing w:after="0" w:line="222" w:lineRule="exact"/>
        <w:rPr>
          <w:sz w:val="20"/>
          <w:szCs w:val="20"/>
          <w:color w:val="auto"/>
        </w:rPr>
      </w:pPr>
    </w:p>
    <w:p>
      <w:pPr>
        <w:ind w:left="260" w:hanging="130"/>
        <w:spacing w:after="0"/>
        <w:tabs>
          <w:tab w:leader="none" w:pos="260" w:val="left"/>
        </w:tabs>
        <w:numPr>
          <w:ilvl w:val="0"/>
          <w:numId w:val="79"/>
        </w:numPr>
        <w:rPr>
          <w:rFonts w:ascii="Arial" w:cs="Arial" w:eastAsia="Arial" w:hAnsi="Arial"/>
          <w:sz w:val="17"/>
          <w:szCs w:val="17"/>
          <w:color w:val="012E6C"/>
        </w:rPr>
      </w:pPr>
      <w:r>
        <w:rPr>
          <w:rFonts w:ascii="Arial" w:cs="Arial" w:eastAsia="Arial" w:hAnsi="Arial"/>
          <w:sz w:val="17"/>
          <w:szCs w:val="17"/>
          <w:color w:val="auto"/>
        </w:rPr>
        <w:t>Meridian’s services for the Corporation are limited to executive and director compensation.</w:t>
      </w:r>
    </w:p>
    <w:p>
      <w:pPr>
        <w:spacing w:after="0" w:line="236" w:lineRule="exact"/>
        <w:rPr>
          <w:rFonts w:ascii="Arial" w:cs="Arial" w:eastAsia="Arial" w:hAnsi="Arial"/>
          <w:sz w:val="17"/>
          <w:szCs w:val="17"/>
          <w:color w:val="012E6C"/>
        </w:rPr>
      </w:pPr>
    </w:p>
    <w:p>
      <w:pPr>
        <w:ind w:left="260" w:hanging="130"/>
        <w:spacing w:after="0"/>
        <w:tabs>
          <w:tab w:leader="none" w:pos="260" w:val="left"/>
        </w:tabs>
        <w:numPr>
          <w:ilvl w:val="0"/>
          <w:numId w:val="79"/>
        </w:numPr>
        <w:rPr>
          <w:rFonts w:ascii="Arial" w:cs="Arial" w:eastAsia="Arial" w:hAnsi="Arial"/>
          <w:sz w:val="17"/>
          <w:szCs w:val="17"/>
          <w:color w:val="012E6C"/>
        </w:rPr>
      </w:pPr>
      <w:r>
        <w:rPr>
          <w:rFonts w:ascii="Arial" w:cs="Arial" w:eastAsia="Arial" w:hAnsi="Arial"/>
          <w:sz w:val="17"/>
          <w:szCs w:val="17"/>
          <w:color w:val="auto"/>
        </w:rPr>
        <w:t>The compensation paid to Meridian is less than 1% of Meridian’s revenues.</w:t>
      </w:r>
    </w:p>
    <w:p>
      <w:pPr>
        <w:spacing w:after="0" w:line="236" w:lineRule="exact"/>
        <w:rPr>
          <w:rFonts w:ascii="Arial" w:cs="Arial" w:eastAsia="Arial" w:hAnsi="Arial"/>
          <w:sz w:val="17"/>
          <w:szCs w:val="17"/>
          <w:color w:val="012E6C"/>
        </w:rPr>
      </w:pPr>
    </w:p>
    <w:p>
      <w:pPr>
        <w:ind w:left="260" w:hanging="130"/>
        <w:spacing w:after="0"/>
        <w:tabs>
          <w:tab w:leader="none" w:pos="260" w:val="left"/>
        </w:tabs>
        <w:numPr>
          <w:ilvl w:val="0"/>
          <w:numId w:val="79"/>
        </w:numPr>
        <w:rPr>
          <w:rFonts w:ascii="Arial" w:cs="Arial" w:eastAsia="Arial" w:hAnsi="Arial"/>
          <w:sz w:val="17"/>
          <w:szCs w:val="17"/>
          <w:color w:val="012E6C"/>
        </w:rPr>
      </w:pPr>
      <w:r>
        <w:rPr>
          <w:rFonts w:ascii="Arial" w:cs="Arial" w:eastAsia="Arial" w:hAnsi="Arial"/>
          <w:sz w:val="17"/>
          <w:szCs w:val="17"/>
          <w:color w:val="auto"/>
        </w:rPr>
        <w:t>Meridian has business ethics and insider trading and stock ownership policies, which are designed to avoid conflicts of interest.</w:t>
      </w:r>
    </w:p>
    <w:p>
      <w:pPr>
        <w:spacing w:after="0" w:line="236" w:lineRule="exact"/>
        <w:rPr>
          <w:rFonts w:ascii="Arial" w:cs="Arial" w:eastAsia="Arial" w:hAnsi="Arial"/>
          <w:sz w:val="17"/>
          <w:szCs w:val="17"/>
          <w:color w:val="012E6C"/>
        </w:rPr>
      </w:pPr>
    </w:p>
    <w:p>
      <w:pPr>
        <w:ind w:left="260" w:hanging="130"/>
        <w:spacing w:after="0"/>
        <w:tabs>
          <w:tab w:leader="none" w:pos="260" w:val="left"/>
        </w:tabs>
        <w:numPr>
          <w:ilvl w:val="0"/>
          <w:numId w:val="79"/>
        </w:numPr>
        <w:rPr>
          <w:rFonts w:ascii="Arial" w:cs="Arial" w:eastAsia="Arial" w:hAnsi="Arial"/>
          <w:sz w:val="17"/>
          <w:szCs w:val="17"/>
          <w:color w:val="012E6C"/>
        </w:rPr>
      </w:pPr>
      <w:r>
        <w:rPr>
          <w:rFonts w:ascii="Arial" w:cs="Arial" w:eastAsia="Arial" w:hAnsi="Arial"/>
          <w:sz w:val="17"/>
          <w:szCs w:val="17"/>
          <w:color w:val="auto"/>
        </w:rPr>
        <w:t>Meridian employees supporting the engagement do not own Lockheed Martin securities.</w:t>
      </w:r>
    </w:p>
    <w:p>
      <w:pPr>
        <w:spacing w:after="0" w:line="236" w:lineRule="exact"/>
        <w:rPr>
          <w:rFonts w:ascii="Arial" w:cs="Arial" w:eastAsia="Arial" w:hAnsi="Arial"/>
          <w:sz w:val="17"/>
          <w:szCs w:val="17"/>
          <w:color w:val="012E6C"/>
        </w:rPr>
      </w:pPr>
    </w:p>
    <w:p>
      <w:pPr>
        <w:ind w:left="260" w:right="60" w:hanging="130"/>
        <w:spacing w:after="0" w:line="308" w:lineRule="auto"/>
        <w:tabs>
          <w:tab w:leader="none" w:pos="260" w:val="left"/>
        </w:tabs>
        <w:numPr>
          <w:ilvl w:val="0"/>
          <w:numId w:val="79"/>
        </w:numPr>
        <w:rPr>
          <w:rFonts w:ascii="Arial" w:cs="Arial" w:eastAsia="Arial" w:hAnsi="Arial"/>
          <w:sz w:val="17"/>
          <w:szCs w:val="17"/>
          <w:color w:val="012E6C"/>
        </w:rPr>
      </w:pPr>
      <w:r>
        <w:rPr>
          <w:rFonts w:ascii="Arial" w:cs="Arial" w:eastAsia="Arial" w:hAnsi="Arial"/>
          <w:sz w:val="17"/>
          <w:szCs w:val="17"/>
          <w:color w:val="auto"/>
        </w:rPr>
        <w:t>Meridian employees supporting the engagement have no business or personal relationships with members of the Compensation Committee or with any Lockheed Martin executive officer.</w:t>
      </w:r>
    </w:p>
    <w:p>
      <w:pPr>
        <w:spacing w:after="0" w:line="147"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At its February 2019 meeting, the Compensation Committee renewed the engagement of Meridian. At that time, Meridian confirmed the continuing accuracy of each of the factors described above.</w:t>
      </w:r>
    </w:p>
    <w:p>
      <w:pPr>
        <w:spacing w:after="0" w:line="14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nature and scope of Meridian’s engagement was determined by the Compensation Committee and not limited in any way by management. During 2018, Meridian also provided consultative services to the Governance Committee regarding the compensation of the Corporation’s independent directors. A description of the services provided by Meridian can be found on pages 37 and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371475</wp:posOffset>
            </wp:positionV>
            <wp:extent cx="1440815" cy="3257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440815" cy="325755"/>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808080"/>
        </w:rPr>
        <w:t>48</w:t>
      </w:r>
    </w:p>
    <w:p>
      <w:pPr>
        <w:sectPr>
          <w:pgSz w:w="11900" w:h="16838" w:orient="portrait"/>
          <w:cols w:equalWidth="0" w:num="1">
            <w:col w:w="11420"/>
          </w:cols>
          <w:pgMar w:left="240" w:top="292" w:right="239" w:bottom="1440" w:gutter="0" w:footer="0" w:header="0"/>
          <w:type w:val="continuous"/>
        </w:sectPr>
      </w:pPr>
    </w:p>
    <w:bookmarkStart w:id="51" w:name="page52"/>
    <w:bookmarkEnd w:id="51"/>
    <w:p>
      <w:pPr>
        <w:jc w:val="right"/>
        <w:spacing w:after="0"/>
        <w:rPr>
          <w:sz w:val="20"/>
          <w:szCs w:val="20"/>
          <w:color w:val="auto"/>
        </w:rPr>
      </w:pPr>
      <w:r>
        <w:rPr>
          <w:rFonts w:ascii="Arial" w:cs="Arial" w:eastAsia="Arial" w:hAnsi="Arial"/>
          <w:sz w:val="15"/>
          <w:szCs w:val="15"/>
          <w:color w:val="003478"/>
        </w:rPr>
        <w:t>Executive Compensation</w:t>
      </w:r>
    </w:p>
    <w:p>
      <w:pPr>
        <w:spacing w:after="0" w:line="357" w:lineRule="exact"/>
        <w:rPr>
          <w:sz w:val="20"/>
          <w:szCs w:val="20"/>
          <w:color w:val="auto"/>
        </w:rPr>
      </w:pPr>
    </w:p>
    <w:p>
      <w:pPr>
        <w:spacing w:after="0"/>
        <w:rPr>
          <w:sz w:val="20"/>
          <w:szCs w:val="20"/>
          <w:color w:val="auto"/>
        </w:rPr>
      </w:pPr>
      <w:r>
        <w:rPr>
          <w:rFonts w:ascii="Arial" w:cs="Arial" w:eastAsia="Arial" w:hAnsi="Arial"/>
          <w:sz w:val="22"/>
          <w:szCs w:val="22"/>
          <w:color w:val="848EB4"/>
        </w:rPr>
        <w:t>Policy Regarding Timing of Equity Grants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We have a corporate policy statement concerning the grant of equity awards. Under that policy:</w:t>
      </w:r>
    </w:p>
    <w:p>
      <w:pPr>
        <w:spacing w:after="0" w:line="237" w:lineRule="exact"/>
        <w:rPr>
          <w:sz w:val="20"/>
          <w:szCs w:val="20"/>
          <w:color w:val="auto"/>
        </w:rPr>
      </w:pPr>
    </w:p>
    <w:p>
      <w:pPr>
        <w:ind w:left="260" w:hanging="130"/>
        <w:spacing w:after="0"/>
        <w:tabs>
          <w:tab w:leader="none" w:pos="260" w:val="left"/>
        </w:tabs>
        <w:numPr>
          <w:ilvl w:val="0"/>
          <w:numId w:val="80"/>
        </w:numPr>
        <w:rPr>
          <w:rFonts w:ascii="Arial" w:cs="Arial" w:eastAsia="Arial" w:hAnsi="Arial"/>
          <w:sz w:val="17"/>
          <w:szCs w:val="17"/>
          <w:color w:val="012E6C"/>
        </w:rPr>
      </w:pPr>
      <w:r>
        <w:rPr>
          <w:rFonts w:ascii="Arial" w:cs="Arial" w:eastAsia="Arial" w:hAnsi="Arial"/>
          <w:sz w:val="17"/>
          <w:szCs w:val="17"/>
          <w:color w:val="auto"/>
        </w:rPr>
        <w:t>The Compensation Committee is responsible for determining the grant date of all equity awards to executive officers.</w:t>
      </w:r>
    </w:p>
    <w:p>
      <w:pPr>
        <w:spacing w:after="0" w:line="236" w:lineRule="exact"/>
        <w:rPr>
          <w:rFonts w:ascii="Arial" w:cs="Arial" w:eastAsia="Arial" w:hAnsi="Arial"/>
          <w:sz w:val="17"/>
          <w:szCs w:val="17"/>
          <w:color w:val="012E6C"/>
        </w:rPr>
      </w:pPr>
    </w:p>
    <w:p>
      <w:pPr>
        <w:ind w:left="260" w:right="100" w:hanging="130"/>
        <w:spacing w:after="0" w:line="308" w:lineRule="auto"/>
        <w:tabs>
          <w:tab w:leader="none" w:pos="260" w:val="left"/>
        </w:tabs>
        <w:numPr>
          <w:ilvl w:val="0"/>
          <w:numId w:val="80"/>
        </w:numPr>
        <w:rPr>
          <w:rFonts w:ascii="Arial" w:cs="Arial" w:eastAsia="Arial" w:hAnsi="Arial"/>
          <w:sz w:val="17"/>
          <w:szCs w:val="17"/>
          <w:color w:val="012E6C"/>
        </w:rPr>
      </w:pPr>
      <w:r>
        <w:rPr>
          <w:rFonts w:ascii="Arial" w:cs="Arial" w:eastAsia="Arial" w:hAnsi="Arial"/>
          <w:sz w:val="17"/>
          <w:szCs w:val="17"/>
          <w:color w:val="auto"/>
        </w:rPr>
        <w:t>No equity award may be backdated. A future date may be used if, among other reasons, the Compensation Committee’s action occurs in proximity to the release of earnings or during a trading blackout period.</w:t>
      </w:r>
    </w:p>
    <w:p>
      <w:pPr>
        <w:spacing w:after="0" w:line="146" w:lineRule="exact"/>
        <w:rPr>
          <w:rFonts w:ascii="Arial" w:cs="Arial" w:eastAsia="Arial" w:hAnsi="Arial"/>
          <w:sz w:val="17"/>
          <w:szCs w:val="17"/>
          <w:color w:val="012E6C"/>
        </w:rPr>
      </w:pPr>
    </w:p>
    <w:p>
      <w:pPr>
        <w:ind w:left="260" w:right="220" w:hanging="130"/>
        <w:spacing w:after="0" w:line="308" w:lineRule="auto"/>
        <w:tabs>
          <w:tab w:leader="none" w:pos="260" w:val="left"/>
        </w:tabs>
        <w:numPr>
          <w:ilvl w:val="0"/>
          <w:numId w:val="80"/>
        </w:numPr>
        <w:rPr>
          <w:rFonts w:ascii="Arial" w:cs="Arial" w:eastAsia="Arial" w:hAnsi="Arial"/>
          <w:sz w:val="17"/>
          <w:szCs w:val="17"/>
          <w:color w:val="012E6C"/>
        </w:rPr>
      </w:pPr>
      <w:r>
        <w:rPr>
          <w:rFonts w:ascii="Arial" w:cs="Arial" w:eastAsia="Arial" w:hAnsi="Arial"/>
          <w:sz w:val="17"/>
          <w:szCs w:val="17"/>
          <w:color w:val="auto"/>
        </w:rPr>
        <w:t>Proposed equity awards are presented to the Compensation Committee in February of each year. Off-cycle awards may be considered in special circumstances, which may include hiring, retention or acquisition transactions.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In addition, our existing incentive performance award plan prohibits repricing of stock options or paying cash for underwater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21609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2160905"/>
                    </a:xfrm>
                    <a:prstGeom prst="rect">
                      <a:avLst/>
                    </a:prstGeom>
                    <a:noFill/>
                  </pic:spPr>
                </pic:pic>
              </a:graphicData>
            </a:graphic>
          </wp:anchor>
        </w:drawing>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22"/>
          <w:szCs w:val="22"/>
          <w:color w:val="848EB4"/>
        </w:rPr>
        <w:t>Clawback and Other Protective Provisions</w:t>
      </w:r>
    </w:p>
    <w:p>
      <w:pPr>
        <w:spacing w:after="0" w:line="213" w:lineRule="exact"/>
        <w:rPr>
          <w:sz w:val="20"/>
          <w:szCs w:val="20"/>
          <w:color w:val="auto"/>
        </w:rPr>
      </w:pPr>
    </w:p>
    <w:p>
      <w:pPr>
        <w:ind w:left="120" w:right="20"/>
        <w:spacing w:after="0"/>
        <w:rPr>
          <w:sz w:val="20"/>
          <w:szCs w:val="20"/>
          <w:color w:val="auto"/>
        </w:rPr>
      </w:pPr>
      <w:r>
        <w:rPr>
          <w:rFonts w:ascii="Arial" w:cs="Arial" w:eastAsia="Arial" w:hAnsi="Arial"/>
          <w:sz w:val="17"/>
          <w:szCs w:val="17"/>
          <w:color w:val="auto"/>
        </w:rPr>
        <w:t>The Governance Guidelines include a clawback policy, which prior to the 2019 enhancements described below, provided that if the Board of Directors determines that an officer’s intentional misconduct, gross negligence or failure to report such acts by another person was a contributing factor in requiring us to restate any of our financial statements or constituted fraud, bribery or another illegal act (or contributed to another person’s fraud, bribery or other illegal act) which adversely impacted our financial position or reputation, then the Board shall take such action as it deems in the best interest of the Corporation and necessary to remedy the misconduct and prevent its recurrence. Among other actions, the Board may seek to recover or require reimbursement of any amount awarded to the officer after January 1, 2008, in the form of an annual incentive bonus or LTI award.</w:t>
      </w:r>
    </w:p>
    <w:p>
      <w:pPr>
        <w:spacing w:after="0" w:line="178" w:lineRule="exact"/>
        <w:rPr>
          <w:sz w:val="20"/>
          <w:szCs w:val="20"/>
          <w:color w:val="auto"/>
        </w:rPr>
      </w:pPr>
    </w:p>
    <w:p>
      <w:pPr>
        <w:ind w:left="120" w:right="100"/>
        <w:spacing w:after="0" w:line="239" w:lineRule="auto"/>
        <w:rPr>
          <w:sz w:val="20"/>
          <w:szCs w:val="20"/>
          <w:color w:val="auto"/>
        </w:rPr>
      </w:pPr>
      <w:r>
        <w:rPr>
          <w:rFonts w:ascii="Arial" w:cs="Arial" w:eastAsia="Arial" w:hAnsi="Arial"/>
          <w:sz w:val="17"/>
          <w:szCs w:val="17"/>
          <w:color w:val="auto"/>
        </w:rPr>
        <w:t>In February 2019, the Compensation Committee enhanced the clawback to ensure that it has the most appropriate level of discretionary authority and powers to protect the Corporation and its stockholders' interests, in consideration of recent external events involving high level executives of other companies. Following the Compensation Committee’s proactive analysis of the policy, the Compensation Committee added two situations that will allow the Board to clawback incentive compensation paid to an officer: (1) an officer’s intentional misconduct or gross negligence causes severe reputational or financial harm to the Corporation and (2) an officer’s misappropriation of Lockheed Martin Proprietary Information that causes, or is intended to cause, severe reputational or financial harm to the Corporation. These additional situations will apply to incentive compensation awarded beginning in 2019.</w:t>
      </w:r>
    </w:p>
    <w:p>
      <w:pPr>
        <w:spacing w:after="0" w:line="326"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The clawback policy is incorporated into our annual incentive plan and in the award agreements for the long-term incentive awards, covering all variable incentive compensation. There were no events requiring Board consideration of a clawback action during 2018.</w:t>
      </w:r>
    </w:p>
    <w:p>
      <w:pPr>
        <w:spacing w:after="0" w:line="14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the event the Board recoups incentive compensation under the policy, management intends to disclose the aggregate amount of incentive compensation recovered, so long as the underlying event has already been publicly disclosed in our filings with the SEC. This disclosure would appear in the proxy statement following any such Board action and would provide the aggregate amount of recovery for each event if there is more than one applicable event.</w:t>
      </w:r>
    </w:p>
    <w:p>
      <w:pPr>
        <w:spacing w:after="0" w:line="171"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The award agreements for the NEOs also contain post-employment restrictive covenants. The post-employment restrictions were incorporated into all executive level award agreements beginning in 2011, and compensation awarded under those agreements may be subject to clawback in the event an executive breaches any of the post-employment restrictive covenants.</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848EB4"/>
        </w:rPr>
        <w:t>Anti-Hedging and Pledging Policy</w:t>
      </w:r>
    </w:p>
    <w:p>
      <w:pPr>
        <w:spacing w:after="0" w:line="240"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Our policies prohibit hedging and pledging of Lockheed Martin stock by all directors, officers and employees. Under our policies, Lockheed Martin directors, officers and employees may not purchase or sell derivative securities based on Lockheed Martin common stock or other Lockheed Martin securities. This policy also prohibits hedging or monetization transactions such as forward-sale contracts, equity swaps, collars and exchange funds, that are designed to hedge or offset any decrease in the market value of equity securities, lock in then-current market gains without the sale of the underlying security, or transactions in which the director or employee may divest aspects of the risks and rewards of ownership. This policy applies to shares of Lockheed Martin common stock (1) that are granted to the employee or director by Lockheed Martin as part of their compensation and (2) held, directly, or indirectly, by the employee or director.</w:t>
      </w:r>
    </w:p>
    <w:p>
      <w:pPr>
        <w:spacing w:after="0" w:line="200" w:lineRule="exact"/>
        <w:rPr>
          <w:sz w:val="20"/>
          <w:szCs w:val="20"/>
          <w:color w:val="auto"/>
        </w:rPr>
      </w:pPr>
    </w:p>
    <w:p>
      <w:pPr>
        <w:spacing w:after="0" w:line="266" w:lineRule="exact"/>
        <w:rPr>
          <w:sz w:val="20"/>
          <w:szCs w:val="20"/>
          <w:color w:val="auto"/>
        </w:rPr>
      </w:pPr>
    </w:p>
    <w:p>
      <w:pPr>
        <w:ind w:left="40"/>
        <w:spacing w:after="0"/>
        <w:tabs>
          <w:tab w:leader="none" w:pos="9420" w:val="left"/>
          <w:tab w:leader="none" w:pos="1122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2019 Proxy Statement</w:t>
      </w:r>
      <w:r>
        <w:rPr>
          <w:sz w:val="20"/>
          <w:szCs w:val="20"/>
          <w:color w:val="auto"/>
        </w:rPr>
        <w:tab/>
      </w:r>
      <w:r>
        <w:rPr>
          <w:rFonts w:ascii="Arial" w:cs="Arial" w:eastAsia="Arial" w:hAnsi="Arial"/>
          <w:sz w:val="14"/>
          <w:szCs w:val="14"/>
          <w:b w:val="1"/>
          <w:bCs w:val="1"/>
          <w:color w:val="808080"/>
        </w:rPr>
        <w:t>49</w:t>
      </w:r>
    </w:p>
    <w:p>
      <w:pPr>
        <w:sectPr>
          <w:pgSz w:w="11900" w:h="16838" w:orient="portrait"/>
          <w:cols w:equalWidth="0" w:num="1">
            <w:col w:w="11420"/>
          </w:cols>
          <w:pgMar w:left="240" w:top="292" w:right="239" w:bottom="1440" w:gutter="0" w:footer="0" w:header="0"/>
        </w:sectPr>
      </w:pPr>
    </w:p>
    <w:bookmarkStart w:id="52" w:name="page53"/>
    <w:bookmarkEnd w:id="52"/>
    <w:p>
      <w:pPr>
        <w:spacing w:after="0"/>
        <w:rPr>
          <w:sz w:val="20"/>
          <w:szCs w:val="20"/>
          <w:color w:val="auto"/>
        </w:rPr>
      </w:pPr>
      <w:r>
        <w:rPr>
          <w:rFonts w:ascii="Arial" w:cs="Arial" w:eastAsia="Arial" w:hAnsi="Arial"/>
          <w:sz w:val="15"/>
          <w:szCs w:val="15"/>
          <w:color w:val="003478"/>
        </w:rPr>
        <w:t>Executive Compensation</w:t>
      </w:r>
    </w:p>
    <w:p>
      <w:pPr>
        <w:spacing w:after="0" w:line="357" w:lineRule="exact"/>
        <w:rPr>
          <w:sz w:val="20"/>
          <w:szCs w:val="20"/>
          <w:color w:val="auto"/>
        </w:rPr>
      </w:pPr>
    </w:p>
    <w:p>
      <w:pPr>
        <w:spacing w:after="0"/>
        <w:rPr>
          <w:sz w:val="20"/>
          <w:szCs w:val="20"/>
          <w:color w:val="auto"/>
        </w:rPr>
      </w:pPr>
      <w:r>
        <w:rPr>
          <w:rFonts w:ascii="Arial" w:cs="Arial" w:eastAsia="Arial" w:hAnsi="Arial"/>
          <w:sz w:val="22"/>
          <w:szCs w:val="22"/>
          <w:color w:val="848EB4"/>
        </w:rPr>
        <w:t>Stock Ownership Requirements for Key Employees</w:t>
      </w:r>
    </w:p>
    <w:p>
      <w:pPr>
        <w:spacing w:after="0" w:line="226"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To better align their interests with the long-term interests of our stockholders, we expect our officers (including the NEOs) and other members of management to maintain an ownership interest in the Corporation based on the following guidelines: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280" w:type="dxa"/>
            <w:vAlign w:val="bottom"/>
            <w:vMerge w:val="restart"/>
            <w:shd w:val="clear" w:color="auto" w:fill="ECECEC"/>
          </w:tcPr>
          <w:p>
            <w:pPr>
              <w:ind w:left="40"/>
              <w:spacing w:after="0"/>
              <w:rPr>
                <w:sz w:val="20"/>
                <w:szCs w:val="20"/>
                <w:color w:val="auto"/>
              </w:rPr>
            </w:pPr>
            <w:r>
              <w:rPr>
                <w:rFonts w:ascii="Arial" w:cs="Arial" w:eastAsia="Arial" w:hAnsi="Arial"/>
                <w:sz w:val="13"/>
                <w:szCs w:val="13"/>
                <w:color w:val="auto"/>
              </w:rPr>
              <w:t>Title</w:t>
            </w:r>
          </w:p>
        </w:tc>
        <w:tc>
          <w:tcPr>
            <w:tcW w:w="5140" w:type="dxa"/>
            <w:vAlign w:val="bottom"/>
            <w:shd w:val="clear" w:color="auto" w:fill="ECECEC"/>
          </w:tcPr>
          <w:p>
            <w:pPr>
              <w:jc w:val="right"/>
              <w:spacing w:after="0"/>
              <w:rPr>
                <w:sz w:val="20"/>
                <w:szCs w:val="20"/>
                <w:color w:val="auto"/>
              </w:rPr>
            </w:pPr>
            <w:r>
              <w:rPr>
                <w:rFonts w:ascii="Arial" w:cs="Arial" w:eastAsia="Arial" w:hAnsi="Arial"/>
                <w:sz w:val="13"/>
                <w:szCs w:val="13"/>
                <w:color w:val="auto"/>
              </w:rPr>
              <w:t>Annual Base</w:t>
            </w:r>
          </w:p>
        </w:tc>
        <w:tc>
          <w:tcPr>
            <w:tcW w:w="0" w:type="dxa"/>
            <w:vAlign w:val="bottom"/>
          </w:tcPr>
          <w:p>
            <w:pPr>
              <w:spacing w:after="0"/>
              <w:rPr>
                <w:sz w:val="1"/>
                <w:szCs w:val="1"/>
                <w:color w:val="auto"/>
              </w:rPr>
            </w:pPr>
          </w:p>
        </w:tc>
      </w:tr>
      <w:tr>
        <w:trPr>
          <w:trHeight w:val="178"/>
        </w:trPr>
        <w:tc>
          <w:tcPr>
            <w:tcW w:w="6280" w:type="dxa"/>
            <w:vAlign w:val="bottom"/>
            <w:tcBorders>
              <w:bottom w:val="single" w:sz="8" w:color="959595"/>
            </w:tcBorders>
            <w:vMerge w:val="continue"/>
            <w:shd w:val="clear" w:color="auto" w:fill="ECECEC"/>
          </w:tcPr>
          <w:p>
            <w:pPr>
              <w:spacing w:after="0"/>
              <w:rPr>
                <w:sz w:val="15"/>
                <w:szCs w:val="15"/>
                <w:color w:val="auto"/>
              </w:rPr>
            </w:pPr>
          </w:p>
        </w:tc>
        <w:tc>
          <w:tcPr>
            <w:tcW w:w="5140" w:type="dxa"/>
            <w:vAlign w:val="bottom"/>
            <w:tcBorders>
              <w:bottom w:val="single" w:sz="8" w:color="959595"/>
            </w:tcBorders>
            <w:shd w:val="clear" w:color="auto" w:fill="ECECEC"/>
          </w:tcPr>
          <w:p>
            <w:pPr>
              <w:jc w:val="right"/>
              <w:spacing w:after="0"/>
              <w:rPr>
                <w:sz w:val="20"/>
                <w:szCs w:val="20"/>
                <w:color w:val="auto"/>
              </w:rPr>
            </w:pPr>
            <w:r>
              <w:rPr>
                <w:rFonts w:ascii="Arial" w:cs="Arial" w:eastAsia="Arial" w:hAnsi="Arial"/>
                <w:sz w:val="13"/>
                <w:szCs w:val="13"/>
                <w:color w:val="auto"/>
              </w:rPr>
              <w:t>Salary Multiple</w:t>
            </w:r>
          </w:p>
        </w:tc>
        <w:tc>
          <w:tcPr>
            <w:tcW w:w="0" w:type="dxa"/>
            <w:vAlign w:val="bottom"/>
          </w:tcPr>
          <w:p>
            <w:pPr>
              <w:spacing w:after="0"/>
              <w:rPr>
                <w:sz w:val="1"/>
                <w:szCs w:val="1"/>
                <w:color w:val="auto"/>
              </w:rPr>
            </w:pPr>
          </w:p>
        </w:tc>
      </w:tr>
      <w:tr>
        <w:trPr>
          <w:trHeight w:val="212"/>
        </w:trPr>
        <w:tc>
          <w:tcPr>
            <w:tcW w:w="6280" w:type="dxa"/>
            <w:vAlign w:val="bottom"/>
            <w:tcBorders>
              <w:bottom w:val="single" w:sz="8" w:color="959595"/>
            </w:tcBorders>
          </w:tcPr>
          <w:p>
            <w:pPr>
              <w:ind w:left="40"/>
              <w:spacing w:after="0"/>
              <w:rPr>
                <w:sz w:val="20"/>
                <w:szCs w:val="20"/>
                <w:color w:val="auto"/>
              </w:rPr>
            </w:pPr>
            <w:r>
              <w:rPr>
                <w:rFonts w:ascii="Arial" w:cs="Arial" w:eastAsia="Arial" w:hAnsi="Arial"/>
                <w:sz w:val="14"/>
                <w:szCs w:val="14"/>
                <w:color w:val="auto"/>
              </w:rPr>
              <w:t>Chairman, President and CEO</w:t>
            </w:r>
          </w:p>
        </w:tc>
        <w:tc>
          <w:tcPr>
            <w:tcW w:w="51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6 times</w:t>
            </w:r>
          </w:p>
        </w:tc>
        <w:tc>
          <w:tcPr>
            <w:tcW w:w="0" w:type="dxa"/>
            <w:vAlign w:val="bottom"/>
          </w:tcPr>
          <w:p>
            <w:pPr>
              <w:spacing w:after="0"/>
              <w:rPr>
                <w:sz w:val="1"/>
                <w:szCs w:val="1"/>
                <w:color w:val="auto"/>
              </w:rPr>
            </w:pPr>
          </w:p>
        </w:tc>
      </w:tr>
      <w:tr>
        <w:trPr>
          <w:trHeight w:val="210"/>
        </w:trPr>
        <w:tc>
          <w:tcPr>
            <w:tcW w:w="6280" w:type="dxa"/>
            <w:vAlign w:val="bottom"/>
            <w:tcBorders>
              <w:bottom w:val="single" w:sz="8" w:color="959595"/>
            </w:tcBorders>
          </w:tcPr>
          <w:p>
            <w:pPr>
              <w:ind w:left="40"/>
              <w:spacing w:after="0"/>
              <w:rPr>
                <w:sz w:val="20"/>
                <w:szCs w:val="20"/>
                <w:color w:val="auto"/>
              </w:rPr>
            </w:pPr>
            <w:r>
              <w:rPr>
                <w:rFonts w:ascii="Arial" w:cs="Arial" w:eastAsia="Arial" w:hAnsi="Arial"/>
                <w:sz w:val="14"/>
                <w:szCs w:val="14"/>
                <w:color w:val="auto"/>
              </w:rPr>
              <w:t>Chief Financial Officer</w:t>
            </w:r>
          </w:p>
        </w:tc>
        <w:tc>
          <w:tcPr>
            <w:tcW w:w="51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4 times</w:t>
            </w:r>
          </w:p>
        </w:tc>
        <w:tc>
          <w:tcPr>
            <w:tcW w:w="0" w:type="dxa"/>
            <w:vAlign w:val="bottom"/>
          </w:tcPr>
          <w:p>
            <w:pPr>
              <w:spacing w:after="0"/>
              <w:rPr>
                <w:sz w:val="1"/>
                <w:szCs w:val="1"/>
                <w:color w:val="auto"/>
              </w:rPr>
            </w:pPr>
          </w:p>
        </w:tc>
      </w:tr>
      <w:tr>
        <w:trPr>
          <w:trHeight w:val="210"/>
        </w:trPr>
        <w:tc>
          <w:tcPr>
            <w:tcW w:w="6280" w:type="dxa"/>
            <w:vAlign w:val="bottom"/>
            <w:tcBorders>
              <w:bottom w:val="single" w:sz="8" w:color="959595"/>
            </w:tcBorders>
          </w:tcPr>
          <w:p>
            <w:pPr>
              <w:ind w:left="40"/>
              <w:spacing w:after="0"/>
              <w:rPr>
                <w:sz w:val="20"/>
                <w:szCs w:val="20"/>
                <w:color w:val="auto"/>
              </w:rPr>
            </w:pPr>
            <w:r>
              <w:rPr>
                <w:rFonts w:ascii="Arial" w:cs="Arial" w:eastAsia="Arial" w:hAnsi="Arial"/>
                <w:sz w:val="14"/>
                <w:szCs w:val="14"/>
                <w:color w:val="auto"/>
              </w:rPr>
              <w:t>Executive Vice Presidents</w:t>
            </w:r>
          </w:p>
        </w:tc>
        <w:tc>
          <w:tcPr>
            <w:tcW w:w="51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3 times</w:t>
            </w:r>
          </w:p>
        </w:tc>
        <w:tc>
          <w:tcPr>
            <w:tcW w:w="0" w:type="dxa"/>
            <w:vAlign w:val="bottom"/>
          </w:tcPr>
          <w:p>
            <w:pPr>
              <w:spacing w:after="0"/>
              <w:rPr>
                <w:sz w:val="1"/>
                <w:szCs w:val="1"/>
                <w:color w:val="auto"/>
              </w:rPr>
            </w:pPr>
          </w:p>
        </w:tc>
      </w:tr>
      <w:tr>
        <w:trPr>
          <w:trHeight w:val="210"/>
        </w:trPr>
        <w:tc>
          <w:tcPr>
            <w:tcW w:w="6280" w:type="dxa"/>
            <w:vAlign w:val="bottom"/>
            <w:tcBorders>
              <w:bottom w:val="single" w:sz="8" w:color="959595"/>
            </w:tcBorders>
          </w:tcPr>
          <w:p>
            <w:pPr>
              <w:ind w:left="40"/>
              <w:spacing w:after="0"/>
              <w:rPr>
                <w:sz w:val="20"/>
                <w:szCs w:val="20"/>
                <w:color w:val="auto"/>
              </w:rPr>
            </w:pPr>
            <w:r>
              <w:rPr>
                <w:rFonts w:ascii="Arial" w:cs="Arial" w:eastAsia="Arial" w:hAnsi="Arial"/>
                <w:sz w:val="14"/>
                <w:szCs w:val="14"/>
                <w:color w:val="auto"/>
              </w:rPr>
              <w:t>Senior Vice Presidents</w:t>
            </w:r>
          </w:p>
        </w:tc>
        <w:tc>
          <w:tcPr>
            <w:tcW w:w="51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2 times</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NEOs are required to achieve ownership levels within five years of assuming their role and must hold net shares from vested RSUs and PSUs and net shares from options exercised until the value of the shares equals the specified multiple of base salary. The securities counted toward their respective target threshold include common stock, unvested RSUs, and stock units under our 401(k) plans and other deferral plans. Unvested PSUs at target are not counted towards ownership levels. Each of our NEOs has met or exceeded their respective ownership requirements.</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color w:val="848EB4"/>
        </w:rPr>
        <w:t>Benefit, Retirement and Perquisite Programs</w:t>
      </w:r>
    </w:p>
    <w:p>
      <w:pPr>
        <w:spacing w:after="0" w:line="226"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We offer other compensatory arrangements to our NEOs. The purpose for these benefits is to ensure security of executives, provide assistance with business-related expenses, and be competitive with the other companies in our industry. Below is a summary of programs available to our NEOs. Further details are described in footnotes to the Summary Compensation Table on page 52.</w:t>
      </w:r>
    </w:p>
    <w:p>
      <w:pPr>
        <w:spacing w:after="0" w:line="164" w:lineRule="exact"/>
        <w:rPr>
          <w:sz w:val="20"/>
          <w:szCs w:val="20"/>
          <w:color w:val="auto"/>
        </w:rPr>
      </w:pPr>
    </w:p>
    <w:p>
      <w:pPr>
        <w:ind w:right="120"/>
        <w:spacing w:after="0" w:line="280" w:lineRule="auto"/>
        <w:rPr>
          <w:sz w:val="20"/>
          <w:szCs w:val="20"/>
          <w:color w:val="auto"/>
        </w:rPr>
      </w:pPr>
      <w:r>
        <w:rPr>
          <w:rFonts w:ascii="Arial" w:cs="Arial" w:eastAsia="Arial" w:hAnsi="Arial"/>
          <w:sz w:val="17"/>
          <w:szCs w:val="17"/>
          <w:b w:val="1"/>
          <w:bCs w:val="1"/>
          <w:color w:val="auto"/>
        </w:rPr>
        <w:t xml:space="preserve">Health, Welfare and Retirement Benefits. </w:t>
      </w:r>
      <w:r>
        <w:rPr>
          <w:rFonts w:ascii="Arial" w:cs="Arial" w:eastAsia="Arial" w:hAnsi="Arial"/>
          <w:sz w:val="17"/>
          <w:szCs w:val="17"/>
          <w:color w:val="auto"/>
        </w:rPr>
        <w:t>Our NEOs are eligible for savings, pension, medical, disability, and life insurance benefits under the plans</w:t>
      </w:r>
      <w:r>
        <w:rPr>
          <w:rFonts w:ascii="Arial" w:cs="Arial" w:eastAsia="Arial" w:hAnsi="Arial"/>
          <w:sz w:val="17"/>
          <w:szCs w:val="17"/>
          <w:b w:val="1"/>
          <w:bCs w:val="1"/>
          <w:color w:val="auto"/>
        </w:rPr>
        <w:t xml:space="preserve"> </w:t>
      </w:r>
      <w:r>
        <w:rPr>
          <w:rFonts w:ascii="Arial" w:cs="Arial" w:eastAsia="Arial" w:hAnsi="Arial"/>
          <w:sz w:val="17"/>
          <w:szCs w:val="17"/>
          <w:color w:val="auto"/>
        </w:rPr>
        <w:t>available to salaried, non-union employees. We offer supplemental pension and savings plans to make up for benefits that otherwise would be unavailable due to Internal Revenue Service (IRS) limits on qualified plans. These plans are restorative and do not provide an enhanced benefit. We also offer a plan for the deferral of short-term and long-term cash performance incentive compensation.</w:t>
      </w:r>
    </w:p>
    <w:p>
      <w:pPr>
        <w:spacing w:after="0" w:line="16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b w:val="1"/>
          <w:bCs w:val="1"/>
          <w:color w:val="auto"/>
        </w:rPr>
        <w:t xml:space="preserve">Perquisites and Security. </w:t>
      </w:r>
      <w:r>
        <w:rPr>
          <w:rFonts w:ascii="Arial" w:cs="Arial" w:eastAsia="Arial" w:hAnsi="Arial"/>
          <w:sz w:val="17"/>
          <w:szCs w:val="17"/>
          <w:color w:val="auto"/>
        </w:rPr>
        <w:t>Perquisites provided to the NEOs include executive physicals and personal travel on the corporate aircraft, as well as home</w:t>
      </w:r>
      <w:r>
        <w:rPr>
          <w:rFonts w:ascii="Arial" w:cs="Arial" w:eastAsia="Arial" w:hAnsi="Arial"/>
          <w:sz w:val="17"/>
          <w:szCs w:val="17"/>
          <w:b w:val="1"/>
          <w:bCs w:val="1"/>
          <w:color w:val="auto"/>
        </w:rPr>
        <w:t xml:space="preserve"> </w:t>
      </w:r>
      <w:r>
        <w:rPr>
          <w:rFonts w:ascii="Arial" w:cs="Arial" w:eastAsia="Arial" w:hAnsi="Arial"/>
          <w:sz w:val="17"/>
          <w:szCs w:val="17"/>
          <w:color w:val="auto"/>
        </w:rPr>
        <w:t>and personal security as needed to address security concerns arising out of our business. We believe security is necessary and generally provided to executives within our industry given the nature of our business. In the event of a threat to an executive officer, the CBS Committee reviews and approves the security recommended by our Chief Security Officer. Furthermore, our Board has directed our CEO to use corporate aircraft for security reasons while on personal travel. Other NEOs may use the corporate aircraft for personal travel dependent upon circumstances and availability.</w:t>
      </w:r>
    </w:p>
    <w:p>
      <w:pPr>
        <w:spacing w:after="0" w:line="175"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During 2018, the increase in Ms. Hewson's security-related expenses was attributable to non-recurring events, which included explicit threats to her and her personal residence and the costs associated with installation and maintenance of security systems at her residence.</w:t>
      </w:r>
    </w:p>
    <w:p>
      <w:pPr>
        <w:spacing w:after="0" w:line="145" w:lineRule="exact"/>
        <w:rPr>
          <w:sz w:val="20"/>
          <w:szCs w:val="20"/>
          <w:color w:val="auto"/>
        </w:rPr>
      </w:pPr>
    </w:p>
    <w:p>
      <w:pPr>
        <w:ind w:right="60"/>
        <w:spacing w:after="0" w:line="280" w:lineRule="auto"/>
        <w:rPr>
          <w:sz w:val="20"/>
          <w:szCs w:val="20"/>
          <w:color w:val="auto"/>
        </w:rPr>
      </w:pPr>
      <w:r>
        <w:rPr>
          <w:rFonts w:ascii="Arial" w:cs="Arial" w:eastAsia="Arial" w:hAnsi="Arial"/>
          <w:sz w:val="17"/>
          <w:szCs w:val="17"/>
          <w:b w:val="1"/>
          <w:bCs w:val="1"/>
          <w:color w:val="auto"/>
        </w:rPr>
        <w:t xml:space="preserve">Tax Assistance. </w:t>
      </w:r>
      <w:r>
        <w:rPr>
          <w:rFonts w:ascii="Arial" w:cs="Arial" w:eastAsia="Arial" w:hAnsi="Arial"/>
          <w:sz w:val="17"/>
          <w:szCs w:val="17"/>
          <w:color w:val="auto"/>
        </w:rPr>
        <w:t>We do not have agreements or severance arrangements that provide tax gross-ups for excise taxes imposed as a result of a change</w:t>
      </w:r>
      <w:r>
        <w:rPr>
          <w:rFonts w:ascii="Arial" w:cs="Arial" w:eastAsia="Arial" w:hAnsi="Arial"/>
          <w:sz w:val="17"/>
          <w:szCs w:val="17"/>
          <w:b w:val="1"/>
          <w:bCs w:val="1"/>
          <w:color w:val="auto"/>
        </w:rPr>
        <w:t xml:space="preserve"> </w:t>
      </w:r>
      <w:r>
        <w:rPr>
          <w:rFonts w:ascii="Arial" w:cs="Arial" w:eastAsia="Arial" w:hAnsi="Arial"/>
          <w:sz w:val="17"/>
          <w:szCs w:val="17"/>
          <w:color w:val="auto"/>
        </w:rPr>
        <w:t>in control. In 2018, we provided tax assistance for taxable security expenses, business association expenses and travel expenses for a family member accompanying a NEO for a business reason. We pay an amount estimated to cover the income tax imposed on employees who became subject to income tax in a state other than their state of residence due to business travel.</w:t>
      </w:r>
    </w:p>
    <w:p>
      <w:pPr>
        <w:spacing w:after="0" w:line="62"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Tax assistance was provided for these items because the associated tax liability imposed on the executive would not have been incurred unless business reasons required the items to be provided or the executive to travel to the non-resident state. For Ms. Hewson, the total tax assistance amount reported for 2018 included a $99,936 payment attributable to non-resident state income taxes, including payment associated with her long-term incentive awards, which were incurred as a result of her business travels during the vesting period of 2015-2018.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306705</wp:posOffset>
            </wp:positionV>
            <wp:extent cx="1440815" cy="3257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44081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808080"/>
        </w:rPr>
        <w:t>50</w:t>
      </w:r>
    </w:p>
    <w:p>
      <w:pPr>
        <w:sectPr>
          <w:pgSz w:w="11900" w:h="16838" w:orient="portrait"/>
          <w:cols w:equalWidth="0" w:num="1">
            <w:col w:w="11420"/>
          </w:cols>
          <w:pgMar w:left="240" w:top="292"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5"/>
          <w:szCs w:val="15"/>
          <w:color w:val="003478"/>
        </w:rPr>
        <w:t>Executive Compensation</w:t>
      </w:r>
    </w:p>
    <w:p>
      <w:pPr>
        <w:spacing w:after="0" w:line="357" w:lineRule="exact"/>
        <w:rPr>
          <w:sz w:val="20"/>
          <w:szCs w:val="20"/>
          <w:color w:val="auto"/>
        </w:rPr>
      </w:pPr>
    </w:p>
    <w:p>
      <w:pPr>
        <w:spacing w:after="0"/>
        <w:rPr>
          <w:sz w:val="20"/>
          <w:szCs w:val="20"/>
          <w:color w:val="auto"/>
        </w:rPr>
      </w:pPr>
      <w:r>
        <w:rPr>
          <w:rFonts w:ascii="Arial" w:cs="Arial" w:eastAsia="Arial" w:hAnsi="Arial"/>
          <w:sz w:val="22"/>
          <w:szCs w:val="22"/>
          <w:color w:val="848EB4"/>
        </w:rPr>
        <w:t>Post-Employment, Change in Control, Divestiture and Severance Benefits</w:t>
      </w:r>
    </w:p>
    <w:p>
      <w:pPr>
        <w:spacing w:after="0" w:line="226"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Our NEOs do not have employment agreements but participate in the Lockheed Martin Corporation Executive Severance Plan. Benefits are payable under this plan in the event of a company-initiated termination of employment other than for cause. All of the NEOs are covered under the plan.</w:t>
      </w:r>
    </w:p>
    <w:p>
      <w:pPr>
        <w:spacing w:after="0" w:line="14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benefit payable in a lump sum under the plan is two weeks of basic severance plus a supplemental payment of one times the NEO’s base salary and the equivalent of one year’s target annual incentive bonus. For the CEO, the multiplier is 2.99 instead of one.</w:t>
      </w:r>
    </w:p>
    <w:p>
      <w:pPr>
        <w:spacing w:after="0" w:line="147" w:lineRule="exact"/>
        <w:rPr>
          <w:sz w:val="20"/>
          <w:szCs w:val="20"/>
          <w:color w:val="auto"/>
        </w:rPr>
      </w:pPr>
    </w:p>
    <w:p>
      <w:pPr>
        <w:jc w:val="both"/>
        <w:ind w:right="400"/>
        <w:spacing w:after="0" w:line="286" w:lineRule="auto"/>
        <w:rPr>
          <w:sz w:val="20"/>
          <w:szCs w:val="20"/>
          <w:color w:val="auto"/>
        </w:rPr>
      </w:pPr>
      <w:r>
        <w:rPr>
          <w:rFonts w:ascii="Arial" w:cs="Arial" w:eastAsia="Arial" w:hAnsi="Arial"/>
          <w:sz w:val="17"/>
          <w:szCs w:val="17"/>
          <w:color w:val="auto"/>
        </w:rPr>
        <w:t>NEOs participating in the plan also receive a lump sum payment to cover the cost of medical benefits for one year in addition to outplacement and relocation services. To receive the supplemental severance benefit, the NEO must execute a release of claims and an agreement containing post-employment, non-compete and non-solicitation covenants identical to those included in our NEOs’ LTI award agreements.</w:t>
      </w:r>
    </w:p>
    <w:p>
      <w:pPr>
        <w:spacing w:after="0" w:line="166"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With respect to LTI, upon certain terminations of employment, including death, disability, retirement, layoff, divestiture or a change in control, the NEOs may be eligible for continued vesting on the normal schedule, immediate payment of benefits previously earned or accelerated vesting of LTI in full or on a pro rata basis.</w:t>
      </w:r>
    </w:p>
    <w:p>
      <w:pPr>
        <w:spacing w:after="0" w:line="16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type of event and the nature of the benefit determine which of these approaches will apply. The purpose of these provisions is to protect previously earned or granted benefits by making them available following the specified event. We view the vesting (or continued vesting) to be an important retention feature for senior-level employees. Because benefits paid at termination consist of previously granted or earned benefits, we do not consider termination benefits as a separate item in compensation decisions. Our LTI awards do not provide for tax assistance.</w:t>
      </w:r>
    </w:p>
    <w:p>
      <w:pPr>
        <w:spacing w:after="0" w:line="171"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In the event of a change in control, our plans provide for the acceleration of the payment of the nonqualified portion of earned pension benefits and nonqualified deferred compensation. All LTI awards require a “double trigger” for vesting to accelerate (both a change in control and a qualifying termination of employment), unless the successor does not assume or continue the awards or provide substitute awards.</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848EB4"/>
        </w:rPr>
        <w:t>Tax Deductibility of Executive Compensation</w:t>
      </w:r>
    </w:p>
    <w:p>
      <w:pPr>
        <w:spacing w:after="0" w:line="22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originally designed our annual incentive and LTI programs for NEOs to qualify as performance-based compensation exempt from the $1 million cap on deductibility under Section 162(m) of the Internal Revenue Code. The exemption from Section 162(m)’s deduction limit for performance-based compensation has been repealed, effective for taxable years beginning after December 31, 2017. As a result, compensation paid to our NEOs after December 31, 2017 in excess of $1 million will not be deductible unless it qualifies for transition relief applicable to certain written binding contracts in place as of November 2, 2017 and which were not materially modified after that date. It appears that the transition relief was not intended to apply to programs with a discretionary component such as our annual incentive plan which would mean that annual incentive payments made to our NEOs in 2018 for service in 2017 would not be deductible. We do not view our long-term incentive plans as having a discretionary component and will seek to qualify the 2016 and 2017 grants as covered by the transition relief. Until there is further guidance, there is no assurance we will be successful. The Compensation Committee reserves the right to modify compensation that was initially intended to be exempt from Section 162(m) or to grant executive compensation that is not performance-based if the Committee determines that such modifications or grants are permissible and consistent with our executive compensation philosophy.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0"/>
        <w:spacing w:after="0"/>
        <w:tabs>
          <w:tab w:leader="none" w:pos="9420" w:val="left"/>
          <w:tab w:leader="none" w:pos="1122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2019 Proxy Statement</w:t>
      </w:r>
      <w:r>
        <w:rPr>
          <w:sz w:val="20"/>
          <w:szCs w:val="20"/>
          <w:color w:val="auto"/>
        </w:rPr>
        <w:tab/>
      </w:r>
      <w:r>
        <w:rPr>
          <w:rFonts w:ascii="Arial" w:cs="Arial" w:eastAsia="Arial" w:hAnsi="Arial"/>
          <w:sz w:val="14"/>
          <w:szCs w:val="14"/>
          <w:b w:val="1"/>
          <w:bCs w:val="1"/>
          <w:color w:val="808080"/>
        </w:rPr>
        <w:t>51</w:t>
      </w:r>
    </w:p>
    <w:p>
      <w:pPr>
        <w:sectPr>
          <w:pgSz w:w="11900" w:h="16838" w:orient="portrait"/>
          <w:cols w:equalWidth="0" w:num="1">
            <w:col w:w="11420"/>
          </w:cols>
          <w:pgMar w:left="240" w:top="292" w:right="239" w:bottom="1440" w:gutter="0" w:footer="0" w:header="0"/>
        </w:sectPr>
      </w:pPr>
    </w:p>
    <w:bookmarkStart w:id="54" w:name="page55"/>
    <w:bookmarkEnd w:id="54"/>
    <w:p>
      <w:pPr>
        <w:spacing w:after="0"/>
        <w:rPr>
          <w:sz w:val="20"/>
          <w:szCs w:val="20"/>
          <w:color w:val="auto"/>
        </w:rPr>
      </w:pPr>
      <w:r>
        <w:rPr>
          <w:rFonts w:ascii="Arial" w:cs="Arial" w:eastAsia="Arial" w:hAnsi="Arial"/>
          <w:sz w:val="15"/>
          <w:szCs w:val="15"/>
          <w:color w:val="003478"/>
        </w:rPr>
        <w:t>Executive Compensation</w:t>
      </w:r>
    </w:p>
    <w:p>
      <w:pPr>
        <w:spacing w:after="0" w:line="334" w:lineRule="exact"/>
        <w:rPr>
          <w:sz w:val="20"/>
          <w:szCs w:val="20"/>
          <w:color w:val="auto"/>
        </w:rPr>
      </w:pPr>
    </w:p>
    <w:p>
      <w:pPr>
        <w:spacing w:after="0"/>
        <w:rPr>
          <w:sz w:val="20"/>
          <w:szCs w:val="20"/>
          <w:color w:val="auto"/>
        </w:rPr>
      </w:pPr>
      <w:r>
        <w:rPr>
          <w:rFonts w:ascii="Arial" w:cs="Arial" w:eastAsia="Arial" w:hAnsi="Arial"/>
          <w:sz w:val="29"/>
          <w:szCs w:val="29"/>
          <w:b w:val="1"/>
          <w:bCs w:val="1"/>
          <w:color w:val="012E6C"/>
        </w:rPr>
        <w:t>Summary Compensation Table</w:t>
      </w:r>
    </w:p>
    <w:p>
      <w:pPr>
        <w:spacing w:after="0" w:line="250"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The following table shows annual and long-term compensation awarded, earned or paid for services in all capacities to the NEOs for the fiscal year ended December 31, 2018 and, where applicable, the prior fiscal years. Numbers have been rounded to the nearest dollar.</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00" w:type="dxa"/>
            <w:vAlign w:val="bottom"/>
            <w:shd w:val="clear" w:color="auto" w:fill="ECECEC"/>
          </w:tcPr>
          <w:p>
            <w:pPr>
              <w:spacing w:after="0"/>
              <w:rPr>
                <w:sz w:val="13"/>
                <w:szCs w:val="13"/>
                <w:color w:val="auto"/>
              </w:rPr>
            </w:pPr>
          </w:p>
        </w:tc>
        <w:tc>
          <w:tcPr>
            <w:tcW w:w="580" w:type="dxa"/>
            <w:vAlign w:val="bottom"/>
            <w:shd w:val="clear" w:color="auto" w:fill="ECECEC"/>
          </w:tcPr>
          <w:p>
            <w:pPr>
              <w:spacing w:after="0"/>
              <w:rPr>
                <w:sz w:val="13"/>
                <w:szCs w:val="13"/>
                <w:color w:val="auto"/>
              </w:rPr>
            </w:pPr>
          </w:p>
        </w:tc>
        <w:tc>
          <w:tcPr>
            <w:tcW w:w="840" w:type="dxa"/>
            <w:vAlign w:val="bottom"/>
            <w:shd w:val="clear" w:color="auto" w:fill="ECECEC"/>
          </w:tcPr>
          <w:p>
            <w:pPr>
              <w:spacing w:after="0"/>
              <w:rPr>
                <w:sz w:val="13"/>
                <w:szCs w:val="13"/>
                <w:color w:val="auto"/>
              </w:rPr>
            </w:pPr>
          </w:p>
        </w:tc>
        <w:tc>
          <w:tcPr>
            <w:tcW w:w="940" w:type="dxa"/>
            <w:vAlign w:val="bottom"/>
            <w:shd w:val="clear" w:color="auto" w:fill="ECECEC"/>
          </w:tcPr>
          <w:p>
            <w:pPr>
              <w:spacing w:after="0"/>
              <w:rPr>
                <w:sz w:val="13"/>
                <w:szCs w:val="13"/>
                <w:color w:val="auto"/>
              </w:rPr>
            </w:pPr>
          </w:p>
        </w:tc>
        <w:tc>
          <w:tcPr>
            <w:tcW w:w="1140" w:type="dxa"/>
            <w:vAlign w:val="bottom"/>
            <w:shd w:val="clear" w:color="auto" w:fill="ECECEC"/>
          </w:tcPr>
          <w:p>
            <w:pPr>
              <w:spacing w:after="0"/>
              <w:rPr>
                <w:sz w:val="13"/>
                <w:szCs w:val="13"/>
                <w:color w:val="auto"/>
              </w:rPr>
            </w:pPr>
          </w:p>
        </w:tc>
        <w:tc>
          <w:tcPr>
            <w:tcW w:w="1140" w:type="dxa"/>
            <w:vAlign w:val="bottom"/>
            <w:shd w:val="clear" w:color="auto" w:fill="ECECEC"/>
          </w:tcPr>
          <w:p>
            <w:pPr>
              <w:jc w:val="right"/>
              <w:ind w:right="131"/>
              <w:spacing w:after="0"/>
              <w:rPr>
                <w:sz w:val="20"/>
                <w:szCs w:val="20"/>
                <w:color w:val="auto"/>
              </w:rPr>
            </w:pPr>
            <w:r>
              <w:rPr>
                <w:rFonts w:ascii="Arial" w:cs="Arial" w:eastAsia="Arial" w:hAnsi="Arial"/>
                <w:sz w:val="13"/>
                <w:szCs w:val="13"/>
                <w:color w:val="auto"/>
              </w:rPr>
              <w:t>Change in</w:t>
            </w:r>
          </w:p>
        </w:tc>
        <w:tc>
          <w:tcPr>
            <w:tcW w:w="1060" w:type="dxa"/>
            <w:vAlign w:val="bottom"/>
            <w:shd w:val="clear" w:color="auto" w:fill="ECECEC"/>
          </w:tcPr>
          <w:p>
            <w:pPr>
              <w:spacing w:after="0"/>
              <w:rPr>
                <w:sz w:val="13"/>
                <w:szCs w:val="13"/>
                <w:color w:val="auto"/>
              </w:rPr>
            </w:pPr>
          </w:p>
        </w:tc>
        <w:tc>
          <w:tcPr>
            <w:tcW w:w="920" w:type="dxa"/>
            <w:vAlign w:val="bottom"/>
            <w:shd w:val="clear" w:color="auto" w:fill="ECECE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800" w:type="dxa"/>
            <w:vAlign w:val="bottom"/>
            <w:shd w:val="clear" w:color="auto" w:fill="ECECEC"/>
          </w:tcPr>
          <w:p>
            <w:pPr>
              <w:spacing w:after="0"/>
              <w:rPr>
                <w:sz w:val="11"/>
                <w:szCs w:val="11"/>
                <w:color w:val="auto"/>
              </w:rPr>
            </w:pPr>
          </w:p>
        </w:tc>
        <w:tc>
          <w:tcPr>
            <w:tcW w:w="580" w:type="dxa"/>
            <w:vAlign w:val="bottom"/>
            <w:shd w:val="clear" w:color="auto" w:fill="ECECEC"/>
          </w:tcPr>
          <w:p>
            <w:pPr>
              <w:spacing w:after="0"/>
              <w:rPr>
                <w:sz w:val="11"/>
                <w:szCs w:val="11"/>
                <w:color w:val="auto"/>
              </w:rPr>
            </w:pPr>
          </w:p>
        </w:tc>
        <w:tc>
          <w:tcPr>
            <w:tcW w:w="840" w:type="dxa"/>
            <w:vAlign w:val="bottom"/>
            <w:shd w:val="clear" w:color="auto" w:fill="ECECEC"/>
          </w:tcPr>
          <w:p>
            <w:pPr>
              <w:spacing w:after="0"/>
              <w:rPr>
                <w:sz w:val="11"/>
                <w:szCs w:val="11"/>
                <w:color w:val="auto"/>
              </w:rPr>
            </w:pPr>
          </w:p>
        </w:tc>
        <w:tc>
          <w:tcPr>
            <w:tcW w:w="940" w:type="dxa"/>
            <w:vAlign w:val="bottom"/>
            <w:shd w:val="clear" w:color="auto" w:fill="ECECEC"/>
          </w:tcPr>
          <w:p>
            <w:pPr>
              <w:spacing w:after="0"/>
              <w:rPr>
                <w:sz w:val="11"/>
                <w:szCs w:val="11"/>
                <w:color w:val="auto"/>
              </w:rPr>
            </w:pPr>
          </w:p>
        </w:tc>
        <w:tc>
          <w:tcPr>
            <w:tcW w:w="1140" w:type="dxa"/>
            <w:vAlign w:val="bottom"/>
            <w:shd w:val="clear" w:color="auto" w:fill="ECECEC"/>
          </w:tcPr>
          <w:p>
            <w:pPr>
              <w:spacing w:after="0"/>
              <w:rPr>
                <w:sz w:val="11"/>
                <w:szCs w:val="11"/>
                <w:color w:val="auto"/>
              </w:rPr>
            </w:pPr>
          </w:p>
        </w:tc>
        <w:tc>
          <w:tcPr>
            <w:tcW w:w="1140" w:type="dxa"/>
            <w:vAlign w:val="bottom"/>
            <w:shd w:val="clear" w:color="auto" w:fill="ECECEC"/>
          </w:tcPr>
          <w:p>
            <w:pPr>
              <w:jc w:val="right"/>
              <w:ind w:right="131"/>
              <w:spacing w:after="0" w:line="135" w:lineRule="exact"/>
              <w:rPr>
                <w:sz w:val="20"/>
                <w:szCs w:val="20"/>
                <w:color w:val="auto"/>
              </w:rPr>
            </w:pPr>
            <w:r>
              <w:rPr>
                <w:rFonts w:ascii="Arial" w:cs="Arial" w:eastAsia="Arial" w:hAnsi="Arial"/>
                <w:sz w:val="13"/>
                <w:szCs w:val="13"/>
                <w:color w:val="auto"/>
              </w:rPr>
              <w:t>Pension</w:t>
            </w:r>
          </w:p>
        </w:tc>
        <w:tc>
          <w:tcPr>
            <w:tcW w:w="1060" w:type="dxa"/>
            <w:vAlign w:val="bottom"/>
            <w:shd w:val="clear" w:color="auto" w:fill="ECECEC"/>
          </w:tcPr>
          <w:p>
            <w:pPr>
              <w:spacing w:after="0"/>
              <w:rPr>
                <w:sz w:val="11"/>
                <w:szCs w:val="11"/>
                <w:color w:val="auto"/>
              </w:rPr>
            </w:pPr>
          </w:p>
        </w:tc>
        <w:tc>
          <w:tcPr>
            <w:tcW w:w="920" w:type="dxa"/>
            <w:vAlign w:val="bottom"/>
            <w:shd w:val="clear" w:color="auto" w:fill="ECECE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00" w:type="dxa"/>
            <w:vAlign w:val="bottom"/>
            <w:shd w:val="clear" w:color="auto" w:fill="ECECEC"/>
          </w:tcPr>
          <w:p>
            <w:pPr>
              <w:spacing w:after="0"/>
              <w:rPr>
                <w:sz w:val="11"/>
                <w:szCs w:val="11"/>
                <w:color w:val="auto"/>
              </w:rPr>
            </w:pPr>
          </w:p>
        </w:tc>
        <w:tc>
          <w:tcPr>
            <w:tcW w:w="580" w:type="dxa"/>
            <w:vAlign w:val="bottom"/>
            <w:shd w:val="clear" w:color="auto" w:fill="ECECEC"/>
          </w:tcPr>
          <w:p>
            <w:pPr>
              <w:spacing w:after="0"/>
              <w:rPr>
                <w:sz w:val="11"/>
                <w:szCs w:val="11"/>
                <w:color w:val="auto"/>
              </w:rPr>
            </w:pPr>
          </w:p>
        </w:tc>
        <w:tc>
          <w:tcPr>
            <w:tcW w:w="840" w:type="dxa"/>
            <w:vAlign w:val="bottom"/>
            <w:shd w:val="clear" w:color="auto" w:fill="ECECEC"/>
          </w:tcPr>
          <w:p>
            <w:pPr>
              <w:spacing w:after="0"/>
              <w:rPr>
                <w:sz w:val="11"/>
                <w:szCs w:val="11"/>
                <w:color w:val="auto"/>
              </w:rPr>
            </w:pPr>
          </w:p>
        </w:tc>
        <w:tc>
          <w:tcPr>
            <w:tcW w:w="940" w:type="dxa"/>
            <w:vAlign w:val="bottom"/>
            <w:shd w:val="clear" w:color="auto" w:fill="ECECEC"/>
          </w:tcPr>
          <w:p>
            <w:pPr>
              <w:spacing w:after="0"/>
              <w:rPr>
                <w:sz w:val="11"/>
                <w:szCs w:val="11"/>
                <w:color w:val="auto"/>
              </w:rPr>
            </w:pPr>
          </w:p>
        </w:tc>
        <w:tc>
          <w:tcPr>
            <w:tcW w:w="1140" w:type="dxa"/>
            <w:vAlign w:val="bottom"/>
            <w:shd w:val="clear" w:color="auto" w:fill="ECECEC"/>
          </w:tcPr>
          <w:p>
            <w:pPr>
              <w:spacing w:after="0"/>
              <w:rPr>
                <w:sz w:val="11"/>
                <w:szCs w:val="11"/>
                <w:color w:val="auto"/>
              </w:rPr>
            </w:pPr>
          </w:p>
        </w:tc>
        <w:tc>
          <w:tcPr>
            <w:tcW w:w="1140" w:type="dxa"/>
            <w:vAlign w:val="bottom"/>
            <w:shd w:val="clear" w:color="auto" w:fill="ECECEC"/>
          </w:tcPr>
          <w:p>
            <w:pPr>
              <w:jc w:val="right"/>
              <w:ind w:right="131"/>
              <w:spacing w:after="0" w:line="135" w:lineRule="exact"/>
              <w:rPr>
                <w:sz w:val="20"/>
                <w:szCs w:val="20"/>
                <w:color w:val="auto"/>
              </w:rPr>
            </w:pPr>
            <w:r>
              <w:rPr>
                <w:rFonts w:ascii="Arial" w:cs="Arial" w:eastAsia="Arial" w:hAnsi="Arial"/>
                <w:sz w:val="13"/>
                <w:szCs w:val="13"/>
                <w:color w:val="auto"/>
              </w:rPr>
              <w:t>Value and</w:t>
            </w:r>
          </w:p>
        </w:tc>
        <w:tc>
          <w:tcPr>
            <w:tcW w:w="1060" w:type="dxa"/>
            <w:vAlign w:val="bottom"/>
            <w:shd w:val="clear" w:color="auto" w:fill="ECECEC"/>
          </w:tcPr>
          <w:p>
            <w:pPr>
              <w:spacing w:after="0"/>
              <w:rPr>
                <w:sz w:val="11"/>
                <w:szCs w:val="11"/>
                <w:color w:val="auto"/>
              </w:rPr>
            </w:pPr>
          </w:p>
        </w:tc>
        <w:tc>
          <w:tcPr>
            <w:tcW w:w="920" w:type="dxa"/>
            <w:vAlign w:val="bottom"/>
            <w:shd w:val="clear" w:color="auto" w:fill="ECECE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00" w:type="dxa"/>
            <w:vAlign w:val="bottom"/>
            <w:shd w:val="clear" w:color="auto" w:fill="ECECEC"/>
          </w:tcPr>
          <w:p>
            <w:pPr>
              <w:spacing w:after="0"/>
              <w:rPr>
                <w:sz w:val="11"/>
                <w:szCs w:val="11"/>
                <w:color w:val="auto"/>
              </w:rPr>
            </w:pPr>
          </w:p>
        </w:tc>
        <w:tc>
          <w:tcPr>
            <w:tcW w:w="580" w:type="dxa"/>
            <w:vAlign w:val="bottom"/>
            <w:shd w:val="clear" w:color="auto" w:fill="ECECEC"/>
          </w:tcPr>
          <w:p>
            <w:pPr>
              <w:spacing w:after="0"/>
              <w:rPr>
                <w:sz w:val="11"/>
                <w:szCs w:val="11"/>
                <w:color w:val="auto"/>
              </w:rPr>
            </w:pPr>
          </w:p>
        </w:tc>
        <w:tc>
          <w:tcPr>
            <w:tcW w:w="840" w:type="dxa"/>
            <w:vAlign w:val="bottom"/>
            <w:shd w:val="clear" w:color="auto" w:fill="ECECEC"/>
          </w:tcPr>
          <w:p>
            <w:pPr>
              <w:spacing w:after="0"/>
              <w:rPr>
                <w:sz w:val="11"/>
                <w:szCs w:val="11"/>
                <w:color w:val="auto"/>
              </w:rPr>
            </w:pPr>
          </w:p>
        </w:tc>
        <w:tc>
          <w:tcPr>
            <w:tcW w:w="940" w:type="dxa"/>
            <w:vAlign w:val="bottom"/>
            <w:shd w:val="clear" w:color="auto" w:fill="ECECEC"/>
          </w:tcPr>
          <w:p>
            <w:pPr>
              <w:spacing w:after="0"/>
              <w:rPr>
                <w:sz w:val="11"/>
                <w:szCs w:val="11"/>
                <w:color w:val="auto"/>
              </w:rPr>
            </w:pPr>
          </w:p>
        </w:tc>
        <w:tc>
          <w:tcPr>
            <w:tcW w:w="1140" w:type="dxa"/>
            <w:vAlign w:val="bottom"/>
            <w:vMerge w:val="restart"/>
            <w:shd w:val="clear" w:color="auto" w:fill="ECECEC"/>
          </w:tcPr>
          <w:p>
            <w:pPr>
              <w:jc w:val="right"/>
              <w:ind w:right="130"/>
              <w:spacing w:after="0"/>
              <w:rPr>
                <w:sz w:val="20"/>
                <w:szCs w:val="20"/>
                <w:color w:val="auto"/>
              </w:rPr>
            </w:pPr>
            <w:r>
              <w:rPr>
                <w:rFonts w:ascii="Arial" w:cs="Arial" w:eastAsia="Arial" w:hAnsi="Arial"/>
                <w:sz w:val="13"/>
                <w:szCs w:val="13"/>
                <w:color w:val="auto"/>
              </w:rPr>
              <w:t>Non-Equity</w:t>
            </w:r>
          </w:p>
        </w:tc>
        <w:tc>
          <w:tcPr>
            <w:tcW w:w="1140" w:type="dxa"/>
            <w:vAlign w:val="bottom"/>
            <w:shd w:val="clear" w:color="auto" w:fill="ECECEC"/>
          </w:tcPr>
          <w:p>
            <w:pPr>
              <w:jc w:val="right"/>
              <w:ind w:right="91"/>
              <w:spacing w:after="0" w:line="135" w:lineRule="exact"/>
              <w:rPr>
                <w:sz w:val="20"/>
                <w:szCs w:val="20"/>
                <w:color w:val="auto"/>
              </w:rPr>
            </w:pPr>
            <w:r>
              <w:rPr>
                <w:rFonts w:ascii="Arial" w:cs="Arial" w:eastAsia="Arial" w:hAnsi="Arial"/>
                <w:sz w:val="13"/>
                <w:szCs w:val="13"/>
                <w:color w:val="auto"/>
              </w:rPr>
              <w:t>Nonqualified</w:t>
            </w:r>
          </w:p>
        </w:tc>
        <w:tc>
          <w:tcPr>
            <w:tcW w:w="1060" w:type="dxa"/>
            <w:vAlign w:val="bottom"/>
            <w:shd w:val="clear" w:color="auto" w:fill="ECECEC"/>
          </w:tcPr>
          <w:p>
            <w:pPr>
              <w:spacing w:after="0"/>
              <w:rPr>
                <w:sz w:val="11"/>
                <w:szCs w:val="11"/>
                <w:color w:val="auto"/>
              </w:rPr>
            </w:pPr>
          </w:p>
        </w:tc>
        <w:tc>
          <w:tcPr>
            <w:tcW w:w="920" w:type="dxa"/>
            <w:vAlign w:val="bottom"/>
            <w:shd w:val="clear" w:color="auto" w:fill="ECECE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00" w:type="dxa"/>
            <w:vAlign w:val="bottom"/>
            <w:shd w:val="clear" w:color="auto" w:fill="ECECEC"/>
          </w:tcPr>
          <w:p>
            <w:pPr>
              <w:spacing w:after="0"/>
              <w:rPr>
                <w:sz w:val="11"/>
                <w:szCs w:val="11"/>
                <w:color w:val="auto"/>
              </w:rPr>
            </w:pPr>
          </w:p>
        </w:tc>
        <w:tc>
          <w:tcPr>
            <w:tcW w:w="580" w:type="dxa"/>
            <w:vAlign w:val="bottom"/>
            <w:shd w:val="clear" w:color="auto" w:fill="ECECEC"/>
          </w:tcPr>
          <w:p>
            <w:pPr>
              <w:spacing w:after="0"/>
              <w:rPr>
                <w:sz w:val="11"/>
                <w:szCs w:val="11"/>
                <w:color w:val="auto"/>
              </w:rPr>
            </w:pPr>
          </w:p>
        </w:tc>
        <w:tc>
          <w:tcPr>
            <w:tcW w:w="840" w:type="dxa"/>
            <w:vAlign w:val="bottom"/>
            <w:shd w:val="clear" w:color="auto" w:fill="ECECEC"/>
          </w:tcPr>
          <w:p>
            <w:pPr>
              <w:spacing w:after="0"/>
              <w:rPr>
                <w:sz w:val="11"/>
                <w:szCs w:val="11"/>
                <w:color w:val="auto"/>
              </w:rPr>
            </w:pPr>
          </w:p>
        </w:tc>
        <w:tc>
          <w:tcPr>
            <w:tcW w:w="940" w:type="dxa"/>
            <w:vAlign w:val="bottom"/>
            <w:vMerge w:val="restart"/>
            <w:shd w:val="clear" w:color="auto" w:fill="ECECEC"/>
          </w:tcPr>
          <w:p>
            <w:pPr>
              <w:jc w:val="right"/>
              <w:ind w:right="90"/>
              <w:spacing w:after="0"/>
              <w:rPr>
                <w:sz w:val="20"/>
                <w:szCs w:val="20"/>
                <w:color w:val="auto"/>
              </w:rPr>
            </w:pPr>
            <w:r>
              <w:rPr>
                <w:rFonts w:ascii="Arial" w:cs="Arial" w:eastAsia="Arial" w:hAnsi="Arial"/>
                <w:sz w:val="13"/>
                <w:szCs w:val="13"/>
                <w:color w:val="auto"/>
              </w:rPr>
              <w:t>Stock</w:t>
            </w:r>
          </w:p>
        </w:tc>
        <w:tc>
          <w:tcPr>
            <w:tcW w:w="1140" w:type="dxa"/>
            <w:vAlign w:val="bottom"/>
            <w:vMerge w:val="continue"/>
            <w:shd w:val="clear" w:color="auto" w:fill="ECECEC"/>
          </w:tcPr>
          <w:p>
            <w:pPr>
              <w:spacing w:after="0"/>
              <w:rPr>
                <w:sz w:val="11"/>
                <w:szCs w:val="11"/>
                <w:color w:val="auto"/>
              </w:rPr>
            </w:pPr>
          </w:p>
        </w:tc>
        <w:tc>
          <w:tcPr>
            <w:tcW w:w="1140" w:type="dxa"/>
            <w:vAlign w:val="bottom"/>
            <w:shd w:val="clear" w:color="auto" w:fill="ECECEC"/>
          </w:tcPr>
          <w:p>
            <w:pPr>
              <w:jc w:val="right"/>
              <w:ind w:right="131"/>
              <w:spacing w:after="0" w:line="135" w:lineRule="exact"/>
              <w:rPr>
                <w:sz w:val="20"/>
                <w:szCs w:val="20"/>
                <w:color w:val="auto"/>
              </w:rPr>
            </w:pPr>
            <w:r>
              <w:rPr>
                <w:rFonts w:ascii="Arial" w:cs="Arial" w:eastAsia="Arial" w:hAnsi="Arial"/>
                <w:sz w:val="13"/>
                <w:szCs w:val="13"/>
                <w:color w:val="auto"/>
              </w:rPr>
              <w:t>Deferred</w:t>
            </w:r>
          </w:p>
        </w:tc>
        <w:tc>
          <w:tcPr>
            <w:tcW w:w="1060" w:type="dxa"/>
            <w:vAlign w:val="bottom"/>
            <w:vMerge w:val="restart"/>
            <w:shd w:val="clear" w:color="auto" w:fill="ECECEC"/>
          </w:tcPr>
          <w:p>
            <w:pPr>
              <w:jc w:val="right"/>
              <w:ind w:right="50"/>
              <w:spacing w:after="0"/>
              <w:rPr>
                <w:sz w:val="20"/>
                <w:szCs w:val="20"/>
                <w:color w:val="auto"/>
              </w:rPr>
            </w:pPr>
            <w:r>
              <w:rPr>
                <w:rFonts w:ascii="Arial" w:cs="Arial" w:eastAsia="Arial" w:hAnsi="Arial"/>
                <w:sz w:val="13"/>
                <w:szCs w:val="13"/>
                <w:color w:val="auto"/>
              </w:rPr>
              <w:t>All Other</w:t>
            </w:r>
          </w:p>
        </w:tc>
        <w:tc>
          <w:tcPr>
            <w:tcW w:w="920" w:type="dxa"/>
            <w:vAlign w:val="bottom"/>
            <w:shd w:val="clear" w:color="auto" w:fill="ECECE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00" w:type="dxa"/>
            <w:vAlign w:val="bottom"/>
            <w:shd w:val="clear" w:color="auto" w:fill="ECECEC"/>
          </w:tcPr>
          <w:p>
            <w:pPr>
              <w:spacing w:after="0"/>
              <w:rPr>
                <w:sz w:val="11"/>
                <w:szCs w:val="11"/>
                <w:color w:val="auto"/>
              </w:rPr>
            </w:pPr>
          </w:p>
        </w:tc>
        <w:tc>
          <w:tcPr>
            <w:tcW w:w="580" w:type="dxa"/>
            <w:vAlign w:val="bottom"/>
            <w:shd w:val="clear" w:color="auto" w:fill="ECECEC"/>
          </w:tcPr>
          <w:p>
            <w:pPr>
              <w:spacing w:after="0"/>
              <w:rPr>
                <w:sz w:val="11"/>
                <w:szCs w:val="11"/>
                <w:color w:val="auto"/>
              </w:rPr>
            </w:pPr>
          </w:p>
        </w:tc>
        <w:tc>
          <w:tcPr>
            <w:tcW w:w="840" w:type="dxa"/>
            <w:vAlign w:val="bottom"/>
            <w:vMerge w:val="restart"/>
            <w:shd w:val="clear" w:color="auto" w:fill="ECECEC"/>
          </w:tcPr>
          <w:p>
            <w:pPr>
              <w:jc w:val="right"/>
              <w:ind w:right="70"/>
              <w:spacing w:after="0"/>
              <w:rPr>
                <w:sz w:val="20"/>
                <w:szCs w:val="20"/>
                <w:color w:val="auto"/>
              </w:rPr>
            </w:pPr>
            <w:r>
              <w:rPr>
                <w:rFonts w:ascii="Arial" w:cs="Arial" w:eastAsia="Arial" w:hAnsi="Arial"/>
                <w:sz w:val="13"/>
                <w:szCs w:val="13"/>
                <w:color w:val="auto"/>
              </w:rPr>
              <w:t>Salary</w:t>
            </w:r>
          </w:p>
        </w:tc>
        <w:tc>
          <w:tcPr>
            <w:tcW w:w="940" w:type="dxa"/>
            <w:vAlign w:val="bottom"/>
            <w:vMerge w:val="continue"/>
            <w:shd w:val="clear" w:color="auto" w:fill="ECECEC"/>
          </w:tcPr>
          <w:p>
            <w:pPr>
              <w:spacing w:after="0"/>
              <w:rPr>
                <w:sz w:val="11"/>
                <w:szCs w:val="11"/>
                <w:color w:val="auto"/>
              </w:rPr>
            </w:pPr>
          </w:p>
        </w:tc>
        <w:tc>
          <w:tcPr>
            <w:tcW w:w="1140" w:type="dxa"/>
            <w:vAlign w:val="bottom"/>
            <w:shd w:val="clear" w:color="auto" w:fill="ECECEC"/>
          </w:tcPr>
          <w:p>
            <w:pPr>
              <w:jc w:val="right"/>
              <w:ind w:right="90"/>
              <w:spacing w:after="0" w:line="135" w:lineRule="exact"/>
              <w:rPr>
                <w:sz w:val="20"/>
                <w:szCs w:val="20"/>
                <w:color w:val="auto"/>
              </w:rPr>
            </w:pPr>
            <w:r>
              <w:rPr>
                <w:rFonts w:ascii="Arial" w:cs="Arial" w:eastAsia="Arial" w:hAnsi="Arial"/>
                <w:sz w:val="13"/>
                <w:szCs w:val="13"/>
                <w:color w:val="auto"/>
              </w:rPr>
              <w:t>Incentive Plan</w:t>
            </w:r>
          </w:p>
        </w:tc>
        <w:tc>
          <w:tcPr>
            <w:tcW w:w="1140" w:type="dxa"/>
            <w:vAlign w:val="bottom"/>
            <w:shd w:val="clear" w:color="auto" w:fill="ECECEC"/>
          </w:tcPr>
          <w:p>
            <w:pPr>
              <w:jc w:val="right"/>
              <w:ind w:right="91"/>
              <w:spacing w:after="0" w:line="135" w:lineRule="exact"/>
              <w:rPr>
                <w:sz w:val="20"/>
                <w:szCs w:val="20"/>
                <w:color w:val="auto"/>
              </w:rPr>
            </w:pPr>
            <w:r>
              <w:rPr>
                <w:rFonts w:ascii="Arial" w:cs="Arial" w:eastAsia="Arial" w:hAnsi="Arial"/>
                <w:sz w:val="13"/>
                <w:szCs w:val="13"/>
                <w:color w:val="auto"/>
              </w:rPr>
              <w:t>Compensation</w:t>
            </w:r>
          </w:p>
        </w:tc>
        <w:tc>
          <w:tcPr>
            <w:tcW w:w="1060" w:type="dxa"/>
            <w:vAlign w:val="bottom"/>
            <w:vMerge w:val="continue"/>
            <w:shd w:val="clear" w:color="auto" w:fill="ECECEC"/>
          </w:tcPr>
          <w:p>
            <w:pPr>
              <w:spacing w:after="0"/>
              <w:rPr>
                <w:sz w:val="11"/>
                <w:szCs w:val="11"/>
                <w:color w:val="auto"/>
              </w:rPr>
            </w:pPr>
          </w:p>
        </w:tc>
        <w:tc>
          <w:tcPr>
            <w:tcW w:w="920" w:type="dxa"/>
            <w:vAlign w:val="bottom"/>
            <w:vMerge w:val="restart"/>
            <w:shd w:val="clear" w:color="auto" w:fill="ECECEC"/>
          </w:tcPr>
          <w:p>
            <w:pPr>
              <w:jc w:val="right"/>
              <w:ind w:right="30"/>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70"/>
        </w:trPr>
        <w:tc>
          <w:tcPr>
            <w:tcW w:w="4800" w:type="dxa"/>
            <w:vAlign w:val="bottom"/>
            <w:shd w:val="clear" w:color="auto" w:fill="ECECEC"/>
          </w:tcPr>
          <w:p>
            <w:pPr>
              <w:spacing w:after="0"/>
              <w:rPr>
                <w:sz w:val="14"/>
                <w:szCs w:val="14"/>
                <w:color w:val="auto"/>
              </w:rPr>
            </w:pPr>
          </w:p>
        </w:tc>
        <w:tc>
          <w:tcPr>
            <w:tcW w:w="580" w:type="dxa"/>
            <w:vAlign w:val="bottom"/>
            <w:shd w:val="clear" w:color="auto" w:fill="ECECEC"/>
          </w:tcPr>
          <w:p>
            <w:pPr>
              <w:spacing w:after="0"/>
              <w:rPr>
                <w:sz w:val="14"/>
                <w:szCs w:val="14"/>
                <w:color w:val="auto"/>
              </w:rPr>
            </w:pPr>
          </w:p>
        </w:tc>
        <w:tc>
          <w:tcPr>
            <w:tcW w:w="840" w:type="dxa"/>
            <w:vAlign w:val="bottom"/>
            <w:vMerge w:val="continue"/>
            <w:shd w:val="clear" w:color="auto" w:fill="ECECEC"/>
          </w:tcPr>
          <w:p>
            <w:pPr>
              <w:spacing w:after="0"/>
              <w:rPr>
                <w:sz w:val="14"/>
                <w:szCs w:val="14"/>
                <w:color w:val="auto"/>
              </w:rPr>
            </w:pPr>
          </w:p>
        </w:tc>
        <w:tc>
          <w:tcPr>
            <w:tcW w:w="940" w:type="dxa"/>
            <w:vAlign w:val="bottom"/>
            <w:shd w:val="clear" w:color="auto" w:fill="ECECEC"/>
          </w:tcPr>
          <w:p>
            <w:pPr>
              <w:jc w:val="right"/>
              <w:ind w:right="90"/>
              <w:spacing w:after="0"/>
              <w:rPr>
                <w:sz w:val="20"/>
                <w:szCs w:val="20"/>
                <w:color w:val="auto"/>
              </w:rPr>
            </w:pPr>
            <w:r>
              <w:rPr>
                <w:rFonts w:ascii="Arial" w:cs="Arial" w:eastAsia="Arial" w:hAnsi="Arial"/>
                <w:sz w:val="13"/>
                <w:szCs w:val="13"/>
                <w:color w:val="auto"/>
              </w:rPr>
              <w:t>Awards</w:t>
            </w:r>
          </w:p>
        </w:tc>
        <w:tc>
          <w:tcPr>
            <w:tcW w:w="1140" w:type="dxa"/>
            <w:vAlign w:val="bottom"/>
            <w:shd w:val="clear" w:color="auto" w:fill="ECECEC"/>
          </w:tcPr>
          <w:p>
            <w:pPr>
              <w:jc w:val="right"/>
              <w:ind w:right="90"/>
              <w:spacing w:after="0"/>
              <w:rPr>
                <w:sz w:val="20"/>
                <w:szCs w:val="20"/>
                <w:color w:val="auto"/>
              </w:rPr>
            </w:pPr>
            <w:r>
              <w:rPr>
                <w:rFonts w:ascii="Arial" w:cs="Arial" w:eastAsia="Arial" w:hAnsi="Arial"/>
                <w:sz w:val="13"/>
                <w:szCs w:val="13"/>
                <w:color w:val="auto"/>
              </w:rPr>
              <w:t>Compensation</w:t>
            </w:r>
          </w:p>
        </w:tc>
        <w:tc>
          <w:tcPr>
            <w:tcW w:w="1140" w:type="dxa"/>
            <w:vAlign w:val="bottom"/>
            <w:shd w:val="clear" w:color="auto" w:fill="ECECEC"/>
          </w:tcPr>
          <w:p>
            <w:pPr>
              <w:jc w:val="right"/>
              <w:ind w:right="91"/>
              <w:spacing w:after="0"/>
              <w:rPr>
                <w:sz w:val="20"/>
                <w:szCs w:val="20"/>
                <w:color w:val="auto"/>
              </w:rPr>
            </w:pPr>
            <w:r>
              <w:rPr>
                <w:rFonts w:ascii="Arial" w:cs="Arial" w:eastAsia="Arial" w:hAnsi="Arial"/>
                <w:sz w:val="13"/>
                <w:szCs w:val="13"/>
                <w:color w:val="auto"/>
              </w:rPr>
              <w:t>Earnings</w:t>
            </w:r>
          </w:p>
        </w:tc>
        <w:tc>
          <w:tcPr>
            <w:tcW w:w="1060" w:type="dxa"/>
            <w:vAlign w:val="bottom"/>
            <w:shd w:val="clear" w:color="auto" w:fill="ECECEC"/>
          </w:tcPr>
          <w:p>
            <w:pPr>
              <w:jc w:val="right"/>
              <w:ind w:right="30"/>
              <w:spacing w:after="0"/>
              <w:rPr>
                <w:sz w:val="20"/>
                <w:szCs w:val="20"/>
                <w:color w:val="auto"/>
              </w:rPr>
            </w:pPr>
            <w:r>
              <w:rPr>
                <w:rFonts w:ascii="Arial" w:cs="Arial" w:eastAsia="Arial" w:hAnsi="Arial"/>
                <w:sz w:val="13"/>
                <w:szCs w:val="13"/>
                <w:color w:val="auto"/>
              </w:rPr>
              <w:t>Compensation</w:t>
            </w:r>
          </w:p>
        </w:tc>
        <w:tc>
          <w:tcPr>
            <w:tcW w:w="920" w:type="dxa"/>
            <w:vAlign w:val="bottom"/>
            <w:vMerge w:val="continue"/>
            <w:shd w:val="clear" w:color="auto" w:fill="ECECEC"/>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800" w:type="dxa"/>
            <w:vAlign w:val="bottom"/>
            <w:tcBorders>
              <w:bottom w:val="single" w:sz="8" w:color="959595"/>
            </w:tcBorders>
            <w:shd w:val="clear" w:color="auto" w:fill="ECECEC"/>
          </w:tcPr>
          <w:p>
            <w:pPr>
              <w:ind w:left="40"/>
              <w:spacing w:after="0"/>
              <w:rPr>
                <w:sz w:val="20"/>
                <w:szCs w:val="20"/>
                <w:color w:val="auto"/>
              </w:rPr>
            </w:pPr>
            <w:r>
              <w:rPr>
                <w:rFonts w:ascii="Arial" w:cs="Arial" w:eastAsia="Arial" w:hAnsi="Arial"/>
                <w:sz w:val="13"/>
                <w:szCs w:val="13"/>
                <w:color w:val="auto"/>
              </w:rPr>
              <w:t>Name and Principal Position</w:t>
            </w:r>
          </w:p>
        </w:tc>
        <w:tc>
          <w:tcPr>
            <w:tcW w:w="580" w:type="dxa"/>
            <w:vAlign w:val="bottom"/>
            <w:tcBorders>
              <w:bottom w:val="single" w:sz="8" w:color="959595"/>
            </w:tcBorders>
            <w:shd w:val="clear" w:color="auto" w:fill="ECECEC"/>
          </w:tcPr>
          <w:p>
            <w:pPr>
              <w:jc w:val="right"/>
              <w:spacing w:after="0"/>
              <w:rPr>
                <w:sz w:val="20"/>
                <w:szCs w:val="20"/>
                <w:color w:val="auto"/>
              </w:rPr>
            </w:pPr>
            <w:r>
              <w:rPr>
                <w:rFonts w:ascii="Arial" w:cs="Arial" w:eastAsia="Arial" w:hAnsi="Arial"/>
                <w:sz w:val="13"/>
                <w:szCs w:val="13"/>
                <w:color w:val="auto"/>
              </w:rPr>
              <w:t>Year</w:t>
            </w:r>
          </w:p>
        </w:tc>
        <w:tc>
          <w:tcPr>
            <w:tcW w:w="840" w:type="dxa"/>
            <w:vAlign w:val="bottom"/>
            <w:tcBorders>
              <w:bottom w:val="single" w:sz="8" w:color="959595"/>
            </w:tcBorders>
            <w:shd w:val="clear" w:color="auto" w:fill="ECECEC"/>
          </w:tcPr>
          <w:p>
            <w:pPr>
              <w:jc w:val="right"/>
              <w:ind w:right="7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959595"/>
            </w:tcBorders>
            <w:shd w:val="clear" w:color="auto" w:fill="ECECEC"/>
          </w:tcPr>
          <w:p>
            <w:pPr>
              <w:jc w:val="right"/>
              <w:ind w:right="90"/>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959595"/>
            </w:tcBorders>
            <w:shd w:val="clear" w:color="auto" w:fill="ECECEC"/>
          </w:tcPr>
          <w:p>
            <w:pPr>
              <w:jc w:val="right"/>
              <w:ind w:right="90"/>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959595"/>
            </w:tcBorders>
            <w:shd w:val="clear" w:color="auto" w:fill="ECECEC"/>
          </w:tcPr>
          <w:p>
            <w:pPr>
              <w:jc w:val="right"/>
              <w:ind w:right="91"/>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959595"/>
            </w:tcBorders>
            <w:shd w:val="clear" w:color="auto" w:fill="ECECEC"/>
          </w:tcPr>
          <w:p>
            <w:pPr>
              <w:jc w:val="right"/>
              <w:ind w:right="30"/>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959595"/>
            </w:tcBorders>
            <w:shd w:val="clear" w:color="auto" w:fill="ECECEC"/>
          </w:tcPr>
          <w:p>
            <w:pPr>
              <w:jc w:val="right"/>
              <w:ind w:right="3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0"/>
        </w:trPr>
        <w:tc>
          <w:tcPr>
            <w:tcW w:w="4800" w:type="dxa"/>
            <w:vAlign w:val="bottom"/>
            <w:tcBorders>
              <w:bottom w:val="single" w:sz="8" w:color="959595"/>
            </w:tcBorders>
            <w:shd w:val="clear" w:color="auto" w:fill="ECECEC"/>
          </w:tcPr>
          <w:p>
            <w:pPr>
              <w:ind w:left="40"/>
              <w:spacing w:after="0"/>
              <w:rPr>
                <w:sz w:val="20"/>
                <w:szCs w:val="20"/>
                <w:color w:val="auto"/>
              </w:rPr>
            </w:pPr>
            <w:r>
              <w:rPr>
                <w:rFonts w:ascii="Arial" w:cs="Arial" w:eastAsia="Arial" w:hAnsi="Arial"/>
                <w:sz w:val="13"/>
                <w:szCs w:val="13"/>
                <w:color w:val="auto"/>
              </w:rPr>
              <w:t>(a)</w:t>
            </w:r>
          </w:p>
        </w:tc>
        <w:tc>
          <w:tcPr>
            <w:tcW w:w="580" w:type="dxa"/>
            <w:vAlign w:val="bottom"/>
            <w:tcBorders>
              <w:bottom w:val="single" w:sz="8" w:color="959595"/>
            </w:tcBorders>
            <w:shd w:val="clear" w:color="auto" w:fill="ECECEC"/>
          </w:tcPr>
          <w:p>
            <w:pPr>
              <w:jc w:val="right"/>
              <w:spacing w:after="0"/>
              <w:rPr>
                <w:sz w:val="20"/>
                <w:szCs w:val="20"/>
                <w:color w:val="auto"/>
              </w:rPr>
            </w:pPr>
            <w:r>
              <w:rPr>
                <w:rFonts w:ascii="Arial" w:cs="Arial" w:eastAsia="Arial" w:hAnsi="Arial"/>
                <w:sz w:val="13"/>
                <w:szCs w:val="13"/>
                <w:color w:val="auto"/>
              </w:rPr>
              <w:t>(b)</w:t>
            </w:r>
          </w:p>
        </w:tc>
        <w:tc>
          <w:tcPr>
            <w:tcW w:w="840" w:type="dxa"/>
            <w:vAlign w:val="bottom"/>
            <w:tcBorders>
              <w:bottom w:val="single" w:sz="8" w:color="959595"/>
            </w:tcBorders>
            <w:shd w:val="clear" w:color="auto" w:fill="ECECEC"/>
          </w:tcPr>
          <w:p>
            <w:pPr>
              <w:jc w:val="right"/>
              <w:ind w:right="70"/>
              <w:spacing w:after="0"/>
              <w:rPr>
                <w:sz w:val="20"/>
                <w:szCs w:val="20"/>
                <w:color w:val="auto"/>
              </w:rPr>
            </w:pPr>
            <w:r>
              <w:rPr>
                <w:rFonts w:ascii="Arial" w:cs="Arial" w:eastAsia="Arial" w:hAnsi="Arial"/>
                <w:sz w:val="13"/>
                <w:szCs w:val="13"/>
                <w:color w:val="auto"/>
              </w:rPr>
              <w:t>(c)</w:t>
            </w:r>
          </w:p>
        </w:tc>
        <w:tc>
          <w:tcPr>
            <w:tcW w:w="940" w:type="dxa"/>
            <w:vAlign w:val="bottom"/>
            <w:tcBorders>
              <w:bottom w:val="single" w:sz="8" w:color="959595"/>
            </w:tcBorders>
            <w:shd w:val="clear" w:color="auto" w:fill="ECECEC"/>
          </w:tcPr>
          <w:p>
            <w:pPr>
              <w:jc w:val="right"/>
              <w:ind w:right="90"/>
              <w:spacing w:after="0"/>
              <w:rPr>
                <w:sz w:val="20"/>
                <w:szCs w:val="20"/>
                <w:color w:val="auto"/>
              </w:rPr>
            </w:pPr>
            <w:r>
              <w:rPr>
                <w:rFonts w:ascii="Arial" w:cs="Arial" w:eastAsia="Arial" w:hAnsi="Arial"/>
                <w:sz w:val="13"/>
                <w:szCs w:val="13"/>
                <w:color w:val="auto"/>
              </w:rPr>
              <w:t>(e)</w:t>
            </w:r>
          </w:p>
        </w:tc>
        <w:tc>
          <w:tcPr>
            <w:tcW w:w="1140" w:type="dxa"/>
            <w:vAlign w:val="bottom"/>
            <w:tcBorders>
              <w:bottom w:val="single" w:sz="8" w:color="959595"/>
            </w:tcBorders>
            <w:shd w:val="clear" w:color="auto" w:fill="ECECEC"/>
          </w:tcPr>
          <w:p>
            <w:pPr>
              <w:jc w:val="right"/>
              <w:ind w:right="90"/>
              <w:spacing w:after="0"/>
              <w:rPr>
                <w:sz w:val="20"/>
                <w:szCs w:val="20"/>
                <w:color w:val="auto"/>
              </w:rPr>
            </w:pPr>
            <w:r>
              <w:rPr>
                <w:rFonts w:ascii="Arial" w:cs="Arial" w:eastAsia="Arial" w:hAnsi="Arial"/>
                <w:sz w:val="13"/>
                <w:szCs w:val="13"/>
                <w:color w:val="auto"/>
              </w:rPr>
              <w:t>(g)</w:t>
            </w:r>
          </w:p>
        </w:tc>
        <w:tc>
          <w:tcPr>
            <w:tcW w:w="1140" w:type="dxa"/>
            <w:vAlign w:val="bottom"/>
            <w:tcBorders>
              <w:bottom w:val="single" w:sz="8" w:color="959595"/>
            </w:tcBorders>
            <w:shd w:val="clear" w:color="auto" w:fill="ECECEC"/>
          </w:tcPr>
          <w:p>
            <w:pPr>
              <w:jc w:val="right"/>
              <w:ind w:right="91"/>
              <w:spacing w:after="0"/>
              <w:rPr>
                <w:sz w:val="20"/>
                <w:szCs w:val="20"/>
                <w:color w:val="auto"/>
              </w:rPr>
            </w:pPr>
            <w:r>
              <w:rPr>
                <w:rFonts w:ascii="Arial" w:cs="Arial" w:eastAsia="Arial" w:hAnsi="Arial"/>
                <w:sz w:val="13"/>
                <w:szCs w:val="13"/>
                <w:color w:val="auto"/>
              </w:rPr>
              <w:t>(h)</w:t>
            </w:r>
          </w:p>
        </w:tc>
        <w:tc>
          <w:tcPr>
            <w:tcW w:w="1060" w:type="dxa"/>
            <w:vAlign w:val="bottom"/>
            <w:tcBorders>
              <w:bottom w:val="single" w:sz="8" w:color="959595"/>
            </w:tcBorders>
            <w:shd w:val="clear" w:color="auto" w:fill="ECECEC"/>
          </w:tcPr>
          <w:p>
            <w:pPr>
              <w:jc w:val="right"/>
              <w:ind w:right="30"/>
              <w:spacing w:after="0"/>
              <w:rPr>
                <w:sz w:val="20"/>
                <w:szCs w:val="20"/>
                <w:color w:val="auto"/>
              </w:rPr>
            </w:pPr>
            <w:r>
              <w:rPr>
                <w:rFonts w:ascii="Arial" w:cs="Arial" w:eastAsia="Arial" w:hAnsi="Arial"/>
                <w:sz w:val="13"/>
                <w:szCs w:val="13"/>
                <w:color w:val="auto"/>
              </w:rPr>
              <w:t>(i)</w:t>
            </w:r>
          </w:p>
        </w:tc>
        <w:tc>
          <w:tcPr>
            <w:tcW w:w="920" w:type="dxa"/>
            <w:vAlign w:val="bottom"/>
            <w:tcBorders>
              <w:bottom w:val="single" w:sz="8" w:color="959595"/>
            </w:tcBorders>
            <w:shd w:val="clear" w:color="auto" w:fill="ECECEC"/>
          </w:tcPr>
          <w:p>
            <w:pPr>
              <w:jc w:val="right"/>
              <w:ind w:right="30"/>
              <w:spacing w:after="0"/>
              <w:rPr>
                <w:sz w:val="20"/>
                <w:szCs w:val="20"/>
                <w:color w:val="auto"/>
              </w:rPr>
            </w:pPr>
            <w:r>
              <w:rPr>
                <w:rFonts w:ascii="Arial" w:cs="Arial" w:eastAsia="Arial" w:hAnsi="Arial"/>
                <w:sz w:val="13"/>
                <w:szCs w:val="13"/>
                <w:color w:val="auto"/>
              </w:rPr>
              <w:t>(j)</w:t>
            </w:r>
          </w:p>
        </w:tc>
        <w:tc>
          <w:tcPr>
            <w:tcW w:w="0" w:type="dxa"/>
            <w:vAlign w:val="bottom"/>
          </w:tcPr>
          <w:p>
            <w:pPr>
              <w:spacing w:after="0"/>
              <w:rPr>
                <w:sz w:val="1"/>
                <w:szCs w:val="1"/>
                <w:color w:val="auto"/>
              </w:rPr>
            </w:pPr>
          </w:p>
        </w:tc>
      </w:tr>
      <w:tr>
        <w:trPr>
          <w:trHeight w:val="176"/>
        </w:trPr>
        <w:tc>
          <w:tcPr>
            <w:tcW w:w="4800" w:type="dxa"/>
            <w:vAlign w:val="bottom"/>
          </w:tcPr>
          <w:p>
            <w:pPr>
              <w:ind w:left="40"/>
              <w:spacing w:after="0"/>
              <w:rPr>
                <w:sz w:val="20"/>
                <w:szCs w:val="20"/>
                <w:color w:val="auto"/>
              </w:rPr>
            </w:pPr>
            <w:r>
              <w:rPr>
                <w:rFonts w:ascii="Arial" w:cs="Arial" w:eastAsia="Arial" w:hAnsi="Arial"/>
                <w:sz w:val="14"/>
                <w:szCs w:val="14"/>
                <w:b w:val="1"/>
                <w:bCs w:val="1"/>
                <w:color w:val="23255E"/>
              </w:rPr>
              <w:t>Marillyn A. Hewson</w:t>
            </w:r>
          </w:p>
        </w:tc>
        <w:tc>
          <w:tcPr>
            <w:tcW w:w="1420" w:type="dxa"/>
            <w:vAlign w:val="bottom"/>
            <w:gridSpan w:val="2"/>
          </w:tcPr>
          <w:p>
            <w:pPr>
              <w:jc w:val="right"/>
              <w:ind w:right="70"/>
              <w:spacing w:after="0"/>
              <w:rPr>
                <w:sz w:val="20"/>
                <w:szCs w:val="20"/>
                <w:color w:val="auto"/>
              </w:rPr>
            </w:pPr>
            <w:r>
              <w:rPr>
                <w:rFonts w:ascii="Arial" w:cs="Arial" w:eastAsia="Arial" w:hAnsi="Arial"/>
                <w:sz w:val="14"/>
                <w:szCs w:val="14"/>
                <w:color w:val="auto"/>
              </w:rPr>
              <w:t>2018 1,769,262</w:t>
            </w:r>
          </w:p>
        </w:tc>
        <w:tc>
          <w:tcPr>
            <w:tcW w:w="940" w:type="dxa"/>
            <w:vAlign w:val="bottom"/>
          </w:tcPr>
          <w:p>
            <w:pPr>
              <w:jc w:val="right"/>
              <w:ind w:right="90"/>
              <w:spacing w:after="0"/>
              <w:rPr>
                <w:sz w:val="20"/>
                <w:szCs w:val="20"/>
                <w:color w:val="auto"/>
              </w:rPr>
            </w:pPr>
            <w:r>
              <w:rPr>
                <w:rFonts w:ascii="Arial" w:cs="Arial" w:eastAsia="Arial" w:hAnsi="Arial"/>
                <w:sz w:val="14"/>
                <w:szCs w:val="14"/>
                <w:color w:val="auto"/>
              </w:rPr>
              <w:t>9,788,097</w:t>
            </w:r>
          </w:p>
        </w:tc>
        <w:tc>
          <w:tcPr>
            <w:tcW w:w="1140" w:type="dxa"/>
            <w:vAlign w:val="bottom"/>
          </w:tcPr>
          <w:p>
            <w:pPr>
              <w:jc w:val="right"/>
              <w:ind w:right="90"/>
              <w:spacing w:after="0"/>
              <w:rPr>
                <w:sz w:val="20"/>
                <w:szCs w:val="20"/>
                <w:color w:val="auto"/>
              </w:rPr>
            </w:pPr>
            <w:r>
              <w:rPr>
                <w:rFonts w:ascii="Arial" w:cs="Arial" w:eastAsia="Arial" w:hAnsi="Arial"/>
                <w:sz w:val="14"/>
                <w:szCs w:val="14"/>
                <w:color w:val="auto"/>
              </w:rPr>
              <w:t>8,758,727</w:t>
            </w:r>
          </w:p>
        </w:tc>
        <w:tc>
          <w:tcPr>
            <w:tcW w:w="1140" w:type="dxa"/>
            <w:vAlign w:val="bottom"/>
          </w:tcPr>
          <w:p>
            <w:pPr>
              <w:jc w:val="right"/>
              <w:ind w:right="91"/>
              <w:spacing w:after="0"/>
              <w:rPr>
                <w:sz w:val="20"/>
                <w:szCs w:val="20"/>
                <w:color w:val="auto"/>
              </w:rPr>
            </w:pPr>
            <w:r>
              <w:rPr>
                <w:rFonts w:ascii="Arial" w:cs="Arial" w:eastAsia="Arial" w:hAnsi="Arial"/>
                <w:sz w:val="14"/>
                <w:szCs w:val="14"/>
                <w:color w:val="auto"/>
              </w:rPr>
              <w:t>68</w:t>
            </w: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1,200,459</w:t>
            </w: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21,516,613</w:t>
            </w:r>
          </w:p>
        </w:tc>
        <w:tc>
          <w:tcPr>
            <w:tcW w:w="0" w:type="dxa"/>
            <w:vAlign w:val="bottom"/>
          </w:tcPr>
          <w:p>
            <w:pPr>
              <w:spacing w:after="0"/>
              <w:rPr>
                <w:sz w:val="1"/>
                <w:szCs w:val="1"/>
                <w:color w:val="auto"/>
              </w:rPr>
            </w:pPr>
          </w:p>
        </w:tc>
      </w:tr>
      <w:tr>
        <w:trPr>
          <w:trHeight w:val="40"/>
        </w:trPr>
        <w:tc>
          <w:tcPr>
            <w:tcW w:w="4800" w:type="dxa"/>
            <w:vAlign w:val="bottom"/>
            <w:vMerge w:val="restart"/>
          </w:tcPr>
          <w:p>
            <w:pPr>
              <w:ind w:left="40"/>
              <w:spacing w:after="0"/>
              <w:rPr>
                <w:sz w:val="20"/>
                <w:szCs w:val="20"/>
                <w:color w:val="auto"/>
              </w:rPr>
            </w:pPr>
            <w:r>
              <w:rPr>
                <w:rFonts w:ascii="Arial" w:cs="Arial" w:eastAsia="Arial" w:hAnsi="Arial"/>
                <w:sz w:val="14"/>
                <w:szCs w:val="14"/>
                <w:color w:val="auto"/>
              </w:rPr>
              <w:t>Chairman, President and</w:t>
            </w:r>
          </w:p>
        </w:tc>
        <w:tc>
          <w:tcPr>
            <w:tcW w:w="580" w:type="dxa"/>
            <w:vAlign w:val="bottom"/>
            <w:tcBorders>
              <w:bottom w:val="single" w:sz="8" w:color="959595"/>
            </w:tcBorders>
          </w:tcPr>
          <w:p>
            <w:pPr>
              <w:spacing w:after="0"/>
              <w:rPr>
                <w:sz w:val="3"/>
                <w:szCs w:val="3"/>
                <w:color w:val="auto"/>
              </w:rPr>
            </w:pPr>
          </w:p>
        </w:tc>
        <w:tc>
          <w:tcPr>
            <w:tcW w:w="840" w:type="dxa"/>
            <w:vAlign w:val="bottom"/>
            <w:tcBorders>
              <w:bottom w:val="single" w:sz="8" w:color="959595"/>
            </w:tcBorders>
          </w:tcPr>
          <w:p>
            <w:pPr>
              <w:spacing w:after="0"/>
              <w:rPr>
                <w:sz w:val="3"/>
                <w:szCs w:val="3"/>
                <w:color w:val="auto"/>
              </w:rPr>
            </w:pPr>
          </w:p>
        </w:tc>
        <w:tc>
          <w:tcPr>
            <w:tcW w:w="940" w:type="dxa"/>
            <w:vAlign w:val="bottom"/>
            <w:tcBorders>
              <w:bottom w:val="single" w:sz="8" w:color="959595"/>
            </w:tcBorders>
          </w:tcPr>
          <w:p>
            <w:pPr>
              <w:spacing w:after="0"/>
              <w:rPr>
                <w:sz w:val="3"/>
                <w:szCs w:val="3"/>
                <w:color w:val="auto"/>
              </w:rPr>
            </w:pPr>
          </w:p>
        </w:tc>
        <w:tc>
          <w:tcPr>
            <w:tcW w:w="1140" w:type="dxa"/>
            <w:vAlign w:val="bottom"/>
            <w:tcBorders>
              <w:bottom w:val="single" w:sz="8" w:color="959595"/>
            </w:tcBorders>
          </w:tcPr>
          <w:p>
            <w:pPr>
              <w:spacing w:after="0"/>
              <w:rPr>
                <w:sz w:val="3"/>
                <w:szCs w:val="3"/>
                <w:color w:val="auto"/>
              </w:rPr>
            </w:pPr>
          </w:p>
        </w:tc>
        <w:tc>
          <w:tcPr>
            <w:tcW w:w="1140" w:type="dxa"/>
            <w:vAlign w:val="bottom"/>
            <w:tcBorders>
              <w:bottom w:val="single" w:sz="8" w:color="959595"/>
            </w:tcBorders>
          </w:tcPr>
          <w:p>
            <w:pPr>
              <w:spacing w:after="0"/>
              <w:rPr>
                <w:sz w:val="3"/>
                <w:szCs w:val="3"/>
                <w:color w:val="auto"/>
              </w:rPr>
            </w:pPr>
          </w:p>
        </w:tc>
        <w:tc>
          <w:tcPr>
            <w:tcW w:w="1060" w:type="dxa"/>
            <w:vAlign w:val="bottom"/>
            <w:tcBorders>
              <w:bottom w:val="single" w:sz="8" w:color="959595"/>
            </w:tcBorders>
          </w:tcPr>
          <w:p>
            <w:pPr>
              <w:spacing w:after="0"/>
              <w:rPr>
                <w:sz w:val="3"/>
                <w:szCs w:val="3"/>
                <w:color w:val="auto"/>
              </w:rPr>
            </w:pPr>
          </w:p>
        </w:tc>
        <w:tc>
          <w:tcPr>
            <w:tcW w:w="92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102"/>
        </w:trPr>
        <w:tc>
          <w:tcPr>
            <w:tcW w:w="4800" w:type="dxa"/>
            <w:vAlign w:val="bottom"/>
            <w:vMerge w:val="continue"/>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2017</w:t>
            </w:r>
          </w:p>
        </w:tc>
        <w:tc>
          <w:tcPr>
            <w:tcW w:w="840" w:type="dxa"/>
            <w:vAlign w:val="bottom"/>
            <w:vMerge w:val="restart"/>
          </w:tcPr>
          <w:p>
            <w:pPr>
              <w:jc w:val="right"/>
              <w:ind w:right="70"/>
              <w:spacing w:after="0"/>
              <w:rPr>
                <w:sz w:val="20"/>
                <w:szCs w:val="20"/>
                <w:color w:val="auto"/>
              </w:rPr>
            </w:pPr>
            <w:r>
              <w:rPr>
                <w:rFonts w:ascii="Arial" w:cs="Arial" w:eastAsia="Arial" w:hAnsi="Arial"/>
                <w:sz w:val="14"/>
                <w:szCs w:val="14"/>
                <w:color w:val="auto"/>
              </w:rPr>
              <w:t>1,688,269</w:t>
            </w:r>
          </w:p>
        </w:tc>
        <w:tc>
          <w:tcPr>
            <w:tcW w:w="940" w:type="dxa"/>
            <w:vAlign w:val="bottom"/>
            <w:vMerge w:val="restart"/>
          </w:tcPr>
          <w:p>
            <w:pPr>
              <w:jc w:val="right"/>
              <w:ind w:right="90"/>
              <w:spacing w:after="0"/>
              <w:rPr>
                <w:sz w:val="20"/>
                <w:szCs w:val="20"/>
                <w:color w:val="auto"/>
              </w:rPr>
            </w:pPr>
            <w:r>
              <w:rPr>
                <w:rFonts w:ascii="Arial" w:cs="Arial" w:eastAsia="Arial" w:hAnsi="Arial"/>
                <w:sz w:val="14"/>
                <w:szCs w:val="14"/>
                <w:color w:val="auto"/>
              </w:rPr>
              <w:t>9,504,252</w:t>
            </w:r>
          </w:p>
        </w:tc>
        <w:tc>
          <w:tcPr>
            <w:tcW w:w="1140" w:type="dxa"/>
            <w:vAlign w:val="bottom"/>
            <w:vMerge w:val="restart"/>
          </w:tcPr>
          <w:p>
            <w:pPr>
              <w:jc w:val="right"/>
              <w:ind w:right="90"/>
              <w:spacing w:after="0"/>
              <w:rPr>
                <w:sz w:val="20"/>
                <w:szCs w:val="20"/>
                <w:color w:val="auto"/>
              </w:rPr>
            </w:pPr>
            <w:r>
              <w:rPr>
                <w:rFonts w:ascii="Arial" w:cs="Arial" w:eastAsia="Arial" w:hAnsi="Arial"/>
                <w:sz w:val="14"/>
                <w:szCs w:val="14"/>
                <w:color w:val="auto"/>
              </w:rPr>
              <w:t>8,318,060</w:t>
            </w:r>
          </w:p>
        </w:tc>
        <w:tc>
          <w:tcPr>
            <w:tcW w:w="1140" w:type="dxa"/>
            <w:vAlign w:val="bottom"/>
            <w:vMerge w:val="restart"/>
          </w:tcPr>
          <w:p>
            <w:pPr>
              <w:jc w:val="right"/>
              <w:ind w:right="91"/>
              <w:spacing w:after="0"/>
              <w:rPr>
                <w:sz w:val="20"/>
                <w:szCs w:val="20"/>
                <w:color w:val="auto"/>
              </w:rPr>
            </w:pPr>
            <w:r>
              <w:rPr>
                <w:rFonts w:ascii="Arial" w:cs="Arial" w:eastAsia="Arial" w:hAnsi="Arial"/>
                <w:sz w:val="14"/>
                <w:szCs w:val="14"/>
                <w:color w:val="auto"/>
              </w:rPr>
              <w:t>2,687,391</w:t>
            </w:r>
          </w:p>
        </w:tc>
        <w:tc>
          <w:tcPr>
            <w:tcW w:w="1060" w:type="dxa"/>
            <w:vAlign w:val="bottom"/>
            <w:vMerge w:val="restart"/>
          </w:tcPr>
          <w:p>
            <w:pPr>
              <w:jc w:val="right"/>
              <w:ind w:right="30"/>
              <w:spacing w:after="0"/>
              <w:rPr>
                <w:sz w:val="20"/>
                <w:szCs w:val="20"/>
                <w:color w:val="auto"/>
              </w:rPr>
            </w:pPr>
            <w:r>
              <w:rPr>
                <w:rFonts w:ascii="Arial" w:cs="Arial" w:eastAsia="Arial" w:hAnsi="Arial"/>
                <w:sz w:val="14"/>
                <w:szCs w:val="14"/>
                <w:color w:val="auto"/>
              </w:rPr>
              <w:t>668,871</w:t>
            </w:r>
          </w:p>
        </w:tc>
        <w:tc>
          <w:tcPr>
            <w:tcW w:w="920" w:type="dxa"/>
            <w:vAlign w:val="bottom"/>
            <w:vMerge w:val="restart"/>
          </w:tcPr>
          <w:p>
            <w:pPr>
              <w:jc w:val="right"/>
              <w:ind w:right="30"/>
              <w:spacing w:after="0"/>
              <w:rPr>
                <w:sz w:val="20"/>
                <w:szCs w:val="20"/>
                <w:color w:val="auto"/>
              </w:rPr>
            </w:pPr>
            <w:r>
              <w:rPr>
                <w:rFonts w:ascii="Arial" w:cs="Arial" w:eastAsia="Arial" w:hAnsi="Arial"/>
                <w:sz w:val="14"/>
                <w:szCs w:val="14"/>
                <w:color w:val="auto"/>
              </w:rPr>
              <w:t>22,866,843</w:t>
            </w:r>
          </w:p>
        </w:tc>
        <w:tc>
          <w:tcPr>
            <w:tcW w:w="0" w:type="dxa"/>
            <w:vAlign w:val="bottom"/>
          </w:tcPr>
          <w:p>
            <w:pPr>
              <w:spacing w:after="0"/>
              <w:rPr>
                <w:sz w:val="1"/>
                <w:szCs w:val="1"/>
                <w:color w:val="auto"/>
              </w:rPr>
            </w:pPr>
          </w:p>
        </w:tc>
      </w:tr>
      <w:tr>
        <w:trPr>
          <w:trHeight w:val="109"/>
        </w:trPr>
        <w:tc>
          <w:tcPr>
            <w:tcW w:w="4800" w:type="dxa"/>
            <w:vAlign w:val="bottom"/>
            <w:vMerge w:val="restart"/>
          </w:tcPr>
          <w:p>
            <w:pPr>
              <w:ind w:left="40"/>
              <w:spacing w:after="0"/>
              <w:rPr>
                <w:sz w:val="20"/>
                <w:szCs w:val="20"/>
                <w:color w:val="auto"/>
              </w:rPr>
            </w:pPr>
            <w:r>
              <w:rPr>
                <w:rFonts w:ascii="Arial" w:cs="Arial" w:eastAsia="Arial" w:hAnsi="Arial"/>
                <w:sz w:val="14"/>
                <w:szCs w:val="14"/>
                <w:color w:val="auto"/>
              </w:rPr>
              <w:t>Chief Executive Officer</w:t>
            </w:r>
          </w:p>
        </w:tc>
        <w:tc>
          <w:tcPr>
            <w:tcW w:w="580" w:type="dxa"/>
            <w:vAlign w:val="bottom"/>
            <w:tcBorders>
              <w:bottom w:val="single" w:sz="8" w:color="959595"/>
            </w:tcBorders>
            <w:vMerge w:val="continue"/>
          </w:tcPr>
          <w:p>
            <w:pPr>
              <w:spacing w:after="0"/>
              <w:rPr>
                <w:sz w:val="9"/>
                <w:szCs w:val="9"/>
                <w:color w:val="auto"/>
              </w:rPr>
            </w:pPr>
          </w:p>
        </w:tc>
        <w:tc>
          <w:tcPr>
            <w:tcW w:w="840" w:type="dxa"/>
            <w:vAlign w:val="bottom"/>
            <w:tcBorders>
              <w:bottom w:val="single" w:sz="8" w:color="959595"/>
            </w:tcBorders>
            <w:vMerge w:val="continue"/>
          </w:tcPr>
          <w:p>
            <w:pPr>
              <w:spacing w:after="0"/>
              <w:rPr>
                <w:sz w:val="9"/>
                <w:szCs w:val="9"/>
                <w:color w:val="auto"/>
              </w:rPr>
            </w:pPr>
          </w:p>
        </w:tc>
        <w:tc>
          <w:tcPr>
            <w:tcW w:w="940" w:type="dxa"/>
            <w:vAlign w:val="bottom"/>
            <w:tcBorders>
              <w:bottom w:val="single" w:sz="8" w:color="959595"/>
            </w:tcBorders>
            <w:vMerge w:val="continue"/>
          </w:tcPr>
          <w:p>
            <w:pPr>
              <w:spacing w:after="0"/>
              <w:rPr>
                <w:sz w:val="9"/>
                <w:szCs w:val="9"/>
                <w:color w:val="auto"/>
              </w:rPr>
            </w:pPr>
          </w:p>
        </w:tc>
        <w:tc>
          <w:tcPr>
            <w:tcW w:w="1140" w:type="dxa"/>
            <w:vAlign w:val="bottom"/>
            <w:tcBorders>
              <w:bottom w:val="single" w:sz="8" w:color="959595"/>
            </w:tcBorders>
            <w:vMerge w:val="continue"/>
          </w:tcPr>
          <w:p>
            <w:pPr>
              <w:spacing w:after="0"/>
              <w:rPr>
                <w:sz w:val="9"/>
                <w:szCs w:val="9"/>
                <w:color w:val="auto"/>
              </w:rPr>
            </w:pPr>
          </w:p>
        </w:tc>
        <w:tc>
          <w:tcPr>
            <w:tcW w:w="1140" w:type="dxa"/>
            <w:vAlign w:val="bottom"/>
            <w:tcBorders>
              <w:bottom w:val="single" w:sz="8" w:color="959595"/>
            </w:tcBorders>
            <w:vMerge w:val="continue"/>
          </w:tcPr>
          <w:p>
            <w:pPr>
              <w:spacing w:after="0"/>
              <w:rPr>
                <w:sz w:val="9"/>
                <w:szCs w:val="9"/>
                <w:color w:val="auto"/>
              </w:rPr>
            </w:pPr>
          </w:p>
        </w:tc>
        <w:tc>
          <w:tcPr>
            <w:tcW w:w="1060" w:type="dxa"/>
            <w:vAlign w:val="bottom"/>
            <w:tcBorders>
              <w:bottom w:val="single" w:sz="8" w:color="959595"/>
            </w:tcBorders>
            <w:vMerge w:val="continue"/>
          </w:tcPr>
          <w:p>
            <w:pPr>
              <w:spacing w:after="0"/>
              <w:rPr>
                <w:sz w:val="9"/>
                <w:szCs w:val="9"/>
                <w:color w:val="auto"/>
              </w:rPr>
            </w:pPr>
          </w:p>
        </w:tc>
        <w:tc>
          <w:tcPr>
            <w:tcW w:w="920" w:type="dxa"/>
            <w:vAlign w:val="bottom"/>
            <w:tcBorders>
              <w:bottom w:val="single" w:sz="8" w:color="959595"/>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4800" w:type="dxa"/>
            <w:vAlign w:val="bottom"/>
            <w:vMerge w:val="continue"/>
          </w:tcPr>
          <w:p>
            <w:pPr>
              <w:spacing w:after="0"/>
              <w:rPr>
                <w:sz w:val="6"/>
                <w:szCs w:val="6"/>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2016</w:t>
            </w:r>
          </w:p>
        </w:tc>
        <w:tc>
          <w:tcPr>
            <w:tcW w:w="840" w:type="dxa"/>
            <w:vAlign w:val="bottom"/>
            <w:vMerge w:val="restart"/>
          </w:tcPr>
          <w:p>
            <w:pPr>
              <w:jc w:val="right"/>
              <w:ind w:right="70"/>
              <w:spacing w:after="0"/>
              <w:rPr>
                <w:sz w:val="20"/>
                <w:szCs w:val="20"/>
                <w:color w:val="auto"/>
              </w:rPr>
            </w:pPr>
            <w:r>
              <w:rPr>
                <w:rFonts w:ascii="Arial" w:cs="Arial" w:eastAsia="Arial" w:hAnsi="Arial"/>
                <w:sz w:val="14"/>
                <w:szCs w:val="14"/>
                <w:color w:val="auto"/>
              </w:rPr>
              <w:t>1,634,231</w:t>
            </w:r>
          </w:p>
        </w:tc>
        <w:tc>
          <w:tcPr>
            <w:tcW w:w="940" w:type="dxa"/>
            <w:vAlign w:val="bottom"/>
            <w:vMerge w:val="restart"/>
          </w:tcPr>
          <w:p>
            <w:pPr>
              <w:jc w:val="right"/>
              <w:ind w:right="90"/>
              <w:spacing w:after="0"/>
              <w:rPr>
                <w:sz w:val="20"/>
                <w:szCs w:val="20"/>
                <w:color w:val="auto"/>
              </w:rPr>
            </w:pPr>
            <w:r>
              <w:rPr>
                <w:rFonts w:ascii="Arial" w:cs="Arial" w:eastAsia="Arial" w:hAnsi="Arial"/>
                <w:sz w:val="14"/>
                <w:szCs w:val="14"/>
                <w:color w:val="auto"/>
              </w:rPr>
              <w:t>9,228,211</w:t>
            </w:r>
          </w:p>
        </w:tc>
        <w:tc>
          <w:tcPr>
            <w:tcW w:w="1140" w:type="dxa"/>
            <w:vAlign w:val="bottom"/>
            <w:vMerge w:val="restart"/>
          </w:tcPr>
          <w:p>
            <w:pPr>
              <w:jc w:val="right"/>
              <w:ind w:right="90"/>
              <w:spacing w:after="0"/>
              <w:rPr>
                <w:sz w:val="20"/>
                <w:szCs w:val="20"/>
                <w:color w:val="auto"/>
              </w:rPr>
            </w:pPr>
            <w:r>
              <w:rPr>
                <w:rFonts w:ascii="Arial" w:cs="Arial" w:eastAsia="Arial" w:hAnsi="Arial"/>
                <w:sz w:val="14"/>
                <w:szCs w:val="14"/>
                <w:color w:val="auto"/>
              </w:rPr>
              <w:t>8,159,848</w:t>
            </w:r>
          </w:p>
        </w:tc>
        <w:tc>
          <w:tcPr>
            <w:tcW w:w="1140" w:type="dxa"/>
            <w:vAlign w:val="bottom"/>
            <w:vMerge w:val="restart"/>
          </w:tcPr>
          <w:p>
            <w:pPr>
              <w:jc w:val="right"/>
              <w:ind w:right="91"/>
              <w:spacing w:after="0"/>
              <w:rPr>
                <w:sz w:val="20"/>
                <w:szCs w:val="20"/>
                <w:color w:val="auto"/>
              </w:rPr>
            </w:pPr>
            <w:r>
              <w:rPr>
                <w:rFonts w:ascii="Arial" w:cs="Arial" w:eastAsia="Arial" w:hAnsi="Arial"/>
                <w:sz w:val="14"/>
                <w:szCs w:val="14"/>
                <w:color w:val="auto"/>
              </w:rPr>
              <w:t>1,151,615</w:t>
            </w:r>
          </w:p>
        </w:tc>
        <w:tc>
          <w:tcPr>
            <w:tcW w:w="1060" w:type="dxa"/>
            <w:vAlign w:val="bottom"/>
            <w:vMerge w:val="restart"/>
          </w:tcPr>
          <w:p>
            <w:pPr>
              <w:jc w:val="right"/>
              <w:ind w:right="30"/>
              <w:spacing w:after="0"/>
              <w:rPr>
                <w:sz w:val="20"/>
                <w:szCs w:val="20"/>
                <w:color w:val="auto"/>
              </w:rPr>
            </w:pPr>
            <w:r>
              <w:rPr>
                <w:rFonts w:ascii="Arial" w:cs="Arial" w:eastAsia="Arial" w:hAnsi="Arial"/>
                <w:sz w:val="14"/>
                <w:szCs w:val="14"/>
                <w:color w:val="auto"/>
              </w:rPr>
              <w:t>399,828</w:t>
            </w:r>
          </w:p>
        </w:tc>
        <w:tc>
          <w:tcPr>
            <w:tcW w:w="920" w:type="dxa"/>
            <w:vAlign w:val="bottom"/>
            <w:vMerge w:val="restart"/>
          </w:tcPr>
          <w:p>
            <w:pPr>
              <w:jc w:val="right"/>
              <w:ind w:right="30"/>
              <w:spacing w:after="0"/>
              <w:rPr>
                <w:sz w:val="20"/>
                <w:szCs w:val="20"/>
                <w:color w:val="auto"/>
              </w:rPr>
            </w:pPr>
            <w:r>
              <w:rPr>
                <w:rFonts w:ascii="Arial" w:cs="Arial" w:eastAsia="Arial" w:hAnsi="Arial"/>
                <w:sz w:val="14"/>
                <w:szCs w:val="14"/>
                <w:color w:val="auto"/>
              </w:rPr>
              <w:t>20,573,733</w:t>
            </w:r>
          </w:p>
        </w:tc>
        <w:tc>
          <w:tcPr>
            <w:tcW w:w="0" w:type="dxa"/>
            <w:vAlign w:val="bottom"/>
          </w:tcPr>
          <w:p>
            <w:pPr>
              <w:spacing w:after="0"/>
              <w:rPr>
                <w:sz w:val="1"/>
                <w:szCs w:val="1"/>
                <w:color w:val="auto"/>
              </w:rPr>
            </w:pPr>
          </w:p>
        </w:tc>
      </w:tr>
      <w:tr>
        <w:trPr>
          <w:trHeight w:val="139"/>
        </w:trPr>
        <w:tc>
          <w:tcPr>
            <w:tcW w:w="4800" w:type="dxa"/>
            <w:vAlign w:val="bottom"/>
            <w:tcBorders>
              <w:bottom w:val="single" w:sz="8" w:color="959595"/>
            </w:tcBorders>
          </w:tcPr>
          <w:p>
            <w:pPr>
              <w:spacing w:after="0"/>
              <w:rPr>
                <w:sz w:val="12"/>
                <w:szCs w:val="12"/>
                <w:color w:val="auto"/>
              </w:rPr>
            </w:pPr>
          </w:p>
        </w:tc>
        <w:tc>
          <w:tcPr>
            <w:tcW w:w="580" w:type="dxa"/>
            <w:vAlign w:val="bottom"/>
            <w:tcBorders>
              <w:bottom w:val="single" w:sz="8" w:color="959595"/>
            </w:tcBorders>
            <w:vMerge w:val="continue"/>
          </w:tcPr>
          <w:p>
            <w:pPr>
              <w:spacing w:after="0"/>
              <w:rPr>
                <w:sz w:val="12"/>
                <w:szCs w:val="12"/>
                <w:color w:val="auto"/>
              </w:rPr>
            </w:pPr>
          </w:p>
        </w:tc>
        <w:tc>
          <w:tcPr>
            <w:tcW w:w="840" w:type="dxa"/>
            <w:vAlign w:val="bottom"/>
            <w:tcBorders>
              <w:bottom w:val="single" w:sz="8" w:color="959595"/>
            </w:tcBorders>
            <w:vMerge w:val="continue"/>
          </w:tcPr>
          <w:p>
            <w:pPr>
              <w:spacing w:after="0"/>
              <w:rPr>
                <w:sz w:val="12"/>
                <w:szCs w:val="12"/>
                <w:color w:val="auto"/>
              </w:rPr>
            </w:pPr>
          </w:p>
        </w:tc>
        <w:tc>
          <w:tcPr>
            <w:tcW w:w="940" w:type="dxa"/>
            <w:vAlign w:val="bottom"/>
            <w:tcBorders>
              <w:bottom w:val="single" w:sz="8" w:color="959595"/>
            </w:tcBorders>
            <w:vMerge w:val="continue"/>
          </w:tcPr>
          <w:p>
            <w:pPr>
              <w:spacing w:after="0"/>
              <w:rPr>
                <w:sz w:val="12"/>
                <w:szCs w:val="12"/>
                <w:color w:val="auto"/>
              </w:rPr>
            </w:pPr>
          </w:p>
        </w:tc>
        <w:tc>
          <w:tcPr>
            <w:tcW w:w="1140" w:type="dxa"/>
            <w:vAlign w:val="bottom"/>
            <w:tcBorders>
              <w:bottom w:val="single" w:sz="8" w:color="959595"/>
            </w:tcBorders>
            <w:vMerge w:val="continue"/>
          </w:tcPr>
          <w:p>
            <w:pPr>
              <w:spacing w:after="0"/>
              <w:rPr>
                <w:sz w:val="12"/>
                <w:szCs w:val="12"/>
                <w:color w:val="auto"/>
              </w:rPr>
            </w:pPr>
          </w:p>
        </w:tc>
        <w:tc>
          <w:tcPr>
            <w:tcW w:w="1140" w:type="dxa"/>
            <w:vAlign w:val="bottom"/>
            <w:tcBorders>
              <w:bottom w:val="single" w:sz="8" w:color="959595"/>
            </w:tcBorders>
            <w:vMerge w:val="continue"/>
          </w:tcPr>
          <w:p>
            <w:pPr>
              <w:spacing w:after="0"/>
              <w:rPr>
                <w:sz w:val="12"/>
                <w:szCs w:val="12"/>
                <w:color w:val="auto"/>
              </w:rPr>
            </w:pPr>
          </w:p>
        </w:tc>
        <w:tc>
          <w:tcPr>
            <w:tcW w:w="1060" w:type="dxa"/>
            <w:vAlign w:val="bottom"/>
            <w:tcBorders>
              <w:bottom w:val="single" w:sz="8" w:color="959595"/>
            </w:tcBorders>
            <w:vMerge w:val="continue"/>
          </w:tcPr>
          <w:p>
            <w:pPr>
              <w:spacing w:after="0"/>
              <w:rPr>
                <w:sz w:val="12"/>
                <w:szCs w:val="12"/>
                <w:color w:val="auto"/>
              </w:rPr>
            </w:pPr>
          </w:p>
        </w:tc>
        <w:tc>
          <w:tcPr>
            <w:tcW w:w="920" w:type="dxa"/>
            <w:vAlign w:val="bottom"/>
            <w:tcBorders>
              <w:bottom w:val="single" w:sz="8" w:color="959595"/>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800" w:type="dxa"/>
            <w:vAlign w:val="bottom"/>
          </w:tcPr>
          <w:p>
            <w:pPr>
              <w:ind w:left="40"/>
              <w:spacing w:after="0"/>
              <w:rPr>
                <w:sz w:val="20"/>
                <w:szCs w:val="20"/>
                <w:color w:val="auto"/>
              </w:rPr>
            </w:pPr>
            <w:r>
              <w:rPr>
                <w:rFonts w:ascii="Arial" w:cs="Arial" w:eastAsia="Arial" w:hAnsi="Arial"/>
                <w:sz w:val="14"/>
                <w:szCs w:val="14"/>
                <w:b w:val="1"/>
                <w:bCs w:val="1"/>
                <w:color w:val="23255E"/>
              </w:rPr>
              <w:t>Bruce L. Tanner</w:t>
            </w:r>
          </w:p>
        </w:tc>
        <w:tc>
          <w:tcPr>
            <w:tcW w:w="1420" w:type="dxa"/>
            <w:vAlign w:val="bottom"/>
            <w:gridSpan w:val="2"/>
          </w:tcPr>
          <w:p>
            <w:pPr>
              <w:jc w:val="right"/>
              <w:ind w:right="70"/>
              <w:spacing w:after="0"/>
              <w:rPr>
                <w:sz w:val="20"/>
                <w:szCs w:val="20"/>
                <w:color w:val="auto"/>
              </w:rPr>
            </w:pPr>
            <w:r>
              <w:rPr>
                <w:rFonts w:ascii="Arial" w:cs="Arial" w:eastAsia="Arial" w:hAnsi="Arial"/>
                <w:sz w:val="14"/>
                <w:szCs w:val="14"/>
                <w:color w:val="auto"/>
              </w:rPr>
              <w:t>2018 1,024,808</w:t>
            </w:r>
          </w:p>
        </w:tc>
        <w:tc>
          <w:tcPr>
            <w:tcW w:w="940" w:type="dxa"/>
            <w:vAlign w:val="bottom"/>
          </w:tcPr>
          <w:p>
            <w:pPr>
              <w:jc w:val="right"/>
              <w:ind w:right="90"/>
              <w:spacing w:after="0"/>
              <w:rPr>
                <w:sz w:val="20"/>
                <w:szCs w:val="20"/>
                <w:color w:val="auto"/>
              </w:rPr>
            </w:pPr>
            <w:r>
              <w:rPr>
                <w:rFonts w:ascii="Arial" w:cs="Arial" w:eastAsia="Arial" w:hAnsi="Arial"/>
                <w:sz w:val="14"/>
                <w:szCs w:val="14"/>
                <w:color w:val="auto"/>
              </w:rPr>
              <w:t>3,600,260</w:t>
            </w:r>
          </w:p>
        </w:tc>
        <w:tc>
          <w:tcPr>
            <w:tcW w:w="1140" w:type="dxa"/>
            <w:vAlign w:val="bottom"/>
          </w:tcPr>
          <w:p>
            <w:pPr>
              <w:jc w:val="right"/>
              <w:ind w:right="90"/>
              <w:spacing w:after="0"/>
              <w:rPr>
                <w:sz w:val="20"/>
                <w:szCs w:val="20"/>
                <w:color w:val="auto"/>
              </w:rPr>
            </w:pPr>
            <w:r>
              <w:rPr>
                <w:rFonts w:ascii="Arial" w:cs="Arial" w:eastAsia="Arial" w:hAnsi="Arial"/>
                <w:sz w:val="14"/>
                <w:szCs w:val="14"/>
                <w:color w:val="auto"/>
              </w:rPr>
              <w:t>3,272,383</w:t>
            </w:r>
          </w:p>
        </w:tc>
        <w:tc>
          <w:tcPr>
            <w:tcW w:w="1140" w:type="dxa"/>
            <w:vAlign w:val="bottom"/>
          </w:tcPr>
          <w:p>
            <w:pPr>
              <w:jc w:val="right"/>
              <w:ind w:right="91"/>
              <w:spacing w:after="0"/>
              <w:rPr>
                <w:sz w:val="20"/>
                <w:szCs w:val="20"/>
                <w:color w:val="auto"/>
              </w:rPr>
            </w:pPr>
            <w:r>
              <w:rPr>
                <w:rFonts w:ascii="Arial" w:cs="Arial" w:eastAsia="Arial" w:hAnsi="Arial"/>
                <w:sz w:val="14"/>
                <w:szCs w:val="14"/>
                <w:color w:val="auto"/>
              </w:rPr>
              <w:t>6</w:t>
            </w: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128,335</w:t>
            </w: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8,025,792</w:t>
            </w:r>
          </w:p>
        </w:tc>
        <w:tc>
          <w:tcPr>
            <w:tcW w:w="0" w:type="dxa"/>
            <w:vAlign w:val="bottom"/>
          </w:tcPr>
          <w:p>
            <w:pPr>
              <w:spacing w:after="0"/>
              <w:rPr>
                <w:sz w:val="1"/>
                <w:szCs w:val="1"/>
                <w:color w:val="auto"/>
              </w:rPr>
            </w:pPr>
          </w:p>
        </w:tc>
      </w:tr>
      <w:tr>
        <w:trPr>
          <w:trHeight w:val="40"/>
        </w:trPr>
        <w:tc>
          <w:tcPr>
            <w:tcW w:w="4800" w:type="dxa"/>
            <w:vAlign w:val="bottom"/>
            <w:vMerge w:val="restart"/>
          </w:tcPr>
          <w:p>
            <w:pPr>
              <w:ind w:left="40"/>
              <w:spacing w:after="0"/>
              <w:rPr>
                <w:sz w:val="20"/>
                <w:szCs w:val="20"/>
                <w:color w:val="auto"/>
              </w:rPr>
            </w:pPr>
            <w:r>
              <w:rPr>
                <w:rFonts w:ascii="Arial" w:cs="Arial" w:eastAsia="Arial" w:hAnsi="Arial"/>
                <w:sz w:val="14"/>
                <w:szCs w:val="14"/>
                <w:color w:val="auto"/>
              </w:rPr>
              <w:t>Executive Vice President and</w:t>
            </w:r>
          </w:p>
        </w:tc>
        <w:tc>
          <w:tcPr>
            <w:tcW w:w="580" w:type="dxa"/>
            <w:vAlign w:val="bottom"/>
            <w:tcBorders>
              <w:bottom w:val="single" w:sz="8" w:color="959595"/>
            </w:tcBorders>
          </w:tcPr>
          <w:p>
            <w:pPr>
              <w:spacing w:after="0"/>
              <w:rPr>
                <w:sz w:val="3"/>
                <w:szCs w:val="3"/>
                <w:color w:val="auto"/>
              </w:rPr>
            </w:pPr>
          </w:p>
        </w:tc>
        <w:tc>
          <w:tcPr>
            <w:tcW w:w="840" w:type="dxa"/>
            <w:vAlign w:val="bottom"/>
            <w:tcBorders>
              <w:bottom w:val="single" w:sz="8" w:color="959595"/>
            </w:tcBorders>
          </w:tcPr>
          <w:p>
            <w:pPr>
              <w:spacing w:after="0"/>
              <w:rPr>
                <w:sz w:val="3"/>
                <w:szCs w:val="3"/>
                <w:color w:val="auto"/>
              </w:rPr>
            </w:pPr>
          </w:p>
        </w:tc>
        <w:tc>
          <w:tcPr>
            <w:tcW w:w="940" w:type="dxa"/>
            <w:vAlign w:val="bottom"/>
            <w:tcBorders>
              <w:bottom w:val="single" w:sz="8" w:color="959595"/>
            </w:tcBorders>
          </w:tcPr>
          <w:p>
            <w:pPr>
              <w:spacing w:after="0"/>
              <w:rPr>
                <w:sz w:val="3"/>
                <w:szCs w:val="3"/>
                <w:color w:val="auto"/>
              </w:rPr>
            </w:pPr>
          </w:p>
        </w:tc>
        <w:tc>
          <w:tcPr>
            <w:tcW w:w="1140" w:type="dxa"/>
            <w:vAlign w:val="bottom"/>
            <w:tcBorders>
              <w:bottom w:val="single" w:sz="8" w:color="959595"/>
            </w:tcBorders>
          </w:tcPr>
          <w:p>
            <w:pPr>
              <w:spacing w:after="0"/>
              <w:rPr>
                <w:sz w:val="3"/>
                <w:szCs w:val="3"/>
                <w:color w:val="auto"/>
              </w:rPr>
            </w:pPr>
          </w:p>
        </w:tc>
        <w:tc>
          <w:tcPr>
            <w:tcW w:w="1140" w:type="dxa"/>
            <w:vAlign w:val="bottom"/>
            <w:tcBorders>
              <w:bottom w:val="single" w:sz="8" w:color="959595"/>
            </w:tcBorders>
          </w:tcPr>
          <w:p>
            <w:pPr>
              <w:spacing w:after="0"/>
              <w:rPr>
                <w:sz w:val="3"/>
                <w:szCs w:val="3"/>
                <w:color w:val="auto"/>
              </w:rPr>
            </w:pPr>
          </w:p>
        </w:tc>
        <w:tc>
          <w:tcPr>
            <w:tcW w:w="1060" w:type="dxa"/>
            <w:vAlign w:val="bottom"/>
            <w:tcBorders>
              <w:bottom w:val="single" w:sz="8" w:color="959595"/>
            </w:tcBorders>
          </w:tcPr>
          <w:p>
            <w:pPr>
              <w:spacing w:after="0"/>
              <w:rPr>
                <w:sz w:val="3"/>
                <w:szCs w:val="3"/>
                <w:color w:val="auto"/>
              </w:rPr>
            </w:pPr>
          </w:p>
        </w:tc>
        <w:tc>
          <w:tcPr>
            <w:tcW w:w="92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102"/>
        </w:trPr>
        <w:tc>
          <w:tcPr>
            <w:tcW w:w="4800" w:type="dxa"/>
            <w:vAlign w:val="bottom"/>
            <w:vMerge w:val="continue"/>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2017</w:t>
            </w:r>
          </w:p>
        </w:tc>
        <w:tc>
          <w:tcPr>
            <w:tcW w:w="840" w:type="dxa"/>
            <w:vAlign w:val="bottom"/>
            <w:vMerge w:val="restart"/>
          </w:tcPr>
          <w:p>
            <w:pPr>
              <w:jc w:val="right"/>
              <w:ind w:right="70"/>
              <w:spacing w:after="0"/>
              <w:rPr>
                <w:sz w:val="20"/>
                <w:szCs w:val="20"/>
                <w:color w:val="auto"/>
              </w:rPr>
            </w:pPr>
            <w:r>
              <w:rPr>
                <w:rFonts w:ascii="Arial" w:cs="Arial" w:eastAsia="Arial" w:hAnsi="Arial"/>
                <w:sz w:val="14"/>
                <w:szCs w:val="14"/>
                <w:color w:val="auto"/>
              </w:rPr>
              <w:t>995,962</w:t>
            </w:r>
          </w:p>
        </w:tc>
        <w:tc>
          <w:tcPr>
            <w:tcW w:w="940" w:type="dxa"/>
            <w:vAlign w:val="bottom"/>
            <w:vMerge w:val="restart"/>
          </w:tcPr>
          <w:p>
            <w:pPr>
              <w:jc w:val="right"/>
              <w:ind w:right="90"/>
              <w:spacing w:after="0"/>
              <w:rPr>
                <w:sz w:val="20"/>
                <w:szCs w:val="20"/>
                <w:color w:val="auto"/>
              </w:rPr>
            </w:pPr>
            <w:r>
              <w:rPr>
                <w:rFonts w:ascii="Arial" w:cs="Arial" w:eastAsia="Arial" w:hAnsi="Arial"/>
                <w:sz w:val="14"/>
                <w:szCs w:val="14"/>
                <w:color w:val="auto"/>
              </w:rPr>
              <w:t>3,360,121</w:t>
            </w:r>
          </w:p>
        </w:tc>
        <w:tc>
          <w:tcPr>
            <w:tcW w:w="1140" w:type="dxa"/>
            <w:vAlign w:val="bottom"/>
            <w:vMerge w:val="restart"/>
          </w:tcPr>
          <w:p>
            <w:pPr>
              <w:jc w:val="right"/>
              <w:ind w:right="90"/>
              <w:spacing w:after="0"/>
              <w:rPr>
                <w:sz w:val="20"/>
                <w:szCs w:val="20"/>
                <w:color w:val="auto"/>
              </w:rPr>
            </w:pPr>
            <w:r>
              <w:rPr>
                <w:rFonts w:ascii="Arial" w:cs="Arial" w:eastAsia="Arial" w:hAnsi="Arial"/>
                <w:sz w:val="14"/>
                <w:szCs w:val="14"/>
                <w:color w:val="auto"/>
              </w:rPr>
              <w:t>3,044,547</w:t>
            </w:r>
          </w:p>
        </w:tc>
        <w:tc>
          <w:tcPr>
            <w:tcW w:w="1140" w:type="dxa"/>
            <w:vAlign w:val="bottom"/>
            <w:vMerge w:val="restart"/>
          </w:tcPr>
          <w:p>
            <w:pPr>
              <w:jc w:val="right"/>
              <w:ind w:right="91"/>
              <w:spacing w:after="0"/>
              <w:rPr>
                <w:sz w:val="20"/>
                <w:szCs w:val="20"/>
                <w:color w:val="auto"/>
              </w:rPr>
            </w:pPr>
            <w:r>
              <w:rPr>
                <w:rFonts w:ascii="Arial" w:cs="Arial" w:eastAsia="Arial" w:hAnsi="Arial"/>
                <w:sz w:val="14"/>
                <w:szCs w:val="14"/>
                <w:color w:val="auto"/>
              </w:rPr>
              <w:t>2,293,379</w:t>
            </w:r>
          </w:p>
        </w:tc>
        <w:tc>
          <w:tcPr>
            <w:tcW w:w="1060" w:type="dxa"/>
            <w:vAlign w:val="bottom"/>
            <w:vMerge w:val="restart"/>
          </w:tcPr>
          <w:p>
            <w:pPr>
              <w:jc w:val="right"/>
              <w:ind w:right="30"/>
              <w:spacing w:after="0"/>
              <w:rPr>
                <w:sz w:val="20"/>
                <w:szCs w:val="20"/>
                <w:color w:val="auto"/>
              </w:rPr>
            </w:pPr>
            <w:r>
              <w:rPr>
                <w:rFonts w:ascii="Arial" w:cs="Arial" w:eastAsia="Arial" w:hAnsi="Arial"/>
                <w:sz w:val="14"/>
                <w:szCs w:val="14"/>
                <w:color w:val="auto"/>
              </w:rPr>
              <w:t>115,791</w:t>
            </w:r>
          </w:p>
        </w:tc>
        <w:tc>
          <w:tcPr>
            <w:tcW w:w="920" w:type="dxa"/>
            <w:vAlign w:val="bottom"/>
            <w:vMerge w:val="restart"/>
          </w:tcPr>
          <w:p>
            <w:pPr>
              <w:jc w:val="right"/>
              <w:ind w:right="30"/>
              <w:spacing w:after="0"/>
              <w:rPr>
                <w:sz w:val="20"/>
                <w:szCs w:val="20"/>
                <w:color w:val="auto"/>
              </w:rPr>
            </w:pPr>
            <w:r>
              <w:rPr>
                <w:rFonts w:ascii="Arial" w:cs="Arial" w:eastAsia="Arial" w:hAnsi="Arial"/>
                <w:sz w:val="14"/>
                <w:szCs w:val="14"/>
                <w:color w:val="auto"/>
              </w:rPr>
              <w:t>9,809,800</w:t>
            </w:r>
          </w:p>
        </w:tc>
        <w:tc>
          <w:tcPr>
            <w:tcW w:w="0" w:type="dxa"/>
            <w:vAlign w:val="bottom"/>
          </w:tcPr>
          <w:p>
            <w:pPr>
              <w:spacing w:after="0"/>
              <w:rPr>
                <w:sz w:val="1"/>
                <w:szCs w:val="1"/>
                <w:color w:val="auto"/>
              </w:rPr>
            </w:pPr>
          </w:p>
        </w:tc>
      </w:tr>
      <w:tr>
        <w:trPr>
          <w:trHeight w:val="109"/>
        </w:trPr>
        <w:tc>
          <w:tcPr>
            <w:tcW w:w="4800" w:type="dxa"/>
            <w:vAlign w:val="bottom"/>
            <w:vMerge w:val="restart"/>
          </w:tcPr>
          <w:p>
            <w:pPr>
              <w:ind w:left="40"/>
              <w:spacing w:after="0"/>
              <w:rPr>
                <w:sz w:val="20"/>
                <w:szCs w:val="20"/>
                <w:color w:val="auto"/>
              </w:rPr>
            </w:pPr>
            <w:r>
              <w:rPr>
                <w:rFonts w:ascii="Arial" w:cs="Arial" w:eastAsia="Arial" w:hAnsi="Arial"/>
                <w:sz w:val="14"/>
                <w:szCs w:val="14"/>
                <w:color w:val="auto"/>
              </w:rPr>
              <w:t>Chief Financial Officer</w:t>
            </w:r>
          </w:p>
        </w:tc>
        <w:tc>
          <w:tcPr>
            <w:tcW w:w="580" w:type="dxa"/>
            <w:vAlign w:val="bottom"/>
            <w:tcBorders>
              <w:bottom w:val="single" w:sz="8" w:color="959595"/>
            </w:tcBorders>
            <w:vMerge w:val="continue"/>
          </w:tcPr>
          <w:p>
            <w:pPr>
              <w:spacing w:after="0"/>
              <w:rPr>
                <w:sz w:val="9"/>
                <w:szCs w:val="9"/>
                <w:color w:val="auto"/>
              </w:rPr>
            </w:pPr>
          </w:p>
        </w:tc>
        <w:tc>
          <w:tcPr>
            <w:tcW w:w="840" w:type="dxa"/>
            <w:vAlign w:val="bottom"/>
            <w:tcBorders>
              <w:bottom w:val="single" w:sz="8" w:color="959595"/>
            </w:tcBorders>
            <w:vMerge w:val="continue"/>
          </w:tcPr>
          <w:p>
            <w:pPr>
              <w:spacing w:after="0"/>
              <w:rPr>
                <w:sz w:val="9"/>
                <w:szCs w:val="9"/>
                <w:color w:val="auto"/>
              </w:rPr>
            </w:pPr>
          </w:p>
        </w:tc>
        <w:tc>
          <w:tcPr>
            <w:tcW w:w="940" w:type="dxa"/>
            <w:vAlign w:val="bottom"/>
            <w:tcBorders>
              <w:bottom w:val="single" w:sz="8" w:color="959595"/>
            </w:tcBorders>
            <w:vMerge w:val="continue"/>
          </w:tcPr>
          <w:p>
            <w:pPr>
              <w:spacing w:after="0"/>
              <w:rPr>
                <w:sz w:val="9"/>
                <w:szCs w:val="9"/>
                <w:color w:val="auto"/>
              </w:rPr>
            </w:pPr>
          </w:p>
        </w:tc>
        <w:tc>
          <w:tcPr>
            <w:tcW w:w="1140" w:type="dxa"/>
            <w:vAlign w:val="bottom"/>
            <w:tcBorders>
              <w:bottom w:val="single" w:sz="8" w:color="959595"/>
            </w:tcBorders>
            <w:vMerge w:val="continue"/>
          </w:tcPr>
          <w:p>
            <w:pPr>
              <w:spacing w:after="0"/>
              <w:rPr>
                <w:sz w:val="9"/>
                <w:szCs w:val="9"/>
                <w:color w:val="auto"/>
              </w:rPr>
            </w:pPr>
          </w:p>
        </w:tc>
        <w:tc>
          <w:tcPr>
            <w:tcW w:w="1140" w:type="dxa"/>
            <w:vAlign w:val="bottom"/>
            <w:tcBorders>
              <w:bottom w:val="single" w:sz="8" w:color="959595"/>
            </w:tcBorders>
            <w:vMerge w:val="continue"/>
          </w:tcPr>
          <w:p>
            <w:pPr>
              <w:spacing w:after="0"/>
              <w:rPr>
                <w:sz w:val="9"/>
                <w:szCs w:val="9"/>
                <w:color w:val="auto"/>
              </w:rPr>
            </w:pPr>
          </w:p>
        </w:tc>
        <w:tc>
          <w:tcPr>
            <w:tcW w:w="1060" w:type="dxa"/>
            <w:vAlign w:val="bottom"/>
            <w:tcBorders>
              <w:bottom w:val="single" w:sz="8" w:color="959595"/>
            </w:tcBorders>
            <w:vMerge w:val="continue"/>
          </w:tcPr>
          <w:p>
            <w:pPr>
              <w:spacing w:after="0"/>
              <w:rPr>
                <w:sz w:val="9"/>
                <w:szCs w:val="9"/>
                <w:color w:val="auto"/>
              </w:rPr>
            </w:pPr>
          </w:p>
        </w:tc>
        <w:tc>
          <w:tcPr>
            <w:tcW w:w="920" w:type="dxa"/>
            <w:vAlign w:val="bottom"/>
            <w:tcBorders>
              <w:bottom w:val="single" w:sz="8" w:color="959595"/>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4800" w:type="dxa"/>
            <w:vAlign w:val="bottom"/>
            <w:vMerge w:val="continue"/>
          </w:tcPr>
          <w:p>
            <w:pPr>
              <w:spacing w:after="0"/>
              <w:rPr>
                <w:sz w:val="6"/>
                <w:szCs w:val="6"/>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2016</w:t>
            </w:r>
          </w:p>
        </w:tc>
        <w:tc>
          <w:tcPr>
            <w:tcW w:w="840" w:type="dxa"/>
            <w:vAlign w:val="bottom"/>
            <w:vMerge w:val="restart"/>
          </w:tcPr>
          <w:p>
            <w:pPr>
              <w:jc w:val="right"/>
              <w:ind w:right="70"/>
              <w:spacing w:after="0"/>
              <w:rPr>
                <w:sz w:val="20"/>
                <w:szCs w:val="20"/>
                <w:color w:val="auto"/>
              </w:rPr>
            </w:pPr>
            <w:r>
              <w:rPr>
                <w:rFonts w:ascii="Arial" w:cs="Arial" w:eastAsia="Arial" w:hAnsi="Arial"/>
                <w:sz w:val="14"/>
                <w:szCs w:val="14"/>
                <w:color w:val="auto"/>
              </w:rPr>
              <w:t>963,942</w:t>
            </w:r>
          </w:p>
        </w:tc>
        <w:tc>
          <w:tcPr>
            <w:tcW w:w="940" w:type="dxa"/>
            <w:vAlign w:val="bottom"/>
            <w:vMerge w:val="restart"/>
          </w:tcPr>
          <w:p>
            <w:pPr>
              <w:jc w:val="right"/>
              <w:ind w:right="90"/>
              <w:spacing w:after="0"/>
              <w:rPr>
                <w:sz w:val="20"/>
                <w:szCs w:val="20"/>
                <w:color w:val="auto"/>
              </w:rPr>
            </w:pPr>
            <w:r>
              <w:rPr>
                <w:rFonts w:ascii="Arial" w:cs="Arial" w:eastAsia="Arial" w:hAnsi="Arial"/>
                <w:sz w:val="14"/>
                <w:szCs w:val="14"/>
                <w:color w:val="auto"/>
              </w:rPr>
              <w:t>3,212,032</w:t>
            </w:r>
          </w:p>
        </w:tc>
        <w:tc>
          <w:tcPr>
            <w:tcW w:w="1140" w:type="dxa"/>
            <w:vAlign w:val="bottom"/>
            <w:vMerge w:val="restart"/>
          </w:tcPr>
          <w:p>
            <w:pPr>
              <w:jc w:val="right"/>
              <w:ind w:right="90"/>
              <w:spacing w:after="0"/>
              <w:rPr>
                <w:sz w:val="20"/>
                <w:szCs w:val="20"/>
                <w:color w:val="auto"/>
              </w:rPr>
            </w:pPr>
            <w:r>
              <w:rPr>
                <w:rFonts w:ascii="Arial" w:cs="Arial" w:eastAsia="Arial" w:hAnsi="Arial"/>
                <w:sz w:val="14"/>
                <w:szCs w:val="14"/>
                <w:color w:val="auto"/>
              </w:rPr>
              <w:t>3,005,020</w:t>
            </w:r>
          </w:p>
        </w:tc>
        <w:tc>
          <w:tcPr>
            <w:tcW w:w="1140" w:type="dxa"/>
            <w:vAlign w:val="bottom"/>
            <w:vMerge w:val="restart"/>
          </w:tcPr>
          <w:p>
            <w:pPr>
              <w:jc w:val="right"/>
              <w:ind w:right="91"/>
              <w:spacing w:after="0"/>
              <w:rPr>
                <w:sz w:val="20"/>
                <w:szCs w:val="20"/>
                <w:color w:val="auto"/>
              </w:rPr>
            </w:pPr>
            <w:r>
              <w:rPr>
                <w:rFonts w:ascii="Arial" w:cs="Arial" w:eastAsia="Arial" w:hAnsi="Arial"/>
                <w:sz w:val="14"/>
                <w:szCs w:val="14"/>
                <w:color w:val="auto"/>
              </w:rPr>
              <w:t>1,528,251</w:t>
            </w:r>
          </w:p>
        </w:tc>
        <w:tc>
          <w:tcPr>
            <w:tcW w:w="1060" w:type="dxa"/>
            <w:vAlign w:val="bottom"/>
            <w:vMerge w:val="restart"/>
          </w:tcPr>
          <w:p>
            <w:pPr>
              <w:jc w:val="right"/>
              <w:ind w:right="30"/>
              <w:spacing w:after="0"/>
              <w:rPr>
                <w:sz w:val="20"/>
                <w:szCs w:val="20"/>
                <w:color w:val="auto"/>
              </w:rPr>
            </w:pPr>
            <w:r>
              <w:rPr>
                <w:rFonts w:ascii="Arial" w:cs="Arial" w:eastAsia="Arial" w:hAnsi="Arial"/>
                <w:sz w:val="14"/>
                <w:szCs w:val="14"/>
                <w:color w:val="auto"/>
              </w:rPr>
              <w:t>91,363</w:t>
            </w:r>
          </w:p>
        </w:tc>
        <w:tc>
          <w:tcPr>
            <w:tcW w:w="920" w:type="dxa"/>
            <w:vAlign w:val="bottom"/>
            <w:vMerge w:val="restart"/>
          </w:tcPr>
          <w:p>
            <w:pPr>
              <w:jc w:val="right"/>
              <w:ind w:right="30"/>
              <w:spacing w:after="0"/>
              <w:rPr>
                <w:sz w:val="20"/>
                <w:szCs w:val="20"/>
                <w:color w:val="auto"/>
              </w:rPr>
            </w:pPr>
            <w:r>
              <w:rPr>
                <w:rFonts w:ascii="Arial" w:cs="Arial" w:eastAsia="Arial" w:hAnsi="Arial"/>
                <w:sz w:val="14"/>
                <w:szCs w:val="14"/>
                <w:color w:val="auto"/>
              </w:rPr>
              <w:t>8,800,608</w:t>
            </w:r>
          </w:p>
        </w:tc>
        <w:tc>
          <w:tcPr>
            <w:tcW w:w="0" w:type="dxa"/>
            <w:vAlign w:val="bottom"/>
          </w:tcPr>
          <w:p>
            <w:pPr>
              <w:spacing w:after="0"/>
              <w:rPr>
                <w:sz w:val="1"/>
                <w:szCs w:val="1"/>
                <w:color w:val="auto"/>
              </w:rPr>
            </w:pPr>
          </w:p>
        </w:tc>
      </w:tr>
      <w:tr>
        <w:trPr>
          <w:trHeight w:val="139"/>
        </w:trPr>
        <w:tc>
          <w:tcPr>
            <w:tcW w:w="4800" w:type="dxa"/>
            <w:vAlign w:val="bottom"/>
            <w:tcBorders>
              <w:bottom w:val="single" w:sz="8" w:color="959595"/>
            </w:tcBorders>
          </w:tcPr>
          <w:p>
            <w:pPr>
              <w:spacing w:after="0"/>
              <w:rPr>
                <w:sz w:val="12"/>
                <w:szCs w:val="12"/>
                <w:color w:val="auto"/>
              </w:rPr>
            </w:pPr>
          </w:p>
        </w:tc>
        <w:tc>
          <w:tcPr>
            <w:tcW w:w="580" w:type="dxa"/>
            <w:vAlign w:val="bottom"/>
            <w:tcBorders>
              <w:bottom w:val="single" w:sz="8" w:color="959595"/>
            </w:tcBorders>
            <w:vMerge w:val="continue"/>
          </w:tcPr>
          <w:p>
            <w:pPr>
              <w:spacing w:after="0"/>
              <w:rPr>
                <w:sz w:val="12"/>
                <w:szCs w:val="12"/>
                <w:color w:val="auto"/>
              </w:rPr>
            </w:pPr>
          </w:p>
        </w:tc>
        <w:tc>
          <w:tcPr>
            <w:tcW w:w="840" w:type="dxa"/>
            <w:vAlign w:val="bottom"/>
            <w:tcBorders>
              <w:bottom w:val="single" w:sz="8" w:color="959595"/>
            </w:tcBorders>
            <w:vMerge w:val="continue"/>
          </w:tcPr>
          <w:p>
            <w:pPr>
              <w:spacing w:after="0"/>
              <w:rPr>
                <w:sz w:val="12"/>
                <w:szCs w:val="12"/>
                <w:color w:val="auto"/>
              </w:rPr>
            </w:pPr>
          </w:p>
        </w:tc>
        <w:tc>
          <w:tcPr>
            <w:tcW w:w="940" w:type="dxa"/>
            <w:vAlign w:val="bottom"/>
            <w:tcBorders>
              <w:bottom w:val="single" w:sz="8" w:color="959595"/>
            </w:tcBorders>
            <w:vMerge w:val="continue"/>
          </w:tcPr>
          <w:p>
            <w:pPr>
              <w:spacing w:after="0"/>
              <w:rPr>
                <w:sz w:val="12"/>
                <w:szCs w:val="12"/>
                <w:color w:val="auto"/>
              </w:rPr>
            </w:pPr>
          </w:p>
        </w:tc>
        <w:tc>
          <w:tcPr>
            <w:tcW w:w="1140" w:type="dxa"/>
            <w:vAlign w:val="bottom"/>
            <w:tcBorders>
              <w:bottom w:val="single" w:sz="8" w:color="959595"/>
            </w:tcBorders>
            <w:vMerge w:val="continue"/>
          </w:tcPr>
          <w:p>
            <w:pPr>
              <w:spacing w:after="0"/>
              <w:rPr>
                <w:sz w:val="12"/>
                <w:szCs w:val="12"/>
                <w:color w:val="auto"/>
              </w:rPr>
            </w:pPr>
          </w:p>
        </w:tc>
        <w:tc>
          <w:tcPr>
            <w:tcW w:w="1140" w:type="dxa"/>
            <w:vAlign w:val="bottom"/>
            <w:tcBorders>
              <w:bottom w:val="single" w:sz="8" w:color="959595"/>
            </w:tcBorders>
            <w:vMerge w:val="continue"/>
          </w:tcPr>
          <w:p>
            <w:pPr>
              <w:spacing w:after="0"/>
              <w:rPr>
                <w:sz w:val="12"/>
                <w:szCs w:val="12"/>
                <w:color w:val="auto"/>
              </w:rPr>
            </w:pPr>
          </w:p>
        </w:tc>
        <w:tc>
          <w:tcPr>
            <w:tcW w:w="1060" w:type="dxa"/>
            <w:vAlign w:val="bottom"/>
            <w:tcBorders>
              <w:bottom w:val="single" w:sz="8" w:color="959595"/>
            </w:tcBorders>
            <w:vMerge w:val="continue"/>
          </w:tcPr>
          <w:p>
            <w:pPr>
              <w:spacing w:after="0"/>
              <w:rPr>
                <w:sz w:val="12"/>
                <w:szCs w:val="12"/>
                <w:color w:val="auto"/>
              </w:rPr>
            </w:pPr>
          </w:p>
        </w:tc>
        <w:tc>
          <w:tcPr>
            <w:tcW w:w="920" w:type="dxa"/>
            <w:vAlign w:val="bottom"/>
            <w:tcBorders>
              <w:bottom w:val="single" w:sz="8" w:color="959595"/>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800" w:type="dxa"/>
            <w:vAlign w:val="bottom"/>
          </w:tcPr>
          <w:p>
            <w:pPr>
              <w:ind w:left="40"/>
              <w:spacing w:after="0"/>
              <w:rPr>
                <w:sz w:val="20"/>
                <w:szCs w:val="20"/>
                <w:color w:val="auto"/>
              </w:rPr>
            </w:pPr>
            <w:r>
              <w:rPr>
                <w:rFonts w:ascii="Arial" w:cs="Arial" w:eastAsia="Arial" w:hAnsi="Arial"/>
                <w:sz w:val="14"/>
                <w:szCs w:val="14"/>
                <w:b w:val="1"/>
                <w:bCs w:val="1"/>
                <w:color w:val="23255E"/>
              </w:rPr>
              <w:t>Richard F. Ambrose</w:t>
            </w:r>
          </w:p>
        </w:tc>
        <w:tc>
          <w:tcPr>
            <w:tcW w:w="580" w:type="dxa"/>
            <w:vAlign w:val="bottom"/>
          </w:tcPr>
          <w:p>
            <w:pPr>
              <w:jc w:val="right"/>
              <w:spacing w:after="0"/>
              <w:rPr>
                <w:sz w:val="20"/>
                <w:szCs w:val="20"/>
                <w:color w:val="auto"/>
              </w:rPr>
            </w:pPr>
            <w:r>
              <w:rPr>
                <w:rFonts w:ascii="Arial" w:cs="Arial" w:eastAsia="Arial" w:hAnsi="Arial"/>
                <w:sz w:val="14"/>
                <w:szCs w:val="14"/>
                <w:color w:val="auto"/>
              </w:rPr>
              <w:t>2018</w:t>
            </w:r>
          </w:p>
        </w:tc>
        <w:tc>
          <w:tcPr>
            <w:tcW w:w="840" w:type="dxa"/>
            <w:vAlign w:val="bottom"/>
          </w:tcPr>
          <w:p>
            <w:pPr>
              <w:jc w:val="right"/>
              <w:ind w:right="70"/>
              <w:spacing w:after="0"/>
              <w:rPr>
                <w:sz w:val="20"/>
                <w:szCs w:val="20"/>
                <w:color w:val="auto"/>
              </w:rPr>
            </w:pPr>
            <w:r>
              <w:rPr>
                <w:rFonts w:ascii="Arial" w:cs="Arial" w:eastAsia="Arial" w:hAnsi="Arial"/>
                <w:sz w:val="14"/>
                <w:szCs w:val="14"/>
                <w:color w:val="auto"/>
              </w:rPr>
              <w:t>857,500</w:t>
            </w:r>
          </w:p>
        </w:tc>
        <w:tc>
          <w:tcPr>
            <w:tcW w:w="940" w:type="dxa"/>
            <w:vAlign w:val="bottom"/>
          </w:tcPr>
          <w:p>
            <w:pPr>
              <w:jc w:val="right"/>
              <w:ind w:right="90"/>
              <w:spacing w:after="0"/>
              <w:rPr>
                <w:sz w:val="20"/>
                <w:szCs w:val="20"/>
                <w:color w:val="auto"/>
              </w:rPr>
            </w:pPr>
            <w:r>
              <w:rPr>
                <w:rFonts w:ascii="Arial" w:cs="Arial" w:eastAsia="Arial" w:hAnsi="Arial"/>
                <w:sz w:val="14"/>
                <w:szCs w:val="14"/>
                <w:color w:val="auto"/>
              </w:rPr>
              <w:t>2,880,137</w:t>
            </w:r>
          </w:p>
        </w:tc>
        <w:tc>
          <w:tcPr>
            <w:tcW w:w="1140" w:type="dxa"/>
            <w:vAlign w:val="bottom"/>
          </w:tcPr>
          <w:p>
            <w:pPr>
              <w:jc w:val="right"/>
              <w:ind w:right="90"/>
              <w:spacing w:after="0"/>
              <w:rPr>
                <w:sz w:val="20"/>
                <w:szCs w:val="20"/>
                <w:color w:val="auto"/>
              </w:rPr>
            </w:pPr>
            <w:r>
              <w:rPr>
                <w:rFonts w:ascii="Arial" w:cs="Arial" w:eastAsia="Arial" w:hAnsi="Arial"/>
                <w:sz w:val="14"/>
                <w:szCs w:val="14"/>
                <w:color w:val="auto"/>
              </w:rPr>
              <w:t>2,303,783</w:t>
            </w:r>
          </w:p>
        </w:tc>
        <w:tc>
          <w:tcPr>
            <w:tcW w:w="1140" w:type="dxa"/>
            <w:vAlign w:val="bottom"/>
          </w:tcPr>
          <w:p>
            <w:pPr>
              <w:jc w:val="right"/>
              <w:ind w:right="91"/>
              <w:spacing w:after="0"/>
              <w:rPr>
                <w:sz w:val="20"/>
                <w:szCs w:val="20"/>
                <w:color w:val="auto"/>
              </w:rPr>
            </w:pPr>
            <w:r>
              <w:rPr>
                <w:rFonts w:ascii="Arial" w:cs="Arial" w:eastAsia="Arial" w:hAnsi="Arial"/>
                <w:sz w:val="14"/>
                <w:szCs w:val="14"/>
                <w:color w:val="auto"/>
              </w:rPr>
              <w:t>138,976</w:t>
            </w: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113,105</w:t>
            </w: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6,293,501</w:t>
            </w:r>
          </w:p>
        </w:tc>
        <w:tc>
          <w:tcPr>
            <w:tcW w:w="0" w:type="dxa"/>
            <w:vAlign w:val="bottom"/>
          </w:tcPr>
          <w:p>
            <w:pPr>
              <w:spacing w:after="0"/>
              <w:rPr>
                <w:sz w:val="1"/>
                <w:szCs w:val="1"/>
                <w:color w:val="auto"/>
              </w:rPr>
            </w:pPr>
          </w:p>
        </w:tc>
      </w:tr>
      <w:tr>
        <w:trPr>
          <w:trHeight w:val="198"/>
        </w:trPr>
        <w:tc>
          <w:tcPr>
            <w:tcW w:w="4800" w:type="dxa"/>
            <w:vAlign w:val="bottom"/>
            <w:tcBorders>
              <w:bottom w:val="single" w:sz="8" w:color="959595"/>
            </w:tcBorders>
          </w:tcPr>
          <w:p>
            <w:pPr>
              <w:ind w:left="40"/>
              <w:spacing w:after="0"/>
              <w:rPr>
                <w:sz w:val="20"/>
                <w:szCs w:val="20"/>
                <w:color w:val="auto"/>
              </w:rPr>
            </w:pPr>
            <w:r>
              <w:rPr>
                <w:rFonts w:ascii="Arial" w:cs="Arial" w:eastAsia="Arial" w:hAnsi="Arial"/>
                <w:sz w:val="14"/>
                <w:szCs w:val="14"/>
                <w:color w:val="auto"/>
              </w:rPr>
              <w:t>Executive Vice President Space</w:t>
            </w:r>
          </w:p>
        </w:tc>
        <w:tc>
          <w:tcPr>
            <w:tcW w:w="580" w:type="dxa"/>
            <w:vAlign w:val="bottom"/>
            <w:tcBorders>
              <w:bottom w:val="single" w:sz="8" w:color="959595"/>
            </w:tcBorders>
          </w:tcPr>
          <w:p>
            <w:pPr>
              <w:spacing w:after="0"/>
              <w:rPr>
                <w:sz w:val="17"/>
                <w:szCs w:val="17"/>
                <w:color w:val="auto"/>
              </w:rPr>
            </w:pPr>
          </w:p>
        </w:tc>
        <w:tc>
          <w:tcPr>
            <w:tcW w:w="840" w:type="dxa"/>
            <w:vAlign w:val="bottom"/>
            <w:tcBorders>
              <w:bottom w:val="single" w:sz="8" w:color="959595"/>
            </w:tcBorders>
          </w:tcPr>
          <w:p>
            <w:pPr>
              <w:spacing w:after="0"/>
              <w:rPr>
                <w:sz w:val="17"/>
                <w:szCs w:val="17"/>
                <w:color w:val="auto"/>
              </w:rPr>
            </w:pPr>
          </w:p>
        </w:tc>
        <w:tc>
          <w:tcPr>
            <w:tcW w:w="940" w:type="dxa"/>
            <w:vAlign w:val="bottom"/>
            <w:tcBorders>
              <w:bottom w:val="single" w:sz="8" w:color="959595"/>
            </w:tcBorders>
          </w:tcPr>
          <w:p>
            <w:pPr>
              <w:spacing w:after="0"/>
              <w:rPr>
                <w:sz w:val="17"/>
                <w:szCs w:val="17"/>
                <w:color w:val="auto"/>
              </w:rPr>
            </w:pPr>
          </w:p>
        </w:tc>
        <w:tc>
          <w:tcPr>
            <w:tcW w:w="1140" w:type="dxa"/>
            <w:vAlign w:val="bottom"/>
            <w:tcBorders>
              <w:bottom w:val="single" w:sz="8" w:color="959595"/>
            </w:tcBorders>
          </w:tcPr>
          <w:p>
            <w:pPr>
              <w:spacing w:after="0"/>
              <w:rPr>
                <w:sz w:val="17"/>
                <w:szCs w:val="17"/>
                <w:color w:val="auto"/>
              </w:rPr>
            </w:pPr>
          </w:p>
        </w:tc>
        <w:tc>
          <w:tcPr>
            <w:tcW w:w="1140" w:type="dxa"/>
            <w:vAlign w:val="bottom"/>
            <w:tcBorders>
              <w:bottom w:val="single" w:sz="8" w:color="959595"/>
            </w:tcBorders>
          </w:tcPr>
          <w:p>
            <w:pPr>
              <w:spacing w:after="0"/>
              <w:rPr>
                <w:sz w:val="17"/>
                <w:szCs w:val="17"/>
                <w:color w:val="auto"/>
              </w:rPr>
            </w:pPr>
          </w:p>
        </w:tc>
        <w:tc>
          <w:tcPr>
            <w:tcW w:w="1060" w:type="dxa"/>
            <w:vAlign w:val="bottom"/>
            <w:tcBorders>
              <w:bottom w:val="single" w:sz="8" w:color="959595"/>
            </w:tcBorders>
          </w:tcPr>
          <w:p>
            <w:pPr>
              <w:spacing w:after="0"/>
              <w:rPr>
                <w:sz w:val="17"/>
                <w:szCs w:val="17"/>
                <w:color w:val="auto"/>
              </w:rPr>
            </w:pPr>
          </w:p>
        </w:tc>
        <w:tc>
          <w:tcPr>
            <w:tcW w:w="920" w:type="dxa"/>
            <w:vAlign w:val="bottom"/>
            <w:tcBorders>
              <w:bottom w:val="single" w:sz="8" w:color="959595"/>
            </w:tcBorders>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4800" w:type="dxa"/>
            <w:vAlign w:val="bottom"/>
          </w:tcPr>
          <w:p>
            <w:pPr>
              <w:ind w:left="40"/>
              <w:spacing w:after="0"/>
              <w:rPr>
                <w:sz w:val="20"/>
                <w:szCs w:val="20"/>
                <w:color w:val="auto"/>
              </w:rPr>
            </w:pPr>
            <w:r>
              <w:rPr>
                <w:rFonts w:ascii="Arial" w:cs="Arial" w:eastAsia="Arial" w:hAnsi="Arial"/>
                <w:sz w:val="14"/>
                <w:szCs w:val="14"/>
                <w:b w:val="1"/>
                <w:bCs w:val="1"/>
                <w:color w:val="23255E"/>
              </w:rPr>
              <w:t>Dale P. Bennett</w:t>
            </w:r>
          </w:p>
        </w:tc>
        <w:tc>
          <w:tcPr>
            <w:tcW w:w="580" w:type="dxa"/>
            <w:vAlign w:val="bottom"/>
          </w:tcPr>
          <w:p>
            <w:pPr>
              <w:jc w:val="right"/>
              <w:spacing w:after="0"/>
              <w:rPr>
                <w:sz w:val="20"/>
                <w:szCs w:val="20"/>
                <w:color w:val="auto"/>
              </w:rPr>
            </w:pPr>
            <w:r>
              <w:rPr>
                <w:rFonts w:ascii="Arial" w:cs="Arial" w:eastAsia="Arial" w:hAnsi="Arial"/>
                <w:sz w:val="14"/>
                <w:szCs w:val="14"/>
                <w:color w:val="auto"/>
              </w:rPr>
              <w:t>2018</w:t>
            </w:r>
          </w:p>
        </w:tc>
        <w:tc>
          <w:tcPr>
            <w:tcW w:w="840" w:type="dxa"/>
            <w:vAlign w:val="bottom"/>
          </w:tcPr>
          <w:p>
            <w:pPr>
              <w:jc w:val="right"/>
              <w:ind w:right="70"/>
              <w:spacing w:after="0"/>
              <w:rPr>
                <w:sz w:val="20"/>
                <w:szCs w:val="20"/>
                <w:color w:val="auto"/>
              </w:rPr>
            </w:pPr>
            <w:r>
              <w:rPr>
                <w:rFonts w:ascii="Arial" w:cs="Arial" w:eastAsia="Arial" w:hAnsi="Arial"/>
                <w:sz w:val="14"/>
                <w:szCs w:val="14"/>
                <w:color w:val="auto"/>
              </w:rPr>
              <w:t>892,276</w:t>
            </w:r>
          </w:p>
        </w:tc>
        <w:tc>
          <w:tcPr>
            <w:tcW w:w="940" w:type="dxa"/>
            <w:vAlign w:val="bottom"/>
          </w:tcPr>
          <w:p>
            <w:pPr>
              <w:jc w:val="right"/>
              <w:ind w:right="90"/>
              <w:spacing w:after="0"/>
              <w:rPr>
                <w:sz w:val="20"/>
                <w:szCs w:val="20"/>
                <w:color w:val="auto"/>
              </w:rPr>
            </w:pPr>
            <w:r>
              <w:rPr>
                <w:rFonts w:ascii="Arial" w:cs="Arial" w:eastAsia="Arial" w:hAnsi="Arial"/>
                <w:sz w:val="14"/>
                <w:szCs w:val="14"/>
                <w:color w:val="auto"/>
              </w:rPr>
              <w:t>2,880,137</w:t>
            </w:r>
          </w:p>
        </w:tc>
        <w:tc>
          <w:tcPr>
            <w:tcW w:w="1140" w:type="dxa"/>
            <w:vAlign w:val="bottom"/>
          </w:tcPr>
          <w:p>
            <w:pPr>
              <w:jc w:val="right"/>
              <w:ind w:right="90"/>
              <w:spacing w:after="0"/>
              <w:rPr>
                <w:sz w:val="20"/>
                <w:szCs w:val="20"/>
                <w:color w:val="auto"/>
              </w:rPr>
            </w:pPr>
            <w:r>
              <w:rPr>
                <w:rFonts w:ascii="Arial" w:cs="Arial" w:eastAsia="Arial" w:hAnsi="Arial"/>
                <w:sz w:val="14"/>
                <w:szCs w:val="14"/>
                <w:color w:val="auto"/>
              </w:rPr>
              <w:t>2,522,904</w:t>
            </w:r>
          </w:p>
        </w:tc>
        <w:tc>
          <w:tcPr>
            <w:tcW w:w="1140" w:type="dxa"/>
            <w:vAlign w:val="bottom"/>
          </w:tcPr>
          <w:p>
            <w:pPr>
              <w:jc w:val="right"/>
              <w:ind w:right="91"/>
              <w:spacing w:after="0"/>
              <w:rPr>
                <w:sz w:val="20"/>
                <w:szCs w:val="20"/>
                <w:color w:val="auto"/>
              </w:rPr>
            </w:pPr>
            <w:r>
              <w:rPr>
                <w:rFonts w:ascii="Arial" w:cs="Arial" w:eastAsia="Arial" w:hAnsi="Arial"/>
                <w:sz w:val="14"/>
                <w:szCs w:val="14"/>
                <w:color w:val="auto"/>
              </w:rPr>
              <w:t>1</w:t>
            </w: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391,137</w:t>
            </w: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6,686,455</w:t>
            </w:r>
          </w:p>
        </w:tc>
        <w:tc>
          <w:tcPr>
            <w:tcW w:w="0" w:type="dxa"/>
            <w:vAlign w:val="bottom"/>
          </w:tcPr>
          <w:p>
            <w:pPr>
              <w:spacing w:after="0"/>
              <w:rPr>
                <w:sz w:val="1"/>
                <w:szCs w:val="1"/>
                <w:color w:val="auto"/>
              </w:rPr>
            </w:pPr>
          </w:p>
        </w:tc>
      </w:tr>
      <w:tr>
        <w:trPr>
          <w:trHeight w:val="40"/>
        </w:trPr>
        <w:tc>
          <w:tcPr>
            <w:tcW w:w="4800" w:type="dxa"/>
            <w:vAlign w:val="bottom"/>
            <w:vMerge w:val="restart"/>
          </w:tcPr>
          <w:p>
            <w:pPr>
              <w:ind w:left="40"/>
              <w:spacing w:after="0"/>
              <w:rPr>
                <w:sz w:val="20"/>
                <w:szCs w:val="20"/>
                <w:color w:val="auto"/>
              </w:rPr>
            </w:pPr>
            <w:r>
              <w:rPr>
                <w:rFonts w:ascii="Arial" w:cs="Arial" w:eastAsia="Arial" w:hAnsi="Arial"/>
                <w:sz w:val="14"/>
                <w:szCs w:val="14"/>
                <w:color w:val="auto"/>
              </w:rPr>
              <w:t>Executive Vice President</w:t>
            </w:r>
          </w:p>
        </w:tc>
        <w:tc>
          <w:tcPr>
            <w:tcW w:w="580" w:type="dxa"/>
            <w:vAlign w:val="bottom"/>
            <w:tcBorders>
              <w:bottom w:val="single" w:sz="8" w:color="959595"/>
            </w:tcBorders>
          </w:tcPr>
          <w:p>
            <w:pPr>
              <w:spacing w:after="0"/>
              <w:rPr>
                <w:sz w:val="3"/>
                <w:szCs w:val="3"/>
                <w:color w:val="auto"/>
              </w:rPr>
            </w:pPr>
          </w:p>
        </w:tc>
        <w:tc>
          <w:tcPr>
            <w:tcW w:w="840" w:type="dxa"/>
            <w:vAlign w:val="bottom"/>
            <w:tcBorders>
              <w:bottom w:val="single" w:sz="8" w:color="959595"/>
            </w:tcBorders>
          </w:tcPr>
          <w:p>
            <w:pPr>
              <w:spacing w:after="0"/>
              <w:rPr>
                <w:sz w:val="3"/>
                <w:szCs w:val="3"/>
                <w:color w:val="auto"/>
              </w:rPr>
            </w:pPr>
          </w:p>
        </w:tc>
        <w:tc>
          <w:tcPr>
            <w:tcW w:w="940" w:type="dxa"/>
            <w:vAlign w:val="bottom"/>
            <w:tcBorders>
              <w:bottom w:val="single" w:sz="8" w:color="959595"/>
            </w:tcBorders>
          </w:tcPr>
          <w:p>
            <w:pPr>
              <w:spacing w:after="0"/>
              <w:rPr>
                <w:sz w:val="3"/>
                <w:szCs w:val="3"/>
                <w:color w:val="auto"/>
              </w:rPr>
            </w:pPr>
          </w:p>
        </w:tc>
        <w:tc>
          <w:tcPr>
            <w:tcW w:w="1140" w:type="dxa"/>
            <w:vAlign w:val="bottom"/>
            <w:tcBorders>
              <w:bottom w:val="single" w:sz="8" w:color="959595"/>
            </w:tcBorders>
          </w:tcPr>
          <w:p>
            <w:pPr>
              <w:spacing w:after="0"/>
              <w:rPr>
                <w:sz w:val="3"/>
                <w:szCs w:val="3"/>
                <w:color w:val="auto"/>
              </w:rPr>
            </w:pPr>
          </w:p>
        </w:tc>
        <w:tc>
          <w:tcPr>
            <w:tcW w:w="1140" w:type="dxa"/>
            <w:vAlign w:val="bottom"/>
            <w:tcBorders>
              <w:bottom w:val="single" w:sz="8" w:color="959595"/>
            </w:tcBorders>
          </w:tcPr>
          <w:p>
            <w:pPr>
              <w:spacing w:after="0"/>
              <w:rPr>
                <w:sz w:val="3"/>
                <w:szCs w:val="3"/>
                <w:color w:val="auto"/>
              </w:rPr>
            </w:pPr>
          </w:p>
        </w:tc>
        <w:tc>
          <w:tcPr>
            <w:tcW w:w="1060" w:type="dxa"/>
            <w:vAlign w:val="bottom"/>
            <w:tcBorders>
              <w:bottom w:val="single" w:sz="8" w:color="959595"/>
            </w:tcBorders>
          </w:tcPr>
          <w:p>
            <w:pPr>
              <w:spacing w:after="0"/>
              <w:rPr>
                <w:sz w:val="3"/>
                <w:szCs w:val="3"/>
                <w:color w:val="auto"/>
              </w:rPr>
            </w:pPr>
          </w:p>
        </w:tc>
        <w:tc>
          <w:tcPr>
            <w:tcW w:w="92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102"/>
        </w:trPr>
        <w:tc>
          <w:tcPr>
            <w:tcW w:w="4800" w:type="dxa"/>
            <w:vAlign w:val="bottom"/>
            <w:vMerge w:val="continue"/>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2017</w:t>
            </w:r>
          </w:p>
        </w:tc>
        <w:tc>
          <w:tcPr>
            <w:tcW w:w="840" w:type="dxa"/>
            <w:vAlign w:val="bottom"/>
            <w:vMerge w:val="restart"/>
          </w:tcPr>
          <w:p>
            <w:pPr>
              <w:jc w:val="right"/>
              <w:ind w:right="70"/>
              <w:spacing w:after="0"/>
              <w:rPr>
                <w:sz w:val="20"/>
                <w:szCs w:val="20"/>
                <w:color w:val="auto"/>
              </w:rPr>
            </w:pPr>
            <w:r>
              <w:rPr>
                <w:rFonts w:ascii="Arial" w:cs="Arial" w:eastAsia="Arial" w:hAnsi="Arial"/>
                <w:sz w:val="14"/>
                <w:szCs w:val="14"/>
                <w:color w:val="auto"/>
              </w:rPr>
              <w:t>851,635</w:t>
            </w:r>
          </w:p>
        </w:tc>
        <w:tc>
          <w:tcPr>
            <w:tcW w:w="940" w:type="dxa"/>
            <w:vAlign w:val="bottom"/>
            <w:vMerge w:val="restart"/>
          </w:tcPr>
          <w:p>
            <w:pPr>
              <w:jc w:val="right"/>
              <w:ind w:right="90"/>
              <w:spacing w:after="0"/>
              <w:rPr>
                <w:sz w:val="20"/>
                <w:szCs w:val="20"/>
                <w:color w:val="auto"/>
              </w:rPr>
            </w:pPr>
            <w:r>
              <w:rPr>
                <w:rFonts w:ascii="Arial" w:cs="Arial" w:eastAsia="Arial" w:hAnsi="Arial"/>
                <w:sz w:val="14"/>
                <w:szCs w:val="14"/>
                <w:color w:val="auto"/>
              </w:rPr>
              <w:t>2,680,257</w:t>
            </w:r>
          </w:p>
        </w:tc>
        <w:tc>
          <w:tcPr>
            <w:tcW w:w="1140" w:type="dxa"/>
            <w:vAlign w:val="bottom"/>
            <w:vMerge w:val="restart"/>
          </w:tcPr>
          <w:p>
            <w:pPr>
              <w:jc w:val="right"/>
              <w:ind w:right="90"/>
              <w:spacing w:after="0"/>
              <w:rPr>
                <w:sz w:val="20"/>
                <w:szCs w:val="20"/>
                <w:color w:val="auto"/>
              </w:rPr>
            </w:pPr>
            <w:r>
              <w:rPr>
                <w:rFonts w:ascii="Arial" w:cs="Arial" w:eastAsia="Arial" w:hAnsi="Arial"/>
                <w:sz w:val="14"/>
                <w:szCs w:val="14"/>
                <w:color w:val="auto"/>
              </w:rPr>
              <w:t>2,113,400</w:t>
            </w:r>
          </w:p>
        </w:tc>
        <w:tc>
          <w:tcPr>
            <w:tcW w:w="1140" w:type="dxa"/>
            <w:vAlign w:val="bottom"/>
            <w:vMerge w:val="restart"/>
          </w:tcPr>
          <w:p>
            <w:pPr>
              <w:jc w:val="right"/>
              <w:ind w:right="91"/>
              <w:spacing w:after="0"/>
              <w:rPr>
                <w:sz w:val="20"/>
                <w:szCs w:val="20"/>
                <w:color w:val="auto"/>
              </w:rPr>
            </w:pPr>
            <w:r>
              <w:rPr>
                <w:rFonts w:ascii="Arial" w:cs="Arial" w:eastAsia="Arial" w:hAnsi="Arial"/>
                <w:sz w:val="14"/>
                <w:szCs w:val="14"/>
                <w:color w:val="auto"/>
              </w:rPr>
              <w:t>800,854</w:t>
            </w:r>
          </w:p>
        </w:tc>
        <w:tc>
          <w:tcPr>
            <w:tcW w:w="1060" w:type="dxa"/>
            <w:vAlign w:val="bottom"/>
            <w:vMerge w:val="restart"/>
          </w:tcPr>
          <w:p>
            <w:pPr>
              <w:jc w:val="right"/>
              <w:ind w:right="30"/>
              <w:spacing w:after="0"/>
              <w:rPr>
                <w:sz w:val="20"/>
                <w:szCs w:val="20"/>
                <w:color w:val="auto"/>
              </w:rPr>
            </w:pPr>
            <w:r>
              <w:rPr>
                <w:rFonts w:ascii="Arial" w:cs="Arial" w:eastAsia="Arial" w:hAnsi="Arial"/>
                <w:sz w:val="14"/>
                <w:szCs w:val="14"/>
                <w:color w:val="auto"/>
              </w:rPr>
              <w:t>223,124</w:t>
            </w:r>
          </w:p>
        </w:tc>
        <w:tc>
          <w:tcPr>
            <w:tcW w:w="920" w:type="dxa"/>
            <w:vAlign w:val="bottom"/>
            <w:vMerge w:val="restart"/>
          </w:tcPr>
          <w:p>
            <w:pPr>
              <w:jc w:val="right"/>
              <w:ind w:right="30"/>
              <w:spacing w:after="0"/>
              <w:rPr>
                <w:sz w:val="20"/>
                <w:szCs w:val="20"/>
                <w:color w:val="auto"/>
              </w:rPr>
            </w:pPr>
            <w:r>
              <w:rPr>
                <w:rFonts w:ascii="Arial" w:cs="Arial" w:eastAsia="Arial" w:hAnsi="Arial"/>
                <w:sz w:val="14"/>
                <w:szCs w:val="14"/>
                <w:color w:val="auto"/>
              </w:rPr>
              <w:t>6,669,270</w:t>
            </w:r>
          </w:p>
        </w:tc>
        <w:tc>
          <w:tcPr>
            <w:tcW w:w="0" w:type="dxa"/>
            <w:vAlign w:val="bottom"/>
          </w:tcPr>
          <w:p>
            <w:pPr>
              <w:spacing w:after="0"/>
              <w:rPr>
                <w:sz w:val="1"/>
                <w:szCs w:val="1"/>
                <w:color w:val="auto"/>
              </w:rPr>
            </w:pPr>
          </w:p>
        </w:tc>
      </w:tr>
      <w:tr>
        <w:trPr>
          <w:trHeight w:val="109"/>
        </w:trPr>
        <w:tc>
          <w:tcPr>
            <w:tcW w:w="4800" w:type="dxa"/>
            <w:vAlign w:val="bottom"/>
            <w:vMerge w:val="restart"/>
          </w:tcPr>
          <w:p>
            <w:pPr>
              <w:ind w:left="40"/>
              <w:spacing w:after="0"/>
              <w:rPr>
                <w:sz w:val="20"/>
                <w:szCs w:val="20"/>
                <w:color w:val="auto"/>
              </w:rPr>
            </w:pPr>
            <w:r>
              <w:rPr>
                <w:rFonts w:ascii="Arial" w:cs="Arial" w:eastAsia="Arial" w:hAnsi="Arial"/>
                <w:sz w:val="14"/>
                <w:szCs w:val="14"/>
                <w:color w:val="auto"/>
              </w:rPr>
              <w:t>Rotary and Mission Systems</w:t>
            </w:r>
          </w:p>
        </w:tc>
        <w:tc>
          <w:tcPr>
            <w:tcW w:w="580" w:type="dxa"/>
            <w:vAlign w:val="bottom"/>
            <w:tcBorders>
              <w:bottom w:val="single" w:sz="8" w:color="959595"/>
            </w:tcBorders>
            <w:vMerge w:val="continue"/>
          </w:tcPr>
          <w:p>
            <w:pPr>
              <w:spacing w:after="0"/>
              <w:rPr>
                <w:sz w:val="9"/>
                <w:szCs w:val="9"/>
                <w:color w:val="auto"/>
              </w:rPr>
            </w:pPr>
          </w:p>
        </w:tc>
        <w:tc>
          <w:tcPr>
            <w:tcW w:w="840" w:type="dxa"/>
            <w:vAlign w:val="bottom"/>
            <w:tcBorders>
              <w:bottom w:val="single" w:sz="8" w:color="959595"/>
            </w:tcBorders>
            <w:vMerge w:val="continue"/>
          </w:tcPr>
          <w:p>
            <w:pPr>
              <w:spacing w:after="0"/>
              <w:rPr>
                <w:sz w:val="9"/>
                <w:szCs w:val="9"/>
                <w:color w:val="auto"/>
              </w:rPr>
            </w:pPr>
          </w:p>
        </w:tc>
        <w:tc>
          <w:tcPr>
            <w:tcW w:w="940" w:type="dxa"/>
            <w:vAlign w:val="bottom"/>
            <w:tcBorders>
              <w:bottom w:val="single" w:sz="8" w:color="959595"/>
            </w:tcBorders>
            <w:vMerge w:val="continue"/>
          </w:tcPr>
          <w:p>
            <w:pPr>
              <w:spacing w:after="0"/>
              <w:rPr>
                <w:sz w:val="9"/>
                <w:szCs w:val="9"/>
                <w:color w:val="auto"/>
              </w:rPr>
            </w:pPr>
          </w:p>
        </w:tc>
        <w:tc>
          <w:tcPr>
            <w:tcW w:w="1140" w:type="dxa"/>
            <w:vAlign w:val="bottom"/>
            <w:tcBorders>
              <w:bottom w:val="single" w:sz="8" w:color="959595"/>
            </w:tcBorders>
            <w:vMerge w:val="continue"/>
          </w:tcPr>
          <w:p>
            <w:pPr>
              <w:spacing w:after="0"/>
              <w:rPr>
                <w:sz w:val="9"/>
                <w:szCs w:val="9"/>
                <w:color w:val="auto"/>
              </w:rPr>
            </w:pPr>
          </w:p>
        </w:tc>
        <w:tc>
          <w:tcPr>
            <w:tcW w:w="1140" w:type="dxa"/>
            <w:vAlign w:val="bottom"/>
            <w:tcBorders>
              <w:bottom w:val="single" w:sz="8" w:color="959595"/>
            </w:tcBorders>
            <w:vMerge w:val="continue"/>
          </w:tcPr>
          <w:p>
            <w:pPr>
              <w:spacing w:after="0"/>
              <w:rPr>
                <w:sz w:val="9"/>
                <w:szCs w:val="9"/>
                <w:color w:val="auto"/>
              </w:rPr>
            </w:pPr>
          </w:p>
        </w:tc>
        <w:tc>
          <w:tcPr>
            <w:tcW w:w="1060" w:type="dxa"/>
            <w:vAlign w:val="bottom"/>
            <w:tcBorders>
              <w:bottom w:val="single" w:sz="8" w:color="959595"/>
            </w:tcBorders>
            <w:vMerge w:val="continue"/>
          </w:tcPr>
          <w:p>
            <w:pPr>
              <w:spacing w:after="0"/>
              <w:rPr>
                <w:sz w:val="9"/>
                <w:szCs w:val="9"/>
                <w:color w:val="auto"/>
              </w:rPr>
            </w:pPr>
          </w:p>
        </w:tc>
        <w:tc>
          <w:tcPr>
            <w:tcW w:w="920" w:type="dxa"/>
            <w:vAlign w:val="bottom"/>
            <w:tcBorders>
              <w:bottom w:val="single" w:sz="8" w:color="959595"/>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4800" w:type="dxa"/>
            <w:vAlign w:val="bottom"/>
            <w:vMerge w:val="continue"/>
          </w:tcPr>
          <w:p>
            <w:pPr>
              <w:spacing w:after="0"/>
              <w:rPr>
                <w:sz w:val="6"/>
                <w:szCs w:val="6"/>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2016</w:t>
            </w:r>
          </w:p>
        </w:tc>
        <w:tc>
          <w:tcPr>
            <w:tcW w:w="840" w:type="dxa"/>
            <w:vAlign w:val="bottom"/>
            <w:vMerge w:val="restart"/>
          </w:tcPr>
          <w:p>
            <w:pPr>
              <w:jc w:val="right"/>
              <w:ind w:right="70"/>
              <w:spacing w:after="0"/>
              <w:rPr>
                <w:sz w:val="20"/>
                <w:szCs w:val="20"/>
                <w:color w:val="auto"/>
              </w:rPr>
            </w:pPr>
            <w:r>
              <w:rPr>
                <w:rFonts w:ascii="Arial" w:cs="Arial" w:eastAsia="Arial" w:hAnsi="Arial"/>
                <w:sz w:val="14"/>
                <w:szCs w:val="14"/>
                <w:color w:val="auto"/>
              </w:rPr>
              <w:t>824,615</w:t>
            </w:r>
          </w:p>
        </w:tc>
        <w:tc>
          <w:tcPr>
            <w:tcW w:w="940" w:type="dxa"/>
            <w:vAlign w:val="bottom"/>
            <w:vMerge w:val="restart"/>
          </w:tcPr>
          <w:p>
            <w:pPr>
              <w:jc w:val="right"/>
              <w:ind w:right="90"/>
              <w:spacing w:after="0"/>
              <w:rPr>
                <w:sz w:val="20"/>
                <w:szCs w:val="20"/>
                <w:color w:val="auto"/>
              </w:rPr>
            </w:pPr>
            <w:r>
              <w:rPr>
                <w:rFonts w:ascii="Arial" w:cs="Arial" w:eastAsia="Arial" w:hAnsi="Arial"/>
                <w:sz w:val="14"/>
                <w:szCs w:val="14"/>
                <w:color w:val="auto"/>
              </w:rPr>
              <w:t>2,656,116</w:t>
            </w:r>
          </w:p>
        </w:tc>
        <w:tc>
          <w:tcPr>
            <w:tcW w:w="1140" w:type="dxa"/>
            <w:vAlign w:val="bottom"/>
            <w:vMerge w:val="restart"/>
          </w:tcPr>
          <w:p>
            <w:pPr>
              <w:jc w:val="right"/>
              <w:ind w:right="90"/>
              <w:spacing w:after="0"/>
              <w:rPr>
                <w:sz w:val="20"/>
                <w:szCs w:val="20"/>
                <w:color w:val="auto"/>
              </w:rPr>
            </w:pPr>
            <w:r>
              <w:rPr>
                <w:rFonts w:ascii="Arial" w:cs="Arial" w:eastAsia="Arial" w:hAnsi="Arial"/>
                <w:sz w:val="14"/>
                <w:szCs w:val="14"/>
                <w:color w:val="auto"/>
              </w:rPr>
              <w:t>2,074,286</w:t>
            </w:r>
          </w:p>
        </w:tc>
        <w:tc>
          <w:tcPr>
            <w:tcW w:w="1140" w:type="dxa"/>
            <w:vAlign w:val="bottom"/>
            <w:vMerge w:val="restart"/>
          </w:tcPr>
          <w:p>
            <w:pPr>
              <w:jc w:val="right"/>
              <w:ind w:right="91"/>
              <w:spacing w:after="0"/>
              <w:rPr>
                <w:sz w:val="20"/>
                <w:szCs w:val="20"/>
                <w:color w:val="auto"/>
              </w:rPr>
            </w:pPr>
            <w:r>
              <w:rPr>
                <w:rFonts w:ascii="Arial" w:cs="Arial" w:eastAsia="Arial" w:hAnsi="Arial"/>
                <w:sz w:val="14"/>
                <w:szCs w:val="14"/>
                <w:color w:val="auto"/>
              </w:rPr>
              <w:t>1,131,770</w:t>
            </w:r>
          </w:p>
        </w:tc>
        <w:tc>
          <w:tcPr>
            <w:tcW w:w="1060" w:type="dxa"/>
            <w:vAlign w:val="bottom"/>
            <w:vMerge w:val="restart"/>
          </w:tcPr>
          <w:p>
            <w:pPr>
              <w:jc w:val="right"/>
              <w:ind w:right="30"/>
              <w:spacing w:after="0"/>
              <w:rPr>
                <w:sz w:val="20"/>
                <w:szCs w:val="20"/>
                <w:color w:val="auto"/>
              </w:rPr>
            </w:pPr>
            <w:r>
              <w:rPr>
                <w:rFonts w:ascii="Arial" w:cs="Arial" w:eastAsia="Arial" w:hAnsi="Arial"/>
                <w:sz w:val="14"/>
                <w:szCs w:val="14"/>
                <w:color w:val="auto"/>
              </w:rPr>
              <w:t>108,949</w:t>
            </w:r>
          </w:p>
        </w:tc>
        <w:tc>
          <w:tcPr>
            <w:tcW w:w="920" w:type="dxa"/>
            <w:vAlign w:val="bottom"/>
            <w:vMerge w:val="restart"/>
          </w:tcPr>
          <w:p>
            <w:pPr>
              <w:jc w:val="right"/>
              <w:ind w:right="30"/>
              <w:spacing w:after="0"/>
              <w:rPr>
                <w:sz w:val="20"/>
                <w:szCs w:val="20"/>
                <w:color w:val="auto"/>
              </w:rPr>
            </w:pPr>
            <w:r>
              <w:rPr>
                <w:rFonts w:ascii="Arial" w:cs="Arial" w:eastAsia="Arial" w:hAnsi="Arial"/>
                <w:sz w:val="14"/>
                <w:szCs w:val="14"/>
                <w:color w:val="auto"/>
              </w:rPr>
              <w:t>6,795,736</w:t>
            </w:r>
          </w:p>
        </w:tc>
        <w:tc>
          <w:tcPr>
            <w:tcW w:w="0" w:type="dxa"/>
            <w:vAlign w:val="bottom"/>
          </w:tcPr>
          <w:p>
            <w:pPr>
              <w:spacing w:after="0"/>
              <w:rPr>
                <w:sz w:val="1"/>
                <w:szCs w:val="1"/>
                <w:color w:val="auto"/>
              </w:rPr>
            </w:pPr>
          </w:p>
        </w:tc>
      </w:tr>
      <w:tr>
        <w:trPr>
          <w:trHeight w:val="139"/>
        </w:trPr>
        <w:tc>
          <w:tcPr>
            <w:tcW w:w="4800" w:type="dxa"/>
            <w:vAlign w:val="bottom"/>
            <w:tcBorders>
              <w:bottom w:val="single" w:sz="8" w:color="959595"/>
            </w:tcBorders>
          </w:tcPr>
          <w:p>
            <w:pPr>
              <w:spacing w:after="0"/>
              <w:rPr>
                <w:sz w:val="12"/>
                <w:szCs w:val="12"/>
                <w:color w:val="auto"/>
              </w:rPr>
            </w:pPr>
          </w:p>
        </w:tc>
        <w:tc>
          <w:tcPr>
            <w:tcW w:w="580" w:type="dxa"/>
            <w:vAlign w:val="bottom"/>
            <w:tcBorders>
              <w:bottom w:val="single" w:sz="8" w:color="959595"/>
            </w:tcBorders>
            <w:vMerge w:val="continue"/>
          </w:tcPr>
          <w:p>
            <w:pPr>
              <w:spacing w:after="0"/>
              <w:rPr>
                <w:sz w:val="12"/>
                <w:szCs w:val="12"/>
                <w:color w:val="auto"/>
              </w:rPr>
            </w:pPr>
          </w:p>
        </w:tc>
        <w:tc>
          <w:tcPr>
            <w:tcW w:w="840" w:type="dxa"/>
            <w:vAlign w:val="bottom"/>
            <w:tcBorders>
              <w:bottom w:val="single" w:sz="8" w:color="959595"/>
            </w:tcBorders>
            <w:vMerge w:val="continue"/>
          </w:tcPr>
          <w:p>
            <w:pPr>
              <w:spacing w:after="0"/>
              <w:rPr>
                <w:sz w:val="12"/>
                <w:szCs w:val="12"/>
                <w:color w:val="auto"/>
              </w:rPr>
            </w:pPr>
          </w:p>
        </w:tc>
        <w:tc>
          <w:tcPr>
            <w:tcW w:w="940" w:type="dxa"/>
            <w:vAlign w:val="bottom"/>
            <w:tcBorders>
              <w:bottom w:val="single" w:sz="8" w:color="959595"/>
            </w:tcBorders>
            <w:vMerge w:val="continue"/>
          </w:tcPr>
          <w:p>
            <w:pPr>
              <w:spacing w:after="0"/>
              <w:rPr>
                <w:sz w:val="12"/>
                <w:szCs w:val="12"/>
                <w:color w:val="auto"/>
              </w:rPr>
            </w:pPr>
          </w:p>
        </w:tc>
        <w:tc>
          <w:tcPr>
            <w:tcW w:w="1140" w:type="dxa"/>
            <w:vAlign w:val="bottom"/>
            <w:tcBorders>
              <w:bottom w:val="single" w:sz="8" w:color="959595"/>
            </w:tcBorders>
            <w:vMerge w:val="continue"/>
          </w:tcPr>
          <w:p>
            <w:pPr>
              <w:spacing w:after="0"/>
              <w:rPr>
                <w:sz w:val="12"/>
                <w:szCs w:val="12"/>
                <w:color w:val="auto"/>
              </w:rPr>
            </w:pPr>
          </w:p>
        </w:tc>
        <w:tc>
          <w:tcPr>
            <w:tcW w:w="1140" w:type="dxa"/>
            <w:vAlign w:val="bottom"/>
            <w:tcBorders>
              <w:bottom w:val="single" w:sz="8" w:color="959595"/>
            </w:tcBorders>
            <w:vMerge w:val="continue"/>
          </w:tcPr>
          <w:p>
            <w:pPr>
              <w:spacing w:after="0"/>
              <w:rPr>
                <w:sz w:val="12"/>
                <w:szCs w:val="12"/>
                <w:color w:val="auto"/>
              </w:rPr>
            </w:pPr>
          </w:p>
        </w:tc>
        <w:tc>
          <w:tcPr>
            <w:tcW w:w="1060" w:type="dxa"/>
            <w:vAlign w:val="bottom"/>
            <w:tcBorders>
              <w:bottom w:val="single" w:sz="8" w:color="959595"/>
            </w:tcBorders>
            <w:vMerge w:val="continue"/>
          </w:tcPr>
          <w:p>
            <w:pPr>
              <w:spacing w:after="0"/>
              <w:rPr>
                <w:sz w:val="12"/>
                <w:szCs w:val="12"/>
                <w:color w:val="auto"/>
              </w:rPr>
            </w:pPr>
          </w:p>
        </w:tc>
        <w:tc>
          <w:tcPr>
            <w:tcW w:w="920" w:type="dxa"/>
            <w:vAlign w:val="bottom"/>
            <w:tcBorders>
              <w:bottom w:val="single" w:sz="8" w:color="959595"/>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800" w:type="dxa"/>
            <w:vAlign w:val="bottom"/>
          </w:tcPr>
          <w:p>
            <w:pPr>
              <w:ind w:left="40"/>
              <w:spacing w:after="0"/>
              <w:rPr>
                <w:sz w:val="20"/>
                <w:szCs w:val="20"/>
                <w:color w:val="auto"/>
              </w:rPr>
            </w:pPr>
            <w:r>
              <w:rPr>
                <w:rFonts w:ascii="Arial" w:cs="Arial" w:eastAsia="Arial" w:hAnsi="Arial"/>
                <w:sz w:val="14"/>
                <w:szCs w:val="14"/>
                <w:b w:val="1"/>
                <w:bCs w:val="1"/>
                <w:color w:val="23255E"/>
              </w:rPr>
              <w:t>Orlando P. Carvalho</w:t>
            </w:r>
          </w:p>
        </w:tc>
        <w:tc>
          <w:tcPr>
            <w:tcW w:w="580" w:type="dxa"/>
            <w:vAlign w:val="bottom"/>
          </w:tcPr>
          <w:p>
            <w:pPr>
              <w:jc w:val="right"/>
              <w:spacing w:after="0"/>
              <w:rPr>
                <w:sz w:val="20"/>
                <w:szCs w:val="20"/>
                <w:color w:val="auto"/>
              </w:rPr>
            </w:pPr>
            <w:r>
              <w:rPr>
                <w:rFonts w:ascii="Arial" w:cs="Arial" w:eastAsia="Arial" w:hAnsi="Arial"/>
                <w:sz w:val="14"/>
                <w:szCs w:val="14"/>
                <w:color w:val="auto"/>
              </w:rPr>
              <w:t>2018</w:t>
            </w:r>
          </w:p>
        </w:tc>
        <w:tc>
          <w:tcPr>
            <w:tcW w:w="840" w:type="dxa"/>
            <w:vAlign w:val="bottom"/>
          </w:tcPr>
          <w:p>
            <w:pPr>
              <w:jc w:val="right"/>
              <w:ind w:right="70"/>
              <w:spacing w:after="0"/>
              <w:rPr>
                <w:sz w:val="20"/>
                <w:szCs w:val="20"/>
                <w:color w:val="auto"/>
              </w:rPr>
            </w:pPr>
            <w:r>
              <w:rPr>
                <w:rFonts w:ascii="Arial" w:cs="Arial" w:eastAsia="Arial" w:hAnsi="Arial"/>
                <w:sz w:val="14"/>
                <w:szCs w:val="14"/>
                <w:color w:val="auto"/>
              </w:rPr>
              <w:t>875,673</w:t>
            </w:r>
          </w:p>
        </w:tc>
        <w:tc>
          <w:tcPr>
            <w:tcW w:w="940" w:type="dxa"/>
            <w:vAlign w:val="bottom"/>
          </w:tcPr>
          <w:p>
            <w:pPr>
              <w:jc w:val="right"/>
              <w:ind w:right="90"/>
              <w:spacing w:after="0"/>
              <w:rPr>
                <w:sz w:val="20"/>
                <w:szCs w:val="20"/>
                <w:color w:val="auto"/>
              </w:rPr>
            </w:pPr>
            <w:r>
              <w:rPr>
                <w:rFonts w:ascii="Arial" w:cs="Arial" w:eastAsia="Arial" w:hAnsi="Arial"/>
                <w:sz w:val="14"/>
                <w:szCs w:val="14"/>
                <w:color w:val="auto"/>
              </w:rPr>
              <w:t>2,880,137</w:t>
            </w:r>
          </w:p>
        </w:tc>
        <w:tc>
          <w:tcPr>
            <w:tcW w:w="1140" w:type="dxa"/>
            <w:vAlign w:val="bottom"/>
          </w:tcPr>
          <w:p>
            <w:pPr>
              <w:jc w:val="right"/>
              <w:ind w:right="90"/>
              <w:spacing w:after="0"/>
              <w:rPr>
                <w:sz w:val="20"/>
                <w:szCs w:val="20"/>
                <w:color w:val="auto"/>
              </w:rPr>
            </w:pPr>
            <w:r>
              <w:rPr>
                <w:rFonts w:ascii="Arial" w:cs="Arial" w:eastAsia="Arial" w:hAnsi="Arial"/>
                <w:sz w:val="14"/>
                <w:szCs w:val="14"/>
                <w:color w:val="auto"/>
              </w:rPr>
              <w:t>2,522,904</w:t>
            </w:r>
          </w:p>
        </w:tc>
        <w:tc>
          <w:tcPr>
            <w:tcW w:w="1140" w:type="dxa"/>
            <w:vAlign w:val="bottom"/>
          </w:tcPr>
          <w:p>
            <w:pPr>
              <w:jc w:val="right"/>
              <w:ind w:right="91"/>
              <w:spacing w:after="0"/>
              <w:rPr>
                <w:sz w:val="20"/>
                <w:szCs w:val="20"/>
                <w:color w:val="auto"/>
              </w:rPr>
            </w:pPr>
            <w:r>
              <w:rPr>
                <w:rFonts w:ascii="Arial" w:cs="Arial" w:eastAsia="Arial" w:hAnsi="Arial"/>
                <w:sz w:val="14"/>
                <w:szCs w:val="14"/>
                <w:color w:val="auto"/>
              </w:rPr>
              <w:t>0</w:t>
            </w: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147,412</w:t>
            </w: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6,426,126</w:t>
            </w:r>
          </w:p>
        </w:tc>
        <w:tc>
          <w:tcPr>
            <w:tcW w:w="0" w:type="dxa"/>
            <w:vAlign w:val="bottom"/>
          </w:tcPr>
          <w:p>
            <w:pPr>
              <w:spacing w:after="0"/>
              <w:rPr>
                <w:sz w:val="1"/>
                <w:szCs w:val="1"/>
                <w:color w:val="auto"/>
              </w:rPr>
            </w:pPr>
          </w:p>
        </w:tc>
      </w:tr>
      <w:tr>
        <w:trPr>
          <w:trHeight w:val="40"/>
        </w:trPr>
        <w:tc>
          <w:tcPr>
            <w:tcW w:w="4800" w:type="dxa"/>
            <w:vAlign w:val="bottom"/>
            <w:vMerge w:val="restart"/>
          </w:tcPr>
          <w:p>
            <w:pPr>
              <w:ind w:left="40"/>
              <w:spacing w:after="0"/>
              <w:rPr>
                <w:sz w:val="20"/>
                <w:szCs w:val="20"/>
                <w:color w:val="auto"/>
              </w:rPr>
            </w:pPr>
            <w:r>
              <w:rPr>
                <w:rFonts w:ascii="Arial" w:cs="Arial" w:eastAsia="Arial" w:hAnsi="Arial"/>
                <w:sz w:val="14"/>
                <w:szCs w:val="14"/>
                <w:color w:val="auto"/>
              </w:rPr>
              <w:t>Retired Executive Vice President</w:t>
            </w:r>
          </w:p>
        </w:tc>
        <w:tc>
          <w:tcPr>
            <w:tcW w:w="580" w:type="dxa"/>
            <w:vAlign w:val="bottom"/>
            <w:tcBorders>
              <w:bottom w:val="single" w:sz="8" w:color="959595"/>
            </w:tcBorders>
          </w:tcPr>
          <w:p>
            <w:pPr>
              <w:spacing w:after="0"/>
              <w:rPr>
                <w:sz w:val="3"/>
                <w:szCs w:val="3"/>
                <w:color w:val="auto"/>
              </w:rPr>
            </w:pPr>
          </w:p>
        </w:tc>
        <w:tc>
          <w:tcPr>
            <w:tcW w:w="840" w:type="dxa"/>
            <w:vAlign w:val="bottom"/>
            <w:tcBorders>
              <w:bottom w:val="single" w:sz="8" w:color="959595"/>
            </w:tcBorders>
          </w:tcPr>
          <w:p>
            <w:pPr>
              <w:spacing w:after="0"/>
              <w:rPr>
                <w:sz w:val="3"/>
                <w:szCs w:val="3"/>
                <w:color w:val="auto"/>
              </w:rPr>
            </w:pPr>
          </w:p>
        </w:tc>
        <w:tc>
          <w:tcPr>
            <w:tcW w:w="940" w:type="dxa"/>
            <w:vAlign w:val="bottom"/>
            <w:tcBorders>
              <w:bottom w:val="single" w:sz="8" w:color="959595"/>
            </w:tcBorders>
          </w:tcPr>
          <w:p>
            <w:pPr>
              <w:spacing w:after="0"/>
              <w:rPr>
                <w:sz w:val="3"/>
                <w:szCs w:val="3"/>
                <w:color w:val="auto"/>
              </w:rPr>
            </w:pPr>
          </w:p>
        </w:tc>
        <w:tc>
          <w:tcPr>
            <w:tcW w:w="1140" w:type="dxa"/>
            <w:vAlign w:val="bottom"/>
            <w:tcBorders>
              <w:bottom w:val="single" w:sz="8" w:color="959595"/>
            </w:tcBorders>
          </w:tcPr>
          <w:p>
            <w:pPr>
              <w:spacing w:after="0"/>
              <w:rPr>
                <w:sz w:val="3"/>
                <w:szCs w:val="3"/>
                <w:color w:val="auto"/>
              </w:rPr>
            </w:pPr>
          </w:p>
        </w:tc>
        <w:tc>
          <w:tcPr>
            <w:tcW w:w="1140" w:type="dxa"/>
            <w:vAlign w:val="bottom"/>
            <w:tcBorders>
              <w:bottom w:val="single" w:sz="8" w:color="959595"/>
            </w:tcBorders>
          </w:tcPr>
          <w:p>
            <w:pPr>
              <w:spacing w:after="0"/>
              <w:rPr>
                <w:sz w:val="3"/>
                <w:szCs w:val="3"/>
                <w:color w:val="auto"/>
              </w:rPr>
            </w:pPr>
          </w:p>
        </w:tc>
        <w:tc>
          <w:tcPr>
            <w:tcW w:w="1060" w:type="dxa"/>
            <w:vAlign w:val="bottom"/>
            <w:tcBorders>
              <w:bottom w:val="single" w:sz="8" w:color="959595"/>
            </w:tcBorders>
          </w:tcPr>
          <w:p>
            <w:pPr>
              <w:spacing w:after="0"/>
              <w:rPr>
                <w:sz w:val="3"/>
                <w:szCs w:val="3"/>
                <w:color w:val="auto"/>
              </w:rPr>
            </w:pPr>
          </w:p>
        </w:tc>
        <w:tc>
          <w:tcPr>
            <w:tcW w:w="92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102"/>
        </w:trPr>
        <w:tc>
          <w:tcPr>
            <w:tcW w:w="4800" w:type="dxa"/>
            <w:vAlign w:val="bottom"/>
            <w:vMerge w:val="continue"/>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2017</w:t>
            </w:r>
          </w:p>
        </w:tc>
        <w:tc>
          <w:tcPr>
            <w:tcW w:w="840" w:type="dxa"/>
            <w:vAlign w:val="bottom"/>
            <w:vMerge w:val="restart"/>
          </w:tcPr>
          <w:p>
            <w:pPr>
              <w:jc w:val="right"/>
              <w:ind w:right="70"/>
              <w:spacing w:after="0"/>
              <w:rPr>
                <w:sz w:val="20"/>
                <w:szCs w:val="20"/>
                <w:color w:val="auto"/>
              </w:rPr>
            </w:pPr>
            <w:r>
              <w:rPr>
                <w:rFonts w:ascii="Arial" w:cs="Arial" w:eastAsia="Arial" w:hAnsi="Arial"/>
                <w:sz w:val="14"/>
                <w:szCs w:val="14"/>
                <w:color w:val="auto"/>
              </w:rPr>
              <w:t>851,635</w:t>
            </w:r>
          </w:p>
        </w:tc>
        <w:tc>
          <w:tcPr>
            <w:tcW w:w="940" w:type="dxa"/>
            <w:vAlign w:val="bottom"/>
            <w:vMerge w:val="restart"/>
          </w:tcPr>
          <w:p>
            <w:pPr>
              <w:jc w:val="right"/>
              <w:ind w:right="90"/>
              <w:spacing w:after="0"/>
              <w:rPr>
                <w:sz w:val="20"/>
                <w:szCs w:val="20"/>
                <w:color w:val="auto"/>
              </w:rPr>
            </w:pPr>
            <w:r>
              <w:rPr>
                <w:rFonts w:ascii="Arial" w:cs="Arial" w:eastAsia="Arial" w:hAnsi="Arial"/>
                <w:sz w:val="14"/>
                <w:szCs w:val="14"/>
                <w:color w:val="auto"/>
              </w:rPr>
              <w:t>2,680,257</w:t>
            </w:r>
          </w:p>
        </w:tc>
        <w:tc>
          <w:tcPr>
            <w:tcW w:w="1140" w:type="dxa"/>
            <w:vAlign w:val="bottom"/>
            <w:vMerge w:val="restart"/>
          </w:tcPr>
          <w:p>
            <w:pPr>
              <w:jc w:val="right"/>
              <w:ind w:right="90"/>
              <w:spacing w:after="0"/>
              <w:rPr>
                <w:sz w:val="20"/>
                <w:szCs w:val="20"/>
                <w:color w:val="auto"/>
              </w:rPr>
            </w:pPr>
            <w:r>
              <w:rPr>
                <w:rFonts w:ascii="Arial" w:cs="Arial" w:eastAsia="Arial" w:hAnsi="Arial"/>
                <w:sz w:val="14"/>
                <w:szCs w:val="14"/>
                <w:color w:val="auto"/>
              </w:rPr>
              <w:t>2,258,300</w:t>
            </w:r>
          </w:p>
        </w:tc>
        <w:tc>
          <w:tcPr>
            <w:tcW w:w="1140" w:type="dxa"/>
            <w:vAlign w:val="bottom"/>
            <w:vMerge w:val="restart"/>
          </w:tcPr>
          <w:p>
            <w:pPr>
              <w:jc w:val="right"/>
              <w:ind w:right="91"/>
              <w:spacing w:after="0"/>
              <w:rPr>
                <w:sz w:val="20"/>
                <w:szCs w:val="20"/>
                <w:color w:val="auto"/>
              </w:rPr>
            </w:pPr>
            <w:r>
              <w:rPr>
                <w:rFonts w:ascii="Arial" w:cs="Arial" w:eastAsia="Arial" w:hAnsi="Arial"/>
                <w:sz w:val="14"/>
                <w:szCs w:val="14"/>
                <w:color w:val="auto"/>
              </w:rPr>
              <w:t>1,907,070</w:t>
            </w:r>
          </w:p>
        </w:tc>
        <w:tc>
          <w:tcPr>
            <w:tcW w:w="1060" w:type="dxa"/>
            <w:vAlign w:val="bottom"/>
            <w:vMerge w:val="restart"/>
          </w:tcPr>
          <w:p>
            <w:pPr>
              <w:jc w:val="right"/>
              <w:ind w:right="30"/>
              <w:spacing w:after="0"/>
              <w:rPr>
                <w:sz w:val="20"/>
                <w:szCs w:val="20"/>
                <w:color w:val="auto"/>
              </w:rPr>
            </w:pPr>
            <w:r>
              <w:rPr>
                <w:rFonts w:ascii="Arial" w:cs="Arial" w:eastAsia="Arial" w:hAnsi="Arial"/>
                <w:sz w:val="14"/>
                <w:szCs w:val="14"/>
                <w:color w:val="auto"/>
              </w:rPr>
              <w:t>178,538</w:t>
            </w:r>
          </w:p>
        </w:tc>
        <w:tc>
          <w:tcPr>
            <w:tcW w:w="920" w:type="dxa"/>
            <w:vAlign w:val="bottom"/>
            <w:vMerge w:val="restart"/>
          </w:tcPr>
          <w:p>
            <w:pPr>
              <w:jc w:val="right"/>
              <w:ind w:right="30"/>
              <w:spacing w:after="0"/>
              <w:rPr>
                <w:sz w:val="20"/>
                <w:szCs w:val="20"/>
                <w:color w:val="auto"/>
              </w:rPr>
            </w:pPr>
            <w:r>
              <w:rPr>
                <w:rFonts w:ascii="Arial" w:cs="Arial" w:eastAsia="Arial" w:hAnsi="Arial"/>
                <w:sz w:val="14"/>
                <w:szCs w:val="14"/>
                <w:color w:val="auto"/>
              </w:rPr>
              <w:t>7,875,800</w:t>
            </w:r>
          </w:p>
        </w:tc>
        <w:tc>
          <w:tcPr>
            <w:tcW w:w="0" w:type="dxa"/>
            <w:vAlign w:val="bottom"/>
          </w:tcPr>
          <w:p>
            <w:pPr>
              <w:spacing w:after="0"/>
              <w:rPr>
                <w:sz w:val="1"/>
                <w:szCs w:val="1"/>
                <w:color w:val="auto"/>
              </w:rPr>
            </w:pPr>
          </w:p>
        </w:tc>
      </w:tr>
      <w:tr>
        <w:trPr>
          <w:trHeight w:val="109"/>
        </w:trPr>
        <w:tc>
          <w:tcPr>
            <w:tcW w:w="4800" w:type="dxa"/>
            <w:vAlign w:val="bottom"/>
            <w:vMerge w:val="restart"/>
          </w:tcPr>
          <w:p>
            <w:pPr>
              <w:ind w:left="40"/>
              <w:spacing w:after="0"/>
              <w:rPr>
                <w:sz w:val="20"/>
                <w:szCs w:val="20"/>
                <w:color w:val="auto"/>
              </w:rPr>
            </w:pPr>
            <w:r>
              <w:rPr>
                <w:rFonts w:ascii="Arial" w:cs="Arial" w:eastAsia="Arial" w:hAnsi="Arial"/>
                <w:sz w:val="14"/>
                <w:szCs w:val="14"/>
                <w:color w:val="auto"/>
              </w:rPr>
              <w:t>Aeronautics</w:t>
            </w:r>
          </w:p>
        </w:tc>
        <w:tc>
          <w:tcPr>
            <w:tcW w:w="580" w:type="dxa"/>
            <w:vAlign w:val="bottom"/>
            <w:tcBorders>
              <w:bottom w:val="single" w:sz="8" w:color="959595"/>
            </w:tcBorders>
            <w:vMerge w:val="continue"/>
          </w:tcPr>
          <w:p>
            <w:pPr>
              <w:spacing w:after="0"/>
              <w:rPr>
                <w:sz w:val="9"/>
                <w:szCs w:val="9"/>
                <w:color w:val="auto"/>
              </w:rPr>
            </w:pPr>
          </w:p>
        </w:tc>
        <w:tc>
          <w:tcPr>
            <w:tcW w:w="840" w:type="dxa"/>
            <w:vAlign w:val="bottom"/>
            <w:tcBorders>
              <w:bottom w:val="single" w:sz="8" w:color="959595"/>
            </w:tcBorders>
            <w:vMerge w:val="continue"/>
          </w:tcPr>
          <w:p>
            <w:pPr>
              <w:spacing w:after="0"/>
              <w:rPr>
                <w:sz w:val="9"/>
                <w:szCs w:val="9"/>
                <w:color w:val="auto"/>
              </w:rPr>
            </w:pPr>
          </w:p>
        </w:tc>
        <w:tc>
          <w:tcPr>
            <w:tcW w:w="940" w:type="dxa"/>
            <w:vAlign w:val="bottom"/>
            <w:tcBorders>
              <w:bottom w:val="single" w:sz="8" w:color="959595"/>
            </w:tcBorders>
            <w:vMerge w:val="continue"/>
          </w:tcPr>
          <w:p>
            <w:pPr>
              <w:spacing w:after="0"/>
              <w:rPr>
                <w:sz w:val="9"/>
                <w:szCs w:val="9"/>
                <w:color w:val="auto"/>
              </w:rPr>
            </w:pPr>
          </w:p>
        </w:tc>
        <w:tc>
          <w:tcPr>
            <w:tcW w:w="1140" w:type="dxa"/>
            <w:vAlign w:val="bottom"/>
            <w:tcBorders>
              <w:bottom w:val="single" w:sz="8" w:color="959595"/>
            </w:tcBorders>
            <w:vMerge w:val="continue"/>
          </w:tcPr>
          <w:p>
            <w:pPr>
              <w:spacing w:after="0"/>
              <w:rPr>
                <w:sz w:val="9"/>
                <w:szCs w:val="9"/>
                <w:color w:val="auto"/>
              </w:rPr>
            </w:pPr>
          </w:p>
        </w:tc>
        <w:tc>
          <w:tcPr>
            <w:tcW w:w="1140" w:type="dxa"/>
            <w:vAlign w:val="bottom"/>
            <w:tcBorders>
              <w:bottom w:val="single" w:sz="8" w:color="959595"/>
            </w:tcBorders>
            <w:vMerge w:val="continue"/>
          </w:tcPr>
          <w:p>
            <w:pPr>
              <w:spacing w:after="0"/>
              <w:rPr>
                <w:sz w:val="9"/>
                <w:szCs w:val="9"/>
                <w:color w:val="auto"/>
              </w:rPr>
            </w:pPr>
          </w:p>
        </w:tc>
        <w:tc>
          <w:tcPr>
            <w:tcW w:w="1060" w:type="dxa"/>
            <w:vAlign w:val="bottom"/>
            <w:tcBorders>
              <w:bottom w:val="single" w:sz="8" w:color="959595"/>
            </w:tcBorders>
            <w:vMerge w:val="continue"/>
          </w:tcPr>
          <w:p>
            <w:pPr>
              <w:spacing w:after="0"/>
              <w:rPr>
                <w:sz w:val="9"/>
                <w:szCs w:val="9"/>
                <w:color w:val="auto"/>
              </w:rPr>
            </w:pPr>
          </w:p>
        </w:tc>
        <w:tc>
          <w:tcPr>
            <w:tcW w:w="920" w:type="dxa"/>
            <w:vAlign w:val="bottom"/>
            <w:tcBorders>
              <w:bottom w:val="single" w:sz="8" w:color="959595"/>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4800" w:type="dxa"/>
            <w:vAlign w:val="bottom"/>
            <w:vMerge w:val="continue"/>
          </w:tcPr>
          <w:p>
            <w:pPr>
              <w:spacing w:after="0"/>
              <w:rPr>
                <w:sz w:val="6"/>
                <w:szCs w:val="6"/>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2016</w:t>
            </w:r>
          </w:p>
        </w:tc>
        <w:tc>
          <w:tcPr>
            <w:tcW w:w="840" w:type="dxa"/>
            <w:vAlign w:val="bottom"/>
            <w:vMerge w:val="restart"/>
          </w:tcPr>
          <w:p>
            <w:pPr>
              <w:jc w:val="right"/>
              <w:ind w:right="70"/>
              <w:spacing w:after="0"/>
              <w:rPr>
                <w:sz w:val="20"/>
                <w:szCs w:val="20"/>
                <w:color w:val="auto"/>
              </w:rPr>
            </w:pPr>
            <w:r>
              <w:rPr>
                <w:rFonts w:ascii="Arial" w:cs="Arial" w:eastAsia="Arial" w:hAnsi="Arial"/>
                <w:sz w:val="14"/>
                <w:szCs w:val="14"/>
                <w:color w:val="auto"/>
              </w:rPr>
              <w:t>824,615</w:t>
            </w:r>
          </w:p>
        </w:tc>
        <w:tc>
          <w:tcPr>
            <w:tcW w:w="940" w:type="dxa"/>
            <w:vAlign w:val="bottom"/>
            <w:vMerge w:val="restart"/>
          </w:tcPr>
          <w:p>
            <w:pPr>
              <w:jc w:val="right"/>
              <w:ind w:right="90"/>
              <w:spacing w:after="0"/>
              <w:rPr>
                <w:sz w:val="20"/>
                <w:szCs w:val="20"/>
                <w:color w:val="auto"/>
              </w:rPr>
            </w:pPr>
            <w:r>
              <w:rPr>
                <w:rFonts w:ascii="Arial" w:cs="Arial" w:eastAsia="Arial" w:hAnsi="Arial"/>
                <w:sz w:val="14"/>
                <w:szCs w:val="14"/>
                <w:color w:val="auto"/>
              </w:rPr>
              <w:t>2,656,116</w:t>
            </w:r>
          </w:p>
        </w:tc>
        <w:tc>
          <w:tcPr>
            <w:tcW w:w="1140" w:type="dxa"/>
            <w:vAlign w:val="bottom"/>
            <w:vMerge w:val="restart"/>
          </w:tcPr>
          <w:p>
            <w:pPr>
              <w:jc w:val="right"/>
              <w:ind w:right="90"/>
              <w:spacing w:after="0"/>
              <w:rPr>
                <w:sz w:val="20"/>
                <w:szCs w:val="20"/>
                <w:color w:val="auto"/>
              </w:rPr>
            </w:pPr>
            <w:r>
              <w:rPr>
                <w:rFonts w:ascii="Arial" w:cs="Arial" w:eastAsia="Arial" w:hAnsi="Arial"/>
                <w:sz w:val="14"/>
                <w:szCs w:val="14"/>
                <w:color w:val="auto"/>
              </w:rPr>
              <w:t>2,224,358</w:t>
            </w:r>
          </w:p>
        </w:tc>
        <w:tc>
          <w:tcPr>
            <w:tcW w:w="1140" w:type="dxa"/>
            <w:vAlign w:val="bottom"/>
            <w:vMerge w:val="restart"/>
          </w:tcPr>
          <w:p>
            <w:pPr>
              <w:jc w:val="right"/>
              <w:ind w:right="91"/>
              <w:spacing w:after="0"/>
              <w:rPr>
                <w:sz w:val="20"/>
                <w:szCs w:val="20"/>
                <w:color w:val="auto"/>
              </w:rPr>
            </w:pPr>
            <w:r>
              <w:rPr>
                <w:rFonts w:ascii="Arial" w:cs="Arial" w:eastAsia="Arial" w:hAnsi="Arial"/>
                <w:sz w:val="14"/>
                <w:szCs w:val="14"/>
                <w:color w:val="auto"/>
              </w:rPr>
              <w:t>1,258,922</w:t>
            </w:r>
          </w:p>
        </w:tc>
        <w:tc>
          <w:tcPr>
            <w:tcW w:w="1060" w:type="dxa"/>
            <w:vAlign w:val="bottom"/>
            <w:vMerge w:val="restart"/>
          </w:tcPr>
          <w:p>
            <w:pPr>
              <w:jc w:val="right"/>
              <w:ind w:right="30"/>
              <w:spacing w:after="0"/>
              <w:rPr>
                <w:sz w:val="20"/>
                <w:szCs w:val="20"/>
                <w:color w:val="auto"/>
              </w:rPr>
            </w:pPr>
            <w:r>
              <w:rPr>
                <w:rFonts w:ascii="Arial" w:cs="Arial" w:eastAsia="Arial" w:hAnsi="Arial"/>
                <w:sz w:val="14"/>
                <w:szCs w:val="14"/>
                <w:color w:val="auto"/>
              </w:rPr>
              <w:t>112,641</w:t>
            </w:r>
          </w:p>
        </w:tc>
        <w:tc>
          <w:tcPr>
            <w:tcW w:w="920" w:type="dxa"/>
            <w:vAlign w:val="bottom"/>
            <w:vMerge w:val="restart"/>
          </w:tcPr>
          <w:p>
            <w:pPr>
              <w:jc w:val="right"/>
              <w:ind w:right="30"/>
              <w:spacing w:after="0"/>
              <w:rPr>
                <w:sz w:val="20"/>
                <w:szCs w:val="20"/>
                <w:color w:val="auto"/>
              </w:rPr>
            </w:pPr>
            <w:r>
              <w:rPr>
                <w:rFonts w:ascii="Arial" w:cs="Arial" w:eastAsia="Arial" w:hAnsi="Arial"/>
                <w:sz w:val="14"/>
                <w:szCs w:val="14"/>
                <w:color w:val="auto"/>
              </w:rPr>
              <w:t>7,076,652</w:t>
            </w:r>
          </w:p>
        </w:tc>
        <w:tc>
          <w:tcPr>
            <w:tcW w:w="0" w:type="dxa"/>
            <w:vAlign w:val="bottom"/>
          </w:tcPr>
          <w:p>
            <w:pPr>
              <w:spacing w:after="0"/>
              <w:rPr>
                <w:sz w:val="1"/>
                <w:szCs w:val="1"/>
                <w:color w:val="auto"/>
              </w:rPr>
            </w:pPr>
          </w:p>
        </w:tc>
      </w:tr>
      <w:tr>
        <w:trPr>
          <w:trHeight w:val="139"/>
        </w:trPr>
        <w:tc>
          <w:tcPr>
            <w:tcW w:w="4800" w:type="dxa"/>
            <w:vAlign w:val="bottom"/>
            <w:tcBorders>
              <w:bottom w:val="single" w:sz="8" w:color="959595"/>
            </w:tcBorders>
          </w:tcPr>
          <w:p>
            <w:pPr>
              <w:spacing w:after="0"/>
              <w:rPr>
                <w:sz w:val="12"/>
                <w:szCs w:val="12"/>
                <w:color w:val="auto"/>
              </w:rPr>
            </w:pPr>
          </w:p>
        </w:tc>
        <w:tc>
          <w:tcPr>
            <w:tcW w:w="580" w:type="dxa"/>
            <w:vAlign w:val="bottom"/>
            <w:tcBorders>
              <w:bottom w:val="single" w:sz="8" w:color="959595"/>
            </w:tcBorders>
            <w:vMerge w:val="continue"/>
          </w:tcPr>
          <w:p>
            <w:pPr>
              <w:spacing w:after="0"/>
              <w:rPr>
                <w:sz w:val="12"/>
                <w:szCs w:val="12"/>
                <w:color w:val="auto"/>
              </w:rPr>
            </w:pPr>
          </w:p>
        </w:tc>
        <w:tc>
          <w:tcPr>
            <w:tcW w:w="840" w:type="dxa"/>
            <w:vAlign w:val="bottom"/>
            <w:tcBorders>
              <w:bottom w:val="single" w:sz="8" w:color="959595"/>
            </w:tcBorders>
            <w:vMerge w:val="continue"/>
          </w:tcPr>
          <w:p>
            <w:pPr>
              <w:spacing w:after="0"/>
              <w:rPr>
                <w:sz w:val="12"/>
                <w:szCs w:val="12"/>
                <w:color w:val="auto"/>
              </w:rPr>
            </w:pPr>
          </w:p>
        </w:tc>
        <w:tc>
          <w:tcPr>
            <w:tcW w:w="940" w:type="dxa"/>
            <w:vAlign w:val="bottom"/>
            <w:tcBorders>
              <w:bottom w:val="single" w:sz="8" w:color="959595"/>
            </w:tcBorders>
            <w:vMerge w:val="continue"/>
          </w:tcPr>
          <w:p>
            <w:pPr>
              <w:spacing w:after="0"/>
              <w:rPr>
                <w:sz w:val="12"/>
                <w:szCs w:val="12"/>
                <w:color w:val="auto"/>
              </w:rPr>
            </w:pPr>
          </w:p>
        </w:tc>
        <w:tc>
          <w:tcPr>
            <w:tcW w:w="1140" w:type="dxa"/>
            <w:vAlign w:val="bottom"/>
            <w:tcBorders>
              <w:bottom w:val="single" w:sz="8" w:color="959595"/>
            </w:tcBorders>
            <w:vMerge w:val="continue"/>
          </w:tcPr>
          <w:p>
            <w:pPr>
              <w:spacing w:after="0"/>
              <w:rPr>
                <w:sz w:val="12"/>
                <w:szCs w:val="12"/>
                <w:color w:val="auto"/>
              </w:rPr>
            </w:pPr>
          </w:p>
        </w:tc>
        <w:tc>
          <w:tcPr>
            <w:tcW w:w="1140" w:type="dxa"/>
            <w:vAlign w:val="bottom"/>
            <w:tcBorders>
              <w:bottom w:val="single" w:sz="8" w:color="959595"/>
            </w:tcBorders>
            <w:vMerge w:val="continue"/>
          </w:tcPr>
          <w:p>
            <w:pPr>
              <w:spacing w:after="0"/>
              <w:rPr>
                <w:sz w:val="12"/>
                <w:szCs w:val="12"/>
                <w:color w:val="auto"/>
              </w:rPr>
            </w:pPr>
          </w:p>
        </w:tc>
        <w:tc>
          <w:tcPr>
            <w:tcW w:w="1060" w:type="dxa"/>
            <w:vAlign w:val="bottom"/>
            <w:tcBorders>
              <w:bottom w:val="single" w:sz="8" w:color="959595"/>
            </w:tcBorders>
            <w:vMerge w:val="continue"/>
          </w:tcPr>
          <w:p>
            <w:pPr>
              <w:spacing w:after="0"/>
              <w:rPr>
                <w:sz w:val="12"/>
                <w:szCs w:val="12"/>
                <w:color w:val="auto"/>
              </w:rPr>
            </w:pPr>
          </w:p>
        </w:tc>
        <w:tc>
          <w:tcPr>
            <w:tcW w:w="920" w:type="dxa"/>
            <w:vAlign w:val="bottom"/>
            <w:tcBorders>
              <w:bottom w:val="single" w:sz="8" w:color="959595"/>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800" w:type="dxa"/>
            <w:vAlign w:val="bottom"/>
          </w:tcPr>
          <w:p>
            <w:pPr>
              <w:ind w:left="40"/>
              <w:spacing w:after="0"/>
              <w:rPr>
                <w:sz w:val="20"/>
                <w:szCs w:val="20"/>
                <w:color w:val="auto"/>
              </w:rPr>
            </w:pPr>
            <w:r>
              <w:rPr>
                <w:rFonts w:ascii="Arial" w:cs="Arial" w:eastAsia="Arial" w:hAnsi="Arial"/>
                <w:sz w:val="14"/>
                <w:szCs w:val="14"/>
                <w:b w:val="1"/>
                <w:bCs w:val="1"/>
                <w:color w:val="23255E"/>
              </w:rPr>
              <w:t>Richard H. Edwards</w:t>
            </w:r>
          </w:p>
        </w:tc>
        <w:tc>
          <w:tcPr>
            <w:tcW w:w="580" w:type="dxa"/>
            <w:vAlign w:val="bottom"/>
          </w:tcPr>
          <w:p>
            <w:pPr>
              <w:jc w:val="right"/>
              <w:spacing w:after="0"/>
              <w:rPr>
                <w:sz w:val="20"/>
                <w:szCs w:val="20"/>
                <w:color w:val="auto"/>
              </w:rPr>
            </w:pPr>
            <w:r>
              <w:rPr>
                <w:rFonts w:ascii="Arial" w:cs="Arial" w:eastAsia="Arial" w:hAnsi="Arial"/>
                <w:sz w:val="14"/>
                <w:szCs w:val="14"/>
                <w:color w:val="auto"/>
              </w:rPr>
              <w:t>2018</w:t>
            </w:r>
          </w:p>
        </w:tc>
        <w:tc>
          <w:tcPr>
            <w:tcW w:w="840" w:type="dxa"/>
            <w:vAlign w:val="bottom"/>
          </w:tcPr>
          <w:p>
            <w:pPr>
              <w:jc w:val="right"/>
              <w:ind w:right="70"/>
              <w:spacing w:after="0"/>
              <w:rPr>
                <w:sz w:val="20"/>
                <w:szCs w:val="20"/>
                <w:color w:val="auto"/>
              </w:rPr>
            </w:pPr>
            <w:r>
              <w:rPr>
                <w:rFonts w:ascii="Arial" w:cs="Arial" w:eastAsia="Arial" w:hAnsi="Arial"/>
                <w:sz w:val="14"/>
                <w:szCs w:val="14"/>
                <w:color w:val="auto"/>
              </w:rPr>
              <w:t>871,635</w:t>
            </w:r>
          </w:p>
        </w:tc>
        <w:tc>
          <w:tcPr>
            <w:tcW w:w="940" w:type="dxa"/>
            <w:vAlign w:val="bottom"/>
          </w:tcPr>
          <w:p>
            <w:pPr>
              <w:jc w:val="right"/>
              <w:ind w:right="90"/>
              <w:spacing w:after="0"/>
              <w:rPr>
                <w:sz w:val="20"/>
                <w:szCs w:val="20"/>
                <w:color w:val="auto"/>
              </w:rPr>
            </w:pPr>
            <w:r>
              <w:rPr>
                <w:rFonts w:ascii="Arial" w:cs="Arial" w:eastAsia="Arial" w:hAnsi="Arial"/>
                <w:sz w:val="14"/>
                <w:szCs w:val="14"/>
                <w:color w:val="auto"/>
              </w:rPr>
              <w:t>2,880,137</w:t>
            </w:r>
          </w:p>
        </w:tc>
        <w:tc>
          <w:tcPr>
            <w:tcW w:w="1140" w:type="dxa"/>
            <w:vAlign w:val="bottom"/>
          </w:tcPr>
          <w:p>
            <w:pPr>
              <w:jc w:val="right"/>
              <w:ind w:right="90"/>
              <w:spacing w:after="0"/>
              <w:rPr>
                <w:sz w:val="20"/>
                <w:szCs w:val="20"/>
                <w:color w:val="auto"/>
              </w:rPr>
            </w:pPr>
            <w:r>
              <w:rPr>
                <w:rFonts w:ascii="Arial" w:cs="Arial" w:eastAsia="Arial" w:hAnsi="Arial"/>
                <w:sz w:val="14"/>
                <w:szCs w:val="14"/>
                <w:color w:val="auto"/>
              </w:rPr>
              <w:t>2,303,783</w:t>
            </w:r>
          </w:p>
        </w:tc>
        <w:tc>
          <w:tcPr>
            <w:tcW w:w="1140" w:type="dxa"/>
            <w:vAlign w:val="bottom"/>
          </w:tcPr>
          <w:p>
            <w:pPr>
              <w:jc w:val="right"/>
              <w:ind w:right="91"/>
              <w:spacing w:after="0"/>
              <w:rPr>
                <w:sz w:val="20"/>
                <w:szCs w:val="20"/>
                <w:color w:val="auto"/>
              </w:rPr>
            </w:pPr>
            <w:r>
              <w:rPr>
                <w:rFonts w:ascii="Arial" w:cs="Arial" w:eastAsia="Arial" w:hAnsi="Arial"/>
                <w:sz w:val="14"/>
                <w:szCs w:val="14"/>
                <w:color w:val="auto"/>
              </w:rPr>
              <w:t>0</w:t>
            </w: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344,592</w:t>
            </w: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6,400,147</w:t>
            </w:r>
          </w:p>
        </w:tc>
        <w:tc>
          <w:tcPr>
            <w:tcW w:w="0" w:type="dxa"/>
            <w:vAlign w:val="bottom"/>
          </w:tcPr>
          <w:p>
            <w:pPr>
              <w:spacing w:after="0"/>
              <w:rPr>
                <w:sz w:val="1"/>
                <w:szCs w:val="1"/>
                <w:color w:val="auto"/>
              </w:rPr>
            </w:pPr>
          </w:p>
        </w:tc>
      </w:tr>
      <w:tr>
        <w:trPr>
          <w:trHeight w:val="162"/>
        </w:trPr>
        <w:tc>
          <w:tcPr>
            <w:tcW w:w="4800" w:type="dxa"/>
            <w:vAlign w:val="bottom"/>
          </w:tcPr>
          <w:p>
            <w:pPr>
              <w:ind w:left="40"/>
              <w:spacing w:after="0"/>
              <w:rPr>
                <w:sz w:val="20"/>
                <w:szCs w:val="20"/>
                <w:color w:val="auto"/>
              </w:rPr>
            </w:pPr>
            <w:r>
              <w:rPr>
                <w:rFonts w:ascii="Arial" w:cs="Arial" w:eastAsia="Arial" w:hAnsi="Arial"/>
                <w:sz w:val="14"/>
                <w:szCs w:val="14"/>
                <w:color w:val="auto"/>
              </w:rPr>
              <w:t>Executive Vice President</w:t>
            </w: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4800" w:type="dxa"/>
            <w:vAlign w:val="bottom"/>
            <w:tcBorders>
              <w:bottom w:val="single" w:sz="8" w:color="959595"/>
            </w:tcBorders>
          </w:tcPr>
          <w:p>
            <w:pPr>
              <w:ind w:left="40"/>
              <w:spacing w:after="0"/>
              <w:rPr>
                <w:sz w:val="20"/>
                <w:szCs w:val="20"/>
                <w:color w:val="auto"/>
              </w:rPr>
            </w:pPr>
            <w:r>
              <w:rPr>
                <w:rFonts w:ascii="Arial" w:cs="Arial" w:eastAsia="Arial" w:hAnsi="Arial"/>
                <w:sz w:val="14"/>
                <w:szCs w:val="14"/>
                <w:color w:val="auto"/>
              </w:rPr>
              <w:t>Lockheed Martin International</w:t>
            </w:r>
          </w:p>
        </w:tc>
        <w:tc>
          <w:tcPr>
            <w:tcW w:w="580" w:type="dxa"/>
            <w:vAlign w:val="bottom"/>
            <w:tcBorders>
              <w:bottom w:val="single" w:sz="8" w:color="959595"/>
            </w:tcBorders>
          </w:tcPr>
          <w:p>
            <w:pPr>
              <w:spacing w:after="0"/>
              <w:rPr>
                <w:sz w:val="17"/>
                <w:szCs w:val="17"/>
                <w:color w:val="auto"/>
              </w:rPr>
            </w:pPr>
          </w:p>
        </w:tc>
        <w:tc>
          <w:tcPr>
            <w:tcW w:w="840" w:type="dxa"/>
            <w:vAlign w:val="bottom"/>
            <w:tcBorders>
              <w:bottom w:val="single" w:sz="8" w:color="959595"/>
            </w:tcBorders>
          </w:tcPr>
          <w:p>
            <w:pPr>
              <w:spacing w:after="0"/>
              <w:rPr>
                <w:sz w:val="17"/>
                <w:szCs w:val="17"/>
                <w:color w:val="auto"/>
              </w:rPr>
            </w:pPr>
          </w:p>
        </w:tc>
        <w:tc>
          <w:tcPr>
            <w:tcW w:w="940" w:type="dxa"/>
            <w:vAlign w:val="bottom"/>
            <w:tcBorders>
              <w:bottom w:val="single" w:sz="8" w:color="959595"/>
            </w:tcBorders>
          </w:tcPr>
          <w:p>
            <w:pPr>
              <w:spacing w:after="0"/>
              <w:rPr>
                <w:sz w:val="17"/>
                <w:szCs w:val="17"/>
                <w:color w:val="auto"/>
              </w:rPr>
            </w:pPr>
          </w:p>
        </w:tc>
        <w:tc>
          <w:tcPr>
            <w:tcW w:w="1140" w:type="dxa"/>
            <w:vAlign w:val="bottom"/>
            <w:tcBorders>
              <w:bottom w:val="single" w:sz="8" w:color="959595"/>
            </w:tcBorders>
          </w:tcPr>
          <w:p>
            <w:pPr>
              <w:spacing w:after="0"/>
              <w:rPr>
                <w:sz w:val="17"/>
                <w:szCs w:val="17"/>
                <w:color w:val="auto"/>
              </w:rPr>
            </w:pPr>
          </w:p>
        </w:tc>
        <w:tc>
          <w:tcPr>
            <w:tcW w:w="1140" w:type="dxa"/>
            <w:vAlign w:val="bottom"/>
            <w:tcBorders>
              <w:bottom w:val="single" w:sz="8" w:color="959595"/>
            </w:tcBorders>
          </w:tcPr>
          <w:p>
            <w:pPr>
              <w:spacing w:after="0"/>
              <w:rPr>
                <w:sz w:val="17"/>
                <w:szCs w:val="17"/>
                <w:color w:val="auto"/>
              </w:rPr>
            </w:pPr>
          </w:p>
        </w:tc>
        <w:tc>
          <w:tcPr>
            <w:tcW w:w="1060" w:type="dxa"/>
            <w:vAlign w:val="bottom"/>
            <w:tcBorders>
              <w:bottom w:val="single" w:sz="8" w:color="959595"/>
            </w:tcBorders>
          </w:tcPr>
          <w:p>
            <w:pPr>
              <w:spacing w:after="0"/>
              <w:rPr>
                <w:sz w:val="17"/>
                <w:szCs w:val="17"/>
                <w:color w:val="auto"/>
              </w:rPr>
            </w:pPr>
          </w:p>
        </w:tc>
        <w:tc>
          <w:tcPr>
            <w:tcW w:w="920" w:type="dxa"/>
            <w:vAlign w:val="bottom"/>
            <w:tcBorders>
              <w:bottom w:val="single" w:sz="8" w:color="959595"/>
            </w:tcBorders>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4800" w:type="dxa"/>
            <w:vAlign w:val="bottom"/>
          </w:tcPr>
          <w:p>
            <w:pPr>
              <w:ind w:left="40"/>
              <w:spacing w:after="0"/>
              <w:rPr>
                <w:sz w:val="20"/>
                <w:szCs w:val="20"/>
                <w:color w:val="auto"/>
              </w:rPr>
            </w:pPr>
            <w:r>
              <w:rPr>
                <w:rFonts w:ascii="Arial" w:cs="Arial" w:eastAsia="Arial" w:hAnsi="Arial"/>
                <w:sz w:val="14"/>
                <w:szCs w:val="14"/>
                <w:b w:val="1"/>
                <w:bCs w:val="1"/>
                <w:color w:val="23255E"/>
              </w:rPr>
              <w:t>Frank A. St. John</w:t>
            </w:r>
          </w:p>
        </w:tc>
        <w:tc>
          <w:tcPr>
            <w:tcW w:w="580" w:type="dxa"/>
            <w:vAlign w:val="bottom"/>
          </w:tcPr>
          <w:p>
            <w:pPr>
              <w:jc w:val="right"/>
              <w:spacing w:after="0"/>
              <w:rPr>
                <w:sz w:val="20"/>
                <w:szCs w:val="20"/>
                <w:color w:val="auto"/>
              </w:rPr>
            </w:pPr>
            <w:r>
              <w:rPr>
                <w:rFonts w:ascii="Arial" w:cs="Arial" w:eastAsia="Arial" w:hAnsi="Arial"/>
                <w:sz w:val="14"/>
                <w:szCs w:val="14"/>
                <w:color w:val="auto"/>
              </w:rPr>
              <w:t>2018</w:t>
            </w:r>
          </w:p>
        </w:tc>
        <w:tc>
          <w:tcPr>
            <w:tcW w:w="840" w:type="dxa"/>
            <w:vAlign w:val="bottom"/>
          </w:tcPr>
          <w:p>
            <w:pPr>
              <w:jc w:val="right"/>
              <w:ind w:right="70"/>
              <w:spacing w:after="0"/>
              <w:rPr>
                <w:sz w:val="20"/>
                <w:szCs w:val="20"/>
                <w:color w:val="auto"/>
              </w:rPr>
            </w:pPr>
            <w:r>
              <w:rPr>
                <w:rFonts w:ascii="Arial" w:cs="Arial" w:eastAsia="Arial" w:hAnsi="Arial"/>
                <w:sz w:val="14"/>
                <w:szCs w:val="14"/>
                <w:color w:val="auto"/>
              </w:rPr>
              <w:t>848,462</w:t>
            </w:r>
          </w:p>
        </w:tc>
        <w:tc>
          <w:tcPr>
            <w:tcW w:w="940" w:type="dxa"/>
            <w:vAlign w:val="bottom"/>
          </w:tcPr>
          <w:p>
            <w:pPr>
              <w:jc w:val="right"/>
              <w:ind w:right="90"/>
              <w:spacing w:after="0"/>
              <w:rPr>
                <w:sz w:val="20"/>
                <w:szCs w:val="20"/>
                <w:color w:val="auto"/>
              </w:rPr>
            </w:pPr>
            <w:r>
              <w:rPr>
                <w:rFonts w:ascii="Arial" w:cs="Arial" w:eastAsia="Arial" w:hAnsi="Arial"/>
                <w:sz w:val="14"/>
                <w:szCs w:val="14"/>
                <w:color w:val="auto"/>
              </w:rPr>
              <w:t>2,880,137</w:t>
            </w:r>
          </w:p>
        </w:tc>
        <w:tc>
          <w:tcPr>
            <w:tcW w:w="1140" w:type="dxa"/>
            <w:vAlign w:val="bottom"/>
          </w:tcPr>
          <w:p>
            <w:pPr>
              <w:jc w:val="right"/>
              <w:ind w:right="90"/>
              <w:spacing w:after="0"/>
              <w:rPr>
                <w:sz w:val="20"/>
                <w:szCs w:val="20"/>
                <w:color w:val="auto"/>
              </w:rPr>
            </w:pPr>
            <w:r>
              <w:rPr>
                <w:rFonts w:ascii="Arial" w:cs="Arial" w:eastAsia="Arial" w:hAnsi="Arial"/>
                <w:sz w:val="14"/>
                <w:szCs w:val="14"/>
                <w:color w:val="auto"/>
              </w:rPr>
              <w:t>2,081,940</w:t>
            </w:r>
          </w:p>
        </w:tc>
        <w:tc>
          <w:tcPr>
            <w:tcW w:w="1140" w:type="dxa"/>
            <w:vAlign w:val="bottom"/>
          </w:tcPr>
          <w:p>
            <w:pPr>
              <w:jc w:val="right"/>
              <w:ind w:right="91"/>
              <w:spacing w:after="0"/>
              <w:rPr>
                <w:sz w:val="20"/>
                <w:szCs w:val="20"/>
                <w:color w:val="auto"/>
              </w:rPr>
            </w:pPr>
            <w:r>
              <w:rPr>
                <w:rFonts w:ascii="Arial" w:cs="Arial" w:eastAsia="Arial" w:hAnsi="Arial"/>
                <w:sz w:val="14"/>
                <w:szCs w:val="14"/>
                <w:color w:val="auto"/>
              </w:rPr>
              <w:t>0</w:t>
            </w: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255,109</w:t>
            </w: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6,065,648</w:t>
            </w:r>
          </w:p>
        </w:tc>
        <w:tc>
          <w:tcPr>
            <w:tcW w:w="0" w:type="dxa"/>
            <w:vAlign w:val="bottom"/>
          </w:tcPr>
          <w:p>
            <w:pPr>
              <w:spacing w:after="0"/>
              <w:rPr>
                <w:sz w:val="1"/>
                <w:szCs w:val="1"/>
                <w:color w:val="auto"/>
              </w:rPr>
            </w:pPr>
          </w:p>
        </w:tc>
      </w:tr>
      <w:tr>
        <w:trPr>
          <w:trHeight w:val="162"/>
        </w:trPr>
        <w:tc>
          <w:tcPr>
            <w:tcW w:w="4800" w:type="dxa"/>
            <w:vAlign w:val="bottom"/>
          </w:tcPr>
          <w:p>
            <w:pPr>
              <w:ind w:left="40"/>
              <w:spacing w:after="0"/>
              <w:rPr>
                <w:sz w:val="20"/>
                <w:szCs w:val="20"/>
                <w:color w:val="auto"/>
              </w:rPr>
            </w:pPr>
            <w:r>
              <w:rPr>
                <w:rFonts w:ascii="Arial" w:cs="Arial" w:eastAsia="Arial" w:hAnsi="Arial"/>
                <w:sz w:val="14"/>
                <w:szCs w:val="14"/>
                <w:color w:val="auto"/>
              </w:rPr>
              <w:t>Executive Vice President</w:t>
            </w: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4800" w:type="dxa"/>
            <w:vAlign w:val="bottom"/>
            <w:tcBorders>
              <w:bottom w:val="single" w:sz="8" w:color="959595"/>
            </w:tcBorders>
          </w:tcPr>
          <w:p>
            <w:pPr>
              <w:ind w:left="40"/>
              <w:spacing w:after="0"/>
              <w:rPr>
                <w:sz w:val="20"/>
                <w:szCs w:val="20"/>
                <w:color w:val="auto"/>
              </w:rPr>
            </w:pPr>
            <w:r>
              <w:rPr>
                <w:rFonts w:ascii="Arial" w:cs="Arial" w:eastAsia="Arial" w:hAnsi="Arial"/>
                <w:sz w:val="14"/>
                <w:szCs w:val="14"/>
                <w:color w:val="auto"/>
              </w:rPr>
              <w:t>Missiles and Fire Control</w:t>
            </w:r>
          </w:p>
        </w:tc>
        <w:tc>
          <w:tcPr>
            <w:tcW w:w="580" w:type="dxa"/>
            <w:vAlign w:val="bottom"/>
            <w:tcBorders>
              <w:bottom w:val="single" w:sz="8" w:color="959595"/>
            </w:tcBorders>
          </w:tcPr>
          <w:p>
            <w:pPr>
              <w:spacing w:after="0"/>
              <w:rPr>
                <w:sz w:val="17"/>
                <w:szCs w:val="17"/>
                <w:color w:val="auto"/>
              </w:rPr>
            </w:pPr>
          </w:p>
        </w:tc>
        <w:tc>
          <w:tcPr>
            <w:tcW w:w="840" w:type="dxa"/>
            <w:vAlign w:val="bottom"/>
            <w:tcBorders>
              <w:bottom w:val="single" w:sz="8" w:color="959595"/>
            </w:tcBorders>
          </w:tcPr>
          <w:p>
            <w:pPr>
              <w:spacing w:after="0"/>
              <w:rPr>
                <w:sz w:val="17"/>
                <w:szCs w:val="17"/>
                <w:color w:val="auto"/>
              </w:rPr>
            </w:pPr>
          </w:p>
        </w:tc>
        <w:tc>
          <w:tcPr>
            <w:tcW w:w="940" w:type="dxa"/>
            <w:vAlign w:val="bottom"/>
            <w:tcBorders>
              <w:bottom w:val="single" w:sz="8" w:color="959595"/>
            </w:tcBorders>
          </w:tcPr>
          <w:p>
            <w:pPr>
              <w:spacing w:after="0"/>
              <w:rPr>
                <w:sz w:val="17"/>
                <w:szCs w:val="17"/>
                <w:color w:val="auto"/>
              </w:rPr>
            </w:pPr>
          </w:p>
        </w:tc>
        <w:tc>
          <w:tcPr>
            <w:tcW w:w="1140" w:type="dxa"/>
            <w:vAlign w:val="bottom"/>
            <w:tcBorders>
              <w:bottom w:val="single" w:sz="8" w:color="959595"/>
            </w:tcBorders>
          </w:tcPr>
          <w:p>
            <w:pPr>
              <w:spacing w:after="0"/>
              <w:rPr>
                <w:sz w:val="17"/>
                <w:szCs w:val="17"/>
                <w:color w:val="auto"/>
              </w:rPr>
            </w:pPr>
          </w:p>
        </w:tc>
        <w:tc>
          <w:tcPr>
            <w:tcW w:w="1140" w:type="dxa"/>
            <w:vAlign w:val="bottom"/>
            <w:tcBorders>
              <w:bottom w:val="single" w:sz="8" w:color="959595"/>
            </w:tcBorders>
          </w:tcPr>
          <w:p>
            <w:pPr>
              <w:spacing w:after="0"/>
              <w:rPr>
                <w:sz w:val="17"/>
                <w:szCs w:val="17"/>
                <w:color w:val="auto"/>
              </w:rPr>
            </w:pPr>
          </w:p>
        </w:tc>
        <w:tc>
          <w:tcPr>
            <w:tcW w:w="1060" w:type="dxa"/>
            <w:vAlign w:val="bottom"/>
            <w:tcBorders>
              <w:bottom w:val="single" w:sz="8" w:color="959595"/>
            </w:tcBorders>
          </w:tcPr>
          <w:p>
            <w:pPr>
              <w:spacing w:after="0"/>
              <w:rPr>
                <w:sz w:val="17"/>
                <w:szCs w:val="17"/>
                <w:color w:val="auto"/>
              </w:rPr>
            </w:pPr>
          </w:p>
        </w:tc>
        <w:tc>
          <w:tcPr>
            <w:tcW w:w="920" w:type="dxa"/>
            <w:vAlign w:val="bottom"/>
            <w:tcBorders>
              <w:bottom w:val="single" w:sz="8" w:color="959595"/>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25"/>
          <w:szCs w:val="25"/>
          <w:color w:val="475C90"/>
        </w:rPr>
        <w:t>Name and Principal Position (Column (a))</w:t>
      </w:r>
    </w:p>
    <w:p>
      <w:pPr>
        <w:spacing w:after="0" w:line="242"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Information is provided for Messrs. Ambrose, Edwards and St. John for 2018 only because they were not NEOs in 2017 or 2016. Mr. Carvalho retired as Executive Vice President, Aeronautics, effective October 1, 2018. Mr. Edwards stepped down as Executive Vice President, Missiles and Fire Control, effective January 8, 2018 and is now Executive Vice President, Lockheed Martin International.</w:t>
      </w:r>
    </w:p>
    <w:p>
      <w:pPr>
        <w:spacing w:after="0" w:line="150" w:lineRule="exact"/>
        <w:rPr>
          <w:sz w:val="20"/>
          <w:szCs w:val="20"/>
          <w:color w:val="auto"/>
        </w:rPr>
      </w:pPr>
    </w:p>
    <w:p>
      <w:pPr>
        <w:spacing w:after="0"/>
        <w:rPr>
          <w:sz w:val="20"/>
          <w:szCs w:val="20"/>
          <w:color w:val="auto"/>
        </w:rPr>
      </w:pPr>
      <w:r>
        <w:rPr>
          <w:rFonts w:ascii="Arial" w:cs="Arial" w:eastAsia="Arial" w:hAnsi="Arial"/>
          <w:sz w:val="25"/>
          <w:szCs w:val="25"/>
          <w:color w:val="475C90"/>
        </w:rPr>
        <w:t>Salary (Column (c))</w:t>
      </w:r>
    </w:p>
    <w:p>
      <w:pPr>
        <w:spacing w:after="0" w:line="24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Salary is paid weekly in arrears. The amount of salary reported may vary from the approved annual rate of pay because the salary reported in the table is based on the actual number of weekly pay periods in a year. Amounts for 2018 include payment of cash in lieu of accrued vacation for Ms. Hewson $32,916 and Mr. Bennett $16,602.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371475</wp:posOffset>
            </wp:positionV>
            <wp:extent cx="1440815" cy="3257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44081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808080"/>
        </w:rPr>
        <w:t>52</w:t>
      </w:r>
    </w:p>
    <w:p>
      <w:pPr>
        <w:sectPr>
          <w:pgSz w:w="11900" w:h="16838" w:orient="portrait"/>
          <w:cols w:equalWidth="0" w:num="1">
            <w:col w:w="11420"/>
          </w:cols>
          <w:pgMar w:left="240" w:top="292"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5"/>
          <w:szCs w:val="15"/>
          <w:color w:val="003478"/>
        </w:rPr>
        <w:t>Executive Compensation</w:t>
      </w:r>
    </w:p>
    <w:p>
      <w:pPr>
        <w:spacing w:after="0" w:line="347" w:lineRule="exact"/>
        <w:rPr>
          <w:sz w:val="20"/>
          <w:szCs w:val="20"/>
          <w:color w:val="auto"/>
        </w:rPr>
      </w:pPr>
    </w:p>
    <w:p>
      <w:pPr>
        <w:spacing w:after="0"/>
        <w:rPr>
          <w:sz w:val="20"/>
          <w:szCs w:val="20"/>
          <w:color w:val="auto"/>
        </w:rPr>
      </w:pPr>
      <w:r>
        <w:rPr>
          <w:rFonts w:ascii="Arial" w:cs="Arial" w:eastAsia="Arial" w:hAnsi="Arial"/>
          <w:sz w:val="25"/>
          <w:szCs w:val="25"/>
          <w:color w:val="475C90"/>
        </w:rPr>
        <w:t>Stock Awards (Column (e))</w:t>
      </w:r>
    </w:p>
    <w:p>
      <w:pPr>
        <w:spacing w:after="0" w:line="242"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Represents the aggregate grant date fair value computed in accordance with Financial Accounting Standards Board (FASB) Accounting Standards Codification (ASC) Topic 718 (ASC 718), for RSUs granted in 2018, 2017, and 2016, and PSUs granted in 2018, 2017, and 2016, disregarding potential forfeitures based on service requirements.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460" w:type="dxa"/>
            <w:vAlign w:val="bottom"/>
            <w:shd w:val="clear" w:color="auto" w:fill="ECECEC"/>
          </w:tcPr>
          <w:p>
            <w:pPr>
              <w:spacing w:after="0"/>
              <w:rPr>
                <w:sz w:val="13"/>
                <w:szCs w:val="13"/>
                <w:color w:val="auto"/>
              </w:rPr>
            </w:pPr>
          </w:p>
        </w:tc>
        <w:tc>
          <w:tcPr>
            <w:tcW w:w="1740" w:type="dxa"/>
            <w:vAlign w:val="bottom"/>
            <w:shd w:val="clear" w:color="auto" w:fill="ECECEC"/>
          </w:tcPr>
          <w:p>
            <w:pPr>
              <w:jc w:val="right"/>
              <w:ind w:right="211"/>
              <w:spacing w:after="0"/>
              <w:rPr>
                <w:sz w:val="20"/>
                <w:szCs w:val="20"/>
                <w:color w:val="auto"/>
              </w:rPr>
            </w:pPr>
            <w:r>
              <w:rPr>
                <w:rFonts w:ascii="Arial" w:cs="Arial" w:eastAsia="Arial" w:hAnsi="Arial"/>
                <w:sz w:val="13"/>
                <w:szCs w:val="13"/>
                <w:color w:val="auto"/>
              </w:rPr>
              <w:t>2018 Aggregate</w:t>
            </w:r>
          </w:p>
        </w:tc>
        <w:tc>
          <w:tcPr>
            <w:tcW w:w="1220" w:type="dxa"/>
            <w:vAlign w:val="bottom"/>
            <w:shd w:val="clear" w:color="auto" w:fill="ECECEC"/>
          </w:tcPr>
          <w:p>
            <w:pPr>
              <w:jc w:val="right"/>
              <w:spacing w:after="0"/>
              <w:rPr>
                <w:sz w:val="20"/>
                <w:szCs w:val="20"/>
                <w:color w:val="auto"/>
              </w:rPr>
            </w:pPr>
            <w:r>
              <w:rPr>
                <w:rFonts w:ascii="Arial" w:cs="Arial" w:eastAsia="Arial" w:hAnsi="Arial"/>
                <w:sz w:val="13"/>
                <w:szCs w:val="13"/>
                <w:color w:val="auto"/>
              </w:rPr>
              <w:t>2018 Aggregate</w:t>
            </w:r>
          </w:p>
        </w:tc>
      </w:tr>
      <w:tr>
        <w:trPr>
          <w:trHeight w:val="135"/>
        </w:trPr>
        <w:tc>
          <w:tcPr>
            <w:tcW w:w="8460" w:type="dxa"/>
            <w:vAlign w:val="bottom"/>
            <w:shd w:val="clear" w:color="auto" w:fill="ECECEC"/>
          </w:tcPr>
          <w:p>
            <w:pPr>
              <w:spacing w:after="0"/>
              <w:rPr>
                <w:sz w:val="11"/>
                <w:szCs w:val="11"/>
                <w:color w:val="auto"/>
              </w:rPr>
            </w:pPr>
          </w:p>
        </w:tc>
        <w:tc>
          <w:tcPr>
            <w:tcW w:w="1740" w:type="dxa"/>
            <w:vAlign w:val="bottom"/>
            <w:shd w:val="clear" w:color="auto" w:fill="ECECEC"/>
          </w:tcPr>
          <w:p>
            <w:pPr>
              <w:jc w:val="right"/>
              <w:ind w:right="211"/>
              <w:spacing w:after="0" w:line="135" w:lineRule="exact"/>
              <w:rPr>
                <w:sz w:val="20"/>
                <w:szCs w:val="20"/>
                <w:color w:val="auto"/>
              </w:rPr>
            </w:pPr>
            <w:r>
              <w:rPr>
                <w:rFonts w:ascii="Arial" w:cs="Arial" w:eastAsia="Arial" w:hAnsi="Arial"/>
                <w:sz w:val="13"/>
                <w:szCs w:val="13"/>
                <w:color w:val="auto"/>
              </w:rPr>
              <w:t>Grant Date</w:t>
            </w:r>
          </w:p>
        </w:tc>
        <w:tc>
          <w:tcPr>
            <w:tcW w:w="1220" w:type="dxa"/>
            <w:vAlign w:val="bottom"/>
            <w:shd w:val="clear" w:color="auto" w:fill="ECECEC"/>
          </w:tcPr>
          <w:p>
            <w:pPr>
              <w:jc w:val="right"/>
              <w:spacing w:after="0" w:line="135" w:lineRule="exact"/>
              <w:rPr>
                <w:sz w:val="20"/>
                <w:szCs w:val="20"/>
                <w:color w:val="auto"/>
              </w:rPr>
            </w:pPr>
            <w:r>
              <w:rPr>
                <w:rFonts w:ascii="Arial" w:cs="Arial" w:eastAsia="Arial" w:hAnsi="Arial"/>
                <w:sz w:val="13"/>
                <w:szCs w:val="13"/>
                <w:color w:val="auto"/>
              </w:rPr>
              <w:t>Grant Date</w:t>
            </w:r>
          </w:p>
        </w:tc>
      </w:tr>
      <w:tr>
        <w:trPr>
          <w:trHeight w:val="170"/>
        </w:trPr>
        <w:tc>
          <w:tcPr>
            <w:tcW w:w="8460" w:type="dxa"/>
            <w:vAlign w:val="bottom"/>
            <w:shd w:val="clear" w:color="auto" w:fill="ECECEC"/>
          </w:tcPr>
          <w:p>
            <w:pPr>
              <w:spacing w:after="0"/>
              <w:rPr>
                <w:sz w:val="14"/>
                <w:szCs w:val="14"/>
                <w:color w:val="auto"/>
              </w:rPr>
            </w:pPr>
          </w:p>
        </w:tc>
        <w:tc>
          <w:tcPr>
            <w:tcW w:w="1740" w:type="dxa"/>
            <w:vAlign w:val="bottom"/>
            <w:shd w:val="clear" w:color="auto" w:fill="ECECEC"/>
          </w:tcPr>
          <w:p>
            <w:pPr>
              <w:jc w:val="right"/>
              <w:ind w:right="211"/>
              <w:spacing w:after="0"/>
              <w:rPr>
                <w:sz w:val="20"/>
                <w:szCs w:val="20"/>
                <w:color w:val="auto"/>
              </w:rPr>
            </w:pPr>
            <w:r>
              <w:rPr>
                <w:rFonts w:ascii="Arial" w:cs="Arial" w:eastAsia="Arial" w:hAnsi="Arial"/>
                <w:sz w:val="13"/>
                <w:szCs w:val="13"/>
                <w:color w:val="auto"/>
              </w:rPr>
              <w:t>Fair Value RSUs</w:t>
            </w:r>
          </w:p>
        </w:tc>
        <w:tc>
          <w:tcPr>
            <w:tcW w:w="1220" w:type="dxa"/>
            <w:vAlign w:val="bottom"/>
            <w:shd w:val="clear" w:color="auto" w:fill="ECECEC"/>
          </w:tcPr>
          <w:p>
            <w:pPr>
              <w:jc w:val="right"/>
              <w:spacing w:after="0"/>
              <w:rPr>
                <w:sz w:val="20"/>
                <w:szCs w:val="20"/>
                <w:color w:val="auto"/>
              </w:rPr>
            </w:pPr>
            <w:r>
              <w:rPr>
                <w:rFonts w:ascii="Arial" w:cs="Arial" w:eastAsia="Arial" w:hAnsi="Arial"/>
                <w:sz w:val="13"/>
                <w:szCs w:val="13"/>
                <w:color w:val="auto"/>
              </w:rPr>
              <w:t>Fair Value PSUs</w:t>
            </w:r>
          </w:p>
        </w:tc>
      </w:tr>
      <w:tr>
        <w:trPr>
          <w:trHeight w:val="278"/>
        </w:trPr>
        <w:tc>
          <w:tcPr>
            <w:tcW w:w="8460" w:type="dxa"/>
            <w:vAlign w:val="bottom"/>
            <w:tcBorders>
              <w:bottom w:val="single" w:sz="8" w:color="959595"/>
            </w:tcBorders>
            <w:shd w:val="clear" w:color="auto" w:fill="ECECEC"/>
          </w:tcPr>
          <w:p>
            <w:pPr>
              <w:spacing w:after="0"/>
              <w:rPr>
                <w:sz w:val="24"/>
                <w:szCs w:val="24"/>
                <w:color w:val="auto"/>
              </w:rPr>
            </w:pPr>
          </w:p>
        </w:tc>
        <w:tc>
          <w:tcPr>
            <w:tcW w:w="1740" w:type="dxa"/>
            <w:vAlign w:val="bottom"/>
            <w:tcBorders>
              <w:bottom w:val="single" w:sz="8" w:color="959595"/>
            </w:tcBorders>
            <w:shd w:val="clear" w:color="auto" w:fill="ECECEC"/>
          </w:tcPr>
          <w:p>
            <w:pPr>
              <w:jc w:val="right"/>
              <w:ind w:right="211"/>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959595"/>
            </w:tcBorders>
            <w:shd w:val="clear" w:color="auto" w:fill="ECECEC"/>
          </w:tcPr>
          <w:p>
            <w:pPr>
              <w:jc w:val="right"/>
              <w:spacing w:after="0"/>
              <w:rPr>
                <w:sz w:val="20"/>
                <w:szCs w:val="20"/>
                <w:color w:val="auto"/>
              </w:rPr>
            </w:pPr>
            <w:r>
              <w:rPr>
                <w:rFonts w:ascii="Arial" w:cs="Arial" w:eastAsia="Arial" w:hAnsi="Arial"/>
                <w:sz w:val="13"/>
                <w:szCs w:val="13"/>
                <w:color w:val="auto"/>
              </w:rPr>
              <w:t>($)</w:t>
            </w:r>
          </w:p>
        </w:tc>
      </w:tr>
      <w:tr>
        <w:trPr>
          <w:trHeight w:val="215"/>
        </w:trPr>
        <w:tc>
          <w:tcPr>
            <w:tcW w:w="846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012E6C"/>
              </w:rPr>
              <w:t>Ms. Hewson</w:t>
            </w:r>
          </w:p>
        </w:tc>
        <w:tc>
          <w:tcPr>
            <w:tcW w:w="1740" w:type="dxa"/>
            <w:vAlign w:val="bottom"/>
            <w:tcBorders>
              <w:bottom w:val="single" w:sz="8" w:color="959595"/>
            </w:tcBorders>
          </w:tcPr>
          <w:p>
            <w:pPr>
              <w:jc w:val="right"/>
              <w:ind w:right="211"/>
              <w:spacing w:after="0"/>
              <w:rPr>
                <w:sz w:val="20"/>
                <w:szCs w:val="20"/>
                <w:color w:val="auto"/>
              </w:rPr>
            </w:pPr>
            <w:r>
              <w:rPr>
                <w:rFonts w:ascii="Arial" w:cs="Arial" w:eastAsia="Arial" w:hAnsi="Arial"/>
                <w:sz w:val="14"/>
                <w:szCs w:val="14"/>
                <w:color w:val="auto"/>
              </w:rPr>
              <w:t>3,670,465</w:t>
            </w:r>
          </w:p>
        </w:tc>
        <w:tc>
          <w:tcPr>
            <w:tcW w:w="12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6,117,632</w:t>
            </w:r>
          </w:p>
        </w:tc>
      </w:tr>
      <w:tr>
        <w:trPr>
          <w:trHeight w:val="210"/>
        </w:trPr>
        <w:tc>
          <w:tcPr>
            <w:tcW w:w="846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012E6C"/>
              </w:rPr>
              <w:t>Mr. Tanner</w:t>
            </w:r>
          </w:p>
        </w:tc>
        <w:tc>
          <w:tcPr>
            <w:tcW w:w="1740" w:type="dxa"/>
            <w:vAlign w:val="bottom"/>
            <w:tcBorders>
              <w:bottom w:val="single" w:sz="8" w:color="959595"/>
            </w:tcBorders>
          </w:tcPr>
          <w:p>
            <w:pPr>
              <w:jc w:val="right"/>
              <w:ind w:right="211"/>
              <w:spacing w:after="0"/>
              <w:rPr>
                <w:sz w:val="20"/>
                <w:szCs w:val="20"/>
                <w:color w:val="auto"/>
              </w:rPr>
            </w:pPr>
            <w:r>
              <w:rPr>
                <w:rFonts w:ascii="Arial" w:cs="Arial" w:eastAsia="Arial" w:hAnsi="Arial"/>
                <w:sz w:val="14"/>
                <w:szCs w:val="14"/>
                <w:color w:val="auto"/>
              </w:rPr>
              <w:t>1,349,962</w:t>
            </w:r>
          </w:p>
        </w:tc>
        <w:tc>
          <w:tcPr>
            <w:tcW w:w="12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2,250,297</w:t>
            </w:r>
          </w:p>
        </w:tc>
      </w:tr>
      <w:tr>
        <w:trPr>
          <w:trHeight w:val="210"/>
        </w:trPr>
        <w:tc>
          <w:tcPr>
            <w:tcW w:w="846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012E6C"/>
              </w:rPr>
              <w:t>Mr. Ambrose</w:t>
            </w:r>
          </w:p>
        </w:tc>
        <w:tc>
          <w:tcPr>
            <w:tcW w:w="1740" w:type="dxa"/>
            <w:vAlign w:val="bottom"/>
            <w:tcBorders>
              <w:bottom w:val="single" w:sz="8" w:color="959595"/>
            </w:tcBorders>
          </w:tcPr>
          <w:p>
            <w:pPr>
              <w:jc w:val="right"/>
              <w:ind w:right="211"/>
              <w:spacing w:after="0"/>
              <w:rPr>
                <w:sz w:val="20"/>
                <w:szCs w:val="20"/>
                <w:color w:val="auto"/>
              </w:rPr>
            </w:pPr>
            <w:r>
              <w:rPr>
                <w:rFonts w:ascii="Arial" w:cs="Arial" w:eastAsia="Arial" w:hAnsi="Arial"/>
                <w:sz w:val="14"/>
                <w:szCs w:val="14"/>
                <w:color w:val="auto"/>
              </w:rPr>
              <w:t>1,079,757</w:t>
            </w:r>
          </w:p>
        </w:tc>
        <w:tc>
          <w:tcPr>
            <w:tcW w:w="12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1,800,380</w:t>
            </w:r>
          </w:p>
        </w:tc>
      </w:tr>
      <w:tr>
        <w:trPr>
          <w:trHeight w:val="210"/>
        </w:trPr>
        <w:tc>
          <w:tcPr>
            <w:tcW w:w="846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012E6C"/>
              </w:rPr>
              <w:t>Mr. Bennett</w:t>
            </w:r>
          </w:p>
        </w:tc>
        <w:tc>
          <w:tcPr>
            <w:tcW w:w="1740" w:type="dxa"/>
            <w:vAlign w:val="bottom"/>
            <w:tcBorders>
              <w:bottom w:val="single" w:sz="8" w:color="959595"/>
            </w:tcBorders>
          </w:tcPr>
          <w:p>
            <w:pPr>
              <w:jc w:val="right"/>
              <w:ind w:right="211"/>
              <w:spacing w:after="0"/>
              <w:rPr>
                <w:sz w:val="20"/>
                <w:szCs w:val="20"/>
                <w:color w:val="auto"/>
              </w:rPr>
            </w:pPr>
            <w:r>
              <w:rPr>
                <w:rFonts w:ascii="Arial" w:cs="Arial" w:eastAsia="Arial" w:hAnsi="Arial"/>
                <w:sz w:val="14"/>
                <w:szCs w:val="14"/>
                <w:color w:val="auto"/>
              </w:rPr>
              <w:t>1,079,757</w:t>
            </w:r>
          </w:p>
        </w:tc>
        <w:tc>
          <w:tcPr>
            <w:tcW w:w="12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1,800,380</w:t>
            </w:r>
          </w:p>
        </w:tc>
      </w:tr>
      <w:tr>
        <w:trPr>
          <w:trHeight w:val="210"/>
        </w:trPr>
        <w:tc>
          <w:tcPr>
            <w:tcW w:w="846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012E6C"/>
              </w:rPr>
              <w:t>Mr. Carvalho</w:t>
            </w:r>
          </w:p>
        </w:tc>
        <w:tc>
          <w:tcPr>
            <w:tcW w:w="1740" w:type="dxa"/>
            <w:vAlign w:val="bottom"/>
            <w:tcBorders>
              <w:bottom w:val="single" w:sz="8" w:color="959595"/>
            </w:tcBorders>
          </w:tcPr>
          <w:p>
            <w:pPr>
              <w:jc w:val="right"/>
              <w:ind w:right="211"/>
              <w:spacing w:after="0"/>
              <w:rPr>
                <w:sz w:val="20"/>
                <w:szCs w:val="20"/>
                <w:color w:val="auto"/>
              </w:rPr>
            </w:pPr>
            <w:r>
              <w:rPr>
                <w:rFonts w:ascii="Arial" w:cs="Arial" w:eastAsia="Arial" w:hAnsi="Arial"/>
                <w:sz w:val="14"/>
                <w:szCs w:val="14"/>
                <w:color w:val="auto"/>
              </w:rPr>
              <w:t>1,079,757</w:t>
            </w:r>
          </w:p>
        </w:tc>
        <w:tc>
          <w:tcPr>
            <w:tcW w:w="12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1,800,380</w:t>
            </w:r>
          </w:p>
        </w:tc>
      </w:tr>
      <w:tr>
        <w:trPr>
          <w:trHeight w:val="210"/>
        </w:trPr>
        <w:tc>
          <w:tcPr>
            <w:tcW w:w="846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012E6C"/>
              </w:rPr>
              <w:t>Mr. Edwards</w:t>
            </w:r>
          </w:p>
        </w:tc>
        <w:tc>
          <w:tcPr>
            <w:tcW w:w="1740" w:type="dxa"/>
            <w:vAlign w:val="bottom"/>
            <w:tcBorders>
              <w:bottom w:val="single" w:sz="8" w:color="959595"/>
            </w:tcBorders>
          </w:tcPr>
          <w:p>
            <w:pPr>
              <w:jc w:val="right"/>
              <w:ind w:right="211"/>
              <w:spacing w:after="0"/>
              <w:rPr>
                <w:sz w:val="20"/>
                <w:szCs w:val="20"/>
                <w:color w:val="auto"/>
              </w:rPr>
            </w:pPr>
            <w:r>
              <w:rPr>
                <w:rFonts w:ascii="Arial" w:cs="Arial" w:eastAsia="Arial" w:hAnsi="Arial"/>
                <w:sz w:val="14"/>
                <w:szCs w:val="14"/>
                <w:color w:val="auto"/>
              </w:rPr>
              <w:t>1,079,757</w:t>
            </w:r>
          </w:p>
        </w:tc>
        <w:tc>
          <w:tcPr>
            <w:tcW w:w="12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1,800,380</w:t>
            </w:r>
          </w:p>
        </w:tc>
      </w:tr>
      <w:tr>
        <w:trPr>
          <w:trHeight w:val="210"/>
        </w:trPr>
        <w:tc>
          <w:tcPr>
            <w:tcW w:w="846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012E6C"/>
              </w:rPr>
              <w:t>Mr. St. John</w:t>
            </w:r>
          </w:p>
        </w:tc>
        <w:tc>
          <w:tcPr>
            <w:tcW w:w="1740" w:type="dxa"/>
            <w:vAlign w:val="bottom"/>
            <w:tcBorders>
              <w:bottom w:val="single" w:sz="8" w:color="959595"/>
            </w:tcBorders>
          </w:tcPr>
          <w:p>
            <w:pPr>
              <w:jc w:val="right"/>
              <w:ind w:right="211"/>
              <w:spacing w:after="0"/>
              <w:rPr>
                <w:sz w:val="20"/>
                <w:szCs w:val="20"/>
                <w:color w:val="auto"/>
              </w:rPr>
            </w:pPr>
            <w:r>
              <w:rPr>
                <w:rFonts w:ascii="Arial" w:cs="Arial" w:eastAsia="Arial" w:hAnsi="Arial"/>
                <w:sz w:val="14"/>
                <w:szCs w:val="14"/>
                <w:color w:val="auto"/>
              </w:rPr>
              <w:t>1,079,757</w:t>
            </w:r>
          </w:p>
        </w:tc>
        <w:tc>
          <w:tcPr>
            <w:tcW w:w="12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1,800,380</w:t>
            </w:r>
          </w:p>
        </w:tc>
      </w:tr>
    </w:tbl>
    <w:p>
      <w:pPr>
        <w:spacing w:after="0" w:line="20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 ASC 718 grant date fair value of one 2018 RSU ($354.60), 2017 RSU ($254.51), and 2016 RSU ($206.37), is the closing price of one share of our stock on the date of grant, discounted to take into account the deferred dividend equivalents that are accrued until vesting.</w:t>
      </w:r>
    </w:p>
    <w:p>
      <w:pPr>
        <w:spacing w:after="0" w:line="147"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Values for the PSUs, which are subject to performance conditions, are based on the probable outcome on the grant date of three separate performance conditions (approximately 50% of the target shares are earned based upon Relative TSR, approximately 25% of the target shares are earned based upon Performance Cash, and approximately 25% of the target shares are earned based upon ROIC).</w:t>
      </w:r>
    </w:p>
    <w:p>
      <w:pPr>
        <w:spacing w:after="0" w:line="16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grant date fair value of $420.75 for 2018, $266.41 for 2017, and $212.37 for 2016 for the Relative TSR portion of the PSU award was determined using a Monte Carlo simulation model. The value was determined using the historical stock price volatilities of the companies in our comparator group over the most recent 2.86-year period for 2018 and 2.93-year period for 2017 and 2016, assuming dividends for each company are reinvested on a continuous basis and a risk-free rate of interest of 2.38% for 2018, 1.47% for 2017, and 1.03% for 2016, and that deferred dividend equivalents accrued on shares earned will be paid in cash upon vesting. The grant date fair value of $354.60 for 2018, $254.51 for 2017, and $206.37 for 2016 for the Performance Cash and ROIC portions of the awards is based on the closing price of our stock on the date of grant, discounted to take into account the deferred dividend equivalents that are accrued until vesting. In addition to the level of performance achieved, the value of the PSUs earned will be determined by the price of our stock on the date any shares are issued at the end of the performance period, which may be more or less than the grant date fair value.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The maximum grant date fair values of the 2018 PSU awards, assuming a 200% maximum payout on all three metrics are as follows: Ms. Hewson: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$12,235,264; Mr. Tanner: $4,500,594; Mr. Ambrose: $3,600,760; Mr. Bennett: $3,600,760; Mr. Carvalho: $3,600,760; Mr. Edwards: $3,600,760; and Mr.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St. John: $3,600,760.</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The maximum grant date fair values of the 2017 PSU awards, assuming a 200% maximum payout on all three metrics are as follows: Ms. Hewson: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$11,880,697; Mr. Tanner: $4,200,593; Mr. Bennett: $3,350,904; and Mr. Carvalho: $3,350,904.</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The maximum grant date fair values of the 2016 PSU awards, assuming a 200% maximum payout on all three metrics are as follows: Ms. Hewson: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$11,535,598; Mr. Tanner: $4,015,313; Mr. Bennett: $3,320,349; and Mr. Carvalho: $3,320,349.</w:t>
      </w:r>
    </w:p>
    <w:p>
      <w:pPr>
        <w:spacing w:after="0" w:line="200" w:lineRule="exact"/>
        <w:rPr>
          <w:sz w:val="20"/>
          <w:szCs w:val="20"/>
          <w:color w:val="auto"/>
        </w:rPr>
      </w:pPr>
    </w:p>
    <w:p>
      <w:pPr>
        <w:spacing w:after="0" w:line="310" w:lineRule="exact"/>
        <w:rPr>
          <w:sz w:val="20"/>
          <w:szCs w:val="20"/>
          <w:color w:val="auto"/>
        </w:rPr>
      </w:pPr>
    </w:p>
    <w:p>
      <w:pPr>
        <w:ind w:left="40"/>
        <w:spacing w:after="0"/>
        <w:tabs>
          <w:tab w:leader="none" w:pos="9420" w:val="left"/>
          <w:tab w:leader="none" w:pos="1122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2019 Proxy Statement</w:t>
      </w:r>
      <w:r>
        <w:rPr>
          <w:sz w:val="20"/>
          <w:szCs w:val="20"/>
          <w:color w:val="auto"/>
        </w:rPr>
        <w:tab/>
      </w:r>
      <w:r>
        <w:rPr>
          <w:rFonts w:ascii="Arial" w:cs="Arial" w:eastAsia="Arial" w:hAnsi="Arial"/>
          <w:sz w:val="14"/>
          <w:szCs w:val="14"/>
          <w:b w:val="1"/>
          <w:bCs w:val="1"/>
          <w:color w:val="808080"/>
        </w:rPr>
        <w:t>53</w:t>
      </w:r>
    </w:p>
    <w:p>
      <w:pPr>
        <w:sectPr>
          <w:pgSz w:w="11900" w:h="16838" w:orient="portrait"/>
          <w:cols w:equalWidth="0" w:num="1">
            <w:col w:w="11420"/>
          </w:cols>
          <w:pgMar w:left="240" w:top="292" w:right="239" w:bottom="1440" w:gutter="0" w:footer="0" w:header="0"/>
        </w:sectPr>
      </w:pPr>
    </w:p>
    <w:bookmarkStart w:id="56" w:name="page57"/>
    <w:bookmarkEnd w:id="56"/>
    <w:p>
      <w:pPr>
        <w:spacing w:after="0"/>
        <w:rPr>
          <w:sz w:val="20"/>
          <w:szCs w:val="20"/>
          <w:color w:val="auto"/>
        </w:rPr>
      </w:pPr>
      <w:r>
        <w:rPr>
          <w:rFonts w:ascii="Arial" w:cs="Arial" w:eastAsia="Arial" w:hAnsi="Arial"/>
          <w:sz w:val="15"/>
          <w:szCs w:val="15"/>
          <w:color w:val="003478"/>
        </w:rPr>
        <w:t>Executive Compensation</w:t>
      </w:r>
    </w:p>
    <w:p>
      <w:pPr>
        <w:spacing w:after="0" w:line="347" w:lineRule="exact"/>
        <w:rPr>
          <w:sz w:val="20"/>
          <w:szCs w:val="20"/>
          <w:color w:val="auto"/>
        </w:rPr>
      </w:pPr>
    </w:p>
    <w:p>
      <w:pPr>
        <w:spacing w:after="0"/>
        <w:rPr>
          <w:sz w:val="20"/>
          <w:szCs w:val="20"/>
          <w:color w:val="auto"/>
        </w:rPr>
      </w:pPr>
      <w:r>
        <w:rPr>
          <w:rFonts w:ascii="Arial" w:cs="Arial" w:eastAsia="Arial" w:hAnsi="Arial"/>
          <w:sz w:val="25"/>
          <w:szCs w:val="25"/>
          <w:color w:val="475C90"/>
        </w:rPr>
        <w:t>Non-Equity Incentive Plan Compensation (Column (g))</w:t>
      </w:r>
    </w:p>
    <w:p>
      <w:pPr>
        <w:spacing w:after="0" w:line="242"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Includes the amount paid for annual incentive bonuses. The Compensation Committee will continue to use discretion to assess performance against objectives established at the beginning of the year. We also report amounts earned under our LTIP cash awards in the three-year period ending on December 31 of the year reported in Column (g) of the table.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shows the respective 2018 annual incentive bonus and amount earned under the 2016-2018 LTIP cash and reported for each NEO:</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800" w:type="dxa"/>
            <w:vAlign w:val="bottom"/>
            <w:shd w:val="clear" w:color="auto" w:fill="ECECEC"/>
          </w:tcPr>
          <w:p>
            <w:pPr>
              <w:spacing w:after="0"/>
              <w:rPr>
                <w:sz w:val="13"/>
                <w:szCs w:val="13"/>
                <w:color w:val="auto"/>
              </w:rPr>
            </w:pPr>
          </w:p>
        </w:tc>
        <w:tc>
          <w:tcPr>
            <w:tcW w:w="1680" w:type="dxa"/>
            <w:vAlign w:val="bottom"/>
            <w:shd w:val="clear" w:color="auto" w:fill="ECECEC"/>
          </w:tcPr>
          <w:p>
            <w:pPr>
              <w:jc w:val="right"/>
              <w:ind w:right="151"/>
              <w:spacing w:after="0"/>
              <w:rPr>
                <w:sz w:val="20"/>
                <w:szCs w:val="20"/>
                <w:color w:val="auto"/>
              </w:rPr>
            </w:pPr>
            <w:r>
              <w:rPr>
                <w:rFonts w:ascii="Arial" w:cs="Arial" w:eastAsia="Arial" w:hAnsi="Arial"/>
                <w:sz w:val="13"/>
                <w:szCs w:val="13"/>
                <w:color w:val="auto"/>
              </w:rPr>
              <w:t>2018 Annual</w:t>
            </w:r>
          </w:p>
        </w:tc>
        <w:tc>
          <w:tcPr>
            <w:tcW w:w="940" w:type="dxa"/>
            <w:vAlign w:val="bottom"/>
            <w:shd w:val="clear" w:color="auto" w:fill="ECECEC"/>
          </w:tcPr>
          <w:p>
            <w:pPr>
              <w:jc w:val="right"/>
              <w:spacing w:after="0"/>
              <w:rPr>
                <w:sz w:val="20"/>
                <w:szCs w:val="20"/>
                <w:color w:val="auto"/>
              </w:rPr>
            </w:pPr>
            <w:r>
              <w:rPr>
                <w:rFonts w:ascii="Arial" w:cs="Arial" w:eastAsia="Arial" w:hAnsi="Arial"/>
                <w:sz w:val="13"/>
                <w:szCs w:val="13"/>
                <w:color w:val="auto"/>
              </w:rPr>
              <w:t>2016-2018</w:t>
            </w:r>
          </w:p>
        </w:tc>
      </w:tr>
      <w:tr>
        <w:trPr>
          <w:trHeight w:val="170"/>
        </w:trPr>
        <w:tc>
          <w:tcPr>
            <w:tcW w:w="8800" w:type="dxa"/>
            <w:vAlign w:val="bottom"/>
            <w:shd w:val="clear" w:color="auto" w:fill="ECECEC"/>
          </w:tcPr>
          <w:p>
            <w:pPr>
              <w:spacing w:after="0"/>
              <w:rPr>
                <w:sz w:val="14"/>
                <w:szCs w:val="14"/>
                <w:color w:val="auto"/>
              </w:rPr>
            </w:pPr>
          </w:p>
        </w:tc>
        <w:tc>
          <w:tcPr>
            <w:tcW w:w="1680" w:type="dxa"/>
            <w:vAlign w:val="bottom"/>
            <w:shd w:val="clear" w:color="auto" w:fill="ECECEC"/>
          </w:tcPr>
          <w:p>
            <w:pPr>
              <w:jc w:val="right"/>
              <w:ind w:right="151"/>
              <w:spacing w:after="0"/>
              <w:rPr>
                <w:sz w:val="20"/>
                <w:szCs w:val="20"/>
                <w:color w:val="auto"/>
              </w:rPr>
            </w:pPr>
            <w:r>
              <w:rPr>
                <w:rFonts w:ascii="Arial" w:cs="Arial" w:eastAsia="Arial" w:hAnsi="Arial"/>
                <w:sz w:val="13"/>
                <w:szCs w:val="13"/>
                <w:color w:val="auto"/>
              </w:rPr>
              <w:t>Incentive Payout</w:t>
            </w:r>
          </w:p>
        </w:tc>
        <w:tc>
          <w:tcPr>
            <w:tcW w:w="940" w:type="dxa"/>
            <w:vAlign w:val="bottom"/>
            <w:shd w:val="clear" w:color="auto" w:fill="ECECEC"/>
          </w:tcPr>
          <w:p>
            <w:pPr>
              <w:jc w:val="right"/>
              <w:spacing w:after="0"/>
              <w:rPr>
                <w:sz w:val="20"/>
                <w:szCs w:val="20"/>
                <w:color w:val="auto"/>
              </w:rPr>
            </w:pPr>
            <w:r>
              <w:rPr>
                <w:rFonts w:ascii="Arial" w:cs="Arial" w:eastAsia="Arial" w:hAnsi="Arial"/>
                <w:sz w:val="13"/>
                <w:szCs w:val="13"/>
                <w:color w:val="auto"/>
              </w:rPr>
              <w:t>LTIP Payout</w:t>
            </w:r>
          </w:p>
        </w:tc>
      </w:tr>
      <w:tr>
        <w:trPr>
          <w:trHeight w:val="278"/>
        </w:trPr>
        <w:tc>
          <w:tcPr>
            <w:tcW w:w="8800" w:type="dxa"/>
            <w:vAlign w:val="bottom"/>
            <w:tcBorders>
              <w:bottom w:val="single" w:sz="8" w:color="959595"/>
            </w:tcBorders>
            <w:shd w:val="clear" w:color="auto" w:fill="ECECEC"/>
          </w:tcPr>
          <w:p>
            <w:pPr>
              <w:spacing w:after="0"/>
              <w:rPr>
                <w:sz w:val="24"/>
                <w:szCs w:val="24"/>
                <w:color w:val="auto"/>
              </w:rPr>
            </w:pPr>
          </w:p>
        </w:tc>
        <w:tc>
          <w:tcPr>
            <w:tcW w:w="1680" w:type="dxa"/>
            <w:vAlign w:val="bottom"/>
            <w:tcBorders>
              <w:bottom w:val="single" w:sz="8" w:color="959595"/>
            </w:tcBorders>
            <w:shd w:val="clear" w:color="auto" w:fill="ECECEC"/>
          </w:tcPr>
          <w:p>
            <w:pPr>
              <w:jc w:val="right"/>
              <w:ind w:right="151"/>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959595"/>
            </w:tcBorders>
            <w:shd w:val="clear" w:color="auto" w:fill="ECECEC"/>
          </w:tcPr>
          <w:p>
            <w:pPr>
              <w:jc w:val="right"/>
              <w:spacing w:after="0"/>
              <w:rPr>
                <w:sz w:val="20"/>
                <w:szCs w:val="20"/>
                <w:color w:val="auto"/>
              </w:rPr>
            </w:pPr>
            <w:r>
              <w:rPr>
                <w:rFonts w:ascii="Arial" w:cs="Arial" w:eastAsia="Arial" w:hAnsi="Arial"/>
                <w:sz w:val="13"/>
                <w:szCs w:val="13"/>
                <w:color w:val="auto"/>
              </w:rPr>
              <w:t>($)</w:t>
            </w:r>
          </w:p>
        </w:tc>
      </w:tr>
      <w:tr>
        <w:trPr>
          <w:trHeight w:val="215"/>
        </w:trPr>
        <w:tc>
          <w:tcPr>
            <w:tcW w:w="880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012E6C"/>
              </w:rPr>
              <w:t>Ms. Hewson</w:t>
            </w:r>
          </w:p>
        </w:tc>
        <w:tc>
          <w:tcPr>
            <w:tcW w:w="1680" w:type="dxa"/>
            <w:vAlign w:val="bottom"/>
            <w:tcBorders>
              <w:bottom w:val="single" w:sz="8" w:color="959595"/>
            </w:tcBorders>
          </w:tcPr>
          <w:p>
            <w:pPr>
              <w:jc w:val="right"/>
              <w:ind w:right="151"/>
              <w:spacing w:after="0"/>
              <w:rPr>
                <w:sz w:val="20"/>
                <w:szCs w:val="20"/>
                <w:color w:val="auto"/>
              </w:rPr>
            </w:pPr>
            <w:r>
              <w:rPr>
                <w:rFonts w:ascii="Arial" w:cs="Arial" w:eastAsia="Arial" w:hAnsi="Arial"/>
                <w:sz w:val="14"/>
                <w:szCs w:val="14"/>
                <w:color w:val="auto"/>
              </w:rPr>
              <w:t>5,618,900</w:t>
            </w:r>
          </w:p>
        </w:tc>
        <w:tc>
          <w:tcPr>
            <w:tcW w:w="9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3,139,827</w:t>
            </w:r>
          </w:p>
        </w:tc>
      </w:tr>
      <w:tr>
        <w:trPr>
          <w:trHeight w:val="210"/>
        </w:trPr>
        <w:tc>
          <w:tcPr>
            <w:tcW w:w="880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012E6C"/>
              </w:rPr>
              <w:t>Mr. Tanner</w:t>
            </w:r>
          </w:p>
        </w:tc>
        <w:tc>
          <w:tcPr>
            <w:tcW w:w="1680" w:type="dxa"/>
            <w:vAlign w:val="bottom"/>
            <w:tcBorders>
              <w:bottom w:val="single" w:sz="8" w:color="959595"/>
            </w:tcBorders>
          </w:tcPr>
          <w:p>
            <w:pPr>
              <w:jc w:val="right"/>
              <w:ind w:right="151"/>
              <w:spacing w:after="0"/>
              <w:rPr>
                <w:sz w:val="20"/>
                <w:szCs w:val="20"/>
                <w:color w:val="auto"/>
              </w:rPr>
            </w:pPr>
            <w:r>
              <w:rPr>
                <w:rFonts w:ascii="Arial" w:cs="Arial" w:eastAsia="Arial" w:hAnsi="Arial"/>
                <w:sz w:val="14"/>
                <w:szCs w:val="14"/>
                <w:color w:val="auto"/>
              </w:rPr>
              <w:t>2,179,500</w:t>
            </w:r>
          </w:p>
        </w:tc>
        <w:tc>
          <w:tcPr>
            <w:tcW w:w="9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1,092,883</w:t>
            </w:r>
          </w:p>
        </w:tc>
      </w:tr>
      <w:tr>
        <w:trPr>
          <w:trHeight w:val="210"/>
        </w:trPr>
        <w:tc>
          <w:tcPr>
            <w:tcW w:w="880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012E6C"/>
              </w:rPr>
              <w:t>Mr. Ambrose</w:t>
            </w:r>
          </w:p>
        </w:tc>
        <w:tc>
          <w:tcPr>
            <w:tcW w:w="1680" w:type="dxa"/>
            <w:vAlign w:val="bottom"/>
            <w:tcBorders>
              <w:bottom w:val="single" w:sz="8" w:color="959595"/>
            </w:tcBorders>
          </w:tcPr>
          <w:p>
            <w:pPr>
              <w:jc w:val="right"/>
              <w:ind w:right="151"/>
              <w:spacing w:after="0"/>
              <w:rPr>
                <w:sz w:val="20"/>
                <w:szCs w:val="20"/>
                <w:color w:val="auto"/>
              </w:rPr>
            </w:pPr>
            <w:r>
              <w:rPr>
                <w:rFonts w:ascii="Arial" w:cs="Arial" w:eastAsia="Arial" w:hAnsi="Arial"/>
                <w:sz w:val="14"/>
                <w:szCs w:val="14"/>
                <w:color w:val="auto"/>
              </w:rPr>
              <w:t>1,619,200</w:t>
            </w:r>
          </w:p>
        </w:tc>
        <w:tc>
          <w:tcPr>
            <w:tcW w:w="9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684,583</w:t>
            </w:r>
          </w:p>
        </w:tc>
      </w:tr>
      <w:tr>
        <w:trPr>
          <w:trHeight w:val="210"/>
        </w:trPr>
        <w:tc>
          <w:tcPr>
            <w:tcW w:w="880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012E6C"/>
              </w:rPr>
              <w:t>Mr. Bennett</w:t>
            </w:r>
          </w:p>
        </w:tc>
        <w:tc>
          <w:tcPr>
            <w:tcW w:w="1680" w:type="dxa"/>
            <w:vAlign w:val="bottom"/>
            <w:tcBorders>
              <w:bottom w:val="single" w:sz="8" w:color="959595"/>
            </w:tcBorders>
          </w:tcPr>
          <w:p>
            <w:pPr>
              <w:jc w:val="right"/>
              <w:ind w:right="151"/>
              <w:spacing w:after="0"/>
              <w:rPr>
                <w:sz w:val="20"/>
                <w:szCs w:val="20"/>
                <w:color w:val="auto"/>
              </w:rPr>
            </w:pPr>
            <w:r>
              <w:rPr>
                <w:rFonts w:ascii="Arial" w:cs="Arial" w:eastAsia="Arial" w:hAnsi="Arial"/>
                <w:sz w:val="14"/>
                <w:szCs w:val="14"/>
                <w:color w:val="auto"/>
              </w:rPr>
              <w:t>1,619,200</w:t>
            </w:r>
          </w:p>
        </w:tc>
        <w:tc>
          <w:tcPr>
            <w:tcW w:w="9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903,704</w:t>
            </w:r>
          </w:p>
        </w:tc>
      </w:tr>
      <w:tr>
        <w:trPr>
          <w:trHeight w:val="210"/>
        </w:trPr>
        <w:tc>
          <w:tcPr>
            <w:tcW w:w="880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012E6C"/>
              </w:rPr>
              <w:t>Mr. Carvalho</w:t>
            </w:r>
          </w:p>
        </w:tc>
        <w:tc>
          <w:tcPr>
            <w:tcW w:w="1680" w:type="dxa"/>
            <w:vAlign w:val="bottom"/>
            <w:tcBorders>
              <w:bottom w:val="single" w:sz="8" w:color="959595"/>
            </w:tcBorders>
          </w:tcPr>
          <w:p>
            <w:pPr>
              <w:jc w:val="right"/>
              <w:ind w:right="151"/>
              <w:spacing w:after="0"/>
              <w:rPr>
                <w:sz w:val="20"/>
                <w:szCs w:val="20"/>
                <w:color w:val="auto"/>
              </w:rPr>
            </w:pPr>
            <w:r>
              <w:rPr>
                <w:rFonts w:ascii="Arial" w:cs="Arial" w:eastAsia="Arial" w:hAnsi="Arial"/>
                <w:sz w:val="14"/>
                <w:szCs w:val="14"/>
                <w:color w:val="auto"/>
              </w:rPr>
              <w:t>1,619,200</w:t>
            </w:r>
          </w:p>
        </w:tc>
        <w:tc>
          <w:tcPr>
            <w:tcW w:w="9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903,704</w:t>
            </w:r>
          </w:p>
        </w:tc>
      </w:tr>
      <w:tr>
        <w:trPr>
          <w:trHeight w:val="210"/>
        </w:trPr>
        <w:tc>
          <w:tcPr>
            <w:tcW w:w="880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012E6C"/>
              </w:rPr>
              <w:t>Mr. Edwards</w:t>
            </w:r>
          </w:p>
        </w:tc>
        <w:tc>
          <w:tcPr>
            <w:tcW w:w="1680" w:type="dxa"/>
            <w:vAlign w:val="bottom"/>
            <w:tcBorders>
              <w:bottom w:val="single" w:sz="8" w:color="959595"/>
            </w:tcBorders>
          </w:tcPr>
          <w:p>
            <w:pPr>
              <w:jc w:val="right"/>
              <w:ind w:right="151"/>
              <w:spacing w:after="0"/>
              <w:rPr>
                <w:sz w:val="20"/>
                <w:szCs w:val="20"/>
                <w:color w:val="auto"/>
              </w:rPr>
            </w:pPr>
            <w:r>
              <w:rPr>
                <w:rFonts w:ascii="Arial" w:cs="Arial" w:eastAsia="Arial" w:hAnsi="Arial"/>
                <w:sz w:val="14"/>
                <w:szCs w:val="14"/>
                <w:color w:val="auto"/>
              </w:rPr>
              <w:t>1,619,200</w:t>
            </w:r>
          </w:p>
        </w:tc>
        <w:tc>
          <w:tcPr>
            <w:tcW w:w="9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684,583</w:t>
            </w:r>
          </w:p>
        </w:tc>
      </w:tr>
      <w:tr>
        <w:trPr>
          <w:trHeight w:val="210"/>
        </w:trPr>
        <w:tc>
          <w:tcPr>
            <w:tcW w:w="880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012E6C"/>
              </w:rPr>
              <w:t>Mr. St. John</w:t>
            </w:r>
          </w:p>
        </w:tc>
        <w:tc>
          <w:tcPr>
            <w:tcW w:w="1680" w:type="dxa"/>
            <w:vAlign w:val="bottom"/>
            <w:tcBorders>
              <w:bottom w:val="single" w:sz="8" w:color="959595"/>
            </w:tcBorders>
          </w:tcPr>
          <w:p>
            <w:pPr>
              <w:jc w:val="right"/>
              <w:ind w:right="151"/>
              <w:spacing w:after="0"/>
              <w:rPr>
                <w:sz w:val="20"/>
                <w:szCs w:val="20"/>
                <w:color w:val="auto"/>
              </w:rPr>
            </w:pPr>
            <w:r>
              <w:rPr>
                <w:rFonts w:ascii="Arial" w:cs="Arial" w:eastAsia="Arial" w:hAnsi="Arial"/>
                <w:sz w:val="14"/>
                <w:szCs w:val="14"/>
                <w:color w:val="auto"/>
              </w:rPr>
              <w:t>1,619,200</w:t>
            </w:r>
          </w:p>
        </w:tc>
        <w:tc>
          <w:tcPr>
            <w:tcW w:w="9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462,740</w:t>
            </w:r>
          </w:p>
        </w:tc>
      </w:tr>
    </w:tbl>
    <w:p>
      <w:pPr>
        <w:spacing w:after="0" w:line="186" w:lineRule="exact"/>
        <w:rPr>
          <w:sz w:val="20"/>
          <w:szCs w:val="20"/>
          <w:color w:val="auto"/>
        </w:rPr>
      </w:pPr>
    </w:p>
    <w:p>
      <w:pPr>
        <w:spacing w:after="0"/>
        <w:rPr>
          <w:sz w:val="20"/>
          <w:szCs w:val="20"/>
          <w:color w:val="auto"/>
        </w:rPr>
      </w:pPr>
      <w:r>
        <w:rPr>
          <w:rFonts w:ascii="Arial" w:cs="Arial" w:eastAsia="Arial" w:hAnsi="Arial"/>
          <w:sz w:val="25"/>
          <w:szCs w:val="25"/>
          <w:color w:val="475C90"/>
        </w:rPr>
        <w:t>Change in Pension Value and Nonqualified Deferred Compensation Earnings (Column (h))</w:t>
      </w:r>
    </w:p>
    <w:p>
      <w:pPr>
        <w:spacing w:after="0" w:line="242"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Reports the change in the present value of the pension benefit for the NEO for the year reported (for example, from December 31, 2017 to December 31, 2018) and is not the amount that will be paid to the NEO. The table excludes the negative aggregate change in the present value in 2018 of the NEO's accumulated benefits as follows: Ms. Hewson (-$2,988,049); Mr. Tanner (-$119,223); Mr. Bennett (-$901,125); Mr. Carvalho (-$164,763); Mr. Edwards (-$820,466); and Mr. St. John (-$228,172). This column also reports above-market earnings on compensation that was deferred before 2009 by the NEOs under our nonqualified deferred compensation plans as follows: Ms. Hewson $68; Mr. Tanner $6; Mr. Ambrose $22; and Mr. Bennett $1. Above-market earnings represent the difference between the interest rate used to calculate earnings under the applicable plan and 120% of the applicable federal long-term rate prescribed by the Internal Revenue Code. None of the NEOs had above-market earnings in 2017 or 2016. The Interest Investment Option was closed to new deferrals and transfers from other investment options effective July 1, 2009. See the 2018 Nonqualified Deferred Compensation table for additional information.</w:t>
      </w:r>
    </w:p>
    <w:p>
      <w:pPr>
        <w:spacing w:after="0" w:line="18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disclosure of the change in present value of the pension benefit is based on the Corporation’s final average compensation formula in its defined benefit plan which multiplies a percentage (1.25% of compensation below the social security wage base and 1.5% above that level) times years of service times the average of the employee’s highest three years of compensation in the last ten years ending with 2015. This is the same formula used for all participants accruing a pension benefit in 2018; none of the NEOs (including Ms. Hewson) has been credited with any extra years of service or provided a benefit from a special or enhanced formula. Under a three-year final average compensation formula, increasing service, age and compensation (prior to January 1, 2016) will result in an increase in the earned benefit. Effective January 1, 2016, the pay element of the pension calculation was frozen. With pay no longer a factor, any increase in a NEO’s pension benefit is based on service alone. The year-over-year value is also affected by the changes in interest rate and life expectancy (longevity) assumptions. The pension benefit for each of the NEOs increased during 2018. However, for each of the NEOs with the exception of Mr. Ambrose (whose pension value increased more than the other NEOs from the additional year of service given his lower comparative total years of service), there is no change in pension value because the increases were offset by the lower present value factor resulting from the increase in the discount rate from 3.625% to 4.25% and shortened longevity.</w:t>
      </w:r>
    </w:p>
    <w:p>
      <w:pPr>
        <w:spacing w:after="0" w:line="18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Summary Compensation Table uses the same interest rate and longevity assumptions that we use to report pension liabilities for all pension plan participants in our financial statements. These assumptions are updated annually for the year-end measurements of our pension plans. The amounts reported for 2018, 2017, and 2016 used a discount rate of 4.250%, 3.625%, and 4.125%, respectively, as the interest rate. In 2014, the Society of Actuaries issued revised longevity assumptions, and began refining those assumptions annually. We used the revised assumptions in our calculations, indicating a shortened longevity compared with each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375920</wp:posOffset>
            </wp:positionV>
            <wp:extent cx="1440815" cy="3257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44081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808080"/>
        </w:rPr>
        <w:t>54</w:t>
      </w:r>
    </w:p>
    <w:p>
      <w:pPr>
        <w:sectPr>
          <w:pgSz w:w="11900" w:h="16838" w:orient="portrait"/>
          <w:cols w:equalWidth="0" w:num="1">
            <w:col w:w="11420"/>
          </w:cols>
          <w:pgMar w:left="240" w:top="292"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5"/>
          <w:szCs w:val="15"/>
          <w:color w:val="003478"/>
        </w:rPr>
        <w:t>Executive Compensation</w:t>
      </w:r>
    </w:p>
    <w:p>
      <w:pPr>
        <w:spacing w:after="0" w:line="347" w:lineRule="exact"/>
        <w:rPr>
          <w:sz w:val="20"/>
          <w:szCs w:val="20"/>
          <w:color w:val="auto"/>
        </w:rPr>
      </w:pPr>
    </w:p>
    <w:p>
      <w:pPr>
        <w:spacing w:after="0"/>
        <w:rPr>
          <w:sz w:val="20"/>
          <w:szCs w:val="20"/>
          <w:color w:val="auto"/>
        </w:rPr>
      </w:pPr>
      <w:r>
        <w:rPr>
          <w:rFonts w:ascii="Arial" w:cs="Arial" w:eastAsia="Arial" w:hAnsi="Arial"/>
          <w:sz w:val="25"/>
          <w:szCs w:val="25"/>
          <w:color w:val="475C90"/>
        </w:rPr>
        <w:t>All Other Compensation (Column (i))</w:t>
      </w:r>
    </w:p>
    <w:p>
      <w:pPr>
        <w:spacing w:after="0" w:line="242"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Perquisites and other personal benefits provided to the NEOs in 2018 included: security; annual executive physicals; business association expenses; use of corporate aircraft for personal travel and other related expenses; and travel and other expenses for a family member accompanying the NEO while on business travel. Not all of the listed perquisites or personal benefits were provided to each NEO. In addition, the Corporation made available event tickets and a company-provided car and driver for personal commuting to some of the NEOs, but required the NEOs to reimburse the Corporation for the incremental cost to the Corporation in 2018 of such items. The cost of any category of the listed perquisites and personal benefits did not exceed the greater of $25,000 or 10% of total perquisites and personal benefits for any NEO, except for: (i) security for Ms. Hewson $369,796;</w:t>
      </w:r>
    </w:p>
    <w:p>
      <w:pPr>
        <w:spacing w:after="0" w:line="1" w:lineRule="exact"/>
        <w:rPr>
          <w:sz w:val="20"/>
          <w:szCs w:val="20"/>
          <w:color w:val="auto"/>
        </w:rPr>
      </w:pPr>
    </w:p>
    <w:p>
      <w:pPr>
        <w:ind w:right="120" w:firstLine="8"/>
        <w:spacing w:after="0" w:line="271" w:lineRule="auto"/>
        <w:tabs>
          <w:tab w:leader="none" w:pos="237" w:val="left"/>
        </w:tabs>
        <w:numPr>
          <w:ilvl w:val="0"/>
          <w:numId w:val="81"/>
        </w:numPr>
        <w:rPr>
          <w:rFonts w:ascii="Arial" w:cs="Arial" w:eastAsia="Arial" w:hAnsi="Arial"/>
          <w:sz w:val="17"/>
          <w:szCs w:val="17"/>
          <w:color w:val="auto"/>
        </w:rPr>
      </w:pPr>
      <w:r>
        <w:rPr>
          <w:rFonts w:ascii="Arial" w:cs="Arial" w:eastAsia="Arial" w:hAnsi="Arial"/>
          <w:sz w:val="17"/>
          <w:szCs w:val="17"/>
          <w:color w:val="auto"/>
        </w:rPr>
        <w:t>personal use of the corporate aircraft for Ms. Hewson $464,467; Mr. Tanner $34,159; Mr. Bennett $268,363; Mr. Carvalho $49,312; Mr. Edwards $203,426; and Mr. St. John $39,689; and (iii) relocation expenses for Mr. St. John $76,428. The incremental cost for use of corporate aircraft for personal travel was calculated based on the total personal travel flight hours multiplied by the estimated hourly aircraft operating costs for 2018 (including fuel, maintenance, staff travel expenses, catering and other variable costs, but excluding fixed capital costs for the aircraft, hangar facilities, and staff salaries).</w:t>
      </w:r>
    </w:p>
    <w:p>
      <w:pPr>
        <w:spacing w:after="0" w:line="178"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The incremental cost for personal security is calculated based on billings for services and equipment from third parties and for overtime and related expenses where the services are provided by the Corporation’s personnel. Given the nature of our business, additional security may be provided for travel in high-risk areas or to address particular situations. We believe that providing personal security in response to concerns arising out of employment by the Corporation is business-related.</w:t>
      </w:r>
    </w:p>
    <w:p>
      <w:pPr>
        <w:spacing w:after="0" w:line="171"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In addition to perquisites, column (i) also contains items of compensation listed in the following table. All items are paid under broad-based programs for U.S. salaried employees except for the tax assistance and the Lockheed Martin Corporation Supplemental Savings Plan (NQSSP) and the Lockheed Martin Corporation Non-qualified Capital Accumulation Plan (NCAP) (together, the Nonqualified Defined Contribution Plans) match or Corporation contributions. Items include matching contributions made to eligible universities, colleges and other non-profit organizations under the Corporation’s matching gift programs available to all employees. Listed amounts may include contributions made in 2019 to match 2018 executive contributions.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color w:val="848EB4"/>
        </w:rPr>
        <w:t>Other Items of Compensation Included in “All Other Compensation” Column (i)</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20" w:type="dxa"/>
            <w:vAlign w:val="bottom"/>
            <w:shd w:val="clear" w:color="auto" w:fill="ECECEC"/>
          </w:tcPr>
          <w:p>
            <w:pPr>
              <w:spacing w:after="0"/>
              <w:rPr>
                <w:sz w:val="12"/>
                <w:szCs w:val="12"/>
                <w:color w:val="auto"/>
              </w:rPr>
            </w:pPr>
          </w:p>
        </w:tc>
        <w:tc>
          <w:tcPr>
            <w:tcW w:w="1580" w:type="dxa"/>
            <w:vAlign w:val="bottom"/>
            <w:vMerge w:val="restart"/>
            <w:shd w:val="clear" w:color="auto" w:fill="ECECEC"/>
          </w:tcPr>
          <w:p>
            <w:pPr>
              <w:jc w:val="right"/>
              <w:ind w:right="271"/>
              <w:spacing w:after="0"/>
              <w:rPr>
                <w:sz w:val="20"/>
                <w:szCs w:val="20"/>
                <w:color w:val="auto"/>
              </w:rPr>
            </w:pPr>
            <w:r>
              <w:rPr>
                <w:rFonts w:ascii="Arial" w:cs="Arial" w:eastAsia="Arial" w:hAnsi="Arial"/>
                <w:sz w:val="13"/>
                <w:szCs w:val="13"/>
                <w:color w:val="auto"/>
              </w:rPr>
              <w:t>Tax Assistance</w:t>
            </w:r>
          </w:p>
        </w:tc>
        <w:tc>
          <w:tcPr>
            <w:tcW w:w="1640" w:type="dxa"/>
            <w:vAlign w:val="bottom"/>
            <w:shd w:val="clear" w:color="auto" w:fill="ECECEC"/>
          </w:tcPr>
          <w:p>
            <w:pPr>
              <w:jc w:val="right"/>
              <w:ind w:right="192"/>
              <w:spacing w:after="0"/>
              <w:rPr>
                <w:sz w:val="20"/>
                <w:szCs w:val="20"/>
                <w:color w:val="auto"/>
              </w:rPr>
            </w:pPr>
            <w:r>
              <w:rPr>
                <w:rFonts w:ascii="Arial" w:cs="Arial" w:eastAsia="Arial" w:hAnsi="Arial"/>
                <w:sz w:val="13"/>
                <w:szCs w:val="13"/>
                <w:color w:val="auto"/>
              </w:rPr>
              <w:t>Corporation</w:t>
            </w:r>
          </w:p>
        </w:tc>
        <w:tc>
          <w:tcPr>
            <w:tcW w:w="1780" w:type="dxa"/>
            <w:vAlign w:val="bottom"/>
            <w:shd w:val="clear" w:color="auto" w:fill="ECECEC"/>
          </w:tcPr>
          <w:p>
            <w:pPr>
              <w:jc w:val="right"/>
              <w:ind w:right="272"/>
              <w:spacing w:after="0"/>
              <w:rPr>
                <w:sz w:val="20"/>
                <w:szCs w:val="20"/>
                <w:color w:val="auto"/>
              </w:rPr>
            </w:pPr>
            <w:r>
              <w:rPr>
                <w:rFonts w:ascii="Arial" w:cs="Arial" w:eastAsia="Arial" w:hAnsi="Arial"/>
                <w:sz w:val="13"/>
                <w:szCs w:val="13"/>
                <w:color w:val="auto"/>
              </w:rPr>
              <w:t>Corporation</w:t>
            </w:r>
          </w:p>
        </w:tc>
        <w:tc>
          <w:tcPr>
            <w:tcW w:w="1220" w:type="dxa"/>
            <w:vAlign w:val="bottom"/>
            <w:shd w:val="clear" w:color="auto" w:fill="ECECEC"/>
          </w:tcPr>
          <w:p>
            <w:pPr>
              <w:spacing w:after="0"/>
              <w:rPr>
                <w:sz w:val="12"/>
                <w:szCs w:val="12"/>
                <w:color w:val="auto"/>
              </w:rPr>
            </w:pPr>
          </w:p>
        </w:tc>
        <w:tc>
          <w:tcPr>
            <w:tcW w:w="1080" w:type="dxa"/>
            <w:vAlign w:val="bottom"/>
            <w:shd w:val="clear" w:color="auto" w:fill="ECECE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120" w:type="dxa"/>
            <w:vAlign w:val="bottom"/>
            <w:shd w:val="clear" w:color="auto" w:fill="ECECEC"/>
          </w:tcPr>
          <w:p>
            <w:pPr>
              <w:spacing w:after="0"/>
              <w:rPr>
                <w:sz w:val="11"/>
                <w:szCs w:val="11"/>
                <w:color w:val="auto"/>
              </w:rPr>
            </w:pPr>
          </w:p>
        </w:tc>
        <w:tc>
          <w:tcPr>
            <w:tcW w:w="1580" w:type="dxa"/>
            <w:vAlign w:val="bottom"/>
            <w:vMerge w:val="continue"/>
            <w:shd w:val="clear" w:color="auto" w:fill="ECECEC"/>
          </w:tcPr>
          <w:p>
            <w:pPr>
              <w:spacing w:after="0"/>
              <w:rPr>
                <w:sz w:val="11"/>
                <w:szCs w:val="11"/>
                <w:color w:val="auto"/>
              </w:rPr>
            </w:pPr>
          </w:p>
        </w:tc>
        <w:tc>
          <w:tcPr>
            <w:tcW w:w="1640" w:type="dxa"/>
            <w:vAlign w:val="bottom"/>
            <w:shd w:val="clear" w:color="auto" w:fill="ECECEC"/>
          </w:tcPr>
          <w:p>
            <w:pPr>
              <w:jc w:val="right"/>
              <w:ind w:right="192"/>
              <w:spacing w:after="0" w:line="135" w:lineRule="exact"/>
              <w:rPr>
                <w:sz w:val="20"/>
                <w:szCs w:val="20"/>
                <w:color w:val="auto"/>
              </w:rPr>
            </w:pPr>
            <w:r>
              <w:rPr>
                <w:rFonts w:ascii="Arial" w:cs="Arial" w:eastAsia="Arial" w:hAnsi="Arial"/>
                <w:sz w:val="13"/>
                <w:szCs w:val="13"/>
                <w:color w:val="auto"/>
              </w:rPr>
              <w:t>Contributions to</w:t>
            </w:r>
          </w:p>
        </w:tc>
        <w:tc>
          <w:tcPr>
            <w:tcW w:w="1780" w:type="dxa"/>
            <w:vAlign w:val="bottom"/>
            <w:shd w:val="clear" w:color="auto" w:fill="ECECEC"/>
          </w:tcPr>
          <w:p>
            <w:pPr>
              <w:jc w:val="right"/>
              <w:ind w:right="272"/>
              <w:spacing w:after="0" w:line="135" w:lineRule="exact"/>
              <w:rPr>
                <w:sz w:val="20"/>
                <w:szCs w:val="20"/>
                <w:color w:val="auto"/>
              </w:rPr>
            </w:pPr>
            <w:r>
              <w:rPr>
                <w:rFonts w:ascii="Arial" w:cs="Arial" w:eastAsia="Arial" w:hAnsi="Arial"/>
                <w:sz w:val="13"/>
                <w:szCs w:val="13"/>
                <w:color w:val="auto"/>
              </w:rPr>
              <w:t>Contributions to</w:t>
            </w:r>
          </w:p>
        </w:tc>
        <w:tc>
          <w:tcPr>
            <w:tcW w:w="1220" w:type="dxa"/>
            <w:vAlign w:val="bottom"/>
            <w:vMerge w:val="restart"/>
            <w:shd w:val="clear" w:color="auto" w:fill="ECECEC"/>
          </w:tcPr>
          <w:p>
            <w:pPr>
              <w:jc w:val="right"/>
              <w:ind w:right="251"/>
              <w:spacing w:after="0"/>
              <w:rPr>
                <w:sz w:val="20"/>
                <w:szCs w:val="20"/>
                <w:color w:val="auto"/>
              </w:rPr>
            </w:pPr>
            <w:r>
              <w:rPr>
                <w:rFonts w:ascii="Arial" w:cs="Arial" w:eastAsia="Arial" w:hAnsi="Arial"/>
                <w:sz w:val="13"/>
                <w:szCs w:val="13"/>
                <w:color w:val="auto"/>
              </w:rPr>
              <w:t>Group Life</w:t>
            </w:r>
          </w:p>
        </w:tc>
        <w:tc>
          <w:tcPr>
            <w:tcW w:w="1080" w:type="dxa"/>
            <w:vAlign w:val="bottom"/>
            <w:vMerge w:val="restart"/>
            <w:shd w:val="clear" w:color="auto" w:fill="ECECEC"/>
          </w:tcPr>
          <w:p>
            <w:pPr>
              <w:jc w:val="right"/>
              <w:spacing w:after="0"/>
              <w:rPr>
                <w:sz w:val="20"/>
                <w:szCs w:val="20"/>
                <w:color w:val="auto"/>
              </w:rPr>
            </w:pPr>
            <w:r>
              <w:rPr>
                <w:rFonts w:ascii="Arial" w:cs="Arial" w:eastAsia="Arial" w:hAnsi="Arial"/>
                <w:sz w:val="13"/>
                <w:szCs w:val="13"/>
                <w:color w:val="auto"/>
              </w:rPr>
              <w:t>Matching Gift</w:t>
            </w:r>
          </w:p>
        </w:tc>
        <w:tc>
          <w:tcPr>
            <w:tcW w:w="0" w:type="dxa"/>
            <w:vAlign w:val="bottom"/>
          </w:tcPr>
          <w:p>
            <w:pPr>
              <w:spacing w:after="0"/>
              <w:rPr>
                <w:sz w:val="1"/>
                <w:szCs w:val="1"/>
                <w:color w:val="auto"/>
              </w:rPr>
            </w:pPr>
          </w:p>
        </w:tc>
      </w:tr>
      <w:tr>
        <w:trPr>
          <w:trHeight w:val="135"/>
        </w:trPr>
        <w:tc>
          <w:tcPr>
            <w:tcW w:w="4120" w:type="dxa"/>
            <w:vAlign w:val="bottom"/>
            <w:shd w:val="clear" w:color="auto" w:fill="ECECEC"/>
          </w:tcPr>
          <w:p>
            <w:pPr>
              <w:spacing w:after="0"/>
              <w:rPr>
                <w:sz w:val="11"/>
                <w:szCs w:val="11"/>
                <w:color w:val="auto"/>
              </w:rPr>
            </w:pPr>
          </w:p>
        </w:tc>
        <w:tc>
          <w:tcPr>
            <w:tcW w:w="1580" w:type="dxa"/>
            <w:vAlign w:val="bottom"/>
            <w:shd w:val="clear" w:color="auto" w:fill="ECECEC"/>
          </w:tcPr>
          <w:p>
            <w:pPr>
              <w:jc w:val="right"/>
              <w:ind w:right="271"/>
              <w:spacing w:after="0" w:line="135" w:lineRule="exact"/>
              <w:rPr>
                <w:sz w:val="20"/>
                <w:szCs w:val="20"/>
                <w:color w:val="auto"/>
              </w:rPr>
            </w:pPr>
            <w:r>
              <w:rPr>
                <w:rFonts w:ascii="Arial" w:cs="Arial" w:eastAsia="Arial" w:hAnsi="Arial"/>
                <w:sz w:val="13"/>
                <w:szCs w:val="13"/>
                <w:color w:val="auto"/>
              </w:rPr>
              <w:t>for Business-</w:t>
            </w:r>
          </w:p>
        </w:tc>
        <w:tc>
          <w:tcPr>
            <w:tcW w:w="1640" w:type="dxa"/>
            <w:vAlign w:val="bottom"/>
            <w:shd w:val="clear" w:color="auto" w:fill="ECECEC"/>
          </w:tcPr>
          <w:p>
            <w:pPr>
              <w:jc w:val="right"/>
              <w:ind w:right="192"/>
              <w:spacing w:after="0" w:line="135" w:lineRule="exact"/>
              <w:rPr>
                <w:sz w:val="20"/>
                <w:szCs w:val="20"/>
                <w:color w:val="auto"/>
              </w:rPr>
            </w:pPr>
            <w:r>
              <w:rPr>
                <w:rFonts w:ascii="Arial" w:cs="Arial" w:eastAsia="Arial" w:hAnsi="Arial"/>
                <w:sz w:val="13"/>
                <w:szCs w:val="13"/>
                <w:color w:val="auto"/>
              </w:rPr>
              <w:t>Qualified Defined</w:t>
            </w:r>
          </w:p>
        </w:tc>
        <w:tc>
          <w:tcPr>
            <w:tcW w:w="1780" w:type="dxa"/>
            <w:vAlign w:val="bottom"/>
            <w:shd w:val="clear" w:color="auto" w:fill="ECECEC"/>
          </w:tcPr>
          <w:p>
            <w:pPr>
              <w:jc w:val="right"/>
              <w:ind w:right="272"/>
              <w:spacing w:after="0" w:line="135" w:lineRule="exact"/>
              <w:rPr>
                <w:sz w:val="20"/>
                <w:szCs w:val="20"/>
                <w:color w:val="auto"/>
              </w:rPr>
            </w:pPr>
            <w:r>
              <w:rPr>
                <w:rFonts w:ascii="Arial" w:cs="Arial" w:eastAsia="Arial" w:hAnsi="Arial"/>
                <w:sz w:val="13"/>
                <w:szCs w:val="13"/>
                <w:color w:val="auto"/>
              </w:rPr>
              <w:t>Nonqualified Defined</w:t>
            </w:r>
          </w:p>
        </w:tc>
        <w:tc>
          <w:tcPr>
            <w:tcW w:w="1220" w:type="dxa"/>
            <w:vAlign w:val="bottom"/>
            <w:vMerge w:val="continue"/>
            <w:shd w:val="clear" w:color="auto" w:fill="ECECEC"/>
          </w:tcPr>
          <w:p>
            <w:pPr>
              <w:spacing w:after="0"/>
              <w:rPr>
                <w:sz w:val="11"/>
                <w:szCs w:val="11"/>
                <w:color w:val="auto"/>
              </w:rPr>
            </w:pPr>
          </w:p>
        </w:tc>
        <w:tc>
          <w:tcPr>
            <w:tcW w:w="1080" w:type="dxa"/>
            <w:vAlign w:val="bottom"/>
            <w:vMerge w:val="continue"/>
            <w:shd w:val="clear" w:color="auto" w:fill="ECECEC"/>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4120" w:type="dxa"/>
            <w:vAlign w:val="bottom"/>
            <w:shd w:val="clear" w:color="auto" w:fill="ECECEC"/>
          </w:tcPr>
          <w:p>
            <w:pPr>
              <w:spacing w:after="0"/>
              <w:rPr>
                <w:sz w:val="14"/>
                <w:szCs w:val="14"/>
                <w:color w:val="auto"/>
              </w:rPr>
            </w:pPr>
          </w:p>
        </w:tc>
        <w:tc>
          <w:tcPr>
            <w:tcW w:w="1580" w:type="dxa"/>
            <w:vAlign w:val="bottom"/>
            <w:shd w:val="clear" w:color="auto" w:fill="ECECEC"/>
          </w:tcPr>
          <w:p>
            <w:pPr>
              <w:jc w:val="right"/>
              <w:ind w:right="271"/>
              <w:spacing w:after="0"/>
              <w:rPr>
                <w:sz w:val="20"/>
                <w:szCs w:val="20"/>
                <w:color w:val="auto"/>
              </w:rPr>
            </w:pPr>
            <w:r>
              <w:rPr>
                <w:rFonts w:ascii="Arial" w:cs="Arial" w:eastAsia="Arial" w:hAnsi="Arial"/>
                <w:sz w:val="13"/>
                <w:szCs w:val="13"/>
                <w:color w:val="auto"/>
              </w:rPr>
              <w:t>Related Items</w:t>
            </w:r>
          </w:p>
        </w:tc>
        <w:tc>
          <w:tcPr>
            <w:tcW w:w="1640" w:type="dxa"/>
            <w:vAlign w:val="bottom"/>
            <w:shd w:val="clear" w:color="auto" w:fill="ECECEC"/>
          </w:tcPr>
          <w:p>
            <w:pPr>
              <w:jc w:val="right"/>
              <w:ind w:right="192"/>
              <w:spacing w:after="0"/>
              <w:rPr>
                <w:sz w:val="20"/>
                <w:szCs w:val="20"/>
                <w:color w:val="auto"/>
              </w:rPr>
            </w:pPr>
            <w:r>
              <w:rPr>
                <w:rFonts w:ascii="Arial" w:cs="Arial" w:eastAsia="Arial" w:hAnsi="Arial"/>
                <w:sz w:val="13"/>
                <w:szCs w:val="13"/>
                <w:color w:val="auto"/>
              </w:rPr>
              <w:t>Contribution Plans</w:t>
            </w:r>
          </w:p>
        </w:tc>
        <w:tc>
          <w:tcPr>
            <w:tcW w:w="1780" w:type="dxa"/>
            <w:vAlign w:val="bottom"/>
            <w:shd w:val="clear" w:color="auto" w:fill="ECECEC"/>
          </w:tcPr>
          <w:p>
            <w:pPr>
              <w:jc w:val="right"/>
              <w:ind w:right="272"/>
              <w:spacing w:after="0"/>
              <w:rPr>
                <w:sz w:val="20"/>
                <w:szCs w:val="20"/>
                <w:color w:val="auto"/>
              </w:rPr>
            </w:pPr>
            <w:r>
              <w:rPr>
                <w:rFonts w:ascii="Arial" w:cs="Arial" w:eastAsia="Arial" w:hAnsi="Arial"/>
                <w:sz w:val="13"/>
                <w:szCs w:val="13"/>
                <w:color w:val="auto"/>
              </w:rPr>
              <w:t>Contribution Plans</w:t>
            </w:r>
          </w:p>
        </w:tc>
        <w:tc>
          <w:tcPr>
            <w:tcW w:w="1220" w:type="dxa"/>
            <w:vAlign w:val="bottom"/>
            <w:shd w:val="clear" w:color="auto" w:fill="ECECEC"/>
          </w:tcPr>
          <w:p>
            <w:pPr>
              <w:jc w:val="right"/>
              <w:ind w:right="251"/>
              <w:spacing w:after="0"/>
              <w:rPr>
                <w:sz w:val="20"/>
                <w:szCs w:val="20"/>
                <w:color w:val="auto"/>
              </w:rPr>
            </w:pPr>
            <w:r>
              <w:rPr>
                <w:rFonts w:ascii="Arial" w:cs="Arial" w:eastAsia="Arial" w:hAnsi="Arial"/>
                <w:sz w:val="13"/>
                <w:szCs w:val="13"/>
                <w:color w:val="auto"/>
              </w:rPr>
              <w:t>Insurance</w:t>
            </w:r>
          </w:p>
        </w:tc>
        <w:tc>
          <w:tcPr>
            <w:tcW w:w="1080" w:type="dxa"/>
            <w:vAlign w:val="bottom"/>
            <w:shd w:val="clear" w:color="auto" w:fill="ECECEC"/>
          </w:tcPr>
          <w:p>
            <w:pPr>
              <w:jc w:val="right"/>
              <w:spacing w:after="0"/>
              <w:rPr>
                <w:sz w:val="20"/>
                <w:szCs w:val="20"/>
                <w:color w:val="auto"/>
              </w:rPr>
            </w:pPr>
            <w:r>
              <w:rPr>
                <w:rFonts w:ascii="Arial" w:cs="Arial" w:eastAsia="Arial" w:hAnsi="Arial"/>
                <w:sz w:val="13"/>
                <w:szCs w:val="13"/>
                <w:color w:val="auto"/>
              </w:rPr>
              <w:t>Programs</w:t>
            </w:r>
          </w:p>
        </w:tc>
        <w:tc>
          <w:tcPr>
            <w:tcW w:w="0" w:type="dxa"/>
            <w:vAlign w:val="bottom"/>
          </w:tcPr>
          <w:p>
            <w:pPr>
              <w:spacing w:after="0"/>
              <w:rPr>
                <w:sz w:val="1"/>
                <w:szCs w:val="1"/>
                <w:color w:val="auto"/>
              </w:rPr>
            </w:pPr>
          </w:p>
        </w:tc>
      </w:tr>
      <w:tr>
        <w:trPr>
          <w:trHeight w:val="197"/>
        </w:trPr>
        <w:tc>
          <w:tcPr>
            <w:tcW w:w="4120" w:type="dxa"/>
            <w:vAlign w:val="bottom"/>
            <w:tcBorders>
              <w:bottom w:val="single" w:sz="8" w:color="959595"/>
            </w:tcBorders>
            <w:shd w:val="clear" w:color="auto" w:fill="ECECEC"/>
          </w:tcPr>
          <w:p>
            <w:pPr>
              <w:ind w:left="40"/>
              <w:spacing w:after="0"/>
              <w:rPr>
                <w:sz w:val="20"/>
                <w:szCs w:val="20"/>
                <w:color w:val="auto"/>
              </w:rPr>
            </w:pPr>
            <w:r>
              <w:rPr>
                <w:rFonts w:ascii="Arial" w:cs="Arial" w:eastAsia="Arial" w:hAnsi="Arial"/>
                <w:sz w:val="13"/>
                <w:szCs w:val="13"/>
                <w:color w:val="auto"/>
              </w:rPr>
              <w:t>Name</w:t>
            </w:r>
          </w:p>
        </w:tc>
        <w:tc>
          <w:tcPr>
            <w:tcW w:w="1580" w:type="dxa"/>
            <w:vAlign w:val="bottom"/>
            <w:tcBorders>
              <w:bottom w:val="single" w:sz="8" w:color="959595"/>
            </w:tcBorders>
            <w:shd w:val="clear" w:color="auto" w:fill="ECECEC"/>
          </w:tcPr>
          <w:p>
            <w:pPr>
              <w:jc w:val="right"/>
              <w:ind w:right="271"/>
              <w:spacing w:after="0"/>
              <w:rPr>
                <w:sz w:val="20"/>
                <w:szCs w:val="20"/>
                <w:color w:val="auto"/>
              </w:rPr>
            </w:pPr>
            <w:r>
              <w:rPr>
                <w:rFonts w:ascii="Arial" w:cs="Arial" w:eastAsia="Arial" w:hAnsi="Arial"/>
                <w:sz w:val="13"/>
                <w:szCs w:val="13"/>
                <w:color w:val="auto"/>
              </w:rPr>
              <w:t>($)</w:t>
            </w:r>
          </w:p>
        </w:tc>
        <w:tc>
          <w:tcPr>
            <w:tcW w:w="1640" w:type="dxa"/>
            <w:vAlign w:val="bottom"/>
            <w:tcBorders>
              <w:bottom w:val="single" w:sz="8" w:color="959595"/>
            </w:tcBorders>
            <w:shd w:val="clear" w:color="auto" w:fill="ECECEC"/>
          </w:tcPr>
          <w:p>
            <w:pPr>
              <w:jc w:val="right"/>
              <w:ind w:right="192"/>
              <w:spacing w:after="0"/>
              <w:rPr>
                <w:sz w:val="20"/>
                <w:szCs w:val="20"/>
                <w:color w:val="auto"/>
              </w:rPr>
            </w:pPr>
            <w:r>
              <w:rPr>
                <w:rFonts w:ascii="Arial" w:cs="Arial" w:eastAsia="Arial" w:hAnsi="Arial"/>
                <w:sz w:val="13"/>
                <w:szCs w:val="13"/>
                <w:color w:val="auto"/>
              </w:rPr>
              <w:t>($)</w:t>
            </w:r>
          </w:p>
        </w:tc>
        <w:tc>
          <w:tcPr>
            <w:tcW w:w="1780" w:type="dxa"/>
            <w:vAlign w:val="bottom"/>
            <w:tcBorders>
              <w:bottom w:val="single" w:sz="8" w:color="959595"/>
            </w:tcBorders>
            <w:shd w:val="clear" w:color="auto" w:fill="ECECEC"/>
          </w:tcPr>
          <w:p>
            <w:pPr>
              <w:jc w:val="right"/>
              <w:ind w:right="272"/>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959595"/>
            </w:tcBorders>
            <w:shd w:val="clear" w:color="auto" w:fill="ECECEC"/>
          </w:tcPr>
          <w:p>
            <w:pPr>
              <w:jc w:val="right"/>
              <w:ind w:right="251"/>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959595"/>
            </w:tcBorders>
            <w:shd w:val="clear" w:color="auto" w:fill="ECECEC"/>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5"/>
        </w:trPr>
        <w:tc>
          <w:tcPr>
            <w:tcW w:w="412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012E6C"/>
              </w:rPr>
              <w:t>Ms. Hewson</w:t>
            </w:r>
          </w:p>
        </w:tc>
        <w:tc>
          <w:tcPr>
            <w:tcW w:w="1580" w:type="dxa"/>
            <w:vAlign w:val="bottom"/>
            <w:tcBorders>
              <w:bottom w:val="single" w:sz="8" w:color="959595"/>
            </w:tcBorders>
          </w:tcPr>
          <w:p>
            <w:pPr>
              <w:jc w:val="right"/>
              <w:ind w:right="271"/>
              <w:spacing w:after="0"/>
              <w:rPr>
                <w:sz w:val="20"/>
                <w:szCs w:val="20"/>
                <w:color w:val="auto"/>
              </w:rPr>
            </w:pPr>
            <w:r>
              <w:rPr>
                <w:rFonts w:ascii="Arial" w:cs="Arial" w:eastAsia="Arial" w:hAnsi="Arial"/>
                <w:sz w:val="14"/>
                <w:szCs w:val="14"/>
                <w:color w:val="auto"/>
              </w:rPr>
              <w:t>217,503</w:t>
            </w:r>
          </w:p>
        </w:tc>
        <w:tc>
          <w:tcPr>
            <w:tcW w:w="1640" w:type="dxa"/>
            <w:vAlign w:val="bottom"/>
            <w:tcBorders>
              <w:bottom w:val="single" w:sz="8" w:color="959595"/>
            </w:tcBorders>
          </w:tcPr>
          <w:p>
            <w:pPr>
              <w:jc w:val="right"/>
              <w:ind w:right="192"/>
              <w:spacing w:after="0"/>
              <w:rPr>
                <w:sz w:val="20"/>
                <w:szCs w:val="20"/>
                <w:color w:val="auto"/>
              </w:rPr>
            </w:pPr>
            <w:r>
              <w:rPr>
                <w:rFonts w:ascii="Arial" w:cs="Arial" w:eastAsia="Arial" w:hAnsi="Arial"/>
                <w:sz w:val="14"/>
                <w:szCs w:val="14"/>
                <w:color w:val="auto"/>
              </w:rPr>
              <w:t>9,200</w:t>
            </w:r>
          </w:p>
        </w:tc>
        <w:tc>
          <w:tcPr>
            <w:tcW w:w="1780" w:type="dxa"/>
            <w:vAlign w:val="bottom"/>
            <w:tcBorders>
              <w:bottom w:val="single" w:sz="8" w:color="959595"/>
            </w:tcBorders>
          </w:tcPr>
          <w:p>
            <w:pPr>
              <w:jc w:val="right"/>
              <w:ind w:right="272"/>
              <w:spacing w:after="0"/>
              <w:rPr>
                <w:sz w:val="20"/>
                <w:szCs w:val="20"/>
                <w:color w:val="auto"/>
              </w:rPr>
            </w:pPr>
            <w:r>
              <w:rPr>
                <w:rFonts w:ascii="Arial" w:cs="Arial" w:eastAsia="Arial" w:hAnsi="Arial"/>
                <w:sz w:val="14"/>
                <w:szCs w:val="14"/>
                <w:color w:val="auto"/>
              </w:rPr>
              <w:t>94,981</w:t>
            </w:r>
          </w:p>
        </w:tc>
        <w:tc>
          <w:tcPr>
            <w:tcW w:w="1220" w:type="dxa"/>
            <w:vAlign w:val="bottom"/>
            <w:tcBorders>
              <w:bottom w:val="single" w:sz="8" w:color="959595"/>
            </w:tcBorders>
          </w:tcPr>
          <w:p>
            <w:pPr>
              <w:jc w:val="right"/>
              <w:ind w:right="251"/>
              <w:spacing w:after="0"/>
              <w:rPr>
                <w:sz w:val="20"/>
                <w:szCs w:val="20"/>
                <w:color w:val="auto"/>
              </w:rPr>
            </w:pPr>
            <w:r>
              <w:rPr>
                <w:rFonts w:ascii="Arial" w:cs="Arial" w:eastAsia="Arial" w:hAnsi="Arial"/>
                <w:sz w:val="14"/>
                <w:szCs w:val="14"/>
                <w:color w:val="auto"/>
              </w:rPr>
              <w:t>25,070</w:t>
            </w:r>
          </w:p>
        </w:tc>
        <w:tc>
          <w:tcPr>
            <w:tcW w:w="10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12,000</w:t>
            </w:r>
          </w:p>
        </w:tc>
        <w:tc>
          <w:tcPr>
            <w:tcW w:w="0" w:type="dxa"/>
            <w:vAlign w:val="bottom"/>
          </w:tcPr>
          <w:p>
            <w:pPr>
              <w:spacing w:after="0"/>
              <w:rPr>
                <w:sz w:val="1"/>
                <w:szCs w:val="1"/>
                <w:color w:val="auto"/>
              </w:rPr>
            </w:pPr>
          </w:p>
        </w:tc>
      </w:tr>
      <w:tr>
        <w:trPr>
          <w:trHeight w:val="210"/>
        </w:trPr>
        <w:tc>
          <w:tcPr>
            <w:tcW w:w="412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012E6C"/>
              </w:rPr>
              <w:t>Mr. Tanner</w:t>
            </w:r>
          </w:p>
        </w:tc>
        <w:tc>
          <w:tcPr>
            <w:tcW w:w="1580" w:type="dxa"/>
            <w:vAlign w:val="bottom"/>
            <w:tcBorders>
              <w:bottom w:val="single" w:sz="8" w:color="959595"/>
            </w:tcBorders>
          </w:tcPr>
          <w:p>
            <w:pPr>
              <w:jc w:val="right"/>
              <w:ind w:right="271"/>
              <w:spacing w:after="0"/>
              <w:rPr>
                <w:sz w:val="20"/>
                <w:szCs w:val="20"/>
                <w:color w:val="auto"/>
              </w:rPr>
            </w:pPr>
            <w:r>
              <w:rPr>
                <w:rFonts w:ascii="Arial" w:cs="Arial" w:eastAsia="Arial" w:hAnsi="Arial"/>
                <w:sz w:val="14"/>
                <w:szCs w:val="14"/>
                <w:color w:val="auto"/>
              </w:rPr>
              <w:t>12,126</w:t>
            </w:r>
          </w:p>
        </w:tc>
        <w:tc>
          <w:tcPr>
            <w:tcW w:w="1640" w:type="dxa"/>
            <w:vAlign w:val="bottom"/>
            <w:tcBorders>
              <w:bottom w:val="single" w:sz="8" w:color="959595"/>
            </w:tcBorders>
          </w:tcPr>
          <w:p>
            <w:pPr>
              <w:jc w:val="right"/>
              <w:ind w:right="192"/>
              <w:spacing w:after="0"/>
              <w:rPr>
                <w:sz w:val="20"/>
                <w:szCs w:val="20"/>
                <w:color w:val="auto"/>
              </w:rPr>
            </w:pPr>
            <w:r>
              <w:rPr>
                <w:rFonts w:ascii="Arial" w:cs="Arial" w:eastAsia="Arial" w:hAnsi="Arial"/>
                <w:sz w:val="14"/>
                <w:szCs w:val="14"/>
                <w:color w:val="auto"/>
              </w:rPr>
              <w:t>9,024</w:t>
            </w:r>
          </w:p>
        </w:tc>
        <w:tc>
          <w:tcPr>
            <w:tcW w:w="1780" w:type="dxa"/>
            <w:vAlign w:val="bottom"/>
            <w:tcBorders>
              <w:bottom w:val="single" w:sz="8" w:color="959595"/>
            </w:tcBorders>
          </w:tcPr>
          <w:p>
            <w:pPr>
              <w:jc w:val="right"/>
              <w:ind w:right="272"/>
              <w:spacing w:after="0"/>
              <w:rPr>
                <w:sz w:val="20"/>
                <w:szCs w:val="20"/>
                <w:color w:val="auto"/>
              </w:rPr>
            </w:pPr>
            <w:r>
              <w:rPr>
                <w:rFonts w:ascii="Arial" w:cs="Arial" w:eastAsia="Arial" w:hAnsi="Arial"/>
                <w:sz w:val="14"/>
                <w:szCs w:val="14"/>
                <w:color w:val="auto"/>
              </w:rPr>
              <w:t>52,465</w:t>
            </w:r>
          </w:p>
        </w:tc>
        <w:tc>
          <w:tcPr>
            <w:tcW w:w="1220" w:type="dxa"/>
            <w:vAlign w:val="bottom"/>
            <w:tcBorders>
              <w:bottom w:val="single" w:sz="8" w:color="959595"/>
            </w:tcBorders>
          </w:tcPr>
          <w:p>
            <w:pPr>
              <w:jc w:val="right"/>
              <w:ind w:right="251"/>
              <w:spacing w:after="0"/>
              <w:rPr>
                <w:sz w:val="20"/>
                <w:szCs w:val="20"/>
                <w:color w:val="auto"/>
              </w:rPr>
            </w:pPr>
            <w:r>
              <w:rPr>
                <w:rFonts w:ascii="Arial" w:cs="Arial" w:eastAsia="Arial" w:hAnsi="Arial"/>
                <w:sz w:val="14"/>
                <w:szCs w:val="14"/>
                <w:color w:val="auto"/>
              </w:rPr>
              <w:t>4,902</w:t>
            </w:r>
          </w:p>
        </w:tc>
        <w:tc>
          <w:tcPr>
            <w:tcW w:w="10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11,000</w:t>
            </w:r>
          </w:p>
        </w:tc>
        <w:tc>
          <w:tcPr>
            <w:tcW w:w="0" w:type="dxa"/>
            <w:vAlign w:val="bottom"/>
          </w:tcPr>
          <w:p>
            <w:pPr>
              <w:spacing w:after="0"/>
              <w:rPr>
                <w:sz w:val="1"/>
                <w:szCs w:val="1"/>
                <w:color w:val="auto"/>
              </w:rPr>
            </w:pPr>
          </w:p>
        </w:tc>
      </w:tr>
      <w:tr>
        <w:trPr>
          <w:trHeight w:val="210"/>
        </w:trPr>
        <w:tc>
          <w:tcPr>
            <w:tcW w:w="412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012E6C"/>
              </w:rPr>
              <w:t>Mr. Ambrose</w:t>
            </w:r>
          </w:p>
        </w:tc>
        <w:tc>
          <w:tcPr>
            <w:tcW w:w="1580" w:type="dxa"/>
            <w:vAlign w:val="bottom"/>
            <w:tcBorders>
              <w:bottom w:val="single" w:sz="8" w:color="959595"/>
            </w:tcBorders>
          </w:tcPr>
          <w:p>
            <w:pPr>
              <w:jc w:val="right"/>
              <w:ind w:right="271"/>
              <w:spacing w:after="0"/>
              <w:rPr>
                <w:sz w:val="20"/>
                <w:szCs w:val="20"/>
                <w:color w:val="auto"/>
              </w:rPr>
            </w:pPr>
            <w:r>
              <w:rPr>
                <w:rFonts w:ascii="Arial" w:cs="Arial" w:eastAsia="Arial" w:hAnsi="Arial"/>
                <w:sz w:val="14"/>
                <w:szCs w:val="14"/>
                <w:color w:val="auto"/>
              </w:rPr>
              <w:t>23,350</w:t>
            </w:r>
          </w:p>
        </w:tc>
        <w:tc>
          <w:tcPr>
            <w:tcW w:w="1640" w:type="dxa"/>
            <w:vAlign w:val="bottom"/>
            <w:tcBorders>
              <w:bottom w:val="single" w:sz="8" w:color="959595"/>
            </w:tcBorders>
          </w:tcPr>
          <w:p>
            <w:pPr>
              <w:jc w:val="right"/>
              <w:ind w:right="192"/>
              <w:spacing w:after="0"/>
              <w:rPr>
                <w:sz w:val="20"/>
                <w:szCs w:val="20"/>
                <w:color w:val="auto"/>
              </w:rPr>
            </w:pPr>
            <w:r>
              <w:rPr>
                <w:rFonts w:ascii="Arial" w:cs="Arial" w:eastAsia="Arial" w:hAnsi="Arial"/>
                <w:sz w:val="14"/>
                <w:szCs w:val="14"/>
                <w:color w:val="auto"/>
              </w:rPr>
              <w:t>12,900</w:t>
            </w:r>
          </w:p>
        </w:tc>
        <w:tc>
          <w:tcPr>
            <w:tcW w:w="1780" w:type="dxa"/>
            <w:vAlign w:val="bottom"/>
            <w:tcBorders>
              <w:bottom w:val="single" w:sz="8" w:color="959595"/>
            </w:tcBorders>
          </w:tcPr>
          <w:p>
            <w:pPr>
              <w:jc w:val="right"/>
              <w:ind w:right="272"/>
              <w:spacing w:after="0"/>
              <w:rPr>
                <w:sz w:val="20"/>
                <w:szCs w:val="20"/>
                <w:color w:val="auto"/>
              </w:rPr>
            </w:pPr>
            <w:r>
              <w:rPr>
                <w:rFonts w:ascii="Arial" w:cs="Arial" w:eastAsia="Arial" w:hAnsi="Arial"/>
                <w:sz w:val="14"/>
                <w:szCs w:val="14"/>
                <w:color w:val="auto"/>
              </w:rPr>
              <w:t>38,550</w:t>
            </w:r>
          </w:p>
        </w:tc>
        <w:tc>
          <w:tcPr>
            <w:tcW w:w="1220" w:type="dxa"/>
            <w:vAlign w:val="bottom"/>
            <w:tcBorders>
              <w:bottom w:val="single" w:sz="8" w:color="959595"/>
            </w:tcBorders>
          </w:tcPr>
          <w:p>
            <w:pPr>
              <w:jc w:val="right"/>
              <w:ind w:right="251"/>
              <w:spacing w:after="0"/>
              <w:rPr>
                <w:sz w:val="20"/>
                <w:szCs w:val="20"/>
                <w:color w:val="auto"/>
              </w:rPr>
            </w:pPr>
            <w:r>
              <w:rPr>
                <w:rFonts w:ascii="Arial" w:cs="Arial" w:eastAsia="Arial" w:hAnsi="Arial"/>
                <w:sz w:val="14"/>
                <w:szCs w:val="14"/>
                <w:color w:val="auto"/>
              </w:rPr>
              <w:t>5,544</w:t>
            </w:r>
          </w:p>
        </w:tc>
        <w:tc>
          <w:tcPr>
            <w:tcW w:w="10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10"/>
        </w:trPr>
        <w:tc>
          <w:tcPr>
            <w:tcW w:w="412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012E6C"/>
              </w:rPr>
              <w:t>Mr. Bennett</w:t>
            </w:r>
          </w:p>
        </w:tc>
        <w:tc>
          <w:tcPr>
            <w:tcW w:w="1580" w:type="dxa"/>
            <w:vAlign w:val="bottom"/>
            <w:tcBorders>
              <w:bottom w:val="single" w:sz="8" w:color="959595"/>
            </w:tcBorders>
          </w:tcPr>
          <w:p>
            <w:pPr>
              <w:jc w:val="right"/>
              <w:ind w:right="271"/>
              <w:spacing w:after="0"/>
              <w:rPr>
                <w:sz w:val="20"/>
                <w:szCs w:val="20"/>
                <w:color w:val="auto"/>
              </w:rPr>
            </w:pPr>
            <w:r>
              <w:rPr>
                <w:rFonts w:ascii="Arial" w:cs="Arial" w:eastAsia="Arial" w:hAnsi="Arial"/>
                <w:sz w:val="14"/>
                <w:szCs w:val="14"/>
                <w:color w:val="auto"/>
              </w:rPr>
              <w:t>50,400</w:t>
            </w:r>
          </w:p>
        </w:tc>
        <w:tc>
          <w:tcPr>
            <w:tcW w:w="1640" w:type="dxa"/>
            <w:vAlign w:val="bottom"/>
            <w:tcBorders>
              <w:bottom w:val="single" w:sz="8" w:color="959595"/>
            </w:tcBorders>
          </w:tcPr>
          <w:p>
            <w:pPr>
              <w:jc w:val="right"/>
              <w:ind w:right="192"/>
              <w:spacing w:after="0"/>
              <w:rPr>
                <w:sz w:val="20"/>
                <w:szCs w:val="20"/>
                <w:color w:val="auto"/>
              </w:rPr>
            </w:pPr>
            <w:r>
              <w:rPr>
                <w:rFonts w:ascii="Arial" w:cs="Arial" w:eastAsia="Arial" w:hAnsi="Arial"/>
                <w:sz w:val="14"/>
                <w:szCs w:val="14"/>
                <w:color w:val="auto"/>
              </w:rPr>
              <w:t>9,024</w:t>
            </w:r>
          </w:p>
        </w:tc>
        <w:tc>
          <w:tcPr>
            <w:tcW w:w="1780" w:type="dxa"/>
            <w:vAlign w:val="bottom"/>
            <w:tcBorders>
              <w:bottom w:val="single" w:sz="8" w:color="959595"/>
            </w:tcBorders>
          </w:tcPr>
          <w:p>
            <w:pPr>
              <w:jc w:val="right"/>
              <w:ind w:right="272"/>
              <w:spacing w:after="0"/>
              <w:rPr>
                <w:sz w:val="20"/>
                <w:szCs w:val="20"/>
                <w:color w:val="auto"/>
              </w:rPr>
            </w:pPr>
            <w:r>
              <w:rPr>
                <w:rFonts w:ascii="Arial" w:cs="Arial" w:eastAsia="Arial" w:hAnsi="Arial"/>
                <w:sz w:val="14"/>
                <w:szCs w:val="14"/>
                <w:color w:val="auto"/>
              </w:rPr>
              <w:t>43,516</w:t>
            </w:r>
          </w:p>
        </w:tc>
        <w:tc>
          <w:tcPr>
            <w:tcW w:w="1220" w:type="dxa"/>
            <w:vAlign w:val="bottom"/>
            <w:tcBorders>
              <w:bottom w:val="single" w:sz="8" w:color="959595"/>
            </w:tcBorders>
          </w:tcPr>
          <w:p>
            <w:pPr>
              <w:jc w:val="right"/>
              <w:ind w:right="251"/>
              <w:spacing w:after="0"/>
              <w:rPr>
                <w:sz w:val="20"/>
                <w:szCs w:val="20"/>
                <w:color w:val="auto"/>
              </w:rPr>
            </w:pPr>
            <w:r>
              <w:rPr>
                <w:rFonts w:ascii="Arial" w:cs="Arial" w:eastAsia="Arial" w:hAnsi="Arial"/>
                <w:sz w:val="14"/>
                <w:szCs w:val="14"/>
                <w:color w:val="auto"/>
              </w:rPr>
              <w:t>6,376</w:t>
            </w:r>
          </w:p>
        </w:tc>
        <w:tc>
          <w:tcPr>
            <w:tcW w:w="10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11,000</w:t>
            </w:r>
          </w:p>
        </w:tc>
        <w:tc>
          <w:tcPr>
            <w:tcW w:w="0" w:type="dxa"/>
            <w:vAlign w:val="bottom"/>
          </w:tcPr>
          <w:p>
            <w:pPr>
              <w:spacing w:after="0"/>
              <w:rPr>
                <w:sz w:val="1"/>
                <w:szCs w:val="1"/>
                <w:color w:val="auto"/>
              </w:rPr>
            </w:pPr>
          </w:p>
        </w:tc>
      </w:tr>
      <w:tr>
        <w:trPr>
          <w:trHeight w:val="210"/>
        </w:trPr>
        <w:tc>
          <w:tcPr>
            <w:tcW w:w="412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012E6C"/>
              </w:rPr>
              <w:t>Mr. Carvalho</w:t>
            </w:r>
          </w:p>
        </w:tc>
        <w:tc>
          <w:tcPr>
            <w:tcW w:w="1580" w:type="dxa"/>
            <w:vAlign w:val="bottom"/>
            <w:tcBorders>
              <w:bottom w:val="single" w:sz="8" w:color="959595"/>
            </w:tcBorders>
          </w:tcPr>
          <w:p>
            <w:pPr>
              <w:jc w:val="right"/>
              <w:ind w:right="271"/>
              <w:spacing w:after="0"/>
              <w:rPr>
                <w:sz w:val="20"/>
                <w:szCs w:val="20"/>
                <w:color w:val="auto"/>
              </w:rPr>
            </w:pPr>
            <w:r>
              <w:rPr>
                <w:rFonts w:ascii="Arial" w:cs="Arial" w:eastAsia="Arial" w:hAnsi="Arial"/>
                <w:sz w:val="14"/>
                <w:szCs w:val="14"/>
                <w:color w:val="auto"/>
              </w:rPr>
              <w:t>23,788</w:t>
            </w:r>
          </w:p>
        </w:tc>
        <w:tc>
          <w:tcPr>
            <w:tcW w:w="1640" w:type="dxa"/>
            <w:vAlign w:val="bottom"/>
            <w:tcBorders>
              <w:bottom w:val="single" w:sz="8" w:color="959595"/>
            </w:tcBorders>
          </w:tcPr>
          <w:p>
            <w:pPr>
              <w:jc w:val="right"/>
              <w:ind w:right="192"/>
              <w:spacing w:after="0"/>
              <w:rPr>
                <w:sz w:val="20"/>
                <w:szCs w:val="20"/>
                <w:color w:val="auto"/>
              </w:rPr>
            </w:pPr>
            <w:r>
              <w:rPr>
                <w:rFonts w:ascii="Arial" w:cs="Arial" w:eastAsia="Arial" w:hAnsi="Arial"/>
                <w:sz w:val="14"/>
                <w:szCs w:val="14"/>
                <w:color w:val="auto"/>
              </w:rPr>
              <w:t>11,667</w:t>
            </w:r>
          </w:p>
        </w:tc>
        <w:tc>
          <w:tcPr>
            <w:tcW w:w="1780" w:type="dxa"/>
            <w:vAlign w:val="bottom"/>
            <w:tcBorders>
              <w:bottom w:val="single" w:sz="8" w:color="959595"/>
            </w:tcBorders>
          </w:tcPr>
          <w:p>
            <w:pPr>
              <w:jc w:val="right"/>
              <w:ind w:right="272"/>
              <w:spacing w:after="0"/>
              <w:rPr>
                <w:sz w:val="20"/>
                <w:szCs w:val="20"/>
                <w:color w:val="auto"/>
              </w:rPr>
            </w:pPr>
            <w:r>
              <w:rPr>
                <w:rFonts w:ascii="Arial" w:cs="Arial" w:eastAsia="Arial" w:hAnsi="Arial"/>
                <w:sz w:val="14"/>
                <w:szCs w:val="14"/>
                <w:color w:val="auto"/>
              </w:rPr>
              <w:t>40,854</w:t>
            </w:r>
          </w:p>
        </w:tc>
        <w:tc>
          <w:tcPr>
            <w:tcW w:w="1220" w:type="dxa"/>
            <w:vAlign w:val="bottom"/>
            <w:tcBorders>
              <w:bottom w:val="single" w:sz="8" w:color="959595"/>
            </w:tcBorders>
          </w:tcPr>
          <w:p>
            <w:pPr>
              <w:jc w:val="right"/>
              <w:ind w:right="251"/>
              <w:spacing w:after="0"/>
              <w:rPr>
                <w:sz w:val="20"/>
                <w:szCs w:val="20"/>
                <w:color w:val="auto"/>
              </w:rPr>
            </w:pPr>
            <w:r>
              <w:rPr>
                <w:rFonts w:ascii="Arial" w:cs="Arial" w:eastAsia="Arial" w:hAnsi="Arial"/>
                <w:sz w:val="14"/>
                <w:szCs w:val="14"/>
                <w:color w:val="auto"/>
              </w:rPr>
              <w:t>6,376</w:t>
            </w:r>
          </w:p>
        </w:tc>
        <w:tc>
          <w:tcPr>
            <w:tcW w:w="10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10"/>
        </w:trPr>
        <w:tc>
          <w:tcPr>
            <w:tcW w:w="412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012E6C"/>
              </w:rPr>
              <w:t>Mr. Edwards</w:t>
            </w:r>
          </w:p>
        </w:tc>
        <w:tc>
          <w:tcPr>
            <w:tcW w:w="1580" w:type="dxa"/>
            <w:vAlign w:val="bottom"/>
            <w:tcBorders>
              <w:bottom w:val="single" w:sz="8" w:color="959595"/>
            </w:tcBorders>
          </w:tcPr>
          <w:p>
            <w:pPr>
              <w:jc w:val="right"/>
              <w:ind w:right="271"/>
              <w:spacing w:after="0"/>
              <w:rPr>
                <w:sz w:val="20"/>
                <w:szCs w:val="20"/>
                <w:color w:val="auto"/>
              </w:rPr>
            </w:pPr>
            <w:r>
              <w:rPr>
                <w:rFonts w:ascii="Arial" w:cs="Arial" w:eastAsia="Arial" w:hAnsi="Arial"/>
                <w:sz w:val="14"/>
                <w:szCs w:val="14"/>
                <w:color w:val="auto"/>
              </w:rPr>
              <w:t>63,966</w:t>
            </w:r>
          </w:p>
        </w:tc>
        <w:tc>
          <w:tcPr>
            <w:tcW w:w="1640" w:type="dxa"/>
            <w:vAlign w:val="bottom"/>
            <w:tcBorders>
              <w:bottom w:val="single" w:sz="8" w:color="959595"/>
            </w:tcBorders>
          </w:tcPr>
          <w:p>
            <w:pPr>
              <w:jc w:val="right"/>
              <w:ind w:right="192"/>
              <w:spacing w:after="0"/>
              <w:rPr>
                <w:sz w:val="20"/>
                <w:szCs w:val="20"/>
                <w:color w:val="auto"/>
              </w:rPr>
            </w:pPr>
            <w:r>
              <w:rPr>
                <w:rFonts w:ascii="Arial" w:cs="Arial" w:eastAsia="Arial" w:hAnsi="Arial"/>
                <w:sz w:val="14"/>
                <w:szCs w:val="14"/>
                <w:color w:val="auto"/>
              </w:rPr>
              <w:t>12,900</w:t>
            </w:r>
          </w:p>
        </w:tc>
        <w:tc>
          <w:tcPr>
            <w:tcW w:w="1780" w:type="dxa"/>
            <w:vAlign w:val="bottom"/>
            <w:tcBorders>
              <w:bottom w:val="single" w:sz="8" w:color="959595"/>
            </w:tcBorders>
          </w:tcPr>
          <w:p>
            <w:pPr>
              <w:jc w:val="right"/>
              <w:ind w:right="272"/>
              <w:spacing w:after="0"/>
              <w:rPr>
                <w:sz w:val="20"/>
                <w:szCs w:val="20"/>
                <w:color w:val="auto"/>
              </w:rPr>
            </w:pPr>
            <w:r>
              <w:rPr>
                <w:rFonts w:ascii="Arial" w:cs="Arial" w:eastAsia="Arial" w:hAnsi="Arial"/>
                <w:sz w:val="14"/>
                <w:szCs w:val="14"/>
                <w:color w:val="auto"/>
              </w:rPr>
              <w:t>39,398</w:t>
            </w:r>
          </w:p>
        </w:tc>
        <w:tc>
          <w:tcPr>
            <w:tcW w:w="1220" w:type="dxa"/>
            <w:vAlign w:val="bottom"/>
            <w:tcBorders>
              <w:bottom w:val="single" w:sz="8" w:color="959595"/>
            </w:tcBorders>
          </w:tcPr>
          <w:p>
            <w:pPr>
              <w:jc w:val="right"/>
              <w:ind w:right="251"/>
              <w:spacing w:after="0"/>
              <w:rPr>
                <w:sz w:val="20"/>
                <w:szCs w:val="20"/>
                <w:color w:val="auto"/>
              </w:rPr>
            </w:pPr>
            <w:r>
              <w:rPr>
                <w:rFonts w:ascii="Arial" w:cs="Arial" w:eastAsia="Arial" w:hAnsi="Arial"/>
                <w:sz w:val="14"/>
                <w:szCs w:val="14"/>
                <w:color w:val="auto"/>
              </w:rPr>
              <w:t>5,544</w:t>
            </w:r>
          </w:p>
        </w:tc>
        <w:tc>
          <w:tcPr>
            <w:tcW w:w="10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10"/>
        </w:trPr>
        <w:tc>
          <w:tcPr>
            <w:tcW w:w="412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012E6C"/>
              </w:rPr>
              <w:t>Mr. St. John</w:t>
            </w:r>
          </w:p>
        </w:tc>
        <w:tc>
          <w:tcPr>
            <w:tcW w:w="1580" w:type="dxa"/>
            <w:vAlign w:val="bottom"/>
            <w:tcBorders>
              <w:bottom w:val="single" w:sz="8" w:color="959595"/>
            </w:tcBorders>
          </w:tcPr>
          <w:p>
            <w:pPr>
              <w:jc w:val="right"/>
              <w:ind w:right="271"/>
              <w:spacing w:after="0"/>
              <w:rPr>
                <w:sz w:val="20"/>
                <w:szCs w:val="20"/>
                <w:color w:val="auto"/>
              </w:rPr>
            </w:pPr>
            <w:r>
              <w:rPr>
                <w:rFonts w:ascii="Arial" w:cs="Arial" w:eastAsia="Arial" w:hAnsi="Arial"/>
                <w:sz w:val="14"/>
                <w:szCs w:val="14"/>
                <w:color w:val="auto"/>
              </w:rPr>
              <w:t>70,532</w:t>
            </w:r>
          </w:p>
        </w:tc>
        <w:tc>
          <w:tcPr>
            <w:tcW w:w="1640" w:type="dxa"/>
            <w:vAlign w:val="bottom"/>
            <w:tcBorders>
              <w:bottom w:val="single" w:sz="8" w:color="959595"/>
            </w:tcBorders>
          </w:tcPr>
          <w:p>
            <w:pPr>
              <w:jc w:val="right"/>
              <w:ind w:right="192"/>
              <w:spacing w:after="0"/>
              <w:rPr>
                <w:sz w:val="20"/>
                <w:szCs w:val="20"/>
                <w:color w:val="auto"/>
              </w:rPr>
            </w:pPr>
            <w:r>
              <w:rPr>
                <w:rFonts w:ascii="Arial" w:cs="Arial" w:eastAsia="Arial" w:hAnsi="Arial"/>
                <w:sz w:val="14"/>
                <w:szCs w:val="14"/>
                <w:color w:val="auto"/>
              </w:rPr>
              <w:t>9,024</w:t>
            </w:r>
          </w:p>
        </w:tc>
        <w:tc>
          <w:tcPr>
            <w:tcW w:w="1780" w:type="dxa"/>
            <w:vAlign w:val="bottom"/>
            <w:tcBorders>
              <w:bottom w:val="single" w:sz="8" w:color="959595"/>
            </w:tcBorders>
          </w:tcPr>
          <w:p>
            <w:pPr>
              <w:jc w:val="right"/>
              <w:ind w:right="272"/>
              <w:spacing w:after="0"/>
              <w:rPr>
                <w:sz w:val="20"/>
                <w:szCs w:val="20"/>
                <w:color w:val="auto"/>
              </w:rPr>
            </w:pPr>
            <w:r>
              <w:rPr>
                <w:rFonts w:ascii="Arial" w:cs="Arial" w:eastAsia="Arial" w:hAnsi="Arial"/>
                <w:sz w:val="14"/>
                <w:szCs w:val="14"/>
                <w:color w:val="auto"/>
              </w:rPr>
              <w:t>41,884</w:t>
            </w:r>
          </w:p>
        </w:tc>
        <w:tc>
          <w:tcPr>
            <w:tcW w:w="1220" w:type="dxa"/>
            <w:vAlign w:val="bottom"/>
            <w:tcBorders>
              <w:bottom w:val="single" w:sz="8" w:color="959595"/>
            </w:tcBorders>
          </w:tcPr>
          <w:p>
            <w:pPr>
              <w:jc w:val="right"/>
              <w:ind w:right="251"/>
              <w:spacing w:after="0"/>
              <w:rPr>
                <w:sz w:val="20"/>
                <w:szCs w:val="20"/>
                <w:color w:val="auto"/>
              </w:rPr>
            </w:pPr>
            <w:r>
              <w:rPr>
                <w:rFonts w:ascii="Arial" w:cs="Arial" w:eastAsia="Arial" w:hAnsi="Arial"/>
                <w:sz w:val="14"/>
                <w:szCs w:val="14"/>
                <w:color w:val="auto"/>
              </w:rPr>
              <w:t>0</w:t>
            </w:r>
          </w:p>
        </w:tc>
        <w:tc>
          <w:tcPr>
            <w:tcW w:w="10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6,000</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2018, the Corporation provided tax assistance on business-related items associated with taxable business association expenses, security expenses, non-resident state income taxes on business travel and travel expenses for a family member accompanying the NEO while on business travel. For Ms. Hewson, the total tax assistance amount reported for 2018 included a $99,936 payment attributable to non-resident state income taxes, including payment associated with her long-term incentive award, which were incurred as a result of her business travels during the vesting period of 2015-2018. Tax assistance was provided for these items because the associated tax liability imposed on the executive would not have been incurred unless business reasons required the items to be provided or the executive to travel to the non-resident state. Mr. St. John elected to opt out of the Corporation's employee term life insurance and received a credit of $1,112 which is included in All Other Compensation.</w:t>
      </w:r>
    </w:p>
    <w:p>
      <w:pPr>
        <w:spacing w:after="0" w:line="200" w:lineRule="exact"/>
        <w:rPr>
          <w:sz w:val="20"/>
          <w:szCs w:val="20"/>
          <w:color w:val="auto"/>
        </w:rPr>
      </w:pPr>
    </w:p>
    <w:p>
      <w:pPr>
        <w:spacing w:after="0" w:line="266" w:lineRule="exact"/>
        <w:rPr>
          <w:sz w:val="20"/>
          <w:szCs w:val="20"/>
          <w:color w:val="auto"/>
        </w:rPr>
      </w:pPr>
    </w:p>
    <w:p>
      <w:pPr>
        <w:ind w:left="40"/>
        <w:spacing w:after="0"/>
        <w:tabs>
          <w:tab w:leader="none" w:pos="9420" w:val="left"/>
          <w:tab w:leader="none" w:pos="1122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2019 Proxy Statement</w:t>
      </w:r>
      <w:r>
        <w:rPr>
          <w:sz w:val="20"/>
          <w:szCs w:val="20"/>
          <w:color w:val="auto"/>
        </w:rPr>
        <w:tab/>
      </w:r>
      <w:r>
        <w:rPr>
          <w:rFonts w:ascii="Arial" w:cs="Arial" w:eastAsia="Arial" w:hAnsi="Arial"/>
          <w:sz w:val="14"/>
          <w:szCs w:val="14"/>
          <w:b w:val="1"/>
          <w:bCs w:val="1"/>
          <w:color w:val="808080"/>
        </w:rPr>
        <w:t>55</w:t>
      </w:r>
    </w:p>
    <w:p>
      <w:pPr>
        <w:sectPr>
          <w:pgSz w:w="11900" w:h="16838" w:orient="portrait"/>
          <w:cols w:equalWidth="0" w:num="1">
            <w:col w:w="11420"/>
          </w:cols>
          <w:pgMar w:left="240" w:top="292" w:right="239" w:bottom="1440" w:gutter="0" w:footer="0" w:header="0"/>
        </w:sectPr>
      </w:pPr>
    </w:p>
    <w:bookmarkStart w:id="58" w:name="page59"/>
    <w:bookmarkEnd w:id="58"/>
    <w:p>
      <w:pPr>
        <w:spacing w:after="0"/>
        <w:rPr>
          <w:sz w:val="20"/>
          <w:szCs w:val="20"/>
          <w:color w:val="auto"/>
        </w:rPr>
      </w:pPr>
      <w:r>
        <w:rPr>
          <w:rFonts w:ascii="Arial" w:cs="Arial" w:eastAsia="Arial" w:hAnsi="Arial"/>
          <w:sz w:val="15"/>
          <w:szCs w:val="15"/>
          <w:color w:val="003478"/>
        </w:rPr>
        <w:t>Executive Compensation</w:t>
      </w:r>
    </w:p>
    <w:p>
      <w:pPr>
        <w:spacing w:after="0" w:line="226" w:lineRule="exact"/>
        <w:rPr>
          <w:sz w:val="20"/>
          <w:szCs w:val="20"/>
          <w:color w:val="auto"/>
        </w:rPr>
      </w:pPr>
    </w:p>
    <w:p>
      <w:pPr>
        <w:spacing w:after="0"/>
        <w:rPr>
          <w:sz w:val="20"/>
          <w:szCs w:val="20"/>
          <w:color w:val="auto"/>
        </w:rPr>
      </w:pPr>
      <w:r>
        <w:rPr>
          <w:rFonts w:ascii="Arial" w:cs="Arial" w:eastAsia="Arial" w:hAnsi="Arial"/>
          <w:sz w:val="29"/>
          <w:szCs w:val="29"/>
          <w:b w:val="1"/>
          <w:bCs w:val="1"/>
          <w:color w:val="012E6C"/>
        </w:rPr>
        <w:t>2018 Grants of Plan-Based Awards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80" w:type="dxa"/>
            <w:vAlign w:val="bottom"/>
            <w:shd w:val="clear" w:color="auto" w:fill="ECECEC"/>
          </w:tcPr>
          <w:p>
            <w:pPr>
              <w:spacing w:after="0"/>
              <w:rPr>
                <w:sz w:val="13"/>
                <w:szCs w:val="13"/>
                <w:color w:val="auto"/>
              </w:rPr>
            </w:pPr>
          </w:p>
        </w:tc>
        <w:tc>
          <w:tcPr>
            <w:tcW w:w="820" w:type="dxa"/>
            <w:vAlign w:val="bottom"/>
            <w:shd w:val="clear" w:color="auto" w:fill="ECECEC"/>
          </w:tcPr>
          <w:p>
            <w:pPr>
              <w:spacing w:after="0"/>
              <w:rPr>
                <w:sz w:val="13"/>
                <w:szCs w:val="13"/>
                <w:color w:val="auto"/>
              </w:rPr>
            </w:pPr>
          </w:p>
        </w:tc>
        <w:tc>
          <w:tcPr>
            <w:tcW w:w="160" w:type="dxa"/>
            <w:vAlign w:val="bottom"/>
            <w:shd w:val="clear" w:color="auto" w:fill="ECECEC"/>
          </w:tcPr>
          <w:p>
            <w:pPr>
              <w:spacing w:after="0"/>
              <w:rPr>
                <w:sz w:val="13"/>
                <w:szCs w:val="13"/>
                <w:color w:val="auto"/>
              </w:rPr>
            </w:pPr>
          </w:p>
        </w:tc>
        <w:tc>
          <w:tcPr>
            <w:tcW w:w="540" w:type="dxa"/>
            <w:vAlign w:val="bottom"/>
            <w:shd w:val="clear" w:color="auto" w:fill="ECECEC"/>
          </w:tcPr>
          <w:p>
            <w:pPr>
              <w:spacing w:after="0"/>
              <w:rPr>
                <w:sz w:val="13"/>
                <w:szCs w:val="13"/>
                <w:color w:val="auto"/>
              </w:rPr>
            </w:pPr>
          </w:p>
        </w:tc>
        <w:tc>
          <w:tcPr>
            <w:tcW w:w="220" w:type="dxa"/>
            <w:vAlign w:val="bottom"/>
            <w:shd w:val="clear" w:color="auto" w:fill="ECECEC"/>
          </w:tcPr>
          <w:p>
            <w:pPr>
              <w:spacing w:after="0"/>
              <w:rPr>
                <w:sz w:val="13"/>
                <w:szCs w:val="13"/>
                <w:color w:val="auto"/>
              </w:rPr>
            </w:pPr>
          </w:p>
        </w:tc>
        <w:tc>
          <w:tcPr>
            <w:tcW w:w="700" w:type="dxa"/>
            <w:vAlign w:val="bottom"/>
            <w:shd w:val="clear" w:color="auto" w:fill="ECECEC"/>
          </w:tcPr>
          <w:p>
            <w:pPr>
              <w:spacing w:after="0"/>
              <w:rPr>
                <w:sz w:val="13"/>
                <w:szCs w:val="13"/>
                <w:color w:val="auto"/>
              </w:rPr>
            </w:pPr>
          </w:p>
        </w:tc>
        <w:tc>
          <w:tcPr>
            <w:tcW w:w="140" w:type="dxa"/>
            <w:vAlign w:val="bottom"/>
            <w:shd w:val="clear" w:color="auto" w:fill="ECECEC"/>
          </w:tcPr>
          <w:p>
            <w:pPr>
              <w:spacing w:after="0"/>
              <w:rPr>
                <w:sz w:val="13"/>
                <w:szCs w:val="13"/>
                <w:color w:val="auto"/>
              </w:rPr>
            </w:pPr>
          </w:p>
        </w:tc>
        <w:tc>
          <w:tcPr>
            <w:tcW w:w="980" w:type="dxa"/>
            <w:vAlign w:val="bottom"/>
            <w:shd w:val="clear" w:color="auto" w:fill="ECECEC"/>
          </w:tcPr>
          <w:p>
            <w:pPr>
              <w:spacing w:after="0"/>
              <w:rPr>
                <w:sz w:val="13"/>
                <w:szCs w:val="13"/>
                <w:color w:val="auto"/>
              </w:rPr>
            </w:pPr>
          </w:p>
        </w:tc>
        <w:tc>
          <w:tcPr>
            <w:tcW w:w="960" w:type="dxa"/>
            <w:vAlign w:val="bottom"/>
            <w:shd w:val="clear" w:color="auto" w:fill="ECECEC"/>
          </w:tcPr>
          <w:p>
            <w:pPr>
              <w:spacing w:after="0"/>
              <w:rPr>
                <w:sz w:val="13"/>
                <w:szCs w:val="13"/>
                <w:color w:val="auto"/>
              </w:rPr>
            </w:pPr>
          </w:p>
        </w:tc>
        <w:tc>
          <w:tcPr>
            <w:tcW w:w="200" w:type="dxa"/>
            <w:vAlign w:val="bottom"/>
            <w:shd w:val="clear" w:color="auto" w:fill="ECECEC"/>
          </w:tcPr>
          <w:p>
            <w:pPr>
              <w:spacing w:after="0"/>
              <w:rPr>
                <w:sz w:val="13"/>
                <w:szCs w:val="13"/>
                <w:color w:val="auto"/>
              </w:rPr>
            </w:pPr>
          </w:p>
        </w:tc>
        <w:tc>
          <w:tcPr>
            <w:tcW w:w="860" w:type="dxa"/>
            <w:vAlign w:val="bottom"/>
            <w:shd w:val="clear" w:color="auto" w:fill="ECECEC"/>
          </w:tcPr>
          <w:p>
            <w:pPr>
              <w:spacing w:after="0"/>
              <w:rPr>
                <w:sz w:val="13"/>
                <w:szCs w:val="13"/>
                <w:color w:val="auto"/>
              </w:rPr>
            </w:pPr>
          </w:p>
        </w:tc>
        <w:tc>
          <w:tcPr>
            <w:tcW w:w="780" w:type="dxa"/>
            <w:vAlign w:val="bottom"/>
            <w:shd w:val="clear" w:color="auto" w:fill="ECECEC"/>
          </w:tcPr>
          <w:p>
            <w:pPr>
              <w:spacing w:after="0"/>
              <w:rPr>
                <w:sz w:val="13"/>
                <w:szCs w:val="13"/>
                <w:color w:val="auto"/>
              </w:rPr>
            </w:pPr>
          </w:p>
        </w:tc>
        <w:tc>
          <w:tcPr>
            <w:tcW w:w="840" w:type="dxa"/>
            <w:vAlign w:val="bottom"/>
            <w:shd w:val="clear" w:color="auto" w:fill="ECECEC"/>
          </w:tcPr>
          <w:p>
            <w:pPr>
              <w:spacing w:after="0"/>
              <w:rPr>
                <w:sz w:val="13"/>
                <w:szCs w:val="13"/>
                <w:color w:val="auto"/>
              </w:rPr>
            </w:pPr>
          </w:p>
        </w:tc>
        <w:tc>
          <w:tcPr>
            <w:tcW w:w="800" w:type="dxa"/>
            <w:vAlign w:val="bottom"/>
            <w:shd w:val="clear" w:color="auto" w:fill="ECECEC"/>
          </w:tcPr>
          <w:p>
            <w:pPr>
              <w:jc w:val="right"/>
              <w:spacing w:after="0"/>
              <w:rPr>
                <w:sz w:val="20"/>
                <w:szCs w:val="20"/>
                <w:color w:val="auto"/>
              </w:rPr>
            </w:pPr>
            <w:r>
              <w:rPr>
                <w:rFonts w:ascii="Arial" w:cs="Arial" w:eastAsia="Arial" w:hAnsi="Arial"/>
                <w:sz w:val="13"/>
                <w:szCs w:val="13"/>
                <w:color w:val="auto"/>
              </w:rPr>
              <w:t>All Other</w:t>
            </w:r>
          </w:p>
        </w:tc>
        <w:tc>
          <w:tcPr>
            <w:tcW w:w="100" w:type="dxa"/>
            <w:vAlign w:val="bottom"/>
            <w:shd w:val="clear" w:color="auto" w:fill="ECECEC"/>
          </w:tcPr>
          <w:p>
            <w:pPr>
              <w:spacing w:after="0"/>
              <w:rPr>
                <w:sz w:val="13"/>
                <w:szCs w:val="13"/>
                <w:color w:val="auto"/>
              </w:rPr>
            </w:pPr>
          </w:p>
        </w:tc>
        <w:tc>
          <w:tcPr>
            <w:tcW w:w="1140" w:type="dxa"/>
            <w:vAlign w:val="bottom"/>
            <w:shd w:val="clear" w:color="auto" w:fill="ECECE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180" w:type="dxa"/>
            <w:vAlign w:val="bottom"/>
            <w:shd w:val="clear" w:color="auto" w:fill="ECECEC"/>
          </w:tcPr>
          <w:p>
            <w:pPr>
              <w:spacing w:after="0"/>
              <w:rPr>
                <w:sz w:val="11"/>
                <w:szCs w:val="11"/>
                <w:color w:val="auto"/>
              </w:rPr>
            </w:pPr>
          </w:p>
        </w:tc>
        <w:tc>
          <w:tcPr>
            <w:tcW w:w="820" w:type="dxa"/>
            <w:vAlign w:val="bottom"/>
            <w:shd w:val="clear" w:color="auto" w:fill="ECECEC"/>
          </w:tcPr>
          <w:p>
            <w:pPr>
              <w:spacing w:after="0"/>
              <w:rPr>
                <w:sz w:val="11"/>
                <w:szCs w:val="11"/>
                <w:color w:val="auto"/>
              </w:rPr>
            </w:pPr>
          </w:p>
        </w:tc>
        <w:tc>
          <w:tcPr>
            <w:tcW w:w="160" w:type="dxa"/>
            <w:vAlign w:val="bottom"/>
            <w:shd w:val="clear" w:color="auto" w:fill="ECECEC"/>
          </w:tcPr>
          <w:p>
            <w:pPr>
              <w:spacing w:after="0"/>
              <w:rPr>
                <w:sz w:val="11"/>
                <w:szCs w:val="11"/>
                <w:color w:val="auto"/>
              </w:rPr>
            </w:pPr>
          </w:p>
        </w:tc>
        <w:tc>
          <w:tcPr>
            <w:tcW w:w="540" w:type="dxa"/>
            <w:vAlign w:val="bottom"/>
            <w:shd w:val="clear" w:color="auto" w:fill="ECECEC"/>
          </w:tcPr>
          <w:p>
            <w:pPr>
              <w:spacing w:after="0"/>
              <w:rPr>
                <w:sz w:val="11"/>
                <w:szCs w:val="11"/>
                <w:color w:val="auto"/>
              </w:rPr>
            </w:pPr>
          </w:p>
        </w:tc>
        <w:tc>
          <w:tcPr>
            <w:tcW w:w="220" w:type="dxa"/>
            <w:vAlign w:val="bottom"/>
            <w:shd w:val="clear" w:color="auto" w:fill="ECECEC"/>
          </w:tcPr>
          <w:p>
            <w:pPr>
              <w:spacing w:after="0"/>
              <w:rPr>
                <w:sz w:val="11"/>
                <w:szCs w:val="11"/>
                <w:color w:val="auto"/>
              </w:rPr>
            </w:pPr>
          </w:p>
        </w:tc>
        <w:tc>
          <w:tcPr>
            <w:tcW w:w="2980" w:type="dxa"/>
            <w:vAlign w:val="bottom"/>
            <w:gridSpan w:val="5"/>
            <w:vMerge w:val="restart"/>
            <w:shd w:val="clear" w:color="auto" w:fill="ECECEC"/>
          </w:tcPr>
          <w:p>
            <w:pPr>
              <w:jc w:val="center"/>
              <w:ind w:right="180"/>
              <w:spacing w:after="0"/>
              <w:rPr>
                <w:sz w:val="20"/>
                <w:szCs w:val="20"/>
                <w:color w:val="auto"/>
              </w:rPr>
            </w:pPr>
            <w:r>
              <w:rPr>
                <w:rFonts w:ascii="Arial" w:cs="Arial" w:eastAsia="Arial" w:hAnsi="Arial"/>
                <w:sz w:val="13"/>
                <w:szCs w:val="13"/>
                <w:color w:val="auto"/>
                <w:w w:val="97"/>
              </w:rPr>
              <w:t>Estimated Future Payouts Under</w:t>
            </w:r>
          </w:p>
        </w:tc>
        <w:tc>
          <w:tcPr>
            <w:tcW w:w="2480" w:type="dxa"/>
            <w:vAlign w:val="bottom"/>
            <w:gridSpan w:val="3"/>
            <w:vMerge w:val="restart"/>
            <w:shd w:val="clear" w:color="auto" w:fill="ECECEC"/>
          </w:tcPr>
          <w:p>
            <w:pPr>
              <w:jc w:val="right"/>
              <w:ind w:right="229"/>
              <w:spacing w:after="0"/>
              <w:rPr>
                <w:sz w:val="20"/>
                <w:szCs w:val="20"/>
                <w:color w:val="auto"/>
              </w:rPr>
            </w:pPr>
            <w:r>
              <w:rPr>
                <w:rFonts w:ascii="Arial" w:cs="Arial" w:eastAsia="Arial" w:hAnsi="Arial"/>
                <w:sz w:val="13"/>
                <w:szCs w:val="13"/>
                <w:color w:val="auto"/>
              </w:rPr>
              <w:t>Estimated Future Payouts Under</w:t>
            </w:r>
          </w:p>
        </w:tc>
        <w:tc>
          <w:tcPr>
            <w:tcW w:w="800" w:type="dxa"/>
            <w:vAlign w:val="bottom"/>
            <w:shd w:val="clear" w:color="auto" w:fill="ECECEC"/>
          </w:tcPr>
          <w:p>
            <w:pPr>
              <w:jc w:val="right"/>
              <w:spacing w:after="0" w:line="135" w:lineRule="exact"/>
              <w:rPr>
                <w:sz w:val="20"/>
                <w:szCs w:val="20"/>
                <w:color w:val="auto"/>
              </w:rPr>
            </w:pPr>
            <w:r>
              <w:rPr>
                <w:rFonts w:ascii="Arial" w:cs="Arial" w:eastAsia="Arial" w:hAnsi="Arial"/>
                <w:sz w:val="13"/>
                <w:szCs w:val="13"/>
                <w:color w:val="auto"/>
              </w:rPr>
              <w:t>Stock</w:t>
            </w:r>
          </w:p>
        </w:tc>
        <w:tc>
          <w:tcPr>
            <w:tcW w:w="100" w:type="dxa"/>
            <w:vAlign w:val="bottom"/>
            <w:shd w:val="clear" w:color="auto" w:fill="ECECEC"/>
          </w:tcPr>
          <w:p>
            <w:pPr>
              <w:spacing w:after="0"/>
              <w:rPr>
                <w:sz w:val="11"/>
                <w:szCs w:val="11"/>
                <w:color w:val="auto"/>
              </w:rPr>
            </w:pPr>
          </w:p>
        </w:tc>
        <w:tc>
          <w:tcPr>
            <w:tcW w:w="1140" w:type="dxa"/>
            <w:vAlign w:val="bottom"/>
            <w:shd w:val="clear" w:color="auto" w:fill="ECECEC"/>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180" w:type="dxa"/>
            <w:vAlign w:val="bottom"/>
            <w:shd w:val="clear" w:color="auto" w:fill="ECECEC"/>
          </w:tcPr>
          <w:p>
            <w:pPr>
              <w:spacing w:after="0"/>
              <w:rPr>
                <w:sz w:val="7"/>
                <w:szCs w:val="7"/>
                <w:color w:val="auto"/>
              </w:rPr>
            </w:pPr>
          </w:p>
        </w:tc>
        <w:tc>
          <w:tcPr>
            <w:tcW w:w="820" w:type="dxa"/>
            <w:vAlign w:val="bottom"/>
            <w:shd w:val="clear" w:color="auto" w:fill="ECECEC"/>
          </w:tcPr>
          <w:p>
            <w:pPr>
              <w:spacing w:after="0"/>
              <w:rPr>
                <w:sz w:val="7"/>
                <w:szCs w:val="7"/>
                <w:color w:val="auto"/>
              </w:rPr>
            </w:pPr>
          </w:p>
        </w:tc>
        <w:tc>
          <w:tcPr>
            <w:tcW w:w="160" w:type="dxa"/>
            <w:vAlign w:val="bottom"/>
            <w:shd w:val="clear" w:color="auto" w:fill="ECECEC"/>
          </w:tcPr>
          <w:p>
            <w:pPr>
              <w:spacing w:after="0"/>
              <w:rPr>
                <w:sz w:val="7"/>
                <w:szCs w:val="7"/>
                <w:color w:val="auto"/>
              </w:rPr>
            </w:pPr>
          </w:p>
        </w:tc>
        <w:tc>
          <w:tcPr>
            <w:tcW w:w="540" w:type="dxa"/>
            <w:vAlign w:val="bottom"/>
            <w:shd w:val="clear" w:color="auto" w:fill="ECECEC"/>
          </w:tcPr>
          <w:p>
            <w:pPr>
              <w:spacing w:after="0"/>
              <w:rPr>
                <w:sz w:val="7"/>
                <w:szCs w:val="7"/>
                <w:color w:val="auto"/>
              </w:rPr>
            </w:pPr>
          </w:p>
        </w:tc>
        <w:tc>
          <w:tcPr>
            <w:tcW w:w="220" w:type="dxa"/>
            <w:vAlign w:val="bottom"/>
            <w:shd w:val="clear" w:color="auto" w:fill="ECECEC"/>
          </w:tcPr>
          <w:p>
            <w:pPr>
              <w:spacing w:after="0"/>
              <w:rPr>
                <w:sz w:val="7"/>
                <w:szCs w:val="7"/>
                <w:color w:val="auto"/>
              </w:rPr>
            </w:pPr>
          </w:p>
        </w:tc>
        <w:tc>
          <w:tcPr>
            <w:tcW w:w="2980" w:type="dxa"/>
            <w:vAlign w:val="bottom"/>
            <w:gridSpan w:val="5"/>
            <w:vMerge w:val="continue"/>
            <w:shd w:val="clear" w:color="auto" w:fill="ECECEC"/>
          </w:tcPr>
          <w:p>
            <w:pPr>
              <w:spacing w:after="0"/>
              <w:rPr>
                <w:sz w:val="7"/>
                <w:szCs w:val="7"/>
                <w:color w:val="auto"/>
              </w:rPr>
            </w:pPr>
          </w:p>
        </w:tc>
        <w:tc>
          <w:tcPr>
            <w:tcW w:w="2480" w:type="dxa"/>
            <w:vAlign w:val="bottom"/>
            <w:gridSpan w:val="3"/>
            <w:vMerge w:val="continue"/>
            <w:shd w:val="clear" w:color="auto" w:fill="ECECEC"/>
          </w:tcPr>
          <w:p>
            <w:pPr>
              <w:spacing w:after="0"/>
              <w:rPr>
                <w:sz w:val="7"/>
                <w:szCs w:val="7"/>
                <w:color w:val="auto"/>
              </w:rPr>
            </w:pPr>
          </w:p>
        </w:tc>
        <w:tc>
          <w:tcPr>
            <w:tcW w:w="800" w:type="dxa"/>
            <w:vAlign w:val="bottom"/>
            <w:vMerge w:val="restart"/>
            <w:shd w:val="clear" w:color="auto" w:fill="ECECEC"/>
          </w:tcPr>
          <w:p>
            <w:pPr>
              <w:jc w:val="right"/>
              <w:spacing w:after="0" w:line="135" w:lineRule="exact"/>
              <w:rPr>
                <w:sz w:val="20"/>
                <w:szCs w:val="20"/>
                <w:color w:val="auto"/>
              </w:rPr>
            </w:pPr>
            <w:r>
              <w:rPr>
                <w:rFonts w:ascii="Arial" w:cs="Arial" w:eastAsia="Arial" w:hAnsi="Arial"/>
                <w:sz w:val="13"/>
                <w:szCs w:val="13"/>
                <w:color w:val="auto"/>
              </w:rPr>
              <w:t>Awards:</w:t>
            </w:r>
          </w:p>
        </w:tc>
        <w:tc>
          <w:tcPr>
            <w:tcW w:w="100" w:type="dxa"/>
            <w:vAlign w:val="bottom"/>
            <w:shd w:val="clear" w:color="auto" w:fill="ECECEC"/>
          </w:tcPr>
          <w:p>
            <w:pPr>
              <w:spacing w:after="0"/>
              <w:rPr>
                <w:sz w:val="7"/>
                <w:szCs w:val="7"/>
                <w:color w:val="auto"/>
              </w:rPr>
            </w:pPr>
          </w:p>
        </w:tc>
        <w:tc>
          <w:tcPr>
            <w:tcW w:w="1140" w:type="dxa"/>
            <w:vAlign w:val="bottom"/>
            <w:shd w:val="clear" w:color="auto" w:fill="ECECEC"/>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180" w:type="dxa"/>
            <w:vAlign w:val="bottom"/>
            <w:shd w:val="clear" w:color="auto" w:fill="ECECEC"/>
          </w:tcPr>
          <w:p>
            <w:pPr>
              <w:spacing w:after="0"/>
              <w:rPr>
                <w:sz w:val="4"/>
                <w:szCs w:val="4"/>
                <w:color w:val="auto"/>
              </w:rPr>
            </w:pPr>
          </w:p>
        </w:tc>
        <w:tc>
          <w:tcPr>
            <w:tcW w:w="820" w:type="dxa"/>
            <w:vAlign w:val="bottom"/>
            <w:shd w:val="clear" w:color="auto" w:fill="ECECEC"/>
          </w:tcPr>
          <w:p>
            <w:pPr>
              <w:spacing w:after="0"/>
              <w:rPr>
                <w:sz w:val="4"/>
                <w:szCs w:val="4"/>
                <w:color w:val="auto"/>
              </w:rPr>
            </w:pPr>
          </w:p>
        </w:tc>
        <w:tc>
          <w:tcPr>
            <w:tcW w:w="160" w:type="dxa"/>
            <w:vAlign w:val="bottom"/>
            <w:shd w:val="clear" w:color="auto" w:fill="ECECEC"/>
          </w:tcPr>
          <w:p>
            <w:pPr>
              <w:spacing w:after="0"/>
              <w:rPr>
                <w:sz w:val="4"/>
                <w:szCs w:val="4"/>
                <w:color w:val="auto"/>
              </w:rPr>
            </w:pPr>
          </w:p>
        </w:tc>
        <w:tc>
          <w:tcPr>
            <w:tcW w:w="540" w:type="dxa"/>
            <w:vAlign w:val="bottom"/>
            <w:shd w:val="clear" w:color="auto" w:fill="ECECEC"/>
          </w:tcPr>
          <w:p>
            <w:pPr>
              <w:spacing w:after="0"/>
              <w:rPr>
                <w:sz w:val="4"/>
                <w:szCs w:val="4"/>
                <w:color w:val="auto"/>
              </w:rPr>
            </w:pPr>
          </w:p>
        </w:tc>
        <w:tc>
          <w:tcPr>
            <w:tcW w:w="220" w:type="dxa"/>
            <w:vAlign w:val="bottom"/>
            <w:shd w:val="clear" w:color="auto" w:fill="ECECEC"/>
          </w:tcPr>
          <w:p>
            <w:pPr>
              <w:spacing w:after="0"/>
              <w:rPr>
                <w:sz w:val="4"/>
                <w:szCs w:val="4"/>
                <w:color w:val="auto"/>
              </w:rPr>
            </w:pPr>
          </w:p>
        </w:tc>
        <w:tc>
          <w:tcPr>
            <w:tcW w:w="2980" w:type="dxa"/>
            <w:vAlign w:val="bottom"/>
            <w:gridSpan w:val="5"/>
            <w:vMerge w:val="restart"/>
            <w:shd w:val="clear" w:color="auto" w:fill="ECECEC"/>
          </w:tcPr>
          <w:p>
            <w:pPr>
              <w:jc w:val="center"/>
              <w:ind w:right="160"/>
              <w:spacing w:after="0"/>
              <w:rPr>
                <w:sz w:val="20"/>
                <w:szCs w:val="20"/>
                <w:color w:val="auto"/>
              </w:rPr>
            </w:pPr>
            <w:r>
              <w:rPr>
                <w:rFonts w:ascii="Arial" w:cs="Arial" w:eastAsia="Arial" w:hAnsi="Arial"/>
                <w:sz w:val="13"/>
                <w:szCs w:val="13"/>
                <w:color w:val="auto"/>
                <w:w w:val="96"/>
              </w:rPr>
              <w:t>Non-Equity Incentive Plan Awards</w:t>
            </w:r>
          </w:p>
        </w:tc>
        <w:tc>
          <w:tcPr>
            <w:tcW w:w="2480" w:type="dxa"/>
            <w:vAlign w:val="bottom"/>
            <w:gridSpan w:val="3"/>
            <w:vMerge w:val="restart"/>
            <w:shd w:val="clear" w:color="auto" w:fill="ECECEC"/>
          </w:tcPr>
          <w:p>
            <w:pPr>
              <w:jc w:val="right"/>
              <w:ind w:right="329"/>
              <w:spacing w:after="0"/>
              <w:rPr>
                <w:sz w:val="20"/>
                <w:szCs w:val="20"/>
                <w:color w:val="auto"/>
              </w:rPr>
            </w:pPr>
            <w:r>
              <w:rPr>
                <w:rFonts w:ascii="Arial" w:cs="Arial" w:eastAsia="Arial" w:hAnsi="Arial"/>
                <w:sz w:val="13"/>
                <w:szCs w:val="13"/>
                <w:color w:val="auto"/>
              </w:rPr>
              <w:t>Equity Incentive Plan Awards</w:t>
            </w:r>
          </w:p>
        </w:tc>
        <w:tc>
          <w:tcPr>
            <w:tcW w:w="800" w:type="dxa"/>
            <w:vAlign w:val="bottom"/>
            <w:vMerge w:val="continue"/>
            <w:shd w:val="clear" w:color="auto" w:fill="ECECEC"/>
          </w:tcPr>
          <w:p>
            <w:pPr>
              <w:spacing w:after="0"/>
              <w:rPr>
                <w:sz w:val="4"/>
                <w:szCs w:val="4"/>
                <w:color w:val="auto"/>
              </w:rPr>
            </w:pPr>
          </w:p>
        </w:tc>
        <w:tc>
          <w:tcPr>
            <w:tcW w:w="100" w:type="dxa"/>
            <w:vAlign w:val="bottom"/>
            <w:shd w:val="clear" w:color="auto" w:fill="ECECEC"/>
          </w:tcPr>
          <w:p>
            <w:pPr>
              <w:spacing w:after="0"/>
              <w:rPr>
                <w:sz w:val="4"/>
                <w:szCs w:val="4"/>
                <w:color w:val="auto"/>
              </w:rPr>
            </w:pPr>
          </w:p>
        </w:tc>
        <w:tc>
          <w:tcPr>
            <w:tcW w:w="1140" w:type="dxa"/>
            <w:vAlign w:val="bottom"/>
            <w:shd w:val="clear" w:color="auto" w:fill="ECECEC"/>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180" w:type="dxa"/>
            <w:vAlign w:val="bottom"/>
            <w:shd w:val="clear" w:color="auto" w:fill="ECECEC"/>
          </w:tcPr>
          <w:p>
            <w:pPr>
              <w:spacing w:after="0"/>
              <w:rPr>
                <w:sz w:val="11"/>
                <w:szCs w:val="11"/>
                <w:color w:val="auto"/>
              </w:rPr>
            </w:pPr>
          </w:p>
        </w:tc>
        <w:tc>
          <w:tcPr>
            <w:tcW w:w="820" w:type="dxa"/>
            <w:vAlign w:val="bottom"/>
            <w:shd w:val="clear" w:color="auto" w:fill="ECECEC"/>
          </w:tcPr>
          <w:p>
            <w:pPr>
              <w:spacing w:after="0"/>
              <w:rPr>
                <w:sz w:val="11"/>
                <w:szCs w:val="11"/>
                <w:color w:val="auto"/>
              </w:rPr>
            </w:pPr>
          </w:p>
        </w:tc>
        <w:tc>
          <w:tcPr>
            <w:tcW w:w="160" w:type="dxa"/>
            <w:vAlign w:val="bottom"/>
            <w:shd w:val="clear" w:color="auto" w:fill="ECECEC"/>
          </w:tcPr>
          <w:p>
            <w:pPr>
              <w:spacing w:after="0"/>
              <w:rPr>
                <w:sz w:val="11"/>
                <w:szCs w:val="11"/>
                <w:color w:val="auto"/>
              </w:rPr>
            </w:pPr>
          </w:p>
        </w:tc>
        <w:tc>
          <w:tcPr>
            <w:tcW w:w="540" w:type="dxa"/>
            <w:vAlign w:val="bottom"/>
            <w:shd w:val="clear" w:color="auto" w:fill="ECECEC"/>
          </w:tcPr>
          <w:p>
            <w:pPr>
              <w:spacing w:after="0"/>
              <w:rPr>
                <w:sz w:val="11"/>
                <w:szCs w:val="11"/>
                <w:color w:val="auto"/>
              </w:rPr>
            </w:pPr>
          </w:p>
        </w:tc>
        <w:tc>
          <w:tcPr>
            <w:tcW w:w="220" w:type="dxa"/>
            <w:vAlign w:val="bottom"/>
            <w:shd w:val="clear" w:color="auto" w:fill="ECECEC"/>
          </w:tcPr>
          <w:p>
            <w:pPr>
              <w:spacing w:after="0"/>
              <w:rPr>
                <w:sz w:val="11"/>
                <w:szCs w:val="11"/>
                <w:color w:val="auto"/>
              </w:rPr>
            </w:pPr>
          </w:p>
        </w:tc>
        <w:tc>
          <w:tcPr>
            <w:tcW w:w="2980" w:type="dxa"/>
            <w:vAlign w:val="bottom"/>
            <w:gridSpan w:val="5"/>
            <w:vMerge w:val="continue"/>
            <w:shd w:val="clear" w:color="auto" w:fill="ECECEC"/>
          </w:tcPr>
          <w:p>
            <w:pPr>
              <w:spacing w:after="0"/>
              <w:rPr>
                <w:sz w:val="11"/>
                <w:szCs w:val="11"/>
                <w:color w:val="auto"/>
              </w:rPr>
            </w:pPr>
          </w:p>
        </w:tc>
        <w:tc>
          <w:tcPr>
            <w:tcW w:w="2480" w:type="dxa"/>
            <w:vAlign w:val="bottom"/>
            <w:gridSpan w:val="3"/>
            <w:vMerge w:val="continue"/>
            <w:shd w:val="clear" w:color="auto" w:fill="ECECEC"/>
          </w:tcPr>
          <w:p>
            <w:pPr>
              <w:spacing w:after="0"/>
              <w:rPr>
                <w:sz w:val="11"/>
                <w:szCs w:val="11"/>
                <w:color w:val="auto"/>
              </w:rPr>
            </w:pPr>
          </w:p>
        </w:tc>
        <w:tc>
          <w:tcPr>
            <w:tcW w:w="800" w:type="dxa"/>
            <w:vAlign w:val="bottom"/>
            <w:shd w:val="clear" w:color="auto" w:fill="ECECEC"/>
          </w:tcPr>
          <w:p>
            <w:pPr>
              <w:jc w:val="right"/>
              <w:spacing w:after="0" w:line="110" w:lineRule="exact"/>
              <w:rPr>
                <w:sz w:val="20"/>
                <w:szCs w:val="20"/>
                <w:color w:val="auto"/>
              </w:rPr>
            </w:pPr>
            <w:r>
              <w:rPr>
                <w:rFonts w:ascii="Arial" w:cs="Arial" w:eastAsia="Arial" w:hAnsi="Arial"/>
                <w:sz w:val="12"/>
                <w:szCs w:val="12"/>
                <w:color w:val="auto"/>
              </w:rPr>
              <w:t>Number of</w:t>
            </w:r>
          </w:p>
        </w:tc>
        <w:tc>
          <w:tcPr>
            <w:tcW w:w="100" w:type="dxa"/>
            <w:vAlign w:val="bottom"/>
            <w:shd w:val="clear" w:color="auto" w:fill="ECECEC"/>
          </w:tcPr>
          <w:p>
            <w:pPr>
              <w:spacing w:after="0"/>
              <w:rPr>
                <w:sz w:val="11"/>
                <w:szCs w:val="11"/>
                <w:color w:val="auto"/>
              </w:rPr>
            </w:pPr>
          </w:p>
        </w:tc>
        <w:tc>
          <w:tcPr>
            <w:tcW w:w="1140" w:type="dxa"/>
            <w:vAlign w:val="bottom"/>
            <w:shd w:val="clear" w:color="auto" w:fill="ECECEC"/>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180" w:type="dxa"/>
            <w:vAlign w:val="bottom"/>
            <w:tcBorders>
              <w:top w:val="single" w:sz="8" w:color="ECECEC"/>
            </w:tcBorders>
            <w:shd w:val="clear" w:color="auto" w:fill="ECECEC"/>
          </w:tcPr>
          <w:p>
            <w:pPr>
              <w:spacing w:after="0"/>
              <w:rPr>
                <w:sz w:val="10"/>
                <w:szCs w:val="10"/>
                <w:color w:val="auto"/>
              </w:rPr>
            </w:pPr>
          </w:p>
        </w:tc>
        <w:tc>
          <w:tcPr>
            <w:tcW w:w="820" w:type="dxa"/>
            <w:vAlign w:val="bottom"/>
            <w:tcBorders>
              <w:top w:val="single" w:sz="8" w:color="ECECEC"/>
            </w:tcBorders>
            <w:shd w:val="clear" w:color="auto" w:fill="ECECEC"/>
          </w:tcPr>
          <w:p>
            <w:pPr>
              <w:spacing w:after="0"/>
              <w:rPr>
                <w:sz w:val="10"/>
                <w:szCs w:val="10"/>
                <w:color w:val="auto"/>
              </w:rPr>
            </w:pPr>
          </w:p>
        </w:tc>
        <w:tc>
          <w:tcPr>
            <w:tcW w:w="160" w:type="dxa"/>
            <w:vAlign w:val="bottom"/>
            <w:tcBorders>
              <w:top w:val="single" w:sz="8" w:color="ECECEC"/>
            </w:tcBorders>
            <w:shd w:val="clear" w:color="auto" w:fill="ECECEC"/>
          </w:tcPr>
          <w:p>
            <w:pPr>
              <w:spacing w:after="0"/>
              <w:rPr>
                <w:sz w:val="10"/>
                <w:szCs w:val="10"/>
                <w:color w:val="auto"/>
              </w:rPr>
            </w:pPr>
          </w:p>
        </w:tc>
        <w:tc>
          <w:tcPr>
            <w:tcW w:w="540" w:type="dxa"/>
            <w:vAlign w:val="bottom"/>
            <w:tcBorders>
              <w:top w:val="single" w:sz="8" w:color="ECECEC"/>
            </w:tcBorders>
            <w:shd w:val="clear" w:color="auto" w:fill="ECECEC"/>
          </w:tcPr>
          <w:p>
            <w:pPr>
              <w:spacing w:after="0"/>
              <w:rPr>
                <w:sz w:val="10"/>
                <w:szCs w:val="10"/>
                <w:color w:val="auto"/>
              </w:rPr>
            </w:pPr>
          </w:p>
        </w:tc>
        <w:tc>
          <w:tcPr>
            <w:tcW w:w="220" w:type="dxa"/>
            <w:vAlign w:val="bottom"/>
            <w:tcBorders>
              <w:top w:val="single" w:sz="8" w:color="ECECEC"/>
            </w:tcBorders>
            <w:shd w:val="clear" w:color="auto" w:fill="ECECEC"/>
          </w:tcPr>
          <w:p>
            <w:pPr>
              <w:spacing w:after="0"/>
              <w:rPr>
                <w:sz w:val="10"/>
                <w:szCs w:val="10"/>
                <w:color w:val="auto"/>
              </w:rPr>
            </w:pPr>
          </w:p>
        </w:tc>
        <w:tc>
          <w:tcPr>
            <w:tcW w:w="700" w:type="dxa"/>
            <w:vAlign w:val="bottom"/>
            <w:tcBorders>
              <w:top w:val="single" w:sz="8" w:color="959595"/>
            </w:tcBorders>
            <w:shd w:val="clear" w:color="auto" w:fill="ECECEC"/>
          </w:tcPr>
          <w:p>
            <w:pPr>
              <w:spacing w:after="0"/>
              <w:rPr>
                <w:sz w:val="10"/>
                <w:szCs w:val="10"/>
                <w:color w:val="auto"/>
              </w:rPr>
            </w:pPr>
          </w:p>
        </w:tc>
        <w:tc>
          <w:tcPr>
            <w:tcW w:w="140" w:type="dxa"/>
            <w:vAlign w:val="bottom"/>
            <w:tcBorders>
              <w:top w:val="single" w:sz="8" w:color="959595"/>
            </w:tcBorders>
            <w:shd w:val="clear" w:color="auto" w:fill="ECECEC"/>
          </w:tcPr>
          <w:p>
            <w:pPr>
              <w:spacing w:after="0"/>
              <w:rPr>
                <w:sz w:val="10"/>
                <w:szCs w:val="10"/>
                <w:color w:val="auto"/>
              </w:rPr>
            </w:pPr>
          </w:p>
        </w:tc>
        <w:tc>
          <w:tcPr>
            <w:tcW w:w="980" w:type="dxa"/>
            <w:vAlign w:val="bottom"/>
            <w:tcBorders>
              <w:top w:val="single" w:sz="8" w:color="959595"/>
            </w:tcBorders>
            <w:shd w:val="clear" w:color="auto" w:fill="ECECEC"/>
          </w:tcPr>
          <w:p>
            <w:pPr>
              <w:spacing w:after="0"/>
              <w:rPr>
                <w:sz w:val="10"/>
                <w:szCs w:val="10"/>
                <w:color w:val="auto"/>
              </w:rPr>
            </w:pPr>
          </w:p>
        </w:tc>
        <w:tc>
          <w:tcPr>
            <w:tcW w:w="960" w:type="dxa"/>
            <w:vAlign w:val="bottom"/>
            <w:tcBorders>
              <w:top w:val="single" w:sz="8" w:color="959595"/>
            </w:tcBorders>
            <w:shd w:val="clear" w:color="auto" w:fill="ECECEC"/>
          </w:tcPr>
          <w:p>
            <w:pPr>
              <w:spacing w:after="0"/>
              <w:rPr>
                <w:sz w:val="10"/>
                <w:szCs w:val="10"/>
                <w:color w:val="auto"/>
              </w:rPr>
            </w:pPr>
          </w:p>
        </w:tc>
        <w:tc>
          <w:tcPr>
            <w:tcW w:w="200" w:type="dxa"/>
            <w:vAlign w:val="bottom"/>
            <w:tcBorders>
              <w:top w:val="single" w:sz="8" w:color="ECECEC"/>
            </w:tcBorders>
            <w:shd w:val="clear" w:color="auto" w:fill="ECECEC"/>
          </w:tcPr>
          <w:p>
            <w:pPr>
              <w:spacing w:after="0"/>
              <w:rPr>
                <w:sz w:val="10"/>
                <w:szCs w:val="10"/>
                <w:color w:val="auto"/>
              </w:rPr>
            </w:pPr>
          </w:p>
        </w:tc>
        <w:tc>
          <w:tcPr>
            <w:tcW w:w="860" w:type="dxa"/>
            <w:vAlign w:val="bottom"/>
            <w:tcBorders>
              <w:top w:val="single" w:sz="8" w:color="959595"/>
            </w:tcBorders>
            <w:shd w:val="clear" w:color="auto" w:fill="ECECEC"/>
          </w:tcPr>
          <w:p>
            <w:pPr>
              <w:spacing w:after="0"/>
              <w:rPr>
                <w:sz w:val="10"/>
                <w:szCs w:val="10"/>
                <w:color w:val="auto"/>
              </w:rPr>
            </w:pPr>
          </w:p>
        </w:tc>
        <w:tc>
          <w:tcPr>
            <w:tcW w:w="780" w:type="dxa"/>
            <w:vAlign w:val="bottom"/>
            <w:tcBorders>
              <w:top w:val="single" w:sz="8" w:color="959595"/>
            </w:tcBorders>
            <w:shd w:val="clear" w:color="auto" w:fill="ECECEC"/>
          </w:tcPr>
          <w:p>
            <w:pPr>
              <w:spacing w:after="0"/>
              <w:rPr>
                <w:sz w:val="10"/>
                <w:szCs w:val="10"/>
                <w:color w:val="auto"/>
              </w:rPr>
            </w:pPr>
          </w:p>
        </w:tc>
        <w:tc>
          <w:tcPr>
            <w:tcW w:w="840" w:type="dxa"/>
            <w:vAlign w:val="bottom"/>
            <w:tcBorders>
              <w:top w:val="single" w:sz="8" w:color="959595"/>
            </w:tcBorders>
            <w:shd w:val="clear" w:color="auto" w:fill="ECECEC"/>
          </w:tcPr>
          <w:p>
            <w:pPr>
              <w:spacing w:after="0"/>
              <w:rPr>
                <w:sz w:val="10"/>
                <w:szCs w:val="10"/>
                <w:color w:val="auto"/>
              </w:rPr>
            </w:pPr>
          </w:p>
        </w:tc>
        <w:tc>
          <w:tcPr>
            <w:tcW w:w="800" w:type="dxa"/>
            <w:vAlign w:val="bottom"/>
            <w:tcBorders>
              <w:top w:val="single" w:sz="8" w:color="ECECEC"/>
            </w:tcBorders>
            <w:shd w:val="clear" w:color="auto" w:fill="ECECEC"/>
          </w:tcPr>
          <w:p>
            <w:pPr>
              <w:jc w:val="right"/>
              <w:spacing w:after="0" w:line="120" w:lineRule="exact"/>
              <w:rPr>
                <w:sz w:val="20"/>
                <w:szCs w:val="20"/>
                <w:color w:val="auto"/>
              </w:rPr>
            </w:pPr>
            <w:r>
              <w:rPr>
                <w:rFonts w:ascii="Arial" w:cs="Arial" w:eastAsia="Arial" w:hAnsi="Arial"/>
                <w:sz w:val="13"/>
                <w:szCs w:val="13"/>
                <w:color w:val="auto"/>
              </w:rPr>
              <w:t>Shares of</w:t>
            </w:r>
          </w:p>
        </w:tc>
        <w:tc>
          <w:tcPr>
            <w:tcW w:w="100" w:type="dxa"/>
            <w:vAlign w:val="bottom"/>
            <w:tcBorders>
              <w:top w:val="single" w:sz="8" w:color="ECECEC"/>
            </w:tcBorders>
            <w:shd w:val="clear" w:color="auto" w:fill="ECECEC"/>
          </w:tcPr>
          <w:p>
            <w:pPr>
              <w:spacing w:after="0"/>
              <w:rPr>
                <w:sz w:val="10"/>
                <w:szCs w:val="10"/>
                <w:color w:val="auto"/>
              </w:rPr>
            </w:pPr>
          </w:p>
        </w:tc>
        <w:tc>
          <w:tcPr>
            <w:tcW w:w="1140" w:type="dxa"/>
            <w:vAlign w:val="bottom"/>
            <w:tcBorders>
              <w:top w:val="single" w:sz="8" w:color="ECECEC"/>
            </w:tcBorders>
            <w:shd w:val="clear" w:color="auto" w:fill="ECECEC"/>
          </w:tcPr>
          <w:p>
            <w:pPr>
              <w:jc w:val="right"/>
              <w:spacing w:after="0" w:line="120" w:lineRule="exact"/>
              <w:rPr>
                <w:sz w:val="20"/>
                <w:szCs w:val="20"/>
                <w:color w:val="auto"/>
              </w:rPr>
            </w:pPr>
            <w:r>
              <w:rPr>
                <w:rFonts w:ascii="Arial" w:cs="Arial" w:eastAsia="Arial" w:hAnsi="Arial"/>
                <w:sz w:val="13"/>
                <w:szCs w:val="13"/>
                <w:color w:val="auto"/>
              </w:rPr>
              <w:t>Grant Date</w:t>
            </w:r>
          </w:p>
        </w:tc>
        <w:tc>
          <w:tcPr>
            <w:tcW w:w="0" w:type="dxa"/>
            <w:vAlign w:val="bottom"/>
          </w:tcPr>
          <w:p>
            <w:pPr>
              <w:spacing w:after="0"/>
              <w:rPr>
                <w:sz w:val="1"/>
                <w:szCs w:val="1"/>
                <w:color w:val="auto"/>
              </w:rPr>
            </w:pPr>
          </w:p>
        </w:tc>
      </w:tr>
      <w:tr>
        <w:trPr>
          <w:trHeight w:val="135"/>
        </w:trPr>
        <w:tc>
          <w:tcPr>
            <w:tcW w:w="2180" w:type="dxa"/>
            <w:vAlign w:val="bottom"/>
            <w:shd w:val="clear" w:color="auto" w:fill="ECECEC"/>
          </w:tcPr>
          <w:p>
            <w:pPr>
              <w:spacing w:after="0"/>
              <w:rPr>
                <w:sz w:val="11"/>
                <w:szCs w:val="11"/>
                <w:color w:val="auto"/>
              </w:rPr>
            </w:pPr>
          </w:p>
        </w:tc>
        <w:tc>
          <w:tcPr>
            <w:tcW w:w="820" w:type="dxa"/>
            <w:vAlign w:val="bottom"/>
            <w:shd w:val="clear" w:color="auto" w:fill="ECECEC"/>
          </w:tcPr>
          <w:p>
            <w:pPr>
              <w:spacing w:after="0"/>
              <w:rPr>
                <w:sz w:val="11"/>
                <w:szCs w:val="11"/>
                <w:color w:val="auto"/>
              </w:rPr>
            </w:pPr>
          </w:p>
        </w:tc>
        <w:tc>
          <w:tcPr>
            <w:tcW w:w="160" w:type="dxa"/>
            <w:vAlign w:val="bottom"/>
            <w:shd w:val="clear" w:color="auto" w:fill="ECECEC"/>
          </w:tcPr>
          <w:p>
            <w:pPr>
              <w:spacing w:after="0"/>
              <w:rPr>
                <w:sz w:val="11"/>
                <w:szCs w:val="11"/>
                <w:color w:val="auto"/>
              </w:rPr>
            </w:pPr>
          </w:p>
        </w:tc>
        <w:tc>
          <w:tcPr>
            <w:tcW w:w="540" w:type="dxa"/>
            <w:vAlign w:val="bottom"/>
            <w:shd w:val="clear" w:color="auto" w:fill="ECECEC"/>
          </w:tcPr>
          <w:p>
            <w:pPr>
              <w:spacing w:after="0"/>
              <w:rPr>
                <w:sz w:val="11"/>
                <w:szCs w:val="11"/>
                <w:color w:val="auto"/>
              </w:rPr>
            </w:pPr>
          </w:p>
        </w:tc>
        <w:tc>
          <w:tcPr>
            <w:tcW w:w="220" w:type="dxa"/>
            <w:vAlign w:val="bottom"/>
            <w:shd w:val="clear" w:color="auto" w:fill="ECECEC"/>
          </w:tcPr>
          <w:p>
            <w:pPr>
              <w:spacing w:after="0"/>
              <w:rPr>
                <w:sz w:val="11"/>
                <w:szCs w:val="11"/>
                <w:color w:val="auto"/>
              </w:rPr>
            </w:pPr>
          </w:p>
        </w:tc>
        <w:tc>
          <w:tcPr>
            <w:tcW w:w="840" w:type="dxa"/>
            <w:vAlign w:val="bottom"/>
            <w:gridSpan w:val="2"/>
            <w:vMerge w:val="restart"/>
            <w:shd w:val="clear" w:color="auto" w:fill="ECECEC"/>
          </w:tcPr>
          <w:p>
            <w:pPr>
              <w:jc w:val="right"/>
              <w:ind w:right="140"/>
              <w:spacing w:after="0"/>
              <w:rPr>
                <w:sz w:val="20"/>
                <w:szCs w:val="20"/>
                <w:color w:val="auto"/>
              </w:rPr>
            </w:pPr>
            <w:r>
              <w:rPr>
                <w:rFonts w:ascii="Arial" w:cs="Arial" w:eastAsia="Arial" w:hAnsi="Arial"/>
                <w:sz w:val="13"/>
                <w:szCs w:val="13"/>
                <w:color w:val="auto"/>
              </w:rPr>
              <w:t>Threshold</w:t>
            </w:r>
          </w:p>
        </w:tc>
        <w:tc>
          <w:tcPr>
            <w:tcW w:w="980" w:type="dxa"/>
            <w:vAlign w:val="bottom"/>
            <w:vMerge w:val="restart"/>
            <w:shd w:val="clear" w:color="auto" w:fill="ECECEC"/>
          </w:tcPr>
          <w:p>
            <w:pPr>
              <w:jc w:val="right"/>
              <w:ind w:right="129"/>
              <w:spacing w:after="0"/>
              <w:rPr>
                <w:sz w:val="20"/>
                <w:szCs w:val="20"/>
                <w:color w:val="auto"/>
              </w:rPr>
            </w:pPr>
            <w:r>
              <w:rPr>
                <w:rFonts w:ascii="Arial" w:cs="Arial" w:eastAsia="Arial" w:hAnsi="Arial"/>
                <w:sz w:val="13"/>
                <w:szCs w:val="13"/>
                <w:color w:val="auto"/>
              </w:rPr>
              <w:t>Target</w:t>
            </w:r>
          </w:p>
        </w:tc>
        <w:tc>
          <w:tcPr>
            <w:tcW w:w="1160" w:type="dxa"/>
            <w:vAlign w:val="bottom"/>
            <w:gridSpan w:val="2"/>
            <w:vMerge w:val="restart"/>
            <w:shd w:val="clear" w:color="auto" w:fill="ECECEC"/>
          </w:tcPr>
          <w:p>
            <w:pPr>
              <w:jc w:val="right"/>
              <w:ind w:right="320"/>
              <w:spacing w:after="0"/>
              <w:rPr>
                <w:sz w:val="20"/>
                <w:szCs w:val="20"/>
                <w:color w:val="auto"/>
              </w:rPr>
            </w:pPr>
            <w:r>
              <w:rPr>
                <w:rFonts w:ascii="Arial" w:cs="Arial" w:eastAsia="Arial" w:hAnsi="Arial"/>
                <w:sz w:val="13"/>
                <w:szCs w:val="13"/>
                <w:color w:val="auto"/>
              </w:rPr>
              <w:t>Maximum</w:t>
            </w:r>
          </w:p>
        </w:tc>
        <w:tc>
          <w:tcPr>
            <w:tcW w:w="860" w:type="dxa"/>
            <w:vAlign w:val="bottom"/>
            <w:vMerge w:val="restart"/>
            <w:shd w:val="clear" w:color="auto" w:fill="ECECEC"/>
          </w:tcPr>
          <w:p>
            <w:pPr>
              <w:jc w:val="right"/>
              <w:ind w:right="109"/>
              <w:spacing w:after="0"/>
              <w:rPr>
                <w:sz w:val="20"/>
                <w:szCs w:val="20"/>
                <w:color w:val="auto"/>
              </w:rPr>
            </w:pPr>
            <w:r>
              <w:rPr>
                <w:rFonts w:ascii="Arial" w:cs="Arial" w:eastAsia="Arial" w:hAnsi="Arial"/>
                <w:sz w:val="13"/>
                <w:szCs w:val="13"/>
                <w:color w:val="auto"/>
              </w:rPr>
              <w:t>Threshold</w:t>
            </w:r>
          </w:p>
        </w:tc>
        <w:tc>
          <w:tcPr>
            <w:tcW w:w="780" w:type="dxa"/>
            <w:vAlign w:val="bottom"/>
            <w:vMerge w:val="restart"/>
            <w:shd w:val="clear" w:color="auto" w:fill="ECECEC"/>
          </w:tcPr>
          <w:p>
            <w:pPr>
              <w:jc w:val="right"/>
              <w:ind w:right="109"/>
              <w:spacing w:after="0"/>
              <w:rPr>
                <w:sz w:val="20"/>
                <w:szCs w:val="20"/>
                <w:color w:val="auto"/>
              </w:rPr>
            </w:pPr>
            <w:r>
              <w:rPr>
                <w:rFonts w:ascii="Arial" w:cs="Arial" w:eastAsia="Arial" w:hAnsi="Arial"/>
                <w:sz w:val="13"/>
                <w:szCs w:val="13"/>
                <w:color w:val="auto"/>
              </w:rPr>
              <w:t>Target</w:t>
            </w:r>
          </w:p>
        </w:tc>
        <w:tc>
          <w:tcPr>
            <w:tcW w:w="840" w:type="dxa"/>
            <w:vAlign w:val="bottom"/>
            <w:vMerge w:val="restart"/>
            <w:shd w:val="clear" w:color="auto" w:fill="ECECEC"/>
          </w:tcPr>
          <w:p>
            <w:pPr>
              <w:jc w:val="right"/>
              <w:ind w:right="29"/>
              <w:spacing w:after="0"/>
              <w:rPr>
                <w:sz w:val="20"/>
                <w:szCs w:val="20"/>
                <w:color w:val="auto"/>
              </w:rPr>
            </w:pPr>
            <w:r>
              <w:rPr>
                <w:rFonts w:ascii="Arial" w:cs="Arial" w:eastAsia="Arial" w:hAnsi="Arial"/>
                <w:sz w:val="13"/>
                <w:szCs w:val="13"/>
                <w:color w:val="auto"/>
              </w:rPr>
              <w:t>Maximum</w:t>
            </w:r>
          </w:p>
        </w:tc>
        <w:tc>
          <w:tcPr>
            <w:tcW w:w="800" w:type="dxa"/>
            <w:vAlign w:val="bottom"/>
            <w:shd w:val="clear" w:color="auto" w:fill="ECECEC"/>
          </w:tcPr>
          <w:p>
            <w:pPr>
              <w:jc w:val="right"/>
              <w:spacing w:after="0" w:line="135" w:lineRule="exact"/>
              <w:rPr>
                <w:sz w:val="20"/>
                <w:szCs w:val="20"/>
                <w:color w:val="auto"/>
              </w:rPr>
            </w:pPr>
            <w:r>
              <w:rPr>
                <w:rFonts w:ascii="Arial" w:cs="Arial" w:eastAsia="Arial" w:hAnsi="Arial"/>
                <w:sz w:val="13"/>
                <w:szCs w:val="13"/>
                <w:color w:val="auto"/>
              </w:rPr>
              <w:t>Stock or</w:t>
            </w:r>
          </w:p>
        </w:tc>
        <w:tc>
          <w:tcPr>
            <w:tcW w:w="100" w:type="dxa"/>
            <w:vAlign w:val="bottom"/>
            <w:shd w:val="clear" w:color="auto" w:fill="ECECEC"/>
          </w:tcPr>
          <w:p>
            <w:pPr>
              <w:spacing w:after="0"/>
              <w:rPr>
                <w:sz w:val="11"/>
                <w:szCs w:val="11"/>
                <w:color w:val="auto"/>
              </w:rPr>
            </w:pPr>
          </w:p>
        </w:tc>
        <w:tc>
          <w:tcPr>
            <w:tcW w:w="1140" w:type="dxa"/>
            <w:vAlign w:val="bottom"/>
            <w:shd w:val="clear" w:color="auto" w:fill="ECECEC"/>
          </w:tcPr>
          <w:p>
            <w:pPr>
              <w:jc w:val="right"/>
              <w:spacing w:after="0" w:line="135" w:lineRule="exact"/>
              <w:rPr>
                <w:sz w:val="20"/>
                <w:szCs w:val="20"/>
                <w:color w:val="auto"/>
              </w:rPr>
            </w:pPr>
            <w:r>
              <w:rPr>
                <w:rFonts w:ascii="Arial" w:cs="Arial" w:eastAsia="Arial" w:hAnsi="Arial"/>
                <w:sz w:val="13"/>
                <w:szCs w:val="13"/>
                <w:color w:val="auto"/>
              </w:rPr>
              <w:t>Fair Value of</w:t>
            </w:r>
          </w:p>
        </w:tc>
        <w:tc>
          <w:tcPr>
            <w:tcW w:w="0" w:type="dxa"/>
            <w:vAlign w:val="bottom"/>
          </w:tcPr>
          <w:p>
            <w:pPr>
              <w:spacing w:after="0"/>
              <w:rPr>
                <w:sz w:val="1"/>
                <w:szCs w:val="1"/>
                <w:color w:val="auto"/>
              </w:rPr>
            </w:pPr>
          </w:p>
        </w:tc>
      </w:tr>
      <w:tr>
        <w:trPr>
          <w:trHeight w:val="170"/>
        </w:trPr>
        <w:tc>
          <w:tcPr>
            <w:tcW w:w="2180" w:type="dxa"/>
            <w:vAlign w:val="bottom"/>
            <w:shd w:val="clear" w:color="auto" w:fill="ECECEC"/>
          </w:tcPr>
          <w:p>
            <w:pPr>
              <w:spacing w:after="0"/>
              <w:rPr>
                <w:sz w:val="14"/>
                <w:szCs w:val="14"/>
                <w:color w:val="auto"/>
              </w:rPr>
            </w:pPr>
          </w:p>
        </w:tc>
        <w:tc>
          <w:tcPr>
            <w:tcW w:w="820" w:type="dxa"/>
            <w:vAlign w:val="bottom"/>
            <w:vMerge w:val="restart"/>
            <w:shd w:val="clear" w:color="auto" w:fill="ECECEC"/>
          </w:tcPr>
          <w:p>
            <w:pPr>
              <w:jc w:val="right"/>
              <w:spacing w:after="0"/>
              <w:rPr>
                <w:sz w:val="20"/>
                <w:szCs w:val="20"/>
                <w:color w:val="auto"/>
              </w:rPr>
            </w:pPr>
            <w:r>
              <w:rPr>
                <w:rFonts w:ascii="Arial" w:cs="Arial" w:eastAsia="Arial" w:hAnsi="Arial"/>
                <w:sz w:val="13"/>
                <w:szCs w:val="13"/>
                <w:color w:val="auto"/>
              </w:rPr>
              <w:t>Grant</w:t>
            </w:r>
          </w:p>
        </w:tc>
        <w:tc>
          <w:tcPr>
            <w:tcW w:w="160" w:type="dxa"/>
            <w:vAlign w:val="bottom"/>
            <w:shd w:val="clear" w:color="auto" w:fill="ECECEC"/>
          </w:tcPr>
          <w:p>
            <w:pPr>
              <w:spacing w:after="0"/>
              <w:rPr>
                <w:sz w:val="14"/>
                <w:szCs w:val="14"/>
                <w:color w:val="auto"/>
              </w:rPr>
            </w:pPr>
          </w:p>
        </w:tc>
        <w:tc>
          <w:tcPr>
            <w:tcW w:w="540" w:type="dxa"/>
            <w:vAlign w:val="bottom"/>
            <w:vMerge w:val="restart"/>
            <w:shd w:val="clear" w:color="auto" w:fill="ECECEC"/>
          </w:tcPr>
          <w:p>
            <w:pPr>
              <w:jc w:val="right"/>
              <w:spacing w:after="0"/>
              <w:rPr>
                <w:sz w:val="20"/>
                <w:szCs w:val="20"/>
                <w:color w:val="auto"/>
              </w:rPr>
            </w:pPr>
            <w:r>
              <w:rPr>
                <w:rFonts w:ascii="Arial" w:cs="Arial" w:eastAsia="Arial" w:hAnsi="Arial"/>
                <w:sz w:val="13"/>
                <w:szCs w:val="13"/>
                <w:color w:val="auto"/>
              </w:rPr>
              <w:t>Award</w:t>
            </w:r>
          </w:p>
        </w:tc>
        <w:tc>
          <w:tcPr>
            <w:tcW w:w="220" w:type="dxa"/>
            <w:vAlign w:val="bottom"/>
            <w:shd w:val="clear" w:color="auto" w:fill="ECECEC"/>
          </w:tcPr>
          <w:p>
            <w:pPr>
              <w:spacing w:after="0"/>
              <w:rPr>
                <w:sz w:val="14"/>
                <w:szCs w:val="14"/>
                <w:color w:val="auto"/>
              </w:rPr>
            </w:pPr>
          </w:p>
        </w:tc>
        <w:tc>
          <w:tcPr>
            <w:tcW w:w="840" w:type="dxa"/>
            <w:vAlign w:val="bottom"/>
            <w:gridSpan w:val="2"/>
            <w:vMerge w:val="continue"/>
            <w:shd w:val="clear" w:color="auto" w:fill="ECECEC"/>
          </w:tcPr>
          <w:p>
            <w:pPr>
              <w:spacing w:after="0"/>
              <w:rPr>
                <w:sz w:val="14"/>
                <w:szCs w:val="14"/>
                <w:color w:val="auto"/>
              </w:rPr>
            </w:pPr>
          </w:p>
        </w:tc>
        <w:tc>
          <w:tcPr>
            <w:tcW w:w="980" w:type="dxa"/>
            <w:vAlign w:val="bottom"/>
            <w:vMerge w:val="continue"/>
            <w:shd w:val="clear" w:color="auto" w:fill="ECECEC"/>
          </w:tcPr>
          <w:p>
            <w:pPr>
              <w:spacing w:after="0"/>
              <w:rPr>
                <w:sz w:val="14"/>
                <w:szCs w:val="14"/>
                <w:color w:val="auto"/>
              </w:rPr>
            </w:pPr>
          </w:p>
        </w:tc>
        <w:tc>
          <w:tcPr>
            <w:tcW w:w="1160" w:type="dxa"/>
            <w:vAlign w:val="bottom"/>
            <w:gridSpan w:val="2"/>
            <w:vMerge w:val="continue"/>
            <w:shd w:val="clear" w:color="auto" w:fill="ECECEC"/>
          </w:tcPr>
          <w:p>
            <w:pPr>
              <w:spacing w:after="0"/>
              <w:rPr>
                <w:sz w:val="14"/>
                <w:szCs w:val="14"/>
                <w:color w:val="auto"/>
              </w:rPr>
            </w:pPr>
          </w:p>
        </w:tc>
        <w:tc>
          <w:tcPr>
            <w:tcW w:w="860" w:type="dxa"/>
            <w:vAlign w:val="bottom"/>
            <w:vMerge w:val="continue"/>
            <w:shd w:val="clear" w:color="auto" w:fill="ECECEC"/>
          </w:tcPr>
          <w:p>
            <w:pPr>
              <w:spacing w:after="0"/>
              <w:rPr>
                <w:sz w:val="14"/>
                <w:szCs w:val="14"/>
                <w:color w:val="auto"/>
              </w:rPr>
            </w:pPr>
          </w:p>
        </w:tc>
        <w:tc>
          <w:tcPr>
            <w:tcW w:w="780" w:type="dxa"/>
            <w:vAlign w:val="bottom"/>
            <w:vMerge w:val="continue"/>
            <w:shd w:val="clear" w:color="auto" w:fill="ECECEC"/>
          </w:tcPr>
          <w:p>
            <w:pPr>
              <w:spacing w:after="0"/>
              <w:rPr>
                <w:sz w:val="14"/>
                <w:szCs w:val="14"/>
                <w:color w:val="auto"/>
              </w:rPr>
            </w:pPr>
          </w:p>
        </w:tc>
        <w:tc>
          <w:tcPr>
            <w:tcW w:w="840" w:type="dxa"/>
            <w:vAlign w:val="bottom"/>
            <w:vMerge w:val="continue"/>
            <w:shd w:val="clear" w:color="auto" w:fill="ECECEC"/>
          </w:tcPr>
          <w:p>
            <w:pPr>
              <w:spacing w:after="0"/>
              <w:rPr>
                <w:sz w:val="14"/>
                <w:szCs w:val="14"/>
                <w:color w:val="auto"/>
              </w:rPr>
            </w:pPr>
          </w:p>
        </w:tc>
        <w:tc>
          <w:tcPr>
            <w:tcW w:w="800" w:type="dxa"/>
            <w:vAlign w:val="bottom"/>
            <w:shd w:val="clear" w:color="auto" w:fill="ECECEC"/>
          </w:tcPr>
          <w:p>
            <w:pPr>
              <w:jc w:val="right"/>
              <w:spacing w:after="0"/>
              <w:rPr>
                <w:sz w:val="20"/>
                <w:szCs w:val="20"/>
                <w:color w:val="auto"/>
              </w:rPr>
            </w:pPr>
            <w:r>
              <w:rPr>
                <w:rFonts w:ascii="Arial" w:cs="Arial" w:eastAsia="Arial" w:hAnsi="Arial"/>
                <w:sz w:val="13"/>
                <w:szCs w:val="13"/>
                <w:color w:val="auto"/>
              </w:rPr>
              <w:t>Units</w:t>
            </w:r>
          </w:p>
        </w:tc>
        <w:tc>
          <w:tcPr>
            <w:tcW w:w="100" w:type="dxa"/>
            <w:vAlign w:val="bottom"/>
            <w:shd w:val="clear" w:color="auto" w:fill="ECECEC"/>
          </w:tcPr>
          <w:p>
            <w:pPr>
              <w:spacing w:after="0"/>
              <w:rPr>
                <w:sz w:val="14"/>
                <w:szCs w:val="14"/>
                <w:color w:val="auto"/>
              </w:rPr>
            </w:pPr>
          </w:p>
        </w:tc>
        <w:tc>
          <w:tcPr>
            <w:tcW w:w="1140" w:type="dxa"/>
            <w:vAlign w:val="bottom"/>
            <w:shd w:val="clear" w:color="auto" w:fill="ECECEC"/>
          </w:tcPr>
          <w:p>
            <w:pPr>
              <w:jc w:val="right"/>
              <w:spacing w:after="0"/>
              <w:rPr>
                <w:sz w:val="20"/>
                <w:szCs w:val="20"/>
                <w:color w:val="auto"/>
              </w:rPr>
            </w:pPr>
            <w:r>
              <w:rPr>
                <w:rFonts w:ascii="Arial" w:cs="Arial" w:eastAsia="Arial" w:hAnsi="Arial"/>
                <w:sz w:val="13"/>
                <w:szCs w:val="13"/>
                <w:color w:val="auto"/>
              </w:rPr>
              <w:t>Stock Awards</w:t>
            </w:r>
          </w:p>
        </w:tc>
        <w:tc>
          <w:tcPr>
            <w:tcW w:w="0" w:type="dxa"/>
            <w:vAlign w:val="bottom"/>
          </w:tcPr>
          <w:p>
            <w:pPr>
              <w:spacing w:after="0"/>
              <w:rPr>
                <w:sz w:val="1"/>
                <w:szCs w:val="1"/>
                <w:color w:val="auto"/>
              </w:rPr>
            </w:pPr>
          </w:p>
        </w:tc>
      </w:tr>
      <w:tr>
        <w:trPr>
          <w:trHeight w:val="100"/>
        </w:trPr>
        <w:tc>
          <w:tcPr>
            <w:tcW w:w="2180" w:type="dxa"/>
            <w:vAlign w:val="bottom"/>
            <w:vMerge w:val="restart"/>
            <w:shd w:val="clear" w:color="auto" w:fill="ECECEC"/>
          </w:tcPr>
          <w:p>
            <w:pPr>
              <w:ind w:left="40"/>
              <w:spacing w:after="0"/>
              <w:rPr>
                <w:sz w:val="20"/>
                <w:szCs w:val="20"/>
                <w:color w:val="auto"/>
              </w:rPr>
            </w:pPr>
            <w:r>
              <w:rPr>
                <w:rFonts w:ascii="Arial" w:cs="Arial" w:eastAsia="Arial" w:hAnsi="Arial"/>
                <w:sz w:val="13"/>
                <w:szCs w:val="13"/>
                <w:color w:val="auto"/>
              </w:rPr>
              <w:t>Name</w:t>
            </w:r>
          </w:p>
        </w:tc>
        <w:tc>
          <w:tcPr>
            <w:tcW w:w="820" w:type="dxa"/>
            <w:vAlign w:val="bottom"/>
            <w:vMerge w:val="continue"/>
            <w:shd w:val="clear" w:color="auto" w:fill="ECECEC"/>
          </w:tcPr>
          <w:p>
            <w:pPr>
              <w:spacing w:after="0"/>
              <w:rPr>
                <w:sz w:val="8"/>
                <w:szCs w:val="8"/>
                <w:color w:val="auto"/>
              </w:rPr>
            </w:pPr>
          </w:p>
        </w:tc>
        <w:tc>
          <w:tcPr>
            <w:tcW w:w="160" w:type="dxa"/>
            <w:vAlign w:val="bottom"/>
            <w:shd w:val="clear" w:color="auto" w:fill="ECECEC"/>
          </w:tcPr>
          <w:p>
            <w:pPr>
              <w:spacing w:after="0"/>
              <w:rPr>
                <w:sz w:val="8"/>
                <w:szCs w:val="8"/>
                <w:color w:val="auto"/>
              </w:rPr>
            </w:pPr>
          </w:p>
        </w:tc>
        <w:tc>
          <w:tcPr>
            <w:tcW w:w="540" w:type="dxa"/>
            <w:vAlign w:val="bottom"/>
            <w:vMerge w:val="continue"/>
            <w:shd w:val="clear" w:color="auto" w:fill="ECECEC"/>
          </w:tcPr>
          <w:p>
            <w:pPr>
              <w:spacing w:after="0"/>
              <w:rPr>
                <w:sz w:val="8"/>
                <w:szCs w:val="8"/>
                <w:color w:val="auto"/>
              </w:rPr>
            </w:pPr>
          </w:p>
        </w:tc>
        <w:tc>
          <w:tcPr>
            <w:tcW w:w="220" w:type="dxa"/>
            <w:vAlign w:val="bottom"/>
            <w:shd w:val="clear" w:color="auto" w:fill="ECECEC"/>
          </w:tcPr>
          <w:p>
            <w:pPr>
              <w:spacing w:after="0"/>
              <w:rPr>
                <w:sz w:val="8"/>
                <w:szCs w:val="8"/>
                <w:color w:val="auto"/>
              </w:rPr>
            </w:pPr>
          </w:p>
        </w:tc>
        <w:tc>
          <w:tcPr>
            <w:tcW w:w="700" w:type="dxa"/>
            <w:vAlign w:val="bottom"/>
            <w:vMerge w:val="restart"/>
            <w:shd w:val="clear" w:color="auto" w:fill="ECECE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ECECEC"/>
          </w:tcPr>
          <w:p>
            <w:pPr>
              <w:spacing w:after="0"/>
              <w:rPr>
                <w:sz w:val="8"/>
                <w:szCs w:val="8"/>
                <w:color w:val="auto"/>
              </w:rPr>
            </w:pPr>
          </w:p>
        </w:tc>
        <w:tc>
          <w:tcPr>
            <w:tcW w:w="980" w:type="dxa"/>
            <w:vAlign w:val="bottom"/>
            <w:vMerge w:val="restart"/>
            <w:shd w:val="clear" w:color="auto" w:fill="ECECEC"/>
          </w:tcPr>
          <w:p>
            <w:pPr>
              <w:jc w:val="right"/>
              <w:ind w:right="129"/>
              <w:spacing w:after="0"/>
              <w:rPr>
                <w:sz w:val="20"/>
                <w:szCs w:val="20"/>
                <w:color w:val="auto"/>
              </w:rPr>
            </w:pPr>
            <w:r>
              <w:rPr>
                <w:rFonts w:ascii="Arial" w:cs="Arial" w:eastAsia="Arial" w:hAnsi="Arial"/>
                <w:sz w:val="13"/>
                <w:szCs w:val="13"/>
                <w:color w:val="auto"/>
              </w:rPr>
              <w:t>($)</w:t>
            </w:r>
          </w:p>
        </w:tc>
        <w:tc>
          <w:tcPr>
            <w:tcW w:w="960" w:type="dxa"/>
            <w:vAlign w:val="bottom"/>
            <w:vMerge w:val="restart"/>
            <w:shd w:val="clear" w:color="auto" w:fill="ECECEC"/>
          </w:tcPr>
          <w:p>
            <w:pPr>
              <w:jc w:val="right"/>
              <w:ind w:right="49"/>
              <w:spacing w:after="0"/>
              <w:rPr>
                <w:sz w:val="20"/>
                <w:szCs w:val="20"/>
                <w:color w:val="auto"/>
              </w:rPr>
            </w:pPr>
            <w:r>
              <w:rPr>
                <w:rFonts w:ascii="Arial" w:cs="Arial" w:eastAsia="Arial" w:hAnsi="Arial"/>
                <w:sz w:val="13"/>
                <w:szCs w:val="13"/>
                <w:color w:val="auto"/>
              </w:rPr>
              <w:t>($)</w:t>
            </w:r>
          </w:p>
        </w:tc>
        <w:tc>
          <w:tcPr>
            <w:tcW w:w="200" w:type="dxa"/>
            <w:vAlign w:val="bottom"/>
            <w:shd w:val="clear" w:color="auto" w:fill="ECECEC"/>
          </w:tcPr>
          <w:p>
            <w:pPr>
              <w:spacing w:after="0"/>
              <w:rPr>
                <w:sz w:val="8"/>
                <w:szCs w:val="8"/>
                <w:color w:val="auto"/>
              </w:rPr>
            </w:pPr>
          </w:p>
        </w:tc>
        <w:tc>
          <w:tcPr>
            <w:tcW w:w="860" w:type="dxa"/>
            <w:vAlign w:val="bottom"/>
            <w:vMerge w:val="restart"/>
            <w:shd w:val="clear" w:color="auto" w:fill="ECECEC"/>
          </w:tcPr>
          <w:p>
            <w:pPr>
              <w:jc w:val="right"/>
              <w:ind w:right="109"/>
              <w:spacing w:after="0"/>
              <w:rPr>
                <w:sz w:val="20"/>
                <w:szCs w:val="20"/>
                <w:color w:val="auto"/>
              </w:rPr>
            </w:pPr>
            <w:r>
              <w:rPr>
                <w:rFonts w:ascii="Arial" w:cs="Arial" w:eastAsia="Arial" w:hAnsi="Arial"/>
                <w:sz w:val="13"/>
                <w:szCs w:val="13"/>
                <w:color w:val="auto"/>
              </w:rPr>
              <w:t>(#)</w:t>
            </w:r>
          </w:p>
        </w:tc>
        <w:tc>
          <w:tcPr>
            <w:tcW w:w="780" w:type="dxa"/>
            <w:vAlign w:val="bottom"/>
            <w:vMerge w:val="restart"/>
            <w:shd w:val="clear" w:color="auto" w:fill="ECECEC"/>
          </w:tcPr>
          <w:p>
            <w:pPr>
              <w:jc w:val="right"/>
              <w:ind w:right="109"/>
              <w:spacing w:after="0"/>
              <w:rPr>
                <w:sz w:val="20"/>
                <w:szCs w:val="20"/>
                <w:color w:val="auto"/>
              </w:rPr>
            </w:pPr>
            <w:r>
              <w:rPr>
                <w:rFonts w:ascii="Arial" w:cs="Arial" w:eastAsia="Arial" w:hAnsi="Arial"/>
                <w:sz w:val="13"/>
                <w:szCs w:val="13"/>
                <w:color w:val="auto"/>
              </w:rPr>
              <w:t>(#)</w:t>
            </w:r>
          </w:p>
        </w:tc>
        <w:tc>
          <w:tcPr>
            <w:tcW w:w="840" w:type="dxa"/>
            <w:vAlign w:val="bottom"/>
            <w:vMerge w:val="restart"/>
            <w:shd w:val="clear" w:color="auto" w:fill="ECECEC"/>
          </w:tcPr>
          <w:p>
            <w:pPr>
              <w:jc w:val="right"/>
              <w:ind w:right="29"/>
              <w:spacing w:after="0"/>
              <w:rPr>
                <w:sz w:val="20"/>
                <w:szCs w:val="20"/>
                <w:color w:val="auto"/>
              </w:rPr>
            </w:pPr>
            <w:r>
              <w:rPr>
                <w:rFonts w:ascii="Arial" w:cs="Arial" w:eastAsia="Arial" w:hAnsi="Arial"/>
                <w:sz w:val="13"/>
                <w:szCs w:val="13"/>
                <w:color w:val="auto"/>
              </w:rPr>
              <w:t>(#)</w:t>
            </w:r>
          </w:p>
        </w:tc>
        <w:tc>
          <w:tcPr>
            <w:tcW w:w="800" w:type="dxa"/>
            <w:vAlign w:val="bottom"/>
            <w:vMerge w:val="restart"/>
            <w:shd w:val="clear" w:color="auto" w:fill="ECECE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ECECEC"/>
          </w:tcPr>
          <w:p>
            <w:pPr>
              <w:spacing w:after="0"/>
              <w:rPr>
                <w:sz w:val="8"/>
                <w:szCs w:val="8"/>
                <w:color w:val="auto"/>
              </w:rPr>
            </w:pPr>
          </w:p>
        </w:tc>
        <w:tc>
          <w:tcPr>
            <w:tcW w:w="1140" w:type="dxa"/>
            <w:vAlign w:val="bottom"/>
            <w:vMerge w:val="restart"/>
            <w:shd w:val="clear" w:color="auto" w:fill="ECECEC"/>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8"/>
        </w:trPr>
        <w:tc>
          <w:tcPr>
            <w:tcW w:w="2180" w:type="dxa"/>
            <w:vAlign w:val="bottom"/>
            <w:tcBorders>
              <w:bottom w:val="single" w:sz="8" w:color="959595"/>
            </w:tcBorders>
            <w:vMerge w:val="continue"/>
            <w:shd w:val="clear" w:color="auto" w:fill="ECECEC"/>
          </w:tcPr>
          <w:p>
            <w:pPr>
              <w:spacing w:after="0"/>
              <w:rPr>
                <w:sz w:val="15"/>
                <w:szCs w:val="15"/>
                <w:color w:val="auto"/>
              </w:rPr>
            </w:pPr>
          </w:p>
        </w:tc>
        <w:tc>
          <w:tcPr>
            <w:tcW w:w="820" w:type="dxa"/>
            <w:vAlign w:val="bottom"/>
            <w:tcBorders>
              <w:bottom w:val="single" w:sz="8" w:color="959595"/>
            </w:tcBorders>
            <w:shd w:val="clear" w:color="auto" w:fill="ECECEC"/>
          </w:tcPr>
          <w:p>
            <w:pPr>
              <w:jc w:val="right"/>
              <w:spacing w:after="0"/>
              <w:rPr>
                <w:sz w:val="20"/>
                <w:szCs w:val="20"/>
                <w:color w:val="auto"/>
              </w:rPr>
            </w:pPr>
            <w:r>
              <w:rPr>
                <w:rFonts w:ascii="Arial" w:cs="Arial" w:eastAsia="Arial" w:hAnsi="Arial"/>
                <w:sz w:val="13"/>
                <w:szCs w:val="13"/>
                <w:color w:val="auto"/>
              </w:rPr>
              <w:t>Date</w:t>
            </w:r>
          </w:p>
        </w:tc>
        <w:tc>
          <w:tcPr>
            <w:tcW w:w="160" w:type="dxa"/>
            <w:vAlign w:val="bottom"/>
            <w:tcBorders>
              <w:bottom w:val="single" w:sz="8" w:color="959595"/>
            </w:tcBorders>
            <w:shd w:val="clear" w:color="auto" w:fill="ECECEC"/>
          </w:tcPr>
          <w:p>
            <w:pPr>
              <w:spacing w:after="0"/>
              <w:rPr>
                <w:sz w:val="15"/>
                <w:szCs w:val="15"/>
                <w:color w:val="auto"/>
              </w:rPr>
            </w:pPr>
          </w:p>
        </w:tc>
        <w:tc>
          <w:tcPr>
            <w:tcW w:w="540" w:type="dxa"/>
            <w:vAlign w:val="bottom"/>
            <w:tcBorders>
              <w:bottom w:val="single" w:sz="8" w:color="959595"/>
            </w:tcBorders>
            <w:shd w:val="clear" w:color="auto" w:fill="ECECEC"/>
          </w:tcPr>
          <w:p>
            <w:pPr>
              <w:jc w:val="right"/>
              <w:spacing w:after="0"/>
              <w:rPr>
                <w:sz w:val="20"/>
                <w:szCs w:val="20"/>
                <w:color w:val="auto"/>
              </w:rPr>
            </w:pPr>
            <w:r>
              <w:rPr>
                <w:rFonts w:ascii="Arial" w:cs="Arial" w:eastAsia="Arial" w:hAnsi="Arial"/>
                <w:sz w:val="13"/>
                <w:szCs w:val="13"/>
                <w:color w:val="auto"/>
              </w:rPr>
              <w:t>Type</w:t>
            </w:r>
          </w:p>
        </w:tc>
        <w:tc>
          <w:tcPr>
            <w:tcW w:w="220" w:type="dxa"/>
            <w:vAlign w:val="bottom"/>
            <w:tcBorders>
              <w:bottom w:val="single" w:sz="8" w:color="959595"/>
            </w:tcBorders>
            <w:shd w:val="clear" w:color="auto" w:fill="ECECEC"/>
          </w:tcPr>
          <w:p>
            <w:pPr>
              <w:spacing w:after="0"/>
              <w:rPr>
                <w:sz w:val="15"/>
                <w:szCs w:val="15"/>
                <w:color w:val="auto"/>
              </w:rPr>
            </w:pPr>
          </w:p>
        </w:tc>
        <w:tc>
          <w:tcPr>
            <w:tcW w:w="700" w:type="dxa"/>
            <w:vAlign w:val="bottom"/>
            <w:tcBorders>
              <w:bottom w:val="single" w:sz="8" w:color="959595"/>
            </w:tcBorders>
            <w:vMerge w:val="continue"/>
            <w:shd w:val="clear" w:color="auto" w:fill="ECECEC"/>
          </w:tcPr>
          <w:p>
            <w:pPr>
              <w:spacing w:after="0"/>
              <w:rPr>
                <w:sz w:val="15"/>
                <w:szCs w:val="15"/>
                <w:color w:val="auto"/>
              </w:rPr>
            </w:pPr>
          </w:p>
        </w:tc>
        <w:tc>
          <w:tcPr>
            <w:tcW w:w="140" w:type="dxa"/>
            <w:vAlign w:val="bottom"/>
            <w:tcBorders>
              <w:bottom w:val="single" w:sz="8" w:color="959595"/>
            </w:tcBorders>
            <w:shd w:val="clear" w:color="auto" w:fill="ECECEC"/>
          </w:tcPr>
          <w:p>
            <w:pPr>
              <w:spacing w:after="0"/>
              <w:rPr>
                <w:sz w:val="15"/>
                <w:szCs w:val="15"/>
                <w:color w:val="auto"/>
              </w:rPr>
            </w:pPr>
          </w:p>
        </w:tc>
        <w:tc>
          <w:tcPr>
            <w:tcW w:w="980" w:type="dxa"/>
            <w:vAlign w:val="bottom"/>
            <w:tcBorders>
              <w:bottom w:val="single" w:sz="8" w:color="959595"/>
            </w:tcBorders>
            <w:vMerge w:val="continue"/>
            <w:shd w:val="clear" w:color="auto" w:fill="ECECEC"/>
          </w:tcPr>
          <w:p>
            <w:pPr>
              <w:spacing w:after="0"/>
              <w:rPr>
                <w:sz w:val="15"/>
                <w:szCs w:val="15"/>
                <w:color w:val="auto"/>
              </w:rPr>
            </w:pPr>
          </w:p>
        </w:tc>
        <w:tc>
          <w:tcPr>
            <w:tcW w:w="960" w:type="dxa"/>
            <w:vAlign w:val="bottom"/>
            <w:tcBorders>
              <w:bottom w:val="single" w:sz="8" w:color="959595"/>
            </w:tcBorders>
            <w:vMerge w:val="continue"/>
            <w:shd w:val="clear" w:color="auto" w:fill="ECECEC"/>
          </w:tcPr>
          <w:p>
            <w:pPr>
              <w:spacing w:after="0"/>
              <w:rPr>
                <w:sz w:val="15"/>
                <w:szCs w:val="15"/>
                <w:color w:val="auto"/>
              </w:rPr>
            </w:pPr>
          </w:p>
        </w:tc>
        <w:tc>
          <w:tcPr>
            <w:tcW w:w="200" w:type="dxa"/>
            <w:vAlign w:val="bottom"/>
            <w:tcBorders>
              <w:bottom w:val="single" w:sz="8" w:color="959595"/>
            </w:tcBorders>
            <w:shd w:val="clear" w:color="auto" w:fill="ECECEC"/>
          </w:tcPr>
          <w:p>
            <w:pPr>
              <w:spacing w:after="0"/>
              <w:rPr>
                <w:sz w:val="15"/>
                <w:szCs w:val="15"/>
                <w:color w:val="auto"/>
              </w:rPr>
            </w:pPr>
          </w:p>
        </w:tc>
        <w:tc>
          <w:tcPr>
            <w:tcW w:w="860" w:type="dxa"/>
            <w:vAlign w:val="bottom"/>
            <w:tcBorders>
              <w:bottom w:val="single" w:sz="8" w:color="959595"/>
            </w:tcBorders>
            <w:vMerge w:val="continue"/>
            <w:shd w:val="clear" w:color="auto" w:fill="ECECEC"/>
          </w:tcPr>
          <w:p>
            <w:pPr>
              <w:spacing w:after="0"/>
              <w:rPr>
                <w:sz w:val="15"/>
                <w:szCs w:val="15"/>
                <w:color w:val="auto"/>
              </w:rPr>
            </w:pPr>
          </w:p>
        </w:tc>
        <w:tc>
          <w:tcPr>
            <w:tcW w:w="780" w:type="dxa"/>
            <w:vAlign w:val="bottom"/>
            <w:tcBorders>
              <w:bottom w:val="single" w:sz="8" w:color="959595"/>
            </w:tcBorders>
            <w:vMerge w:val="continue"/>
            <w:shd w:val="clear" w:color="auto" w:fill="ECECEC"/>
          </w:tcPr>
          <w:p>
            <w:pPr>
              <w:spacing w:after="0"/>
              <w:rPr>
                <w:sz w:val="15"/>
                <w:szCs w:val="15"/>
                <w:color w:val="auto"/>
              </w:rPr>
            </w:pPr>
          </w:p>
        </w:tc>
        <w:tc>
          <w:tcPr>
            <w:tcW w:w="840" w:type="dxa"/>
            <w:vAlign w:val="bottom"/>
            <w:tcBorders>
              <w:bottom w:val="single" w:sz="8" w:color="959595"/>
            </w:tcBorders>
            <w:vMerge w:val="continue"/>
            <w:shd w:val="clear" w:color="auto" w:fill="ECECEC"/>
          </w:tcPr>
          <w:p>
            <w:pPr>
              <w:spacing w:after="0"/>
              <w:rPr>
                <w:sz w:val="15"/>
                <w:szCs w:val="15"/>
                <w:color w:val="auto"/>
              </w:rPr>
            </w:pPr>
          </w:p>
        </w:tc>
        <w:tc>
          <w:tcPr>
            <w:tcW w:w="800" w:type="dxa"/>
            <w:vAlign w:val="bottom"/>
            <w:tcBorders>
              <w:bottom w:val="single" w:sz="8" w:color="959595"/>
            </w:tcBorders>
            <w:vMerge w:val="continue"/>
            <w:shd w:val="clear" w:color="auto" w:fill="ECECEC"/>
          </w:tcPr>
          <w:p>
            <w:pPr>
              <w:spacing w:after="0"/>
              <w:rPr>
                <w:sz w:val="15"/>
                <w:szCs w:val="15"/>
                <w:color w:val="auto"/>
              </w:rPr>
            </w:pPr>
          </w:p>
        </w:tc>
        <w:tc>
          <w:tcPr>
            <w:tcW w:w="100" w:type="dxa"/>
            <w:vAlign w:val="bottom"/>
            <w:tcBorders>
              <w:bottom w:val="single" w:sz="8" w:color="959595"/>
            </w:tcBorders>
            <w:shd w:val="clear" w:color="auto" w:fill="ECECEC"/>
          </w:tcPr>
          <w:p>
            <w:pPr>
              <w:spacing w:after="0"/>
              <w:rPr>
                <w:sz w:val="15"/>
                <w:szCs w:val="15"/>
                <w:color w:val="auto"/>
              </w:rPr>
            </w:pPr>
          </w:p>
        </w:tc>
        <w:tc>
          <w:tcPr>
            <w:tcW w:w="1140" w:type="dxa"/>
            <w:vAlign w:val="bottom"/>
            <w:tcBorders>
              <w:bottom w:val="single" w:sz="8" w:color="959595"/>
            </w:tcBorders>
            <w:vMerge w:val="continue"/>
            <w:shd w:val="clear" w:color="auto" w:fill="ECECEC"/>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180" w:type="dxa"/>
            <w:vAlign w:val="bottom"/>
            <w:tcBorders>
              <w:bottom w:val="single" w:sz="8" w:color="959595"/>
            </w:tcBorders>
            <w:shd w:val="clear" w:color="auto" w:fill="ECECEC"/>
          </w:tcPr>
          <w:p>
            <w:pPr>
              <w:ind w:left="40"/>
              <w:spacing w:after="0"/>
              <w:rPr>
                <w:sz w:val="20"/>
                <w:szCs w:val="20"/>
                <w:color w:val="auto"/>
              </w:rPr>
            </w:pPr>
            <w:r>
              <w:rPr>
                <w:rFonts w:ascii="Arial" w:cs="Arial" w:eastAsia="Arial" w:hAnsi="Arial"/>
                <w:sz w:val="13"/>
                <w:szCs w:val="13"/>
                <w:color w:val="auto"/>
              </w:rPr>
              <w:t>(a)</w:t>
            </w:r>
          </w:p>
        </w:tc>
        <w:tc>
          <w:tcPr>
            <w:tcW w:w="820" w:type="dxa"/>
            <w:vAlign w:val="bottom"/>
            <w:tcBorders>
              <w:bottom w:val="single" w:sz="8" w:color="959595"/>
            </w:tcBorders>
            <w:shd w:val="clear" w:color="auto" w:fill="ECECEC"/>
          </w:tcPr>
          <w:p>
            <w:pPr>
              <w:jc w:val="right"/>
              <w:spacing w:after="0"/>
              <w:rPr>
                <w:sz w:val="20"/>
                <w:szCs w:val="20"/>
                <w:color w:val="auto"/>
              </w:rPr>
            </w:pPr>
            <w:r>
              <w:rPr>
                <w:rFonts w:ascii="Arial" w:cs="Arial" w:eastAsia="Arial" w:hAnsi="Arial"/>
                <w:sz w:val="13"/>
                <w:szCs w:val="13"/>
                <w:color w:val="auto"/>
              </w:rPr>
              <w:t>(b)</w:t>
            </w:r>
          </w:p>
        </w:tc>
        <w:tc>
          <w:tcPr>
            <w:tcW w:w="160" w:type="dxa"/>
            <w:vAlign w:val="bottom"/>
            <w:tcBorders>
              <w:bottom w:val="single" w:sz="8" w:color="959595"/>
            </w:tcBorders>
            <w:shd w:val="clear" w:color="auto" w:fill="ECECEC"/>
          </w:tcPr>
          <w:p>
            <w:pPr>
              <w:spacing w:after="0"/>
              <w:rPr>
                <w:sz w:val="22"/>
                <w:szCs w:val="22"/>
                <w:color w:val="auto"/>
              </w:rPr>
            </w:pPr>
          </w:p>
        </w:tc>
        <w:tc>
          <w:tcPr>
            <w:tcW w:w="540" w:type="dxa"/>
            <w:vAlign w:val="bottom"/>
            <w:tcBorders>
              <w:bottom w:val="single" w:sz="8" w:color="959595"/>
            </w:tcBorders>
            <w:shd w:val="clear" w:color="auto" w:fill="ECECEC"/>
          </w:tcPr>
          <w:p>
            <w:pPr>
              <w:spacing w:after="0"/>
              <w:rPr>
                <w:sz w:val="22"/>
                <w:szCs w:val="22"/>
                <w:color w:val="auto"/>
              </w:rPr>
            </w:pPr>
          </w:p>
        </w:tc>
        <w:tc>
          <w:tcPr>
            <w:tcW w:w="220" w:type="dxa"/>
            <w:vAlign w:val="bottom"/>
            <w:tcBorders>
              <w:bottom w:val="single" w:sz="8" w:color="959595"/>
            </w:tcBorders>
            <w:shd w:val="clear" w:color="auto" w:fill="ECECEC"/>
          </w:tcPr>
          <w:p>
            <w:pPr>
              <w:spacing w:after="0"/>
              <w:rPr>
                <w:sz w:val="22"/>
                <w:szCs w:val="22"/>
                <w:color w:val="auto"/>
              </w:rPr>
            </w:pPr>
          </w:p>
        </w:tc>
        <w:tc>
          <w:tcPr>
            <w:tcW w:w="700" w:type="dxa"/>
            <w:vAlign w:val="bottom"/>
            <w:tcBorders>
              <w:bottom w:val="single" w:sz="8" w:color="959595"/>
            </w:tcBorders>
            <w:shd w:val="clear" w:color="auto" w:fill="ECECEC"/>
          </w:tcPr>
          <w:p>
            <w:pPr>
              <w:jc w:val="right"/>
              <w:spacing w:after="0"/>
              <w:rPr>
                <w:sz w:val="20"/>
                <w:szCs w:val="20"/>
                <w:color w:val="auto"/>
              </w:rPr>
            </w:pPr>
            <w:r>
              <w:rPr>
                <w:rFonts w:ascii="Arial" w:cs="Arial" w:eastAsia="Arial" w:hAnsi="Arial"/>
                <w:sz w:val="13"/>
                <w:szCs w:val="13"/>
                <w:color w:val="auto"/>
              </w:rPr>
              <w:t>(c)</w:t>
            </w:r>
          </w:p>
        </w:tc>
        <w:tc>
          <w:tcPr>
            <w:tcW w:w="140" w:type="dxa"/>
            <w:vAlign w:val="bottom"/>
            <w:tcBorders>
              <w:bottom w:val="single" w:sz="8" w:color="959595"/>
            </w:tcBorders>
            <w:shd w:val="clear" w:color="auto" w:fill="ECECEC"/>
          </w:tcPr>
          <w:p>
            <w:pPr>
              <w:spacing w:after="0"/>
              <w:rPr>
                <w:sz w:val="22"/>
                <w:szCs w:val="22"/>
                <w:color w:val="auto"/>
              </w:rPr>
            </w:pPr>
          </w:p>
        </w:tc>
        <w:tc>
          <w:tcPr>
            <w:tcW w:w="980" w:type="dxa"/>
            <w:vAlign w:val="bottom"/>
            <w:tcBorders>
              <w:bottom w:val="single" w:sz="8" w:color="959595"/>
            </w:tcBorders>
            <w:shd w:val="clear" w:color="auto" w:fill="ECECEC"/>
          </w:tcPr>
          <w:p>
            <w:pPr>
              <w:jc w:val="right"/>
              <w:ind w:right="129"/>
              <w:spacing w:after="0"/>
              <w:rPr>
                <w:sz w:val="20"/>
                <w:szCs w:val="20"/>
                <w:color w:val="auto"/>
              </w:rPr>
            </w:pPr>
            <w:r>
              <w:rPr>
                <w:rFonts w:ascii="Arial" w:cs="Arial" w:eastAsia="Arial" w:hAnsi="Arial"/>
                <w:sz w:val="13"/>
                <w:szCs w:val="13"/>
                <w:color w:val="auto"/>
              </w:rPr>
              <w:t>(d)</w:t>
            </w:r>
          </w:p>
        </w:tc>
        <w:tc>
          <w:tcPr>
            <w:tcW w:w="1160" w:type="dxa"/>
            <w:vAlign w:val="bottom"/>
            <w:tcBorders>
              <w:bottom w:val="single" w:sz="8" w:color="959595"/>
            </w:tcBorders>
            <w:gridSpan w:val="2"/>
            <w:shd w:val="clear" w:color="auto" w:fill="ECECEC"/>
          </w:tcPr>
          <w:p>
            <w:pPr>
              <w:jc w:val="right"/>
              <w:ind w:right="320"/>
              <w:spacing w:after="0"/>
              <w:rPr>
                <w:sz w:val="20"/>
                <w:szCs w:val="20"/>
                <w:color w:val="auto"/>
              </w:rPr>
            </w:pPr>
            <w:r>
              <w:rPr>
                <w:rFonts w:ascii="Arial" w:cs="Arial" w:eastAsia="Arial" w:hAnsi="Arial"/>
                <w:sz w:val="13"/>
                <w:szCs w:val="13"/>
                <w:color w:val="auto"/>
              </w:rPr>
              <w:t>(e)</w:t>
            </w:r>
          </w:p>
        </w:tc>
        <w:tc>
          <w:tcPr>
            <w:tcW w:w="860" w:type="dxa"/>
            <w:vAlign w:val="bottom"/>
            <w:tcBorders>
              <w:bottom w:val="single" w:sz="8" w:color="959595"/>
            </w:tcBorders>
            <w:shd w:val="clear" w:color="auto" w:fill="ECECEC"/>
          </w:tcPr>
          <w:p>
            <w:pPr>
              <w:jc w:val="right"/>
              <w:ind w:right="109"/>
              <w:spacing w:after="0"/>
              <w:rPr>
                <w:sz w:val="20"/>
                <w:szCs w:val="20"/>
                <w:color w:val="auto"/>
              </w:rPr>
            </w:pPr>
            <w:r>
              <w:rPr>
                <w:rFonts w:ascii="Arial" w:cs="Arial" w:eastAsia="Arial" w:hAnsi="Arial"/>
                <w:sz w:val="13"/>
                <w:szCs w:val="13"/>
                <w:color w:val="auto"/>
              </w:rPr>
              <w:t>(f)</w:t>
            </w:r>
          </w:p>
        </w:tc>
        <w:tc>
          <w:tcPr>
            <w:tcW w:w="780" w:type="dxa"/>
            <w:vAlign w:val="bottom"/>
            <w:tcBorders>
              <w:bottom w:val="single" w:sz="8" w:color="959595"/>
            </w:tcBorders>
            <w:shd w:val="clear" w:color="auto" w:fill="ECECEC"/>
          </w:tcPr>
          <w:p>
            <w:pPr>
              <w:jc w:val="right"/>
              <w:ind w:right="109"/>
              <w:spacing w:after="0"/>
              <w:rPr>
                <w:sz w:val="20"/>
                <w:szCs w:val="20"/>
                <w:color w:val="auto"/>
              </w:rPr>
            </w:pPr>
            <w:r>
              <w:rPr>
                <w:rFonts w:ascii="Arial" w:cs="Arial" w:eastAsia="Arial" w:hAnsi="Arial"/>
                <w:sz w:val="13"/>
                <w:szCs w:val="13"/>
                <w:color w:val="auto"/>
              </w:rPr>
              <w:t>(g)</w:t>
            </w:r>
          </w:p>
        </w:tc>
        <w:tc>
          <w:tcPr>
            <w:tcW w:w="840" w:type="dxa"/>
            <w:vAlign w:val="bottom"/>
            <w:tcBorders>
              <w:bottom w:val="single" w:sz="8" w:color="959595"/>
            </w:tcBorders>
            <w:shd w:val="clear" w:color="auto" w:fill="ECECEC"/>
          </w:tcPr>
          <w:p>
            <w:pPr>
              <w:jc w:val="right"/>
              <w:ind w:right="29"/>
              <w:spacing w:after="0"/>
              <w:rPr>
                <w:sz w:val="20"/>
                <w:szCs w:val="20"/>
                <w:color w:val="auto"/>
              </w:rPr>
            </w:pPr>
            <w:r>
              <w:rPr>
                <w:rFonts w:ascii="Arial" w:cs="Arial" w:eastAsia="Arial" w:hAnsi="Arial"/>
                <w:sz w:val="13"/>
                <w:szCs w:val="13"/>
                <w:color w:val="auto"/>
              </w:rPr>
              <w:t>(h)</w:t>
            </w:r>
          </w:p>
        </w:tc>
        <w:tc>
          <w:tcPr>
            <w:tcW w:w="800" w:type="dxa"/>
            <w:vAlign w:val="bottom"/>
            <w:tcBorders>
              <w:bottom w:val="single" w:sz="8" w:color="959595"/>
            </w:tcBorders>
            <w:shd w:val="clear" w:color="auto" w:fill="ECECEC"/>
          </w:tcPr>
          <w:p>
            <w:pPr>
              <w:jc w:val="right"/>
              <w:spacing w:after="0"/>
              <w:rPr>
                <w:sz w:val="20"/>
                <w:szCs w:val="20"/>
                <w:color w:val="auto"/>
              </w:rPr>
            </w:pPr>
            <w:r>
              <w:rPr>
                <w:rFonts w:ascii="Arial" w:cs="Arial" w:eastAsia="Arial" w:hAnsi="Arial"/>
                <w:sz w:val="13"/>
                <w:szCs w:val="13"/>
                <w:color w:val="auto"/>
              </w:rPr>
              <w:t>(i)</w:t>
            </w:r>
          </w:p>
        </w:tc>
        <w:tc>
          <w:tcPr>
            <w:tcW w:w="100" w:type="dxa"/>
            <w:vAlign w:val="bottom"/>
            <w:tcBorders>
              <w:bottom w:val="single" w:sz="8" w:color="959595"/>
            </w:tcBorders>
            <w:shd w:val="clear" w:color="auto" w:fill="ECECEC"/>
          </w:tcPr>
          <w:p>
            <w:pPr>
              <w:spacing w:after="0"/>
              <w:rPr>
                <w:sz w:val="22"/>
                <w:szCs w:val="22"/>
                <w:color w:val="auto"/>
              </w:rPr>
            </w:pPr>
          </w:p>
        </w:tc>
        <w:tc>
          <w:tcPr>
            <w:tcW w:w="1140" w:type="dxa"/>
            <w:vAlign w:val="bottom"/>
            <w:tcBorders>
              <w:bottom w:val="single" w:sz="8" w:color="959595"/>
            </w:tcBorders>
            <w:shd w:val="clear" w:color="auto" w:fill="ECECEC"/>
          </w:tcPr>
          <w:p>
            <w:pPr>
              <w:jc w:val="right"/>
              <w:spacing w:after="0"/>
              <w:rPr>
                <w:sz w:val="20"/>
                <w:szCs w:val="20"/>
                <w:color w:val="auto"/>
              </w:rPr>
            </w:pPr>
            <w:r>
              <w:rPr>
                <w:rFonts w:ascii="Arial" w:cs="Arial" w:eastAsia="Arial" w:hAnsi="Arial"/>
                <w:sz w:val="13"/>
                <w:szCs w:val="13"/>
                <w:color w:val="auto"/>
              </w:rPr>
              <w:t>(l)</w:t>
            </w:r>
          </w:p>
        </w:tc>
        <w:tc>
          <w:tcPr>
            <w:tcW w:w="0" w:type="dxa"/>
            <w:vAlign w:val="bottom"/>
          </w:tcPr>
          <w:p>
            <w:pPr>
              <w:spacing w:after="0"/>
              <w:rPr>
                <w:sz w:val="1"/>
                <w:szCs w:val="1"/>
                <w:color w:val="auto"/>
              </w:rPr>
            </w:pPr>
          </w:p>
        </w:tc>
      </w:tr>
      <w:tr>
        <w:trPr>
          <w:trHeight w:val="269"/>
        </w:trPr>
        <w:tc>
          <w:tcPr>
            <w:tcW w:w="2180" w:type="dxa"/>
            <w:vAlign w:val="bottom"/>
          </w:tcPr>
          <w:p>
            <w:pPr>
              <w:ind w:left="40"/>
              <w:spacing w:after="0"/>
              <w:rPr>
                <w:sz w:val="20"/>
                <w:szCs w:val="20"/>
                <w:color w:val="auto"/>
              </w:rPr>
            </w:pPr>
            <w:r>
              <w:rPr>
                <w:rFonts w:ascii="Arial" w:cs="Arial" w:eastAsia="Arial" w:hAnsi="Arial"/>
                <w:sz w:val="14"/>
                <w:szCs w:val="14"/>
                <w:b w:val="1"/>
                <w:bCs w:val="1"/>
                <w:color w:val="012E6C"/>
              </w:rPr>
              <w:t>Marillyn A. Hewson</w:t>
            </w:r>
          </w:p>
        </w:tc>
        <w:tc>
          <w:tcPr>
            <w:tcW w:w="980" w:type="dxa"/>
            <w:vAlign w:val="bottom"/>
            <w:tcBorders>
              <w:bottom w:val="single" w:sz="8" w:color="959595"/>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MICP</w:t>
            </w:r>
          </w:p>
        </w:tc>
        <w:tc>
          <w:tcPr>
            <w:tcW w:w="1060" w:type="dxa"/>
            <w:vAlign w:val="bottom"/>
            <w:tcBorders>
              <w:bottom w:val="single" w:sz="8" w:color="959595"/>
            </w:tcBorders>
            <w:gridSpan w:val="3"/>
          </w:tcPr>
          <w:p>
            <w:pPr>
              <w:jc w:val="right"/>
              <w:ind w:right="140"/>
              <w:spacing w:after="0"/>
              <w:rPr>
                <w:sz w:val="20"/>
                <w:szCs w:val="20"/>
                <w:color w:val="auto"/>
              </w:rPr>
            </w:pPr>
            <w:r>
              <w:rPr>
                <w:rFonts w:ascii="Arial" w:cs="Arial" w:eastAsia="Arial" w:hAnsi="Arial"/>
                <w:sz w:val="14"/>
                <w:szCs w:val="14"/>
                <w:color w:val="auto"/>
              </w:rPr>
              <w:t>213,763</w:t>
            </w:r>
          </w:p>
        </w:tc>
        <w:tc>
          <w:tcPr>
            <w:tcW w:w="98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3,053,750</w:t>
            </w:r>
          </w:p>
        </w:tc>
        <w:tc>
          <w:tcPr>
            <w:tcW w:w="960" w:type="dxa"/>
            <w:vAlign w:val="bottom"/>
            <w:tcBorders>
              <w:bottom w:val="single" w:sz="8" w:color="959595"/>
            </w:tcBorders>
          </w:tcPr>
          <w:p>
            <w:pPr>
              <w:jc w:val="right"/>
              <w:ind w:right="49"/>
              <w:spacing w:after="0"/>
              <w:rPr>
                <w:sz w:val="20"/>
                <w:szCs w:val="20"/>
                <w:color w:val="auto"/>
              </w:rPr>
            </w:pPr>
            <w:r>
              <w:rPr>
                <w:rFonts w:ascii="Arial" w:cs="Arial" w:eastAsia="Arial" w:hAnsi="Arial"/>
                <w:sz w:val="14"/>
                <w:szCs w:val="14"/>
                <w:color w:val="auto"/>
              </w:rPr>
              <w:t>6,107,500</w:t>
            </w:r>
          </w:p>
        </w:tc>
        <w:tc>
          <w:tcPr>
            <w:tcW w:w="200" w:type="dxa"/>
            <w:vAlign w:val="bottom"/>
            <w:tcBorders>
              <w:bottom w:val="single" w:sz="8" w:color="959595"/>
            </w:tcBorders>
          </w:tcPr>
          <w:p>
            <w:pPr>
              <w:spacing w:after="0"/>
              <w:rPr>
                <w:sz w:val="23"/>
                <w:szCs w:val="23"/>
                <w:color w:val="auto"/>
              </w:rPr>
            </w:pPr>
          </w:p>
        </w:tc>
        <w:tc>
          <w:tcPr>
            <w:tcW w:w="86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959595"/>
            </w:tcBorders>
            <w:gridSpan w:val="2"/>
          </w:tcPr>
          <w:p>
            <w:pPr>
              <w:jc w:val="right"/>
              <w:ind w:right="100"/>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61"/>
        </w:trPr>
        <w:tc>
          <w:tcPr>
            <w:tcW w:w="2180" w:type="dxa"/>
            <w:vAlign w:val="bottom"/>
          </w:tcPr>
          <w:p>
            <w:pPr>
              <w:spacing w:after="0"/>
              <w:rPr>
                <w:sz w:val="22"/>
                <w:szCs w:val="22"/>
                <w:color w:val="auto"/>
              </w:rPr>
            </w:pPr>
          </w:p>
        </w:tc>
        <w:tc>
          <w:tcPr>
            <w:tcW w:w="980" w:type="dxa"/>
            <w:vAlign w:val="bottom"/>
            <w:tcBorders>
              <w:bottom w:val="single" w:sz="8" w:color="959595"/>
            </w:tcBorders>
            <w:gridSpan w:val="2"/>
          </w:tcPr>
          <w:p>
            <w:pPr>
              <w:jc w:val="right"/>
              <w:ind w:right="160"/>
              <w:spacing w:after="0"/>
              <w:rPr>
                <w:sz w:val="20"/>
                <w:szCs w:val="20"/>
                <w:color w:val="auto"/>
              </w:rPr>
            </w:pPr>
            <w:r>
              <w:rPr>
                <w:rFonts w:ascii="Arial" w:cs="Arial" w:eastAsia="Arial" w:hAnsi="Arial"/>
                <w:sz w:val="14"/>
                <w:szCs w:val="14"/>
                <w:color w:val="auto"/>
              </w:rPr>
              <w:t>2/22/2018</w:t>
            </w:r>
          </w:p>
        </w:tc>
        <w:tc>
          <w:tcPr>
            <w:tcW w:w="5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RSU</w:t>
            </w:r>
          </w:p>
        </w:tc>
        <w:tc>
          <w:tcPr>
            <w:tcW w:w="220" w:type="dxa"/>
            <w:vAlign w:val="bottom"/>
            <w:tcBorders>
              <w:bottom w:val="single" w:sz="8" w:color="959595"/>
            </w:tcBorders>
          </w:tcPr>
          <w:p>
            <w:pPr>
              <w:spacing w:after="0"/>
              <w:rPr>
                <w:sz w:val="22"/>
                <w:szCs w:val="22"/>
                <w:color w:val="auto"/>
              </w:rPr>
            </w:pPr>
          </w:p>
        </w:tc>
        <w:tc>
          <w:tcPr>
            <w:tcW w:w="840" w:type="dxa"/>
            <w:vAlign w:val="bottom"/>
            <w:tcBorders>
              <w:bottom w:val="single" w:sz="8" w:color="959595"/>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959595"/>
            </w:tcBorders>
            <w:gridSpan w:val="2"/>
          </w:tcPr>
          <w:p>
            <w:pPr>
              <w:jc w:val="right"/>
              <w:ind w:right="3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959595"/>
            </w:tcBorders>
            <w:gridSpan w:val="2"/>
          </w:tcPr>
          <w:p>
            <w:pPr>
              <w:jc w:val="right"/>
              <w:ind w:right="100"/>
              <w:spacing w:after="0"/>
              <w:rPr>
                <w:sz w:val="20"/>
                <w:szCs w:val="20"/>
                <w:color w:val="auto"/>
              </w:rPr>
            </w:pPr>
            <w:r>
              <w:rPr>
                <w:rFonts w:ascii="Arial" w:cs="Arial" w:eastAsia="Arial" w:hAnsi="Arial"/>
                <w:sz w:val="14"/>
                <w:szCs w:val="14"/>
                <w:color w:val="auto"/>
              </w:rPr>
              <w:t>10,351</w:t>
            </w:r>
          </w:p>
        </w:tc>
        <w:tc>
          <w:tcPr>
            <w:tcW w:w="11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3,670,465</w:t>
            </w:r>
          </w:p>
        </w:tc>
        <w:tc>
          <w:tcPr>
            <w:tcW w:w="0" w:type="dxa"/>
            <w:vAlign w:val="bottom"/>
          </w:tcPr>
          <w:p>
            <w:pPr>
              <w:spacing w:after="0"/>
              <w:rPr>
                <w:sz w:val="1"/>
                <w:szCs w:val="1"/>
                <w:color w:val="auto"/>
              </w:rPr>
            </w:pPr>
          </w:p>
        </w:tc>
      </w:tr>
      <w:tr>
        <w:trPr>
          <w:trHeight w:val="264"/>
        </w:trPr>
        <w:tc>
          <w:tcPr>
            <w:tcW w:w="2180" w:type="dxa"/>
            <w:vAlign w:val="bottom"/>
          </w:tcPr>
          <w:p>
            <w:pPr>
              <w:spacing w:after="0"/>
              <w:rPr>
                <w:sz w:val="22"/>
                <w:szCs w:val="22"/>
                <w:color w:val="auto"/>
              </w:rPr>
            </w:pPr>
          </w:p>
        </w:tc>
        <w:tc>
          <w:tcPr>
            <w:tcW w:w="980" w:type="dxa"/>
            <w:vAlign w:val="bottom"/>
            <w:tcBorders>
              <w:bottom w:val="single" w:sz="8" w:color="959595"/>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LTIP</w:t>
            </w:r>
          </w:p>
        </w:tc>
        <w:tc>
          <w:tcPr>
            <w:tcW w:w="1060" w:type="dxa"/>
            <w:vAlign w:val="bottom"/>
            <w:tcBorders>
              <w:bottom w:val="single" w:sz="8" w:color="959595"/>
            </w:tcBorders>
            <w:gridSpan w:val="3"/>
          </w:tcPr>
          <w:p>
            <w:pPr>
              <w:jc w:val="right"/>
              <w:ind w:right="140"/>
              <w:spacing w:after="0"/>
              <w:rPr>
                <w:sz w:val="20"/>
                <w:szCs w:val="20"/>
                <w:color w:val="auto"/>
              </w:rPr>
            </w:pPr>
            <w:r>
              <w:rPr>
                <w:rFonts w:ascii="Arial" w:cs="Arial" w:eastAsia="Arial" w:hAnsi="Arial"/>
                <w:sz w:val="14"/>
                <w:szCs w:val="14"/>
                <w:color w:val="auto"/>
              </w:rPr>
              <w:t>152,938</w:t>
            </w:r>
          </w:p>
        </w:tc>
        <w:tc>
          <w:tcPr>
            <w:tcW w:w="98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2,447,000</w:t>
            </w:r>
          </w:p>
        </w:tc>
        <w:tc>
          <w:tcPr>
            <w:tcW w:w="960" w:type="dxa"/>
            <w:vAlign w:val="bottom"/>
            <w:tcBorders>
              <w:bottom w:val="single" w:sz="8" w:color="959595"/>
            </w:tcBorders>
          </w:tcPr>
          <w:p>
            <w:pPr>
              <w:jc w:val="right"/>
              <w:ind w:right="49"/>
              <w:spacing w:after="0"/>
              <w:rPr>
                <w:sz w:val="20"/>
                <w:szCs w:val="20"/>
                <w:color w:val="auto"/>
              </w:rPr>
            </w:pPr>
            <w:r>
              <w:rPr>
                <w:rFonts w:ascii="Arial" w:cs="Arial" w:eastAsia="Arial" w:hAnsi="Arial"/>
                <w:sz w:val="14"/>
                <w:szCs w:val="14"/>
                <w:color w:val="auto"/>
              </w:rPr>
              <w:t>4,894,000</w:t>
            </w:r>
          </w:p>
        </w:tc>
        <w:tc>
          <w:tcPr>
            <w:tcW w:w="200" w:type="dxa"/>
            <w:vAlign w:val="bottom"/>
            <w:tcBorders>
              <w:bottom w:val="single" w:sz="8" w:color="959595"/>
            </w:tcBorders>
          </w:tcPr>
          <w:p>
            <w:pPr>
              <w:spacing w:after="0"/>
              <w:rPr>
                <w:sz w:val="22"/>
                <w:szCs w:val="22"/>
                <w:color w:val="auto"/>
              </w:rPr>
            </w:pPr>
          </w:p>
        </w:tc>
        <w:tc>
          <w:tcPr>
            <w:tcW w:w="86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959595"/>
            </w:tcBorders>
            <w:gridSpan w:val="2"/>
          </w:tcPr>
          <w:p>
            <w:pPr>
              <w:jc w:val="right"/>
              <w:ind w:right="100"/>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64"/>
        </w:trPr>
        <w:tc>
          <w:tcPr>
            <w:tcW w:w="2180" w:type="dxa"/>
            <w:vAlign w:val="bottom"/>
            <w:tcBorders>
              <w:bottom w:val="single" w:sz="8" w:color="959595"/>
            </w:tcBorders>
          </w:tcPr>
          <w:p>
            <w:pPr>
              <w:spacing w:after="0"/>
              <w:rPr>
                <w:sz w:val="22"/>
                <w:szCs w:val="22"/>
                <w:color w:val="auto"/>
              </w:rPr>
            </w:pPr>
          </w:p>
        </w:tc>
        <w:tc>
          <w:tcPr>
            <w:tcW w:w="980" w:type="dxa"/>
            <w:vAlign w:val="bottom"/>
            <w:tcBorders>
              <w:bottom w:val="single" w:sz="8" w:color="959595"/>
            </w:tcBorders>
            <w:gridSpan w:val="2"/>
          </w:tcPr>
          <w:p>
            <w:pPr>
              <w:jc w:val="right"/>
              <w:ind w:right="160"/>
              <w:spacing w:after="0"/>
              <w:rPr>
                <w:sz w:val="20"/>
                <w:szCs w:val="20"/>
                <w:color w:val="auto"/>
              </w:rPr>
            </w:pPr>
            <w:r>
              <w:rPr>
                <w:rFonts w:ascii="Arial" w:cs="Arial" w:eastAsia="Arial" w:hAnsi="Arial"/>
                <w:sz w:val="14"/>
                <w:szCs w:val="14"/>
                <w:color w:val="auto"/>
              </w:rPr>
              <w:t>2/22/2018</w:t>
            </w:r>
          </w:p>
        </w:tc>
        <w:tc>
          <w:tcPr>
            <w:tcW w:w="5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PSU</w:t>
            </w:r>
          </w:p>
        </w:tc>
        <w:tc>
          <w:tcPr>
            <w:tcW w:w="220" w:type="dxa"/>
            <w:vAlign w:val="bottom"/>
            <w:tcBorders>
              <w:bottom w:val="single" w:sz="8" w:color="959595"/>
            </w:tcBorders>
          </w:tcPr>
          <w:p>
            <w:pPr>
              <w:spacing w:after="0"/>
              <w:rPr>
                <w:sz w:val="22"/>
                <w:szCs w:val="22"/>
                <w:color w:val="auto"/>
              </w:rPr>
            </w:pPr>
          </w:p>
        </w:tc>
        <w:tc>
          <w:tcPr>
            <w:tcW w:w="840" w:type="dxa"/>
            <w:vAlign w:val="bottom"/>
            <w:tcBorders>
              <w:bottom w:val="single" w:sz="8" w:color="959595"/>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959595"/>
            </w:tcBorders>
            <w:gridSpan w:val="2"/>
          </w:tcPr>
          <w:p>
            <w:pPr>
              <w:jc w:val="right"/>
              <w:ind w:right="3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color w:val="auto"/>
              </w:rPr>
              <w:t>1,079</w:t>
            </w:r>
          </w:p>
        </w:tc>
        <w:tc>
          <w:tcPr>
            <w:tcW w:w="78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color w:val="auto"/>
              </w:rPr>
              <w:t>15,896</w:t>
            </w:r>
          </w:p>
        </w:tc>
        <w:tc>
          <w:tcPr>
            <w:tcW w:w="84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31,792</w:t>
            </w:r>
          </w:p>
        </w:tc>
        <w:tc>
          <w:tcPr>
            <w:tcW w:w="900" w:type="dxa"/>
            <w:vAlign w:val="bottom"/>
            <w:tcBorders>
              <w:bottom w:val="single" w:sz="8" w:color="959595"/>
            </w:tcBorders>
            <w:gridSpan w:val="2"/>
          </w:tcPr>
          <w:p>
            <w:pPr>
              <w:jc w:val="right"/>
              <w:ind w:right="100"/>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6,117,632</w:t>
            </w:r>
          </w:p>
        </w:tc>
        <w:tc>
          <w:tcPr>
            <w:tcW w:w="0" w:type="dxa"/>
            <w:vAlign w:val="bottom"/>
          </w:tcPr>
          <w:p>
            <w:pPr>
              <w:spacing w:after="0"/>
              <w:rPr>
                <w:sz w:val="1"/>
                <w:szCs w:val="1"/>
                <w:color w:val="auto"/>
              </w:rPr>
            </w:pPr>
          </w:p>
        </w:tc>
      </w:tr>
      <w:tr>
        <w:trPr>
          <w:trHeight w:val="267"/>
        </w:trPr>
        <w:tc>
          <w:tcPr>
            <w:tcW w:w="2180" w:type="dxa"/>
            <w:vAlign w:val="bottom"/>
          </w:tcPr>
          <w:p>
            <w:pPr>
              <w:ind w:left="40"/>
              <w:spacing w:after="0"/>
              <w:rPr>
                <w:sz w:val="20"/>
                <w:szCs w:val="20"/>
                <w:color w:val="auto"/>
              </w:rPr>
            </w:pPr>
            <w:r>
              <w:rPr>
                <w:rFonts w:ascii="Arial" w:cs="Arial" w:eastAsia="Arial" w:hAnsi="Arial"/>
                <w:sz w:val="14"/>
                <w:szCs w:val="14"/>
                <w:b w:val="1"/>
                <w:bCs w:val="1"/>
                <w:color w:val="012E6C"/>
              </w:rPr>
              <w:t>Bruce L. Tanner</w:t>
            </w:r>
          </w:p>
        </w:tc>
        <w:tc>
          <w:tcPr>
            <w:tcW w:w="980" w:type="dxa"/>
            <w:vAlign w:val="bottom"/>
            <w:tcBorders>
              <w:bottom w:val="single" w:sz="8" w:color="959595"/>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MICP</w:t>
            </w:r>
          </w:p>
        </w:tc>
        <w:tc>
          <w:tcPr>
            <w:tcW w:w="1060" w:type="dxa"/>
            <w:vAlign w:val="bottom"/>
            <w:tcBorders>
              <w:bottom w:val="single" w:sz="8" w:color="959595"/>
            </w:tcBorders>
            <w:gridSpan w:val="3"/>
          </w:tcPr>
          <w:p>
            <w:pPr>
              <w:jc w:val="right"/>
              <w:ind w:right="140"/>
              <w:spacing w:after="0"/>
              <w:rPr>
                <w:sz w:val="20"/>
                <w:szCs w:val="20"/>
                <w:color w:val="auto"/>
              </w:rPr>
            </w:pPr>
            <w:r>
              <w:rPr>
                <w:rFonts w:ascii="Arial" w:cs="Arial" w:eastAsia="Arial" w:hAnsi="Arial"/>
                <w:sz w:val="14"/>
                <w:szCs w:val="14"/>
                <w:color w:val="auto"/>
              </w:rPr>
              <w:t>82,915</w:t>
            </w:r>
          </w:p>
        </w:tc>
        <w:tc>
          <w:tcPr>
            <w:tcW w:w="98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1,184,500</w:t>
            </w:r>
          </w:p>
        </w:tc>
        <w:tc>
          <w:tcPr>
            <w:tcW w:w="960" w:type="dxa"/>
            <w:vAlign w:val="bottom"/>
            <w:tcBorders>
              <w:bottom w:val="single" w:sz="8" w:color="959595"/>
            </w:tcBorders>
          </w:tcPr>
          <w:p>
            <w:pPr>
              <w:jc w:val="right"/>
              <w:ind w:right="49"/>
              <w:spacing w:after="0"/>
              <w:rPr>
                <w:sz w:val="20"/>
                <w:szCs w:val="20"/>
                <w:color w:val="auto"/>
              </w:rPr>
            </w:pPr>
            <w:r>
              <w:rPr>
                <w:rFonts w:ascii="Arial" w:cs="Arial" w:eastAsia="Arial" w:hAnsi="Arial"/>
                <w:sz w:val="14"/>
                <w:szCs w:val="14"/>
                <w:color w:val="auto"/>
              </w:rPr>
              <w:t>2,369,000</w:t>
            </w:r>
          </w:p>
        </w:tc>
        <w:tc>
          <w:tcPr>
            <w:tcW w:w="200" w:type="dxa"/>
            <w:vAlign w:val="bottom"/>
            <w:tcBorders>
              <w:bottom w:val="single" w:sz="8" w:color="959595"/>
            </w:tcBorders>
          </w:tcPr>
          <w:p>
            <w:pPr>
              <w:spacing w:after="0"/>
              <w:rPr>
                <w:sz w:val="23"/>
                <w:szCs w:val="23"/>
                <w:color w:val="auto"/>
              </w:rPr>
            </w:pPr>
          </w:p>
        </w:tc>
        <w:tc>
          <w:tcPr>
            <w:tcW w:w="86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959595"/>
            </w:tcBorders>
            <w:gridSpan w:val="2"/>
          </w:tcPr>
          <w:p>
            <w:pPr>
              <w:jc w:val="right"/>
              <w:ind w:right="100"/>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61"/>
        </w:trPr>
        <w:tc>
          <w:tcPr>
            <w:tcW w:w="2180" w:type="dxa"/>
            <w:vAlign w:val="bottom"/>
          </w:tcPr>
          <w:p>
            <w:pPr>
              <w:spacing w:after="0"/>
              <w:rPr>
                <w:sz w:val="22"/>
                <w:szCs w:val="22"/>
                <w:color w:val="auto"/>
              </w:rPr>
            </w:pPr>
          </w:p>
        </w:tc>
        <w:tc>
          <w:tcPr>
            <w:tcW w:w="980" w:type="dxa"/>
            <w:vAlign w:val="bottom"/>
            <w:tcBorders>
              <w:bottom w:val="single" w:sz="8" w:color="959595"/>
            </w:tcBorders>
            <w:gridSpan w:val="2"/>
          </w:tcPr>
          <w:p>
            <w:pPr>
              <w:jc w:val="right"/>
              <w:ind w:right="160"/>
              <w:spacing w:after="0"/>
              <w:rPr>
                <w:sz w:val="20"/>
                <w:szCs w:val="20"/>
                <w:color w:val="auto"/>
              </w:rPr>
            </w:pPr>
            <w:r>
              <w:rPr>
                <w:rFonts w:ascii="Arial" w:cs="Arial" w:eastAsia="Arial" w:hAnsi="Arial"/>
                <w:sz w:val="14"/>
                <w:szCs w:val="14"/>
                <w:color w:val="auto"/>
              </w:rPr>
              <w:t>2/22/2018</w:t>
            </w:r>
          </w:p>
        </w:tc>
        <w:tc>
          <w:tcPr>
            <w:tcW w:w="5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RSU</w:t>
            </w:r>
          </w:p>
        </w:tc>
        <w:tc>
          <w:tcPr>
            <w:tcW w:w="220" w:type="dxa"/>
            <w:vAlign w:val="bottom"/>
            <w:tcBorders>
              <w:bottom w:val="single" w:sz="8" w:color="959595"/>
            </w:tcBorders>
          </w:tcPr>
          <w:p>
            <w:pPr>
              <w:spacing w:after="0"/>
              <w:rPr>
                <w:sz w:val="22"/>
                <w:szCs w:val="22"/>
                <w:color w:val="auto"/>
              </w:rPr>
            </w:pPr>
          </w:p>
        </w:tc>
        <w:tc>
          <w:tcPr>
            <w:tcW w:w="840" w:type="dxa"/>
            <w:vAlign w:val="bottom"/>
            <w:tcBorders>
              <w:bottom w:val="single" w:sz="8" w:color="959595"/>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959595"/>
            </w:tcBorders>
            <w:gridSpan w:val="2"/>
          </w:tcPr>
          <w:p>
            <w:pPr>
              <w:jc w:val="right"/>
              <w:ind w:right="3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959595"/>
            </w:tcBorders>
            <w:gridSpan w:val="2"/>
          </w:tcPr>
          <w:p>
            <w:pPr>
              <w:jc w:val="right"/>
              <w:ind w:right="100"/>
              <w:spacing w:after="0"/>
              <w:rPr>
                <w:sz w:val="20"/>
                <w:szCs w:val="20"/>
                <w:color w:val="auto"/>
              </w:rPr>
            </w:pPr>
            <w:r>
              <w:rPr>
                <w:rFonts w:ascii="Arial" w:cs="Arial" w:eastAsia="Arial" w:hAnsi="Arial"/>
                <w:sz w:val="14"/>
                <w:szCs w:val="14"/>
                <w:color w:val="auto"/>
              </w:rPr>
              <w:t>3,807</w:t>
            </w:r>
          </w:p>
        </w:tc>
        <w:tc>
          <w:tcPr>
            <w:tcW w:w="11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1,349,962</w:t>
            </w:r>
          </w:p>
        </w:tc>
        <w:tc>
          <w:tcPr>
            <w:tcW w:w="0" w:type="dxa"/>
            <w:vAlign w:val="bottom"/>
          </w:tcPr>
          <w:p>
            <w:pPr>
              <w:spacing w:after="0"/>
              <w:rPr>
                <w:sz w:val="1"/>
                <w:szCs w:val="1"/>
                <w:color w:val="auto"/>
              </w:rPr>
            </w:pPr>
          </w:p>
        </w:tc>
      </w:tr>
      <w:tr>
        <w:trPr>
          <w:trHeight w:val="264"/>
        </w:trPr>
        <w:tc>
          <w:tcPr>
            <w:tcW w:w="2180" w:type="dxa"/>
            <w:vAlign w:val="bottom"/>
          </w:tcPr>
          <w:p>
            <w:pPr>
              <w:spacing w:after="0"/>
              <w:rPr>
                <w:sz w:val="22"/>
                <w:szCs w:val="22"/>
                <w:color w:val="auto"/>
              </w:rPr>
            </w:pPr>
          </w:p>
        </w:tc>
        <w:tc>
          <w:tcPr>
            <w:tcW w:w="980" w:type="dxa"/>
            <w:vAlign w:val="bottom"/>
            <w:tcBorders>
              <w:bottom w:val="single" w:sz="8" w:color="959595"/>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LTIP</w:t>
            </w:r>
          </w:p>
        </w:tc>
        <w:tc>
          <w:tcPr>
            <w:tcW w:w="1060" w:type="dxa"/>
            <w:vAlign w:val="bottom"/>
            <w:tcBorders>
              <w:bottom w:val="single" w:sz="8" w:color="959595"/>
            </w:tcBorders>
            <w:gridSpan w:val="3"/>
          </w:tcPr>
          <w:p>
            <w:pPr>
              <w:jc w:val="right"/>
              <w:ind w:right="140"/>
              <w:spacing w:after="0"/>
              <w:rPr>
                <w:sz w:val="20"/>
                <w:szCs w:val="20"/>
                <w:color w:val="auto"/>
              </w:rPr>
            </w:pPr>
            <w:r>
              <w:rPr>
                <w:rFonts w:ascii="Arial" w:cs="Arial" w:eastAsia="Arial" w:hAnsi="Arial"/>
                <w:sz w:val="14"/>
                <w:szCs w:val="14"/>
                <w:color w:val="auto"/>
              </w:rPr>
              <w:t>56,250</w:t>
            </w:r>
          </w:p>
        </w:tc>
        <w:tc>
          <w:tcPr>
            <w:tcW w:w="98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900,000</w:t>
            </w:r>
          </w:p>
        </w:tc>
        <w:tc>
          <w:tcPr>
            <w:tcW w:w="960" w:type="dxa"/>
            <w:vAlign w:val="bottom"/>
            <w:tcBorders>
              <w:bottom w:val="single" w:sz="8" w:color="959595"/>
            </w:tcBorders>
          </w:tcPr>
          <w:p>
            <w:pPr>
              <w:jc w:val="right"/>
              <w:ind w:right="49"/>
              <w:spacing w:after="0"/>
              <w:rPr>
                <w:sz w:val="20"/>
                <w:szCs w:val="20"/>
                <w:color w:val="auto"/>
              </w:rPr>
            </w:pPr>
            <w:r>
              <w:rPr>
                <w:rFonts w:ascii="Arial" w:cs="Arial" w:eastAsia="Arial" w:hAnsi="Arial"/>
                <w:sz w:val="14"/>
                <w:szCs w:val="14"/>
                <w:color w:val="auto"/>
              </w:rPr>
              <w:t>1,800,000</w:t>
            </w:r>
          </w:p>
        </w:tc>
        <w:tc>
          <w:tcPr>
            <w:tcW w:w="200" w:type="dxa"/>
            <w:vAlign w:val="bottom"/>
            <w:tcBorders>
              <w:bottom w:val="single" w:sz="8" w:color="959595"/>
            </w:tcBorders>
          </w:tcPr>
          <w:p>
            <w:pPr>
              <w:spacing w:after="0"/>
              <w:rPr>
                <w:sz w:val="22"/>
                <w:szCs w:val="22"/>
                <w:color w:val="auto"/>
              </w:rPr>
            </w:pPr>
          </w:p>
        </w:tc>
        <w:tc>
          <w:tcPr>
            <w:tcW w:w="86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959595"/>
            </w:tcBorders>
            <w:gridSpan w:val="2"/>
          </w:tcPr>
          <w:p>
            <w:pPr>
              <w:jc w:val="right"/>
              <w:ind w:right="100"/>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64"/>
        </w:trPr>
        <w:tc>
          <w:tcPr>
            <w:tcW w:w="2180" w:type="dxa"/>
            <w:vAlign w:val="bottom"/>
            <w:tcBorders>
              <w:bottom w:val="single" w:sz="8" w:color="959595"/>
            </w:tcBorders>
          </w:tcPr>
          <w:p>
            <w:pPr>
              <w:spacing w:after="0"/>
              <w:rPr>
                <w:sz w:val="22"/>
                <w:szCs w:val="22"/>
                <w:color w:val="auto"/>
              </w:rPr>
            </w:pPr>
          </w:p>
        </w:tc>
        <w:tc>
          <w:tcPr>
            <w:tcW w:w="980" w:type="dxa"/>
            <w:vAlign w:val="bottom"/>
            <w:tcBorders>
              <w:bottom w:val="single" w:sz="8" w:color="959595"/>
            </w:tcBorders>
            <w:gridSpan w:val="2"/>
          </w:tcPr>
          <w:p>
            <w:pPr>
              <w:jc w:val="right"/>
              <w:ind w:right="160"/>
              <w:spacing w:after="0"/>
              <w:rPr>
                <w:sz w:val="20"/>
                <w:szCs w:val="20"/>
                <w:color w:val="auto"/>
              </w:rPr>
            </w:pPr>
            <w:r>
              <w:rPr>
                <w:rFonts w:ascii="Arial" w:cs="Arial" w:eastAsia="Arial" w:hAnsi="Arial"/>
                <w:sz w:val="14"/>
                <w:szCs w:val="14"/>
                <w:color w:val="auto"/>
              </w:rPr>
              <w:t>2/22/2018</w:t>
            </w:r>
          </w:p>
        </w:tc>
        <w:tc>
          <w:tcPr>
            <w:tcW w:w="5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PSU</w:t>
            </w:r>
          </w:p>
        </w:tc>
        <w:tc>
          <w:tcPr>
            <w:tcW w:w="220" w:type="dxa"/>
            <w:vAlign w:val="bottom"/>
            <w:tcBorders>
              <w:bottom w:val="single" w:sz="8" w:color="959595"/>
            </w:tcBorders>
          </w:tcPr>
          <w:p>
            <w:pPr>
              <w:spacing w:after="0"/>
              <w:rPr>
                <w:sz w:val="22"/>
                <w:szCs w:val="22"/>
                <w:color w:val="auto"/>
              </w:rPr>
            </w:pPr>
          </w:p>
        </w:tc>
        <w:tc>
          <w:tcPr>
            <w:tcW w:w="840" w:type="dxa"/>
            <w:vAlign w:val="bottom"/>
            <w:tcBorders>
              <w:bottom w:val="single" w:sz="8" w:color="959595"/>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959595"/>
            </w:tcBorders>
            <w:gridSpan w:val="2"/>
          </w:tcPr>
          <w:p>
            <w:pPr>
              <w:jc w:val="right"/>
              <w:ind w:right="3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color w:val="auto"/>
              </w:rPr>
              <w:t>397</w:t>
            </w:r>
          </w:p>
        </w:tc>
        <w:tc>
          <w:tcPr>
            <w:tcW w:w="78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color w:val="auto"/>
              </w:rPr>
              <w:t>5,847</w:t>
            </w:r>
          </w:p>
        </w:tc>
        <w:tc>
          <w:tcPr>
            <w:tcW w:w="84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11,694</w:t>
            </w:r>
          </w:p>
        </w:tc>
        <w:tc>
          <w:tcPr>
            <w:tcW w:w="900" w:type="dxa"/>
            <w:vAlign w:val="bottom"/>
            <w:tcBorders>
              <w:bottom w:val="single" w:sz="8" w:color="959595"/>
            </w:tcBorders>
            <w:gridSpan w:val="2"/>
          </w:tcPr>
          <w:p>
            <w:pPr>
              <w:jc w:val="right"/>
              <w:ind w:right="100"/>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2,250,297</w:t>
            </w:r>
          </w:p>
        </w:tc>
        <w:tc>
          <w:tcPr>
            <w:tcW w:w="0" w:type="dxa"/>
            <w:vAlign w:val="bottom"/>
          </w:tcPr>
          <w:p>
            <w:pPr>
              <w:spacing w:after="0"/>
              <w:rPr>
                <w:sz w:val="1"/>
                <w:szCs w:val="1"/>
                <w:color w:val="auto"/>
              </w:rPr>
            </w:pPr>
          </w:p>
        </w:tc>
      </w:tr>
      <w:tr>
        <w:trPr>
          <w:trHeight w:val="267"/>
        </w:trPr>
        <w:tc>
          <w:tcPr>
            <w:tcW w:w="2180" w:type="dxa"/>
            <w:vAlign w:val="bottom"/>
          </w:tcPr>
          <w:p>
            <w:pPr>
              <w:ind w:left="40"/>
              <w:spacing w:after="0"/>
              <w:rPr>
                <w:sz w:val="20"/>
                <w:szCs w:val="20"/>
                <w:color w:val="auto"/>
              </w:rPr>
            </w:pPr>
            <w:r>
              <w:rPr>
                <w:rFonts w:ascii="Arial" w:cs="Arial" w:eastAsia="Arial" w:hAnsi="Arial"/>
                <w:sz w:val="14"/>
                <w:szCs w:val="14"/>
                <w:b w:val="1"/>
                <w:bCs w:val="1"/>
                <w:color w:val="012E6C"/>
              </w:rPr>
              <w:t>Richard F. Ambrose</w:t>
            </w:r>
          </w:p>
        </w:tc>
        <w:tc>
          <w:tcPr>
            <w:tcW w:w="980" w:type="dxa"/>
            <w:vAlign w:val="bottom"/>
            <w:tcBorders>
              <w:bottom w:val="single" w:sz="8" w:color="959595"/>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MICP</w:t>
            </w:r>
          </w:p>
        </w:tc>
        <w:tc>
          <w:tcPr>
            <w:tcW w:w="1060" w:type="dxa"/>
            <w:vAlign w:val="bottom"/>
            <w:tcBorders>
              <w:bottom w:val="single" w:sz="8" w:color="959595"/>
            </w:tcBorders>
            <w:gridSpan w:val="3"/>
          </w:tcPr>
          <w:p>
            <w:pPr>
              <w:jc w:val="right"/>
              <w:ind w:right="140"/>
              <w:spacing w:after="0"/>
              <w:rPr>
                <w:sz w:val="20"/>
                <w:szCs w:val="20"/>
                <w:color w:val="auto"/>
              </w:rPr>
            </w:pPr>
            <w:r>
              <w:rPr>
                <w:rFonts w:ascii="Arial" w:cs="Arial" w:eastAsia="Arial" w:hAnsi="Arial"/>
                <w:sz w:val="14"/>
                <w:szCs w:val="14"/>
                <w:color w:val="auto"/>
              </w:rPr>
              <w:t>61,600</w:t>
            </w:r>
          </w:p>
        </w:tc>
        <w:tc>
          <w:tcPr>
            <w:tcW w:w="98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880,000</w:t>
            </w:r>
          </w:p>
        </w:tc>
        <w:tc>
          <w:tcPr>
            <w:tcW w:w="960" w:type="dxa"/>
            <w:vAlign w:val="bottom"/>
            <w:tcBorders>
              <w:bottom w:val="single" w:sz="8" w:color="959595"/>
            </w:tcBorders>
          </w:tcPr>
          <w:p>
            <w:pPr>
              <w:jc w:val="right"/>
              <w:ind w:right="49"/>
              <w:spacing w:after="0"/>
              <w:rPr>
                <w:sz w:val="20"/>
                <w:szCs w:val="20"/>
                <w:color w:val="auto"/>
              </w:rPr>
            </w:pPr>
            <w:r>
              <w:rPr>
                <w:rFonts w:ascii="Arial" w:cs="Arial" w:eastAsia="Arial" w:hAnsi="Arial"/>
                <w:sz w:val="14"/>
                <w:szCs w:val="14"/>
                <w:color w:val="auto"/>
              </w:rPr>
              <w:t>1,760,000</w:t>
            </w:r>
          </w:p>
        </w:tc>
        <w:tc>
          <w:tcPr>
            <w:tcW w:w="200" w:type="dxa"/>
            <w:vAlign w:val="bottom"/>
            <w:tcBorders>
              <w:bottom w:val="single" w:sz="8" w:color="959595"/>
            </w:tcBorders>
          </w:tcPr>
          <w:p>
            <w:pPr>
              <w:spacing w:after="0"/>
              <w:rPr>
                <w:sz w:val="23"/>
                <w:szCs w:val="23"/>
                <w:color w:val="auto"/>
              </w:rPr>
            </w:pPr>
          </w:p>
        </w:tc>
        <w:tc>
          <w:tcPr>
            <w:tcW w:w="86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959595"/>
            </w:tcBorders>
            <w:gridSpan w:val="2"/>
          </w:tcPr>
          <w:p>
            <w:pPr>
              <w:jc w:val="right"/>
              <w:ind w:right="100"/>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61"/>
        </w:trPr>
        <w:tc>
          <w:tcPr>
            <w:tcW w:w="2180" w:type="dxa"/>
            <w:vAlign w:val="bottom"/>
          </w:tcPr>
          <w:p>
            <w:pPr>
              <w:spacing w:after="0"/>
              <w:rPr>
                <w:sz w:val="22"/>
                <w:szCs w:val="22"/>
                <w:color w:val="auto"/>
              </w:rPr>
            </w:pPr>
          </w:p>
        </w:tc>
        <w:tc>
          <w:tcPr>
            <w:tcW w:w="980" w:type="dxa"/>
            <w:vAlign w:val="bottom"/>
            <w:tcBorders>
              <w:bottom w:val="single" w:sz="8" w:color="959595"/>
            </w:tcBorders>
            <w:gridSpan w:val="2"/>
          </w:tcPr>
          <w:p>
            <w:pPr>
              <w:jc w:val="right"/>
              <w:ind w:right="160"/>
              <w:spacing w:after="0"/>
              <w:rPr>
                <w:sz w:val="20"/>
                <w:szCs w:val="20"/>
                <w:color w:val="auto"/>
              </w:rPr>
            </w:pPr>
            <w:r>
              <w:rPr>
                <w:rFonts w:ascii="Arial" w:cs="Arial" w:eastAsia="Arial" w:hAnsi="Arial"/>
                <w:sz w:val="14"/>
                <w:szCs w:val="14"/>
                <w:color w:val="auto"/>
              </w:rPr>
              <w:t>2/22/2018</w:t>
            </w:r>
          </w:p>
        </w:tc>
        <w:tc>
          <w:tcPr>
            <w:tcW w:w="5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RSU</w:t>
            </w:r>
          </w:p>
        </w:tc>
        <w:tc>
          <w:tcPr>
            <w:tcW w:w="220" w:type="dxa"/>
            <w:vAlign w:val="bottom"/>
            <w:tcBorders>
              <w:bottom w:val="single" w:sz="8" w:color="959595"/>
            </w:tcBorders>
          </w:tcPr>
          <w:p>
            <w:pPr>
              <w:spacing w:after="0"/>
              <w:rPr>
                <w:sz w:val="22"/>
                <w:szCs w:val="22"/>
                <w:color w:val="auto"/>
              </w:rPr>
            </w:pPr>
          </w:p>
        </w:tc>
        <w:tc>
          <w:tcPr>
            <w:tcW w:w="840" w:type="dxa"/>
            <w:vAlign w:val="bottom"/>
            <w:tcBorders>
              <w:bottom w:val="single" w:sz="8" w:color="959595"/>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959595"/>
            </w:tcBorders>
            <w:gridSpan w:val="2"/>
          </w:tcPr>
          <w:p>
            <w:pPr>
              <w:jc w:val="right"/>
              <w:ind w:right="3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959595"/>
            </w:tcBorders>
            <w:gridSpan w:val="2"/>
          </w:tcPr>
          <w:p>
            <w:pPr>
              <w:jc w:val="right"/>
              <w:ind w:right="100"/>
              <w:spacing w:after="0"/>
              <w:rPr>
                <w:sz w:val="20"/>
                <w:szCs w:val="20"/>
                <w:color w:val="auto"/>
              </w:rPr>
            </w:pPr>
            <w:r>
              <w:rPr>
                <w:rFonts w:ascii="Arial" w:cs="Arial" w:eastAsia="Arial" w:hAnsi="Arial"/>
                <w:sz w:val="14"/>
                <w:szCs w:val="14"/>
                <w:color w:val="auto"/>
              </w:rPr>
              <w:t>3,045</w:t>
            </w:r>
          </w:p>
        </w:tc>
        <w:tc>
          <w:tcPr>
            <w:tcW w:w="11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1,079,757</w:t>
            </w:r>
          </w:p>
        </w:tc>
        <w:tc>
          <w:tcPr>
            <w:tcW w:w="0" w:type="dxa"/>
            <w:vAlign w:val="bottom"/>
          </w:tcPr>
          <w:p>
            <w:pPr>
              <w:spacing w:after="0"/>
              <w:rPr>
                <w:sz w:val="1"/>
                <w:szCs w:val="1"/>
                <w:color w:val="auto"/>
              </w:rPr>
            </w:pPr>
          </w:p>
        </w:tc>
      </w:tr>
      <w:tr>
        <w:trPr>
          <w:trHeight w:val="264"/>
        </w:trPr>
        <w:tc>
          <w:tcPr>
            <w:tcW w:w="2180" w:type="dxa"/>
            <w:vAlign w:val="bottom"/>
          </w:tcPr>
          <w:p>
            <w:pPr>
              <w:spacing w:after="0"/>
              <w:rPr>
                <w:sz w:val="22"/>
                <w:szCs w:val="22"/>
                <w:color w:val="auto"/>
              </w:rPr>
            </w:pPr>
          </w:p>
        </w:tc>
        <w:tc>
          <w:tcPr>
            <w:tcW w:w="980" w:type="dxa"/>
            <w:vAlign w:val="bottom"/>
            <w:tcBorders>
              <w:bottom w:val="single" w:sz="8" w:color="959595"/>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LTIP</w:t>
            </w:r>
          </w:p>
        </w:tc>
        <w:tc>
          <w:tcPr>
            <w:tcW w:w="1060" w:type="dxa"/>
            <w:vAlign w:val="bottom"/>
            <w:tcBorders>
              <w:bottom w:val="single" w:sz="8" w:color="959595"/>
            </w:tcBorders>
            <w:gridSpan w:val="3"/>
          </w:tcPr>
          <w:p>
            <w:pPr>
              <w:jc w:val="right"/>
              <w:ind w:right="140"/>
              <w:spacing w:after="0"/>
              <w:rPr>
                <w:sz w:val="20"/>
                <w:szCs w:val="20"/>
                <w:color w:val="auto"/>
              </w:rPr>
            </w:pPr>
            <w:r>
              <w:rPr>
                <w:rFonts w:ascii="Arial" w:cs="Arial" w:eastAsia="Arial" w:hAnsi="Arial"/>
                <w:sz w:val="14"/>
                <w:szCs w:val="14"/>
                <w:color w:val="auto"/>
              </w:rPr>
              <w:t>45,000</w:t>
            </w:r>
          </w:p>
        </w:tc>
        <w:tc>
          <w:tcPr>
            <w:tcW w:w="98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720,000</w:t>
            </w:r>
          </w:p>
        </w:tc>
        <w:tc>
          <w:tcPr>
            <w:tcW w:w="960" w:type="dxa"/>
            <w:vAlign w:val="bottom"/>
            <w:tcBorders>
              <w:bottom w:val="single" w:sz="8" w:color="959595"/>
            </w:tcBorders>
          </w:tcPr>
          <w:p>
            <w:pPr>
              <w:jc w:val="right"/>
              <w:ind w:right="49"/>
              <w:spacing w:after="0"/>
              <w:rPr>
                <w:sz w:val="20"/>
                <w:szCs w:val="20"/>
                <w:color w:val="auto"/>
              </w:rPr>
            </w:pPr>
            <w:r>
              <w:rPr>
                <w:rFonts w:ascii="Arial" w:cs="Arial" w:eastAsia="Arial" w:hAnsi="Arial"/>
                <w:sz w:val="14"/>
                <w:szCs w:val="14"/>
                <w:color w:val="auto"/>
              </w:rPr>
              <w:t>1,440,000</w:t>
            </w:r>
          </w:p>
        </w:tc>
        <w:tc>
          <w:tcPr>
            <w:tcW w:w="200" w:type="dxa"/>
            <w:vAlign w:val="bottom"/>
            <w:tcBorders>
              <w:bottom w:val="single" w:sz="8" w:color="959595"/>
            </w:tcBorders>
          </w:tcPr>
          <w:p>
            <w:pPr>
              <w:spacing w:after="0"/>
              <w:rPr>
                <w:sz w:val="22"/>
                <w:szCs w:val="22"/>
                <w:color w:val="auto"/>
              </w:rPr>
            </w:pPr>
          </w:p>
        </w:tc>
        <w:tc>
          <w:tcPr>
            <w:tcW w:w="86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959595"/>
            </w:tcBorders>
            <w:gridSpan w:val="2"/>
          </w:tcPr>
          <w:p>
            <w:pPr>
              <w:jc w:val="right"/>
              <w:ind w:right="100"/>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64"/>
        </w:trPr>
        <w:tc>
          <w:tcPr>
            <w:tcW w:w="2180" w:type="dxa"/>
            <w:vAlign w:val="bottom"/>
            <w:tcBorders>
              <w:bottom w:val="single" w:sz="8" w:color="959595"/>
            </w:tcBorders>
          </w:tcPr>
          <w:p>
            <w:pPr>
              <w:spacing w:after="0"/>
              <w:rPr>
                <w:sz w:val="22"/>
                <w:szCs w:val="22"/>
                <w:color w:val="auto"/>
              </w:rPr>
            </w:pPr>
          </w:p>
        </w:tc>
        <w:tc>
          <w:tcPr>
            <w:tcW w:w="980" w:type="dxa"/>
            <w:vAlign w:val="bottom"/>
            <w:tcBorders>
              <w:bottom w:val="single" w:sz="8" w:color="959595"/>
            </w:tcBorders>
            <w:gridSpan w:val="2"/>
          </w:tcPr>
          <w:p>
            <w:pPr>
              <w:jc w:val="right"/>
              <w:ind w:right="160"/>
              <w:spacing w:after="0"/>
              <w:rPr>
                <w:sz w:val="20"/>
                <w:szCs w:val="20"/>
                <w:color w:val="auto"/>
              </w:rPr>
            </w:pPr>
            <w:r>
              <w:rPr>
                <w:rFonts w:ascii="Arial" w:cs="Arial" w:eastAsia="Arial" w:hAnsi="Arial"/>
                <w:sz w:val="14"/>
                <w:szCs w:val="14"/>
                <w:color w:val="auto"/>
              </w:rPr>
              <w:t>2/22/2018</w:t>
            </w:r>
          </w:p>
        </w:tc>
        <w:tc>
          <w:tcPr>
            <w:tcW w:w="5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PSU</w:t>
            </w:r>
          </w:p>
        </w:tc>
        <w:tc>
          <w:tcPr>
            <w:tcW w:w="220" w:type="dxa"/>
            <w:vAlign w:val="bottom"/>
            <w:tcBorders>
              <w:bottom w:val="single" w:sz="8" w:color="959595"/>
            </w:tcBorders>
          </w:tcPr>
          <w:p>
            <w:pPr>
              <w:spacing w:after="0"/>
              <w:rPr>
                <w:sz w:val="22"/>
                <w:szCs w:val="22"/>
                <w:color w:val="auto"/>
              </w:rPr>
            </w:pPr>
          </w:p>
        </w:tc>
        <w:tc>
          <w:tcPr>
            <w:tcW w:w="840" w:type="dxa"/>
            <w:vAlign w:val="bottom"/>
            <w:tcBorders>
              <w:bottom w:val="single" w:sz="8" w:color="959595"/>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959595"/>
            </w:tcBorders>
            <w:gridSpan w:val="2"/>
          </w:tcPr>
          <w:p>
            <w:pPr>
              <w:jc w:val="right"/>
              <w:ind w:right="3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color w:val="auto"/>
              </w:rPr>
              <w:t>318</w:t>
            </w:r>
          </w:p>
        </w:tc>
        <w:tc>
          <w:tcPr>
            <w:tcW w:w="78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color w:val="auto"/>
              </w:rPr>
              <w:t>4,678</w:t>
            </w:r>
          </w:p>
        </w:tc>
        <w:tc>
          <w:tcPr>
            <w:tcW w:w="84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9,356</w:t>
            </w:r>
          </w:p>
        </w:tc>
        <w:tc>
          <w:tcPr>
            <w:tcW w:w="900" w:type="dxa"/>
            <w:vAlign w:val="bottom"/>
            <w:tcBorders>
              <w:bottom w:val="single" w:sz="8" w:color="959595"/>
            </w:tcBorders>
            <w:gridSpan w:val="2"/>
          </w:tcPr>
          <w:p>
            <w:pPr>
              <w:jc w:val="right"/>
              <w:ind w:right="100"/>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1,800,380</w:t>
            </w:r>
          </w:p>
        </w:tc>
        <w:tc>
          <w:tcPr>
            <w:tcW w:w="0" w:type="dxa"/>
            <w:vAlign w:val="bottom"/>
          </w:tcPr>
          <w:p>
            <w:pPr>
              <w:spacing w:after="0"/>
              <w:rPr>
                <w:sz w:val="1"/>
                <w:szCs w:val="1"/>
                <w:color w:val="auto"/>
              </w:rPr>
            </w:pPr>
          </w:p>
        </w:tc>
      </w:tr>
      <w:tr>
        <w:trPr>
          <w:trHeight w:val="267"/>
        </w:trPr>
        <w:tc>
          <w:tcPr>
            <w:tcW w:w="2180" w:type="dxa"/>
            <w:vAlign w:val="bottom"/>
          </w:tcPr>
          <w:p>
            <w:pPr>
              <w:ind w:left="40"/>
              <w:spacing w:after="0"/>
              <w:rPr>
                <w:sz w:val="20"/>
                <w:szCs w:val="20"/>
                <w:color w:val="auto"/>
              </w:rPr>
            </w:pPr>
            <w:r>
              <w:rPr>
                <w:rFonts w:ascii="Arial" w:cs="Arial" w:eastAsia="Arial" w:hAnsi="Arial"/>
                <w:sz w:val="14"/>
                <w:szCs w:val="14"/>
                <w:b w:val="1"/>
                <w:bCs w:val="1"/>
                <w:color w:val="012E6C"/>
              </w:rPr>
              <w:t>Dale P. Bennett</w:t>
            </w:r>
          </w:p>
        </w:tc>
        <w:tc>
          <w:tcPr>
            <w:tcW w:w="980" w:type="dxa"/>
            <w:vAlign w:val="bottom"/>
            <w:tcBorders>
              <w:bottom w:val="single" w:sz="8" w:color="959595"/>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MICP</w:t>
            </w:r>
          </w:p>
        </w:tc>
        <w:tc>
          <w:tcPr>
            <w:tcW w:w="1060" w:type="dxa"/>
            <w:vAlign w:val="bottom"/>
            <w:tcBorders>
              <w:bottom w:val="single" w:sz="8" w:color="959595"/>
            </w:tcBorders>
            <w:gridSpan w:val="3"/>
          </w:tcPr>
          <w:p>
            <w:pPr>
              <w:jc w:val="right"/>
              <w:ind w:right="140"/>
              <w:spacing w:after="0"/>
              <w:rPr>
                <w:sz w:val="20"/>
                <w:szCs w:val="20"/>
                <w:color w:val="auto"/>
              </w:rPr>
            </w:pPr>
            <w:r>
              <w:rPr>
                <w:rFonts w:ascii="Arial" w:cs="Arial" w:eastAsia="Arial" w:hAnsi="Arial"/>
                <w:sz w:val="14"/>
                <w:szCs w:val="14"/>
                <w:color w:val="auto"/>
              </w:rPr>
              <w:t>61,600</w:t>
            </w:r>
          </w:p>
        </w:tc>
        <w:tc>
          <w:tcPr>
            <w:tcW w:w="98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880,000</w:t>
            </w:r>
          </w:p>
        </w:tc>
        <w:tc>
          <w:tcPr>
            <w:tcW w:w="960" w:type="dxa"/>
            <w:vAlign w:val="bottom"/>
            <w:tcBorders>
              <w:bottom w:val="single" w:sz="8" w:color="959595"/>
            </w:tcBorders>
          </w:tcPr>
          <w:p>
            <w:pPr>
              <w:jc w:val="right"/>
              <w:ind w:right="49"/>
              <w:spacing w:after="0"/>
              <w:rPr>
                <w:sz w:val="20"/>
                <w:szCs w:val="20"/>
                <w:color w:val="auto"/>
              </w:rPr>
            </w:pPr>
            <w:r>
              <w:rPr>
                <w:rFonts w:ascii="Arial" w:cs="Arial" w:eastAsia="Arial" w:hAnsi="Arial"/>
                <w:sz w:val="14"/>
                <w:szCs w:val="14"/>
                <w:color w:val="auto"/>
              </w:rPr>
              <w:t>1,760,000</w:t>
            </w:r>
          </w:p>
        </w:tc>
        <w:tc>
          <w:tcPr>
            <w:tcW w:w="200" w:type="dxa"/>
            <w:vAlign w:val="bottom"/>
            <w:tcBorders>
              <w:bottom w:val="single" w:sz="8" w:color="959595"/>
            </w:tcBorders>
          </w:tcPr>
          <w:p>
            <w:pPr>
              <w:spacing w:after="0"/>
              <w:rPr>
                <w:sz w:val="23"/>
                <w:szCs w:val="23"/>
                <w:color w:val="auto"/>
              </w:rPr>
            </w:pPr>
          </w:p>
        </w:tc>
        <w:tc>
          <w:tcPr>
            <w:tcW w:w="86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959595"/>
            </w:tcBorders>
            <w:gridSpan w:val="2"/>
          </w:tcPr>
          <w:p>
            <w:pPr>
              <w:jc w:val="right"/>
              <w:ind w:right="100"/>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61"/>
        </w:trPr>
        <w:tc>
          <w:tcPr>
            <w:tcW w:w="2180" w:type="dxa"/>
            <w:vAlign w:val="bottom"/>
          </w:tcPr>
          <w:p>
            <w:pPr>
              <w:spacing w:after="0"/>
              <w:rPr>
                <w:sz w:val="22"/>
                <w:szCs w:val="22"/>
                <w:color w:val="auto"/>
              </w:rPr>
            </w:pPr>
          </w:p>
        </w:tc>
        <w:tc>
          <w:tcPr>
            <w:tcW w:w="980" w:type="dxa"/>
            <w:vAlign w:val="bottom"/>
            <w:tcBorders>
              <w:bottom w:val="single" w:sz="8" w:color="959595"/>
            </w:tcBorders>
            <w:gridSpan w:val="2"/>
          </w:tcPr>
          <w:p>
            <w:pPr>
              <w:jc w:val="right"/>
              <w:ind w:right="160"/>
              <w:spacing w:after="0"/>
              <w:rPr>
                <w:sz w:val="20"/>
                <w:szCs w:val="20"/>
                <w:color w:val="auto"/>
              </w:rPr>
            </w:pPr>
            <w:r>
              <w:rPr>
                <w:rFonts w:ascii="Arial" w:cs="Arial" w:eastAsia="Arial" w:hAnsi="Arial"/>
                <w:sz w:val="14"/>
                <w:szCs w:val="14"/>
                <w:color w:val="auto"/>
              </w:rPr>
              <w:t>2/22/2018</w:t>
            </w:r>
          </w:p>
        </w:tc>
        <w:tc>
          <w:tcPr>
            <w:tcW w:w="5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RSU</w:t>
            </w:r>
          </w:p>
        </w:tc>
        <w:tc>
          <w:tcPr>
            <w:tcW w:w="220" w:type="dxa"/>
            <w:vAlign w:val="bottom"/>
            <w:tcBorders>
              <w:bottom w:val="single" w:sz="8" w:color="959595"/>
            </w:tcBorders>
          </w:tcPr>
          <w:p>
            <w:pPr>
              <w:spacing w:after="0"/>
              <w:rPr>
                <w:sz w:val="22"/>
                <w:szCs w:val="22"/>
                <w:color w:val="auto"/>
              </w:rPr>
            </w:pPr>
          </w:p>
        </w:tc>
        <w:tc>
          <w:tcPr>
            <w:tcW w:w="840" w:type="dxa"/>
            <w:vAlign w:val="bottom"/>
            <w:tcBorders>
              <w:bottom w:val="single" w:sz="8" w:color="959595"/>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959595"/>
            </w:tcBorders>
            <w:gridSpan w:val="2"/>
          </w:tcPr>
          <w:p>
            <w:pPr>
              <w:jc w:val="right"/>
              <w:ind w:right="3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959595"/>
            </w:tcBorders>
            <w:gridSpan w:val="2"/>
          </w:tcPr>
          <w:p>
            <w:pPr>
              <w:jc w:val="right"/>
              <w:ind w:right="100"/>
              <w:spacing w:after="0"/>
              <w:rPr>
                <w:sz w:val="20"/>
                <w:szCs w:val="20"/>
                <w:color w:val="auto"/>
              </w:rPr>
            </w:pPr>
            <w:r>
              <w:rPr>
                <w:rFonts w:ascii="Arial" w:cs="Arial" w:eastAsia="Arial" w:hAnsi="Arial"/>
                <w:sz w:val="14"/>
                <w:szCs w:val="14"/>
                <w:color w:val="auto"/>
              </w:rPr>
              <w:t>3,045</w:t>
            </w:r>
          </w:p>
        </w:tc>
        <w:tc>
          <w:tcPr>
            <w:tcW w:w="11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1,079,757</w:t>
            </w:r>
          </w:p>
        </w:tc>
        <w:tc>
          <w:tcPr>
            <w:tcW w:w="0" w:type="dxa"/>
            <w:vAlign w:val="bottom"/>
          </w:tcPr>
          <w:p>
            <w:pPr>
              <w:spacing w:after="0"/>
              <w:rPr>
                <w:sz w:val="1"/>
                <w:szCs w:val="1"/>
                <w:color w:val="auto"/>
              </w:rPr>
            </w:pPr>
          </w:p>
        </w:tc>
      </w:tr>
      <w:tr>
        <w:trPr>
          <w:trHeight w:val="264"/>
        </w:trPr>
        <w:tc>
          <w:tcPr>
            <w:tcW w:w="2180" w:type="dxa"/>
            <w:vAlign w:val="bottom"/>
          </w:tcPr>
          <w:p>
            <w:pPr>
              <w:spacing w:after="0"/>
              <w:rPr>
                <w:sz w:val="22"/>
                <w:szCs w:val="22"/>
                <w:color w:val="auto"/>
              </w:rPr>
            </w:pPr>
          </w:p>
        </w:tc>
        <w:tc>
          <w:tcPr>
            <w:tcW w:w="980" w:type="dxa"/>
            <w:vAlign w:val="bottom"/>
            <w:tcBorders>
              <w:bottom w:val="single" w:sz="8" w:color="959595"/>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LTIP</w:t>
            </w:r>
          </w:p>
        </w:tc>
        <w:tc>
          <w:tcPr>
            <w:tcW w:w="1060" w:type="dxa"/>
            <w:vAlign w:val="bottom"/>
            <w:tcBorders>
              <w:bottom w:val="single" w:sz="8" w:color="959595"/>
            </w:tcBorders>
            <w:gridSpan w:val="3"/>
          </w:tcPr>
          <w:p>
            <w:pPr>
              <w:jc w:val="right"/>
              <w:ind w:right="140"/>
              <w:spacing w:after="0"/>
              <w:rPr>
                <w:sz w:val="20"/>
                <w:szCs w:val="20"/>
                <w:color w:val="auto"/>
              </w:rPr>
            </w:pPr>
            <w:r>
              <w:rPr>
                <w:rFonts w:ascii="Arial" w:cs="Arial" w:eastAsia="Arial" w:hAnsi="Arial"/>
                <w:sz w:val="14"/>
                <w:szCs w:val="14"/>
                <w:color w:val="auto"/>
              </w:rPr>
              <w:t>45,000</w:t>
            </w:r>
          </w:p>
        </w:tc>
        <w:tc>
          <w:tcPr>
            <w:tcW w:w="98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720,000</w:t>
            </w:r>
          </w:p>
        </w:tc>
        <w:tc>
          <w:tcPr>
            <w:tcW w:w="960" w:type="dxa"/>
            <w:vAlign w:val="bottom"/>
            <w:tcBorders>
              <w:bottom w:val="single" w:sz="8" w:color="959595"/>
            </w:tcBorders>
          </w:tcPr>
          <w:p>
            <w:pPr>
              <w:jc w:val="right"/>
              <w:ind w:right="49"/>
              <w:spacing w:after="0"/>
              <w:rPr>
                <w:sz w:val="20"/>
                <w:szCs w:val="20"/>
                <w:color w:val="auto"/>
              </w:rPr>
            </w:pPr>
            <w:r>
              <w:rPr>
                <w:rFonts w:ascii="Arial" w:cs="Arial" w:eastAsia="Arial" w:hAnsi="Arial"/>
                <w:sz w:val="14"/>
                <w:szCs w:val="14"/>
                <w:color w:val="auto"/>
              </w:rPr>
              <w:t>1,440,000</w:t>
            </w:r>
          </w:p>
        </w:tc>
        <w:tc>
          <w:tcPr>
            <w:tcW w:w="200" w:type="dxa"/>
            <w:vAlign w:val="bottom"/>
            <w:tcBorders>
              <w:bottom w:val="single" w:sz="8" w:color="959595"/>
            </w:tcBorders>
          </w:tcPr>
          <w:p>
            <w:pPr>
              <w:spacing w:after="0"/>
              <w:rPr>
                <w:sz w:val="22"/>
                <w:szCs w:val="22"/>
                <w:color w:val="auto"/>
              </w:rPr>
            </w:pPr>
          </w:p>
        </w:tc>
        <w:tc>
          <w:tcPr>
            <w:tcW w:w="86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959595"/>
            </w:tcBorders>
            <w:gridSpan w:val="2"/>
          </w:tcPr>
          <w:p>
            <w:pPr>
              <w:jc w:val="right"/>
              <w:ind w:right="100"/>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64"/>
        </w:trPr>
        <w:tc>
          <w:tcPr>
            <w:tcW w:w="2180" w:type="dxa"/>
            <w:vAlign w:val="bottom"/>
            <w:tcBorders>
              <w:bottom w:val="single" w:sz="8" w:color="959595"/>
            </w:tcBorders>
          </w:tcPr>
          <w:p>
            <w:pPr>
              <w:spacing w:after="0"/>
              <w:rPr>
                <w:sz w:val="22"/>
                <w:szCs w:val="22"/>
                <w:color w:val="auto"/>
              </w:rPr>
            </w:pPr>
          </w:p>
        </w:tc>
        <w:tc>
          <w:tcPr>
            <w:tcW w:w="980" w:type="dxa"/>
            <w:vAlign w:val="bottom"/>
            <w:tcBorders>
              <w:bottom w:val="single" w:sz="8" w:color="959595"/>
            </w:tcBorders>
            <w:gridSpan w:val="2"/>
          </w:tcPr>
          <w:p>
            <w:pPr>
              <w:jc w:val="right"/>
              <w:ind w:right="160"/>
              <w:spacing w:after="0"/>
              <w:rPr>
                <w:sz w:val="20"/>
                <w:szCs w:val="20"/>
                <w:color w:val="auto"/>
              </w:rPr>
            </w:pPr>
            <w:r>
              <w:rPr>
                <w:rFonts w:ascii="Arial" w:cs="Arial" w:eastAsia="Arial" w:hAnsi="Arial"/>
                <w:sz w:val="14"/>
                <w:szCs w:val="14"/>
                <w:color w:val="auto"/>
              </w:rPr>
              <w:t>2/22/2018</w:t>
            </w:r>
          </w:p>
        </w:tc>
        <w:tc>
          <w:tcPr>
            <w:tcW w:w="5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PSU</w:t>
            </w:r>
          </w:p>
        </w:tc>
        <w:tc>
          <w:tcPr>
            <w:tcW w:w="220" w:type="dxa"/>
            <w:vAlign w:val="bottom"/>
            <w:tcBorders>
              <w:bottom w:val="single" w:sz="8" w:color="959595"/>
            </w:tcBorders>
          </w:tcPr>
          <w:p>
            <w:pPr>
              <w:spacing w:after="0"/>
              <w:rPr>
                <w:sz w:val="22"/>
                <w:szCs w:val="22"/>
                <w:color w:val="auto"/>
              </w:rPr>
            </w:pPr>
          </w:p>
        </w:tc>
        <w:tc>
          <w:tcPr>
            <w:tcW w:w="840" w:type="dxa"/>
            <w:vAlign w:val="bottom"/>
            <w:tcBorders>
              <w:bottom w:val="single" w:sz="8" w:color="959595"/>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959595"/>
            </w:tcBorders>
            <w:gridSpan w:val="2"/>
          </w:tcPr>
          <w:p>
            <w:pPr>
              <w:jc w:val="right"/>
              <w:ind w:right="3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color w:val="auto"/>
              </w:rPr>
              <w:t>318</w:t>
            </w:r>
          </w:p>
        </w:tc>
        <w:tc>
          <w:tcPr>
            <w:tcW w:w="78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color w:val="auto"/>
              </w:rPr>
              <w:t>4,678</w:t>
            </w:r>
          </w:p>
        </w:tc>
        <w:tc>
          <w:tcPr>
            <w:tcW w:w="84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9,356</w:t>
            </w:r>
          </w:p>
        </w:tc>
        <w:tc>
          <w:tcPr>
            <w:tcW w:w="900" w:type="dxa"/>
            <w:vAlign w:val="bottom"/>
            <w:tcBorders>
              <w:bottom w:val="single" w:sz="8" w:color="959595"/>
            </w:tcBorders>
            <w:gridSpan w:val="2"/>
          </w:tcPr>
          <w:p>
            <w:pPr>
              <w:jc w:val="right"/>
              <w:ind w:right="100"/>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1,800,380</w:t>
            </w:r>
          </w:p>
        </w:tc>
        <w:tc>
          <w:tcPr>
            <w:tcW w:w="0" w:type="dxa"/>
            <w:vAlign w:val="bottom"/>
          </w:tcPr>
          <w:p>
            <w:pPr>
              <w:spacing w:after="0"/>
              <w:rPr>
                <w:sz w:val="1"/>
                <w:szCs w:val="1"/>
                <w:color w:val="auto"/>
              </w:rPr>
            </w:pPr>
          </w:p>
        </w:tc>
      </w:tr>
      <w:tr>
        <w:trPr>
          <w:trHeight w:val="267"/>
        </w:trPr>
        <w:tc>
          <w:tcPr>
            <w:tcW w:w="2180" w:type="dxa"/>
            <w:vAlign w:val="bottom"/>
          </w:tcPr>
          <w:p>
            <w:pPr>
              <w:ind w:left="40"/>
              <w:spacing w:after="0"/>
              <w:rPr>
                <w:sz w:val="20"/>
                <w:szCs w:val="20"/>
                <w:color w:val="auto"/>
              </w:rPr>
            </w:pPr>
            <w:r>
              <w:rPr>
                <w:rFonts w:ascii="Arial" w:cs="Arial" w:eastAsia="Arial" w:hAnsi="Arial"/>
                <w:sz w:val="14"/>
                <w:szCs w:val="14"/>
                <w:b w:val="1"/>
                <w:bCs w:val="1"/>
                <w:color w:val="012E6C"/>
              </w:rPr>
              <w:t>Orlando P. Carvalho</w:t>
            </w:r>
          </w:p>
        </w:tc>
        <w:tc>
          <w:tcPr>
            <w:tcW w:w="980" w:type="dxa"/>
            <w:vAlign w:val="bottom"/>
            <w:tcBorders>
              <w:bottom w:val="single" w:sz="8" w:color="959595"/>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MICP</w:t>
            </w:r>
          </w:p>
        </w:tc>
        <w:tc>
          <w:tcPr>
            <w:tcW w:w="1060" w:type="dxa"/>
            <w:vAlign w:val="bottom"/>
            <w:tcBorders>
              <w:bottom w:val="single" w:sz="8" w:color="959595"/>
            </w:tcBorders>
            <w:gridSpan w:val="3"/>
          </w:tcPr>
          <w:p>
            <w:pPr>
              <w:jc w:val="right"/>
              <w:ind w:right="140"/>
              <w:spacing w:after="0"/>
              <w:rPr>
                <w:sz w:val="20"/>
                <w:szCs w:val="20"/>
                <w:color w:val="auto"/>
              </w:rPr>
            </w:pPr>
            <w:r>
              <w:rPr>
                <w:rFonts w:ascii="Arial" w:cs="Arial" w:eastAsia="Arial" w:hAnsi="Arial"/>
                <w:sz w:val="14"/>
                <w:szCs w:val="14"/>
                <w:color w:val="auto"/>
              </w:rPr>
              <w:t>61,600</w:t>
            </w:r>
          </w:p>
        </w:tc>
        <w:tc>
          <w:tcPr>
            <w:tcW w:w="98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880,000</w:t>
            </w:r>
          </w:p>
        </w:tc>
        <w:tc>
          <w:tcPr>
            <w:tcW w:w="960" w:type="dxa"/>
            <w:vAlign w:val="bottom"/>
            <w:tcBorders>
              <w:bottom w:val="single" w:sz="8" w:color="959595"/>
            </w:tcBorders>
          </w:tcPr>
          <w:p>
            <w:pPr>
              <w:jc w:val="right"/>
              <w:ind w:right="49"/>
              <w:spacing w:after="0"/>
              <w:rPr>
                <w:sz w:val="20"/>
                <w:szCs w:val="20"/>
                <w:color w:val="auto"/>
              </w:rPr>
            </w:pPr>
            <w:r>
              <w:rPr>
                <w:rFonts w:ascii="Arial" w:cs="Arial" w:eastAsia="Arial" w:hAnsi="Arial"/>
                <w:sz w:val="14"/>
                <w:szCs w:val="14"/>
                <w:color w:val="auto"/>
              </w:rPr>
              <w:t>1,760,000</w:t>
            </w:r>
          </w:p>
        </w:tc>
        <w:tc>
          <w:tcPr>
            <w:tcW w:w="200" w:type="dxa"/>
            <w:vAlign w:val="bottom"/>
            <w:tcBorders>
              <w:bottom w:val="single" w:sz="8" w:color="959595"/>
            </w:tcBorders>
          </w:tcPr>
          <w:p>
            <w:pPr>
              <w:spacing w:after="0"/>
              <w:rPr>
                <w:sz w:val="23"/>
                <w:szCs w:val="23"/>
                <w:color w:val="auto"/>
              </w:rPr>
            </w:pPr>
          </w:p>
        </w:tc>
        <w:tc>
          <w:tcPr>
            <w:tcW w:w="86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959595"/>
            </w:tcBorders>
            <w:gridSpan w:val="2"/>
          </w:tcPr>
          <w:p>
            <w:pPr>
              <w:jc w:val="right"/>
              <w:ind w:right="100"/>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61"/>
        </w:trPr>
        <w:tc>
          <w:tcPr>
            <w:tcW w:w="2180" w:type="dxa"/>
            <w:vAlign w:val="bottom"/>
          </w:tcPr>
          <w:p>
            <w:pPr>
              <w:spacing w:after="0"/>
              <w:rPr>
                <w:sz w:val="22"/>
                <w:szCs w:val="22"/>
                <w:color w:val="auto"/>
              </w:rPr>
            </w:pPr>
          </w:p>
        </w:tc>
        <w:tc>
          <w:tcPr>
            <w:tcW w:w="980" w:type="dxa"/>
            <w:vAlign w:val="bottom"/>
            <w:tcBorders>
              <w:bottom w:val="single" w:sz="8" w:color="959595"/>
            </w:tcBorders>
            <w:gridSpan w:val="2"/>
          </w:tcPr>
          <w:p>
            <w:pPr>
              <w:jc w:val="right"/>
              <w:ind w:right="160"/>
              <w:spacing w:after="0"/>
              <w:rPr>
                <w:sz w:val="20"/>
                <w:szCs w:val="20"/>
                <w:color w:val="auto"/>
              </w:rPr>
            </w:pPr>
            <w:r>
              <w:rPr>
                <w:rFonts w:ascii="Arial" w:cs="Arial" w:eastAsia="Arial" w:hAnsi="Arial"/>
                <w:sz w:val="14"/>
                <w:szCs w:val="14"/>
                <w:color w:val="auto"/>
              </w:rPr>
              <w:t>2/22/2018</w:t>
            </w:r>
          </w:p>
        </w:tc>
        <w:tc>
          <w:tcPr>
            <w:tcW w:w="5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RSU</w:t>
            </w:r>
          </w:p>
        </w:tc>
        <w:tc>
          <w:tcPr>
            <w:tcW w:w="220" w:type="dxa"/>
            <w:vAlign w:val="bottom"/>
            <w:tcBorders>
              <w:bottom w:val="single" w:sz="8" w:color="959595"/>
            </w:tcBorders>
          </w:tcPr>
          <w:p>
            <w:pPr>
              <w:spacing w:after="0"/>
              <w:rPr>
                <w:sz w:val="22"/>
                <w:szCs w:val="22"/>
                <w:color w:val="auto"/>
              </w:rPr>
            </w:pPr>
          </w:p>
        </w:tc>
        <w:tc>
          <w:tcPr>
            <w:tcW w:w="840" w:type="dxa"/>
            <w:vAlign w:val="bottom"/>
            <w:tcBorders>
              <w:bottom w:val="single" w:sz="8" w:color="959595"/>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959595"/>
            </w:tcBorders>
            <w:gridSpan w:val="2"/>
          </w:tcPr>
          <w:p>
            <w:pPr>
              <w:jc w:val="right"/>
              <w:ind w:right="3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959595"/>
            </w:tcBorders>
            <w:gridSpan w:val="2"/>
          </w:tcPr>
          <w:p>
            <w:pPr>
              <w:jc w:val="right"/>
              <w:ind w:right="100"/>
              <w:spacing w:after="0"/>
              <w:rPr>
                <w:sz w:val="20"/>
                <w:szCs w:val="20"/>
                <w:color w:val="auto"/>
              </w:rPr>
            </w:pPr>
            <w:r>
              <w:rPr>
                <w:rFonts w:ascii="Arial" w:cs="Arial" w:eastAsia="Arial" w:hAnsi="Arial"/>
                <w:sz w:val="14"/>
                <w:szCs w:val="14"/>
                <w:color w:val="auto"/>
              </w:rPr>
              <w:t>3,045</w:t>
            </w:r>
          </w:p>
        </w:tc>
        <w:tc>
          <w:tcPr>
            <w:tcW w:w="11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1,079,757</w:t>
            </w:r>
          </w:p>
        </w:tc>
        <w:tc>
          <w:tcPr>
            <w:tcW w:w="0" w:type="dxa"/>
            <w:vAlign w:val="bottom"/>
          </w:tcPr>
          <w:p>
            <w:pPr>
              <w:spacing w:after="0"/>
              <w:rPr>
                <w:sz w:val="1"/>
                <w:szCs w:val="1"/>
                <w:color w:val="auto"/>
              </w:rPr>
            </w:pPr>
          </w:p>
        </w:tc>
      </w:tr>
      <w:tr>
        <w:trPr>
          <w:trHeight w:val="264"/>
        </w:trPr>
        <w:tc>
          <w:tcPr>
            <w:tcW w:w="2180" w:type="dxa"/>
            <w:vAlign w:val="bottom"/>
          </w:tcPr>
          <w:p>
            <w:pPr>
              <w:spacing w:after="0"/>
              <w:rPr>
                <w:sz w:val="22"/>
                <w:szCs w:val="22"/>
                <w:color w:val="auto"/>
              </w:rPr>
            </w:pPr>
          </w:p>
        </w:tc>
        <w:tc>
          <w:tcPr>
            <w:tcW w:w="980" w:type="dxa"/>
            <w:vAlign w:val="bottom"/>
            <w:tcBorders>
              <w:bottom w:val="single" w:sz="8" w:color="959595"/>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LTIP</w:t>
            </w:r>
          </w:p>
        </w:tc>
        <w:tc>
          <w:tcPr>
            <w:tcW w:w="1060" w:type="dxa"/>
            <w:vAlign w:val="bottom"/>
            <w:tcBorders>
              <w:bottom w:val="single" w:sz="8" w:color="959595"/>
            </w:tcBorders>
            <w:gridSpan w:val="3"/>
          </w:tcPr>
          <w:p>
            <w:pPr>
              <w:jc w:val="right"/>
              <w:ind w:right="140"/>
              <w:spacing w:after="0"/>
              <w:rPr>
                <w:sz w:val="20"/>
                <w:szCs w:val="20"/>
                <w:color w:val="auto"/>
              </w:rPr>
            </w:pPr>
            <w:r>
              <w:rPr>
                <w:rFonts w:ascii="Arial" w:cs="Arial" w:eastAsia="Arial" w:hAnsi="Arial"/>
                <w:sz w:val="14"/>
                <w:szCs w:val="14"/>
                <w:color w:val="auto"/>
              </w:rPr>
              <w:t>45,000</w:t>
            </w:r>
          </w:p>
        </w:tc>
        <w:tc>
          <w:tcPr>
            <w:tcW w:w="98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720,000</w:t>
            </w:r>
          </w:p>
        </w:tc>
        <w:tc>
          <w:tcPr>
            <w:tcW w:w="960" w:type="dxa"/>
            <w:vAlign w:val="bottom"/>
            <w:tcBorders>
              <w:bottom w:val="single" w:sz="8" w:color="959595"/>
            </w:tcBorders>
          </w:tcPr>
          <w:p>
            <w:pPr>
              <w:jc w:val="right"/>
              <w:ind w:right="49"/>
              <w:spacing w:after="0"/>
              <w:rPr>
                <w:sz w:val="20"/>
                <w:szCs w:val="20"/>
                <w:color w:val="auto"/>
              </w:rPr>
            </w:pPr>
            <w:r>
              <w:rPr>
                <w:rFonts w:ascii="Arial" w:cs="Arial" w:eastAsia="Arial" w:hAnsi="Arial"/>
                <w:sz w:val="14"/>
                <w:szCs w:val="14"/>
                <w:color w:val="auto"/>
              </w:rPr>
              <w:t>1,440,000</w:t>
            </w:r>
          </w:p>
        </w:tc>
        <w:tc>
          <w:tcPr>
            <w:tcW w:w="200" w:type="dxa"/>
            <w:vAlign w:val="bottom"/>
            <w:tcBorders>
              <w:bottom w:val="single" w:sz="8" w:color="959595"/>
            </w:tcBorders>
          </w:tcPr>
          <w:p>
            <w:pPr>
              <w:spacing w:after="0"/>
              <w:rPr>
                <w:sz w:val="22"/>
                <w:szCs w:val="22"/>
                <w:color w:val="auto"/>
              </w:rPr>
            </w:pPr>
          </w:p>
        </w:tc>
        <w:tc>
          <w:tcPr>
            <w:tcW w:w="86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959595"/>
            </w:tcBorders>
            <w:gridSpan w:val="2"/>
          </w:tcPr>
          <w:p>
            <w:pPr>
              <w:jc w:val="right"/>
              <w:ind w:right="100"/>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64"/>
        </w:trPr>
        <w:tc>
          <w:tcPr>
            <w:tcW w:w="2180" w:type="dxa"/>
            <w:vAlign w:val="bottom"/>
            <w:tcBorders>
              <w:bottom w:val="single" w:sz="8" w:color="959595"/>
            </w:tcBorders>
          </w:tcPr>
          <w:p>
            <w:pPr>
              <w:spacing w:after="0"/>
              <w:rPr>
                <w:sz w:val="22"/>
                <w:szCs w:val="22"/>
                <w:color w:val="auto"/>
              </w:rPr>
            </w:pPr>
          </w:p>
        </w:tc>
        <w:tc>
          <w:tcPr>
            <w:tcW w:w="980" w:type="dxa"/>
            <w:vAlign w:val="bottom"/>
            <w:tcBorders>
              <w:bottom w:val="single" w:sz="8" w:color="959595"/>
            </w:tcBorders>
            <w:gridSpan w:val="2"/>
          </w:tcPr>
          <w:p>
            <w:pPr>
              <w:jc w:val="right"/>
              <w:ind w:right="160"/>
              <w:spacing w:after="0"/>
              <w:rPr>
                <w:sz w:val="20"/>
                <w:szCs w:val="20"/>
                <w:color w:val="auto"/>
              </w:rPr>
            </w:pPr>
            <w:r>
              <w:rPr>
                <w:rFonts w:ascii="Arial" w:cs="Arial" w:eastAsia="Arial" w:hAnsi="Arial"/>
                <w:sz w:val="14"/>
                <w:szCs w:val="14"/>
                <w:color w:val="auto"/>
              </w:rPr>
              <w:t>2/22/2018</w:t>
            </w:r>
          </w:p>
        </w:tc>
        <w:tc>
          <w:tcPr>
            <w:tcW w:w="5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PSU</w:t>
            </w:r>
          </w:p>
        </w:tc>
        <w:tc>
          <w:tcPr>
            <w:tcW w:w="220" w:type="dxa"/>
            <w:vAlign w:val="bottom"/>
            <w:tcBorders>
              <w:bottom w:val="single" w:sz="8" w:color="959595"/>
            </w:tcBorders>
          </w:tcPr>
          <w:p>
            <w:pPr>
              <w:spacing w:after="0"/>
              <w:rPr>
                <w:sz w:val="22"/>
                <w:szCs w:val="22"/>
                <w:color w:val="auto"/>
              </w:rPr>
            </w:pPr>
          </w:p>
        </w:tc>
        <w:tc>
          <w:tcPr>
            <w:tcW w:w="840" w:type="dxa"/>
            <w:vAlign w:val="bottom"/>
            <w:tcBorders>
              <w:bottom w:val="single" w:sz="8" w:color="959595"/>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959595"/>
            </w:tcBorders>
            <w:gridSpan w:val="2"/>
          </w:tcPr>
          <w:p>
            <w:pPr>
              <w:jc w:val="right"/>
              <w:ind w:right="3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color w:val="auto"/>
              </w:rPr>
              <w:t>318</w:t>
            </w:r>
          </w:p>
        </w:tc>
        <w:tc>
          <w:tcPr>
            <w:tcW w:w="78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color w:val="auto"/>
              </w:rPr>
              <w:t>4,678</w:t>
            </w:r>
          </w:p>
        </w:tc>
        <w:tc>
          <w:tcPr>
            <w:tcW w:w="84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9,356</w:t>
            </w:r>
          </w:p>
        </w:tc>
        <w:tc>
          <w:tcPr>
            <w:tcW w:w="900" w:type="dxa"/>
            <w:vAlign w:val="bottom"/>
            <w:tcBorders>
              <w:bottom w:val="single" w:sz="8" w:color="959595"/>
            </w:tcBorders>
            <w:gridSpan w:val="2"/>
          </w:tcPr>
          <w:p>
            <w:pPr>
              <w:jc w:val="right"/>
              <w:ind w:right="100"/>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1,800,380</w:t>
            </w:r>
          </w:p>
        </w:tc>
        <w:tc>
          <w:tcPr>
            <w:tcW w:w="0" w:type="dxa"/>
            <w:vAlign w:val="bottom"/>
          </w:tcPr>
          <w:p>
            <w:pPr>
              <w:spacing w:after="0"/>
              <w:rPr>
                <w:sz w:val="1"/>
                <w:szCs w:val="1"/>
                <w:color w:val="auto"/>
              </w:rPr>
            </w:pPr>
          </w:p>
        </w:tc>
      </w:tr>
      <w:tr>
        <w:trPr>
          <w:trHeight w:val="267"/>
        </w:trPr>
        <w:tc>
          <w:tcPr>
            <w:tcW w:w="2180" w:type="dxa"/>
            <w:vAlign w:val="bottom"/>
          </w:tcPr>
          <w:p>
            <w:pPr>
              <w:ind w:left="40"/>
              <w:spacing w:after="0"/>
              <w:rPr>
                <w:sz w:val="20"/>
                <w:szCs w:val="20"/>
                <w:color w:val="auto"/>
              </w:rPr>
            </w:pPr>
            <w:r>
              <w:rPr>
                <w:rFonts w:ascii="Arial" w:cs="Arial" w:eastAsia="Arial" w:hAnsi="Arial"/>
                <w:sz w:val="14"/>
                <w:szCs w:val="14"/>
                <w:b w:val="1"/>
                <w:bCs w:val="1"/>
                <w:color w:val="012E6C"/>
              </w:rPr>
              <w:t>Richard H. Edwards</w:t>
            </w:r>
          </w:p>
        </w:tc>
        <w:tc>
          <w:tcPr>
            <w:tcW w:w="980" w:type="dxa"/>
            <w:vAlign w:val="bottom"/>
            <w:tcBorders>
              <w:bottom w:val="single" w:sz="8" w:color="959595"/>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MICP</w:t>
            </w:r>
          </w:p>
        </w:tc>
        <w:tc>
          <w:tcPr>
            <w:tcW w:w="1060" w:type="dxa"/>
            <w:vAlign w:val="bottom"/>
            <w:tcBorders>
              <w:bottom w:val="single" w:sz="8" w:color="959595"/>
            </w:tcBorders>
            <w:gridSpan w:val="3"/>
          </w:tcPr>
          <w:p>
            <w:pPr>
              <w:jc w:val="right"/>
              <w:ind w:right="140"/>
              <w:spacing w:after="0"/>
              <w:rPr>
                <w:sz w:val="20"/>
                <w:szCs w:val="20"/>
                <w:color w:val="auto"/>
              </w:rPr>
            </w:pPr>
            <w:r>
              <w:rPr>
                <w:rFonts w:ascii="Arial" w:cs="Arial" w:eastAsia="Arial" w:hAnsi="Arial"/>
                <w:sz w:val="14"/>
                <w:szCs w:val="14"/>
                <w:color w:val="auto"/>
              </w:rPr>
              <w:t>61,600</w:t>
            </w:r>
          </w:p>
        </w:tc>
        <w:tc>
          <w:tcPr>
            <w:tcW w:w="98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880,000</w:t>
            </w:r>
          </w:p>
        </w:tc>
        <w:tc>
          <w:tcPr>
            <w:tcW w:w="960" w:type="dxa"/>
            <w:vAlign w:val="bottom"/>
            <w:tcBorders>
              <w:bottom w:val="single" w:sz="8" w:color="959595"/>
            </w:tcBorders>
          </w:tcPr>
          <w:p>
            <w:pPr>
              <w:jc w:val="right"/>
              <w:ind w:right="49"/>
              <w:spacing w:after="0"/>
              <w:rPr>
                <w:sz w:val="20"/>
                <w:szCs w:val="20"/>
                <w:color w:val="auto"/>
              </w:rPr>
            </w:pPr>
            <w:r>
              <w:rPr>
                <w:rFonts w:ascii="Arial" w:cs="Arial" w:eastAsia="Arial" w:hAnsi="Arial"/>
                <w:sz w:val="14"/>
                <w:szCs w:val="14"/>
                <w:color w:val="auto"/>
              </w:rPr>
              <w:t>1,760,000</w:t>
            </w:r>
          </w:p>
        </w:tc>
        <w:tc>
          <w:tcPr>
            <w:tcW w:w="200" w:type="dxa"/>
            <w:vAlign w:val="bottom"/>
            <w:tcBorders>
              <w:bottom w:val="single" w:sz="8" w:color="959595"/>
            </w:tcBorders>
          </w:tcPr>
          <w:p>
            <w:pPr>
              <w:spacing w:after="0"/>
              <w:rPr>
                <w:sz w:val="23"/>
                <w:szCs w:val="23"/>
                <w:color w:val="auto"/>
              </w:rPr>
            </w:pPr>
          </w:p>
        </w:tc>
        <w:tc>
          <w:tcPr>
            <w:tcW w:w="86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959595"/>
            </w:tcBorders>
            <w:gridSpan w:val="2"/>
          </w:tcPr>
          <w:p>
            <w:pPr>
              <w:jc w:val="right"/>
              <w:ind w:right="100"/>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61"/>
        </w:trPr>
        <w:tc>
          <w:tcPr>
            <w:tcW w:w="2180" w:type="dxa"/>
            <w:vAlign w:val="bottom"/>
          </w:tcPr>
          <w:p>
            <w:pPr>
              <w:spacing w:after="0"/>
              <w:rPr>
                <w:sz w:val="22"/>
                <w:szCs w:val="22"/>
                <w:color w:val="auto"/>
              </w:rPr>
            </w:pPr>
          </w:p>
        </w:tc>
        <w:tc>
          <w:tcPr>
            <w:tcW w:w="980" w:type="dxa"/>
            <w:vAlign w:val="bottom"/>
            <w:tcBorders>
              <w:bottom w:val="single" w:sz="8" w:color="959595"/>
            </w:tcBorders>
            <w:gridSpan w:val="2"/>
          </w:tcPr>
          <w:p>
            <w:pPr>
              <w:jc w:val="right"/>
              <w:ind w:right="160"/>
              <w:spacing w:after="0"/>
              <w:rPr>
                <w:sz w:val="20"/>
                <w:szCs w:val="20"/>
                <w:color w:val="auto"/>
              </w:rPr>
            </w:pPr>
            <w:r>
              <w:rPr>
                <w:rFonts w:ascii="Arial" w:cs="Arial" w:eastAsia="Arial" w:hAnsi="Arial"/>
                <w:sz w:val="14"/>
                <w:szCs w:val="14"/>
                <w:color w:val="auto"/>
              </w:rPr>
              <w:t>2/22/2018</w:t>
            </w:r>
          </w:p>
        </w:tc>
        <w:tc>
          <w:tcPr>
            <w:tcW w:w="5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RSU</w:t>
            </w:r>
          </w:p>
        </w:tc>
        <w:tc>
          <w:tcPr>
            <w:tcW w:w="220" w:type="dxa"/>
            <w:vAlign w:val="bottom"/>
            <w:tcBorders>
              <w:bottom w:val="single" w:sz="8" w:color="959595"/>
            </w:tcBorders>
          </w:tcPr>
          <w:p>
            <w:pPr>
              <w:spacing w:after="0"/>
              <w:rPr>
                <w:sz w:val="22"/>
                <w:szCs w:val="22"/>
                <w:color w:val="auto"/>
              </w:rPr>
            </w:pPr>
          </w:p>
        </w:tc>
        <w:tc>
          <w:tcPr>
            <w:tcW w:w="840" w:type="dxa"/>
            <w:vAlign w:val="bottom"/>
            <w:tcBorders>
              <w:bottom w:val="single" w:sz="8" w:color="959595"/>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959595"/>
            </w:tcBorders>
            <w:gridSpan w:val="2"/>
          </w:tcPr>
          <w:p>
            <w:pPr>
              <w:jc w:val="right"/>
              <w:ind w:right="3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959595"/>
            </w:tcBorders>
            <w:gridSpan w:val="2"/>
          </w:tcPr>
          <w:p>
            <w:pPr>
              <w:jc w:val="right"/>
              <w:ind w:right="100"/>
              <w:spacing w:after="0"/>
              <w:rPr>
                <w:sz w:val="20"/>
                <w:szCs w:val="20"/>
                <w:color w:val="auto"/>
              </w:rPr>
            </w:pPr>
            <w:r>
              <w:rPr>
                <w:rFonts w:ascii="Arial" w:cs="Arial" w:eastAsia="Arial" w:hAnsi="Arial"/>
                <w:sz w:val="14"/>
                <w:szCs w:val="14"/>
                <w:color w:val="auto"/>
              </w:rPr>
              <w:t>3,045</w:t>
            </w:r>
          </w:p>
        </w:tc>
        <w:tc>
          <w:tcPr>
            <w:tcW w:w="11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1,079,757</w:t>
            </w:r>
          </w:p>
        </w:tc>
        <w:tc>
          <w:tcPr>
            <w:tcW w:w="0" w:type="dxa"/>
            <w:vAlign w:val="bottom"/>
          </w:tcPr>
          <w:p>
            <w:pPr>
              <w:spacing w:after="0"/>
              <w:rPr>
                <w:sz w:val="1"/>
                <w:szCs w:val="1"/>
                <w:color w:val="auto"/>
              </w:rPr>
            </w:pPr>
          </w:p>
        </w:tc>
      </w:tr>
      <w:tr>
        <w:trPr>
          <w:trHeight w:val="264"/>
        </w:trPr>
        <w:tc>
          <w:tcPr>
            <w:tcW w:w="2180" w:type="dxa"/>
            <w:vAlign w:val="bottom"/>
          </w:tcPr>
          <w:p>
            <w:pPr>
              <w:spacing w:after="0"/>
              <w:rPr>
                <w:sz w:val="22"/>
                <w:szCs w:val="22"/>
                <w:color w:val="auto"/>
              </w:rPr>
            </w:pPr>
          </w:p>
        </w:tc>
        <w:tc>
          <w:tcPr>
            <w:tcW w:w="980" w:type="dxa"/>
            <w:vAlign w:val="bottom"/>
            <w:tcBorders>
              <w:bottom w:val="single" w:sz="8" w:color="959595"/>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LTIP</w:t>
            </w:r>
          </w:p>
        </w:tc>
        <w:tc>
          <w:tcPr>
            <w:tcW w:w="1060" w:type="dxa"/>
            <w:vAlign w:val="bottom"/>
            <w:tcBorders>
              <w:bottom w:val="single" w:sz="8" w:color="959595"/>
            </w:tcBorders>
            <w:gridSpan w:val="3"/>
          </w:tcPr>
          <w:p>
            <w:pPr>
              <w:jc w:val="right"/>
              <w:ind w:right="140"/>
              <w:spacing w:after="0"/>
              <w:rPr>
                <w:sz w:val="20"/>
                <w:szCs w:val="20"/>
                <w:color w:val="auto"/>
              </w:rPr>
            </w:pPr>
            <w:r>
              <w:rPr>
                <w:rFonts w:ascii="Arial" w:cs="Arial" w:eastAsia="Arial" w:hAnsi="Arial"/>
                <w:sz w:val="14"/>
                <w:szCs w:val="14"/>
                <w:color w:val="auto"/>
              </w:rPr>
              <w:t>45,000</w:t>
            </w:r>
          </w:p>
        </w:tc>
        <w:tc>
          <w:tcPr>
            <w:tcW w:w="98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720,000</w:t>
            </w:r>
          </w:p>
        </w:tc>
        <w:tc>
          <w:tcPr>
            <w:tcW w:w="960" w:type="dxa"/>
            <w:vAlign w:val="bottom"/>
            <w:tcBorders>
              <w:bottom w:val="single" w:sz="8" w:color="959595"/>
            </w:tcBorders>
          </w:tcPr>
          <w:p>
            <w:pPr>
              <w:jc w:val="right"/>
              <w:ind w:right="49"/>
              <w:spacing w:after="0"/>
              <w:rPr>
                <w:sz w:val="20"/>
                <w:szCs w:val="20"/>
                <w:color w:val="auto"/>
              </w:rPr>
            </w:pPr>
            <w:r>
              <w:rPr>
                <w:rFonts w:ascii="Arial" w:cs="Arial" w:eastAsia="Arial" w:hAnsi="Arial"/>
                <w:sz w:val="14"/>
                <w:szCs w:val="14"/>
                <w:color w:val="auto"/>
              </w:rPr>
              <w:t>1,440,000</w:t>
            </w:r>
          </w:p>
        </w:tc>
        <w:tc>
          <w:tcPr>
            <w:tcW w:w="200" w:type="dxa"/>
            <w:vAlign w:val="bottom"/>
            <w:tcBorders>
              <w:bottom w:val="single" w:sz="8" w:color="959595"/>
            </w:tcBorders>
          </w:tcPr>
          <w:p>
            <w:pPr>
              <w:spacing w:after="0"/>
              <w:rPr>
                <w:sz w:val="22"/>
                <w:szCs w:val="22"/>
                <w:color w:val="auto"/>
              </w:rPr>
            </w:pPr>
          </w:p>
        </w:tc>
        <w:tc>
          <w:tcPr>
            <w:tcW w:w="86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959595"/>
            </w:tcBorders>
            <w:gridSpan w:val="2"/>
          </w:tcPr>
          <w:p>
            <w:pPr>
              <w:jc w:val="right"/>
              <w:ind w:right="100"/>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64"/>
        </w:trPr>
        <w:tc>
          <w:tcPr>
            <w:tcW w:w="2180" w:type="dxa"/>
            <w:vAlign w:val="bottom"/>
            <w:tcBorders>
              <w:bottom w:val="single" w:sz="8" w:color="959595"/>
            </w:tcBorders>
          </w:tcPr>
          <w:p>
            <w:pPr>
              <w:spacing w:after="0"/>
              <w:rPr>
                <w:sz w:val="22"/>
                <w:szCs w:val="22"/>
                <w:color w:val="auto"/>
              </w:rPr>
            </w:pPr>
          </w:p>
        </w:tc>
        <w:tc>
          <w:tcPr>
            <w:tcW w:w="980" w:type="dxa"/>
            <w:vAlign w:val="bottom"/>
            <w:tcBorders>
              <w:bottom w:val="single" w:sz="8" w:color="959595"/>
            </w:tcBorders>
            <w:gridSpan w:val="2"/>
          </w:tcPr>
          <w:p>
            <w:pPr>
              <w:jc w:val="right"/>
              <w:ind w:right="160"/>
              <w:spacing w:after="0"/>
              <w:rPr>
                <w:sz w:val="20"/>
                <w:szCs w:val="20"/>
                <w:color w:val="auto"/>
              </w:rPr>
            </w:pPr>
            <w:r>
              <w:rPr>
                <w:rFonts w:ascii="Arial" w:cs="Arial" w:eastAsia="Arial" w:hAnsi="Arial"/>
                <w:sz w:val="14"/>
                <w:szCs w:val="14"/>
                <w:color w:val="auto"/>
              </w:rPr>
              <w:t>2/22/2018</w:t>
            </w:r>
          </w:p>
        </w:tc>
        <w:tc>
          <w:tcPr>
            <w:tcW w:w="5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PSU</w:t>
            </w:r>
          </w:p>
        </w:tc>
        <w:tc>
          <w:tcPr>
            <w:tcW w:w="220" w:type="dxa"/>
            <w:vAlign w:val="bottom"/>
            <w:tcBorders>
              <w:bottom w:val="single" w:sz="8" w:color="959595"/>
            </w:tcBorders>
          </w:tcPr>
          <w:p>
            <w:pPr>
              <w:spacing w:after="0"/>
              <w:rPr>
                <w:sz w:val="22"/>
                <w:szCs w:val="22"/>
                <w:color w:val="auto"/>
              </w:rPr>
            </w:pPr>
          </w:p>
        </w:tc>
        <w:tc>
          <w:tcPr>
            <w:tcW w:w="840" w:type="dxa"/>
            <w:vAlign w:val="bottom"/>
            <w:tcBorders>
              <w:bottom w:val="single" w:sz="8" w:color="959595"/>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959595"/>
            </w:tcBorders>
            <w:gridSpan w:val="2"/>
          </w:tcPr>
          <w:p>
            <w:pPr>
              <w:jc w:val="right"/>
              <w:ind w:right="3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color w:val="auto"/>
              </w:rPr>
              <w:t>318</w:t>
            </w:r>
          </w:p>
        </w:tc>
        <w:tc>
          <w:tcPr>
            <w:tcW w:w="78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color w:val="auto"/>
              </w:rPr>
              <w:t>4,678</w:t>
            </w:r>
          </w:p>
        </w:tc>
        <w:tc>
          <w:tcPr>
            <w:tcW w:w="84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9,356</w:t>
            </w:r>
          </w:p>
        </w:tc>
        <w:tc>
          <w:tcPr>
            <w:tcW w:w="900" w:type="dxa"/>
            <w:vAlign w:val="bottom"/>
            <w:tcBorders>
              <w:bottom w:val="single" w:sz="8" w:color="959595"/>
            </w:tcBorders>
            <w:gridSpan w:val="2"/>
          </w:tcPr>
          <w:p>
            <w:pPr>
              <w:jc w:val="right"/>
              <w:ind w:right="100"/>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1,800,380</w:t>
            </w:r>
          </w:p>
        </w:tc>
        <w:tc>
          <w:tcPr>
            <w:tcW w:w="0" w:type="dxa"/>
            <w:vAlign w:val="bottom"/>
          </w:tcPr>
          <w:p>
            <w:pPr>
              <w:spacing w:after="0"/>
              <w:rPr>
                <w:sz w:val="1"/>
                <w:szCs w:val="1"/>
                <w:color w:val="auto"/>
              </w:rPr>
            </w:pPr>
          </w:p>
        </w:tc>
      </w:tr>
      <w:tr>
        <w:trPr>
          <w:trHeight w:val="267"/>
        </w:trPr>
        <w:tc>
          <w:tcPr>
            <w:tcW w:w="2180" w:type="dxa"/>
            <w:vAlign w:val="bottom"/>
          </w:tcPr>
          <w:p>
            <w:pPr>
              <w:ind w:left="40"/>
              <w:spacing w:after="0"/>
              <w:rPr>
                <w:sz w:val="20"/>
                <w:szCs w:val="20"/>
                <w:color w:val="auto"/>
              </w:rPr>
            </w:pPr>
            <w:r>
              <w:rPr>
                <w:rFonts w:ascii="Arial" w:cs="Arial" w:eastAsia="Arial" w:hAnsi="Arial"/>
                <w:sz w:val="14"/>
                <w:szCs w:val="14"/>
                <w:b w:val="1"/>
                <w:bCs w:val="1"/>
                <w:color w:val="012E6C"/>
              </w:rPr>
              <w:t>Frank A. St. John</w:t>
            </w:r>
          </w:p>
        </w:tc>
        <w:tc>
          <w:tcPr>
            <w:tcW w:w="980" w:type="dxa"/>
            <w:vAlign w:val="bottom"/>
            <w:tcBorders>
              <w:bottom w:val="single" w:sz="8" w:color="959595"/>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MICP</w:t>
            </w:r>
          </w:p>
        </w:tc>
        <w:tc>
          <w:tcPr>
            <w:tcW w:w="1060" w:type="dxa"/>
            <w:vAlign w:val="bottom"/>
            <w:tcBorders>
              <w:bottom w:val="single" w:sz="8" w:color="959595"/>
            </w:tcBorders>
            <w:gridSpan w:val="3"/>
          </w:tcPr>
          <w:p>
            <w:pPr>
              <w:jc w:val="right"/>
              <w:ind w:right="140"/>
              <w:spacing w:after="0"/>
              <w:rPr>
                <w:sz w:val="20"/>
                <w:szCs w:val="20"/>
                <w:color w:val="auto"/>
              </w:rPr>
            </w:pPr>
            <w:r>
              <w:rPr>
                <w:rFonts w:ascii="Arial" w:cs="Arial" w:eastAsia="Arial" w:hAnsi="Arial"/>
                <w:sz w:val="14"/>
                <w:szCs w:val="14"/>
                <w:color w:val="auto"/>
              </w:rPr>
              <w:t>61,600</w:t>
            </w:r>
          </w:p>
        </w:tc>
        <w:tc>
          <w:tcPr>
            <w:tcW w:w="98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880,000</w:t>
            </w:r>
          </w:p>
        </w:tc>
        <w:tc>
          <w:tcPr>
            <w:tcW w:w="960" w:type="dxa"/>
            <w:vAlign w:val="bottom"/>
            <w:tcBorders>
              <w:bottom w:val="single" w:sz="8" w:color="959595"/>
            </w:tcBorders>
          </w:tcPr>
          <w:p>
            <w:pPr>
              <w:jc w:val="right"/>
              <w:ind w:right="49"/>
              <w:spacing w:after="0"/>
              <w:rPr>
                <w:sz w:val="20"/>
                <w:szCs w:val="20"/>
                <w:color w:val="auto"/>
              </w:rPr>
            </w:pPr>
            <w:r>
              <w:rPr>
                <w:rFonts w:ascii="Arial" w:cs="Arial" w:eastAsia="Arial" w:hAnsi="Arial"/>
                <w:sz w:val="14"/>
                <w:szCs w:val="14"/>
                <w:color w:val="auto"/>
              </w:rPr>
              <w:t>1,760,000</w:t>
            </w:r>
          </w:p>
        </w:tc>
        <w:tc>
          <w:tcPr>
            <w:tcW w:w="200" w:type="dxa"/>
            <w:vAlign w:val="bottom"/>
            <w:tcBorders>
              <w:bottom w:val="single" w:sz="8" w:color="959595"/>
            </w:tcBorders>
          </w:tcPr>
          <w:p>
            <w:pPr>
              <w:spacing w:after="0"/>
              <w:rPr>
                <w:sz w:val="23"/>
                <w:szCs w:val="23"/>
                <w:color w:val="auto"/>
              </w:rPr>
            </w:pPr>
          </w:p>
        </w:tc>
        <w:tc>
          <w:tcPr>
            <w:tcW w:w="86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959595"/>
            </w:tcBorders>
            <w:gridSpan w:val="2"/>
          </w:tcPr>
          <w:p>
            <w:pPr>
              <w:jc w:val="right"/>
              <w:ind w:right="100"/>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61"/>
        </w:trPr>
        <w:tc>
          <w:tcPr>
            <w:tcW w:w="2180" w:type="dxa"/>
            <w:vAlign w:val="bottom"/>
          </w:tcPr>
          <w:p>
            <w:pPr>
              <w:spacing w:after="0"/>
              <w:rPr>
                <w:sz w:val="22"/>
                <w:szCs w:val="22"/>
                <w:color w:val="auto"/>
              </w:rPr>
            </w:pPr>
          </w:p>
        </w:tc>
        <w:tc>
          <w:tcPr>
            <w:tcW w:w="980" w:type="dxa"/>
            <w:vAlign w:val="bottom"/>
            <w:tcBorders>
              <w:bottom w:val="single" w:sz="8" w:color="959595"/>
            </w:tcBorders>
            <w:gridSpan w:val="2"/>
          </w:tcPr>
          <w:p>
            <w:pPr>
              <w:jc w:val="right"/>
              <w:ind w:right="160"/>
              <w:spacing w:after="0"/>
              <w:rPr>
                <w:sz w:val="20"/>
                <w:szCs w:val="20"/>
                <w:color w:val="auto"/>
              </w:rPr>
            </w:pPr>
            <w:r>
              <w:rPr>
                <w:rFonts w:ascii="Arial" w:cs="Arial" w:eastAsia="Arial" w:hAnsi="Arial"/>
                <w:sz w:val="14"/>
                <w:szCs w:val="14"/>
                <w:color w:val="auto"/>
              </w:rPr>
              <w:t>2/22/2018</w:t>
            </w:r>
          </w:p>
        </w:tc>
        <w:tc>
          <w:tcPr>
            <w:tcW w:w="5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RSU</w:t>
            </w:r>
          </w:p>
        </w:tc>
        <w:tc>
          <w:tcPr>
            <w:tcW w:w="220" w:type="dxa"/>
            <w:vAlign w:val="bottom"/>
            <w:tcBorders>
              <w:bottom w:val="single" w:sz="8" w:color="959595"/>
            </w:tcBorders>
          </w:tcPr>
          <w:p>
            <w:pPr>
              <w:spacing w:after="0"/>
              <w:rPr>
                <w:sz w:val="22"/>
                <w:szCs w:val="22"/>
                <w:color w:val="auto"/>
              </w:rPr>
            </w:pPr>
          </w:p>
        </w:tc>
        <w:tc>
          <w:tcPr>
            <w:tcW w:w="840" w:type="dxa"/>
            <w:vAlign w:val="bottom"/>
            <w:tcBorders>
              <w:bottom w:val="single" w:sz="8" w:color="959595"/>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959595"/>
            </w:tcBorders>
            <w:gridSpan w:val="2"/>
          </w:tcPr>
          <w:p>
            <w:pPr>
              <w:jc w:val="right"/>
              <w:ind w:right="3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959595"/>
            </w:tcBorders>
            <w:gridSpan w:val="2"/>
          </w:tcPr>
          <w:p>
            <w:pPr>
              <w:jc w:val="right"/>
              <w:ind w:right="100"/>
              <w:spacing w:after="0"/>
              <w:rPr>
                <w:sz w:val="20"/>
                <w:szCs w:val="20"/>
                <w:color w:val="auto"/>
              </w:rPr>
            </w:pPr>
            <w:r>
              <w:rPr>
                <w:rFonts w:ascii="Arial" w:cs="Arial" w:eastAsia="Arial" w:hAnsi="Arial"/>
                <w:sz w:val="14"/>
                <w:szCs w:val="14"/>
                <w:color w:val="auto"/>
              </w:rPr>
              <w:t>3,045</w:t>
            </w:r>
          </w:p>
        </w:tc>
        <w:tc>
          <w:tcPr>
            <w:tcW w:w="11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1,079,757</w:t>
            </w:r>
          </w:p>
        </w:tc>
        <w:tc>
          <w:tcPr>
            <w:tcW w:w="0" w:type="dxa"/>
            <w:vAlign w:val="bottom"/>
          </w:tcPr>
          <w:p>
            <w:pPr>
              <w:spacing w:after="0"/>
              <w:rPr>
                <w:sz w:val="1"/>
                <w:szCs w:val="1"/>
                <w:color w:val="auto"/>
              </w:rPr>
            </w:pPr>
          </w:p>
        </w:tc>
      </w:tr>
      <w:tr>
        <w:trPr>
          <w:trHeight w:val="264"/>
        </w:trPr>
        <w:tc>
          <w:tcPr>
            <w:tcW w:w="2180" w:type="dxa"/>
            <w:vAlign w:val="bottom"/>
          </w:tcPr>
          <w:p>
            <w:pPr>
              <w:spacing w:after="0"/>
              <w:rPr>
                <w:sz w:val="22"/>
                <w:szCs w:val="22"/>
                <w:color w:val="auto"/>
              </w:rPr>
            </w:pPr>
          </w:p>
        </w:tc>
        <w:tc>
          <w:tcPr>
            <w:tcW w:w="980" w:type="dxa"/>
            <w:vAlign w:val="bottom"/>
            <w:tcBorders>
              <w:bottom w:val="single" w:sz="8" w:color="959595"/>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LTIP</w:t>
            </w:r>
          </w:p>
        </w:tc>
        <w:tc>
          <w:tcPr>
            <w:tcW w:w="1060" w:type="dxa"/>
            <w:vAlign w:val="bottom"/>
            <w:tcBorders>
              <w:bottom w:val="single" w:sz="8" w:color="959595"/>
            </w:tcBorders>
            <w:gridSpan w:val="3"/>
          </w:tcPr>
          <w:p>
            <w:pPr>
              <w:jc w:val="right"/>
              <w:ind w:right="140"/>
              <w:spacing w:after="0"/>
              <w:rPr>
                <w:sz w:val="20"/>
                <w:szCs w:val="20"/>
                <w:color w:val="auto"/>
              </w:rPr>
            </w:pPr>
            <w:r>
              <w:rPr>
                <w:rFonts w:ascii="Arial" w:cs="Arial" w:eastAsia="Arial" w:hAnsi="Arial"/>
                <w:sz w:val="14"/>
                <w:szCs w:val="14"/>
                <w:color w:val="auto"/>
              </w:rPr>
              <w:t>45,000</w:t>
            </w:r>
          </w:p>
        </w:tc>
        <w:tc>
          <w:tcPr>
            <w:tcW w:w="98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720,000</w:t>
            </w:r>
          </w:p>
        </w:tc>
        <w:tc>
          <w:tcPr>
            <w:tcW w:w="960" w:type="dxa"/>
            <w:vAlign w:val="bottom"/>
            <w:tcBorders>
              <w:bottom w:val="single" w:sz="8" w:color="959595"/>
            </w:tcBorders>
          </w:tcPr>
          <w:p>
            <w:pPr>
              <w:jc w:val="right"/>
              <w:ind w:right="49"/>
              <w:spacing w:after="0"/>
              <w:rPr>
                <w:sz w:val="20"/>
                <w:szCs w:val="20"/>
                <w:color w:val="auto"/>
              </w:rPr>
            </w:pPr>
            <w:r>
              <w:rPr>
                <w:rFonts w:ascii="Arial" w:cs="Arial" w:eastAsia="Arial" w:hAnsi="Arial"/>
                <w:sz w:val="14"/>
                <w:szCs w:val="14"/>
                <w:color w:val="auto"/>
              </w:rPr>
              <w:t>1,440,000</w:t>
            </w:r>
          </w:p>
        </w:tc>
        <w:tc>
          <w:tcPr>
            <w:tcW w:w="200" w:type="dxa"/>
            <w:vAlign w:val="bottom"/>
            <w:tcBorders>
              <w:bottom w:val="single" w:sz="8" w:color="959595"/>
            </w:tcBorders>
          </w:tcPr>
          <w:p>
            <w:pPr>
              <w:spacing w:after="0"/>
              <w:rPr>
                <w:sz w:val="22"/>
                <w:szCs w:val="22"/>
                <w:color w:val="auto"/>
              </w:rPr>
            </w:pPr>
          </w:p>
        </w:tc>
        <w:tc>
          <w:tcPr>
            <w:tcW w:w="86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959595"/>
            </w:tcBorders>
            <w:gridSpan w:val="2"/>
          </w:tcPr>
          <w:p>
            <w:pPr>
              <w:jc w:val="right"/>
              <w:ind w:right="100"/>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64"/>
        </w:trPr>
        <w:tc>
          <w:tcPr>
            <w:tcW w:w="2180" w:type="dxa"/>
            <w:vAlign w:val="bottom"/>
            <w:tcBorders>
              <w:bottom w:val="single" w:sz="8" w:color="959595"/>
            </w:tcBorders>
          </w:tcPr>
          <w:p>
            <w:pPr>
              <w:spacing w:after="0"/>
              <w:rPr>
                <w:sz w:val="22"/>
                <w:szCs w:val="22"/>
                <w:color w:val="auto"/>
              </w:rPr>
            </w:pPr>
          </w:p>
        </w:tc>
        <w:tc>
          <w:tcPr>
            <w:tcW w:w="980" w:type="dxa"/>
            <w:vAlign w:val="bottom"/>
            <w:tcBorders>
              <w:bottom w:val="single" w:sz="8" w:color="959595"/>
            </w:tcBorders>
            <w:gridSpan w:val="2"/>
          </w:tcPr>
          <w:p>
            <w:pPr>
              <w:jc w:val="right"/>
              <w:ind w:right="160"/>
              <w:spacing w:after="0"/>
              <w:rPr>
                <w:sz w:val="20"/>
                <w:szCs w:val="20"/>
                <w:color w:val="auto"/>
              </w:rPr>
            </w:pPr>
            <w:r>
              <w:rPr>
                <w:rFonts w:ascii="Arial" w:cs="Arial" w:eastAsia="Arial" w:hAnsi="Arial"/>
                <w:sz w:val="14"/>
                <w:szCs w:val="14"/>
                <w:color w:val="auto"/>
              </w:rPr>
              <w:t>2/22/2018</w:t>
            </w:r>
          </w:p>
        </w:tc>
        <w:tc>
          <w:tcPr>
            <w:tcW w:w="5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PSU</w:t>
            </w:r>
          </w:p>
        </w:tc>
        <w:tc>
          <w:tcPr>
            <w:tcW w:w="220" w:type="dxa"/>
            <w:vAlign w:val="bottom"/>
            <w:tcBorders>
              <w:bottom w:val="single" w:sz="8" w:color="959595"/>
            </w:tcBorders>
          </w:tcPr>
          <w:p>
            <w:pPr>
              <w:spacing w:after="0"/>
              <w:rPr>
                <w:sz w:val="22"/>
                <w:szCs w:val="22"/>
                <w:color w:val="auto"/>
              </w:rPr>
            </w:pPr>
          </w:p>
        </w:tc>
        <w:tc>
          <w:tcPr>
            <w:tcW w:w="840" w:type="dxa"/>
            <w:vAlign w:val="bottom"/>
            <w:tcBorders>
              <w:bottom w:val="single" w:sz="8" w:color="959595"/>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959595"/>
            </w:tcBorders>
            <w:gridSpan w:val="2"/>
          </w:tcPr>
          <w:p>
            <w:pPr>
              <w:jc w:val="right"/>
              <w:ind w:right="3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color w:val="auto"/>
              </w:rPr>
              <w:t>318</w:t>
            </w:r>
          </w:p>
        </w:tc>
        <w:tc>
          <w:tcPr>
            <w:tcW w:w="78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color w:val="auto"/>
              </w:rPr>
              <w:t>4,678</w:t>
            </w:r>
          </w:p>
        </w:tc>
        <w:tc>
          <w:tcPr>
            <w:tcW w:w="84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9,356</w:t>
            </w:r>
          </w:p>
        </w:tc>
        <w:tc>
          <w:tcPr>
            <w:tcW w:w="900" w:type="dxa"/>
            <w:vAlign w:val="bottom"/>
            <w:tcBorders>
              <w:bottom w:val="single" w:sz="8" w:color="959595"/>
            </w:tcBorders>
            <w:gridSpan w:val="2"/>
          </w:tcPr>
          <w:p>
            <w:pPr>
              <w:jc w:val="right"/>
              <w:ind w:right="100"/>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1,800,380</w:t>
            </w:r>
          </w:p>
        </w:tc>
        <w:tc>
          <w:tcPr>
            <w:tcW w:w="0" w:type="dxa"/>
            <w:vAlign w:val="bottom"/>
          </w:tcPr>
          <w:p>
            <w:pPr>
              <w:spacing w:after="0"/>
              <w:rPr>
                <w:sz w:val="1"/>
                <w:szCs w:val="1"/>
                <w:color w:val="auto"/>
              </w:rPr>
            </w:pPr>
          </w:p>
        </w:tc>
      </w:tr>
    </w:tbl>
    <w:p>
      <w:pPr>
        <w:spacing w:after="0" w:line="132" w:lineRule="exact"/>
        <w:rPr>
          <w:sz w:val="20"/>
          <w:szCs w:val="20"/>
          <w:color w:val="auto"/>
        </w:rPr>
      </w:pPr>
    </w:p>
    <w:p>
      <w:pPr>
        <w:spacing w:after="0"/>
        <w:rPr>
          <w:sz w:val="20"/>
          <w:szCs w:val="20"/>
          <w:color w:val="auto"/>
        </w:rPr>
      </w:pPr>
      <w:r>
        <w:rPr>
          <w:rFonts w:ascii="Arial" w:cs="Arial" w:eastAsia="Arial" w:hAnsi="Arial"/>
          <w:sz w:val="25"/>
          <w:szCs w:val="25"/>
          <w:color w:val="475C90"/>
        </w:rPr>
        <w:t>Estimated Future Payouts Under Non-Equity Incentive Plan Awards (Columns (c), (d) and (e))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Includes annual incentive grants (MICP) for 2018 and LTIP grants for the 2018-2020 period ending December 31, 2020.</w:t>
      </w:r>
    </w:p>
    <w:p>
      <w:pPr>
        <w:spacing w:after="0" w:line="183"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The MICP measures performance over a one-year period and is described under “2018 Annual Incentive” on page 41. The threshold, or minimum amount payable (assuming an award is earned), is 7% of target while the maximum is 200% of target.</w:t>
      </w:r>
    </w:p>
    <w:p>
      <w:pPr>
        <w:spacing w:after="0" w:line="93"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The LTIP award measures performance against three separate metrics described under “2018 Long-Term Incentive Compensation” on page 43. The threshold is the minimum amount payable for a specified level of performance stated in the LTIP award agreement. For the 2018-2020 award, the threshold amount payable is 6.25% of the target award. The maximum award payable under the LTIP award is 200% of target value. Awards are subject to forfeiture upon termination of employment prior to the end of the performance cycle, except in the event of retirement, death, disability, divestiture or layoff. If death, disability, or divestiture occurs prior to the end of the performance period, LTIP awards are prorated. If the employee retires or is laid off after August 22, 2018, but prior to the end of the performance period, the LTIP awards are prorated. Following a change in control, the 2018-2020 LTIP awards vest at the target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362585</wp:posOffset>
            </wp:positionV>
            <wp:extent cx="1440815" cy="3257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440815" cy="325755"/>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808080"/>
        </w:rPr>
        <w:t>56</w:t>
      </w:r>
    </w:p>
    <w:p>
      <w:pPr>
        <w:sectPr>
          <w:pgSz w:w="11900" w:h="16838" w:orient="portrait"/>
          <w:cols w:equalWidth="0" w:num="1">
            <w:col w:w="11420"/>
          </w:cols>
          <w:pgMar w:left="240" w:top="292" w:right="239" w:bottom="1440" w:gutter="0" w:footer="0" w:header="0"/>
          <w:type w:val="continuous"/>
        </w:sectPr>
      </w:pPr>
    </w:p>
    <w:bookmarkStart w:id="59" w:name="page60"/>
    <w:bookmarkEnd w:id="59"/>
    <w:p>
      <w:pPr>
        <w:jc w:val="right"/>
        <w:spacing w:after="0"/>
        <w:rPr>
          <w:sz w:val="20"/>
          <w:szCs w:val="20"/>
          <w:color w:val="auto"/>
        </w:rPr>
      </w:pPr>
      <w:r>
        <w:rPr>
          <w:rFonts w:ascii="Arial" w:cs="Arial" w:eastAsia="Arial" w:hAnsi="Arial"/>
          <w:sz w:val="15"/>
          <w:szCs w:val="15"/>
          <w:color w:val="003478"/>
        </w:rPr>
        <w:t>Executive Compensation</w:t>
      </w: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color w:val="auto"/>
        </w:rPr>
        <w:t>upon involuntary termination without cause or voluntary termination with good reason or if the successor does not assume the LTIP awards.</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color w:val="475C90"/>
        </w:rPr>
        <w:t>Estimated Future Payouts Under Equity Incentive Plan Awards (Columns (f), (g) and (h))</w:t>
      </w:r>
    </w:p>
    <w:p>
      <w:pPr>
        <w:spacing w:after="0" w:line="24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table includes PSU awards for the 2018-2020 period ending December 31, 2020. At the end of the three-year vesting period, which ends on the third anniversary of the date of grant, the amount earned is payable in shares of stock and cash representing deferred dividend equivalents accrued on the earned shares during the three-year performance period. Awards are subject to forfeiture upon termination of employment prior to the end of the vesting period, except in the event of termination following retirement, or layoff occurring after August 22, 2018, death, disability or divestiture. In any of these events, PSU awards are paid out at the end of the vesting period on a prorated basis. Following a change in control, the PSUs vest at the target amount upon involuntary termination without cause or voluntary termination with good reason or if the successor does not assume the PSUs.</w:t>
      </w:r>
    </w:p>
    <w:p>
      <w:pPr>
        <w:spacing w:after="0" w:line="17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Shares are earned under the PSU awards based upon performance against three separate metrics described under “PSU Awards” on page 44. If performance falls below the threshold level of performance for a metric, no shares would be earned with respect to that metric. Assuming any payment is earned, the minimum amount payable under the PSU award is 25% of the target shares attributable to ROIC or Performance Cash, the lowest level payable under these metrics. The maximum number of shares payable under the PSU is 200% of the number of target shares.</w:t>
      </w:r>
    </w:p>
    <w:p>
      <w:pPr>
        <w:spacing w:after="0" w:line="156" w:lineRule="exact"/>
        <w:rPr>
          <w:sz w:val="20"/>
          <w:szCs w:val="20"/>
          <w:color w:val="auto"/>
        </w:rPr>
      </w:pPr>
    </w:p>
    <w:p>
      <w:pPr>
        <w:spacing w:after="0"/>
        <w:rPr>
          <w:sz w:val="20"/>
          <w:szCs w:val="20"/>
          <w:color w:val="auto"/>
        </w:rPr>
      </w:pPr>
      <w:r>
        <w:rPr>
          <w:rFonts w:ascii="Arial" w:cs="Arial" w:eastAsia="Arial" w:hAnsi="Arial"/>
          <w:sz w:val="25"/>
          <w:szCs w:val="25"/>
          <w:color w:val="475C90"/>
        </w:rPr>
        <w:t>All Other Stock Awards: Number of Shares of Stock (Column (i))</w:t>
      </w:r>
    </w:p>
    <w:p>
      <w:pPr>
        <w:spacing w:after="0" w:line="24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Shows the number of RSUs granted on February 22, 2018. The RSUs vest on the third anniversary of the date of grant or upon death or disability. The 2018 RSUs are prorated upon divestiture if not assumed by the successor. Following a change in control, the RSUs vest upon involuntary termination without cause or voluntary termination for good reason or if the successor does not assume the RSUs. If the employee retires or is laid off after August 22, 2018, but prior to the third anniversary of the date of grant, the RSUs become nonforfeitable and are paid at the end of the vesting period. During the vesting period, deferred dividend equivalents are accrued and subject to the same vesting schedule as the underlying RSUs. At the end of the vesting period, the RSUs are paid in shares of stock and the accrued dividend equivalents are paid in cash. If any tax withholding is required on the 2018 RSUs or accrued dividend equivalents during the vesting period (for example, on account of retirement eligibility), the RSUs provide for accelerated vesting of the number of shares or accrued dividend equivalents required to satisfy the tax withholding. The award is then reduced either by the number of shares or by the amount of accrued dividend equivalents subject to acceleration of vesting for tax withholding.</w:t>
      </w:r>
    </w:p>
    <w:p>
      <w:pPr>
        <w:spacing w:after="0" w:line="166" w:lineRule="exact"/>
        <w:rPr>
          <w:sz w:val="20"/>
          <w:szCs w:val="20"/>
          <w:color w:val="auto"/>
        </w:rPr>
      </w:pPr>
    </w:p>
    <w:p>
      <w:pPr>
        <w:spacing w:after="0"/>
        <w:rPr>
          <w:sz w:val="20"/>
          <w:szCs w:val="20"/>
          <w:color w:val="auto"/>
        </w:rPr>
      </w:pPr>
      <w:r>
        <w:rPr>
          <w:rFonts w:ascii="Arial" w:cs="Arial" w:eastAsia="Arial" w:hAnsi="Arial"/>
          <w:sz w:val="25"/>
          <w:szCs w:val="25"/>
          <w:color w:val="475C90"/>
        </w:rPr>
        <w:t>Grant Date Fair Value of Stock Awards (Column (l))</w:t>
      </w:r>
    </w:p>
    <w:p>
      <w:pPr>
        <w:spacing w:after="0" w:line="242"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Represents the aggregate grant date fair value computed in accordance with FASB ASC 718 for RSUs and PSUs granted in 2018, disregarding potential forfeitures based on service requirements.</w:t>
      </w:r>
    </w:p>
    <w:p>
      <w:pPr>
        <w:spacing w:after="0" w:line="147"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grant date fair value of the 2018 RSU grant is $354.60 per RSU, which is based on the closing price of one share of our stock on the date of grant, discounted to take into account the deferred dividend equivalents accrued until vesting.</w:t>
      </w:r>
    </w:p>
    <w:p>
      <w:pPr>
        <w:spacing w:after="0" w:line="147"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grant date fair value for the PSUs, which are subject to performance conditions, is based on the probable outcome of each of the three performance conditions. The grant date fair value of $420.75 for the Relative TSR portion of the award is determined using a Monte Carlo simulation model. The grant date fair value of $354.60 for the Performance Cash and ROIC portions of the awards is based on the closing price of one share of our stock on the date of grant, discounted to take into account the deferred dividend equivalents accrued until vesting.</w:t>
      </w:r>
    </w:p>
    <w:p>
      <w:pPr>
        <w:spacing w:after="0" w:line="200" w:lineRule="exact"/>
        <w:rPr>
          <w:sz w:val="20"/>
          <w:szCs w:val="20"/>
          <w:color w:val="auto"/>
        </w:rPr>
      </w:pPr>
    </w:p>
    <w:p>
      <w:pPr>
        <w:spacing w:after="0" w:line="260" w:lineRule="exact"/>
        <w:rPr>
          <w:sz w:val="20"/>
          <w:szCs w:val="20"/>
          <w:color w:val="auto"/>
        </w:rPr>
      </w:pPr>
    </w:p>
    <w:p>
      <w:pPr>
        <w:ind w:left="40"/>
        <w:spacing w:after="0"/>
        <w:tabs>
          <w:tab w:leader="none" w:pos="9420" w:val="left"/>
          <w:tab w:leader="none" w:pos="1122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2019 Proxy Statement</w:t>
      </w:r>
      <w:r>
        <w:rPr>
          <w:sz w:val="20"/>
          <w:szCs w:val="20"/>
          <w:color w:val="auto"/>
        </w:rPr>
        <w:tab/>
      </w:r>
      <w:r>
        <w:rPr>
          <w:rFonts w:ascii="Arial" w:cs="Arial" w:eastAsia="Arial" w:hAnsi="Arial"/>
          <w:sz w:val="14"/>
          <w:szCs w:val="14"/>
          <w:b w:val="1"/>
          <w:bCs w:val="1"/>
          <w:color w:val="808080"/>
        </w:rPr>
        <w:t>57</w:t>
      </w:r>
    </w:p>
    <w:p>
      <w:pPr>
        <w:sectPr>
          <w:pgSz w:w="11900" w:h="16838" w:orient="portrait"/>
          <w:cols w:equalWidth="0" w:num="1">
            <w:col w:w="11420"/>
          </w:cols>
          <w:pgMar w:left="240" w:top="292" w:right="239" w:bottom="1440" w:gutter="0" w:footer="0" w:header="0"/>
        </w:sectPr>
      </w:pPr>
    </w:p>
    <w:bookmarkStart w:id="60" w:name="page61"/>
    <w:bookmarkEnd w:id="60"/>
    <w:p>
      <w:pPr>
        <w:spacing w:after="0"/>
        <w:rPr>
          <w:sz w:val="20"/>
          <w:szCs w:val="20"/>
          <w:color w:val="auto"/>
        </w:rPr>
      </w:pPr>
      <w:r>
        <w:rPr>
          <w:rFonts w:ascii="Arial" w:cs="Arial" w:eastAsia="Arial" w:hAnsi="Arial"/>
          <w:sz w:val="15"/>
          <w:szCs w:val="15"/>
          <w:color w:val="003478"/>
        </w:rPr>
        <w:t>Executive Compensation</w:t>
      </w:r>
    </w:p>
    <w:p>
      <w:pPr>
        <w:spacing w:after="0" w:line="334" w:lineRule="exact"/>
        <w:rPr>
          <w:sz w:val="20"/>
          <w:szCs w:val="20"/>
          <w:color w:val="auto"/>
        </w:rPr>
      </w:pPr>
    </w:p>
    <w:p>
      <w:pPr>
        <w:spacing w:after="0"/>
        <w:rPr>
          <w:sz w:val="20"/>
          <w:szCs w:val="20"/>
          <w:color w:val="auto"/>
        </w:rPr>
      </w:pPr>
      <w:r>
        <w:rPr>
          <w:rFonts w:ascii="Arial" w:cs="Arial" w:eastAsia="Arial" w:hAnsi="Arial"/>
          <w:sz w:val="29"/>
          <w:szCs w:val="29"/>
          <w:b w:val="1"/>
          <w:bCs w:val="1"/>
          <w:color w:val="012E6C"/>
        </w:rPr>
        <w:t>Outstanding Equity Awards at 2018 Fiscal Year-End</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100" w:type="dxa"/>
            <w:vAlign w:val="bottom"/>
            <w:tcBorders>
              <w:bottom w:val="single" w:sz="8" w:color="ECECEC"/>
            </w:tcBorders>
            <w:shd w:val="clear" w:color="auto" w:fill="ECECEC"/>
          </w:tcPr>
          <w:p>
            <w:pPr>
              <w:spacing w:after="0"/>
              <w:rPr>
                <w:sz w:val="22"/>
                <w:szCs w:val="22"/>
                <w:color w:val="auto"/>
              </w:rPr>
            </w:pPr>
          </w:p>
        </w:tc>
        <w:tc>
          <w:tcPr>
            <w:tcW w:w="920" w:type="dxa"/>
            <w:vAlign w:val="bottom"/>
            <w:tcBorders>
              <w:bottom w:val="single" w:sz="8" w:color="959595"/>
            </w:tcBorders>
            <w:shd w:val="clear" w:color="auto" w:fill="ECECEC"/>
          </w:tcPr>
          <w:p>
            <w:pPr>
              <w:spacing w:after="0"/>
              <w:rPr>
                <w:sz w:val="22"/>
                <w:szCs w:val="22"/>
                <w:color w:val="auto"/>
              </w:rPr>
            </w:pPr>
          </w:p>
        </w:tc>
        <w:tc>
          <w:tcPr>
            <w:tcW w:w="40" w:type="dxa"/>
            <w:vAlign w:val="bottom"/>
            <w:tcBorders>
              <w:bottom w:val="single" w:sz="8" w:color="959595"/>
            </w:tcBorders>
            <w:shd w:val="clear" w:color="auto" w:fill="ECECEC"/>
          </w:tcPr>
          <w:p>
            <w:pPr>
              <w:spacing w:after="0"/>
              <w:rPr>
                <w:sz w:val="22"/>
                <w:szCs w:val="22"/>
                <w:color w:val="auto"/>
              </w:rPr>
            </w:pPr>
          </w:p>
        </w:tc>
        <w:tc>
          <w:tcPr>
            <w:tcW w:w="900" w:type="dxa"/>
            <w:vAlign w:val="bottom"/>
            <w:tcBorders>
              <w:bottom w:val="single" w:sz="8" w:color="959595"/>
            </w:tcBorders>
            <w:gridSpan w:val="2"/>
            <w:shd w:val="clear" w:color="auto" w:fill="ECECEC"/>
          </w:tcPr>
          <w:p>
            <w:pPr>
              <w:jc w:val="right"/>
              <w:spacing w:after="0"/>
              <w:rPr>
                <w:sz w:val="20"/>
                <w:szCs w:val="20"/>
                <w:color w:val="auto"/>
              </w:rPr>
            </w:pPr>
            <w:r>
              <w:rPr>
                <w:rFonts w:ascii="Arial" w:cs="Arial" w:eastAsia="Arial" w:hAnsi="Arial"/>
                <w:sz w:val="13"/>
                <w:szCs w:val="13"/>
                <w:color w:val="auto"/>
                <w:w w:val="98"/>
              </w:rPr>
              <w:t>Option Awards</w:t>
            </w:r>
          </w:p>
        </w:tc>
        <w:tc>
          <w:tcPr>
            <w:tcW w:w="800" w:type="dxa"/>
            <w:vAlign w:val="bottom"/>
            <w:tcBorders>
              <w:bottom w:val="single" w:sz="8" w:color="959595"/>
            </w:tcBorders>
            <w:shd w:val="clear" w:color="auto" w:fill="ECECEC"/>
          </w:tcPr>
          <w:p>
            <w:pPr>
              <w:spacing w:after="0"/>
              <w:rPr>
                <w:sz w:val="22"/>
                <w:szCs w:val="22"/>
                <w:color w:val="auto"/>
              </w:rPr>
            </w:pPr>
          </w:p>
        </w:tc>
        <w:tc>
          <w:tcPr>
            <w:tcW w:w="120" w:type="dxa"/>
            <w:vAlign w:val="bottom"/>
            <w:tcBorders>
              <w:bottom w:val="single" w:sz="8" w:color="959595"/>
            </w:tcBorders>
            <w:shd w:val="clear" w:color="auto" w:fill="ECECEC"/>
          </w:tcPr>
          <w:p>
            <w:pPr>
              <w:spacing w:after="0"/>
              <w:rPr>
                <w:sz w:val="22"/>
                <w:szCs w:val="22"/>
                <w:color w:val="auto"/>
              </w:rPr>
            </w:pPr>
          </w:p>
        </w:tc>
        <w:tc>
          <w:tcPr>
            <w:tcW w:w="220" w:type="dxa"/>
            <w:vAlign w:val="bottom"/>
            <w:tcBorders>
              <w:bottom w:val="single" w:sz="8" w:color="ECECEC"/>
            </w:tcBorders>
            <w:shd w:val="clear" w:color="auto" w:fill="ECECEC"/>
          </w:tcPr>
          <w:p>
            <w:pPr>
              <w:spacing w:after="0"/>
              <w:rPr>
                <w:sz w:val="22"/>
                <w:szCs w:val="22"/>
                <w:color w:val="auto"/>
              </w:rPr>
            </w:pPr>
          </w:p>
        </w:tc>
        <w:tc>
          <w:tcPr>
            <w:tcW w:w="860" w:type="dxa"/>
            <w:vAlign w:val="bottom"/>
            <w:tcBorders>
              <w:bottom w:val="single" w:sz="8" w:color="959595"/>
            </w:tcBorders>
            <w:shd w:val="clear" w:color="auto" w:fill="ECECEC"/>
          </w:tcPr>
          <w:p>
            <w:pPr>
              <w:spacing w:after="0"/>
              <w:rPr>
                <w:sz w:val="22"/>
                <w:szCs w:val="22"/>
                <w:color w:val="auto"/>
              </w:rPr>
            </w:pPr>
          </w:p>
        </w:tc>
        <w:tc>
          <w:tcPr>
            <w:tcW w:w="380" w:type="dxa"/>
            <w:vAlign w:val="bottom"/>
            <w:tcBorders>
              <w:bottom w:val="single" w:sz="8" w:color="959595"/>
            </w:tcBorders>
            <w:shd w:val="clear" w:color="auto" w:fill="ECECEC"/>
          </w:tcPr>
          <w:p>
            <w:pPr>
              <w:spacing w:after="0"/>
              <w:rPr>
                <w:sz w:val="22"/>
                <w:szCs w:val="22"/>
                <w:color w:val="auto"/>
              </w:rPr>
            </w:pPr>
          </w:p>
        </w:tc>
        <w:tc>
          <w:tcPr>
            <w:tcW w:w="160" w:type="dxa"/>
            <w:vAlign w:val="bottom"/>
            <w:tcBorders>
              <w:bottom w:val="single" w:sz="8" w:color="959595"/>
            </w:tcBorders>
            <w:shd w:val="clear" w:color="auto" w:fill="ECECEC"/>
          </w:tcPr>
          <w:p>
            <w:pPr>
              <w:spacing w:after="0"/>
              <w:rPr>
                <w:sz w:val="22"/>
                <w:szCs w:val="22"/>
                <w:color w:val="auto"/>
              </w:rPr>
            </w:pPr>
          </w:p>
        </w:tc>
        <w:tc>
          <w:tcPr>
            <w:tcW w:w="2060" w:type="dxa"/>
            <w:vAlign w:val="bottom"/>
            <w:tcBorders>
              <w:bottom w:val="single" w:sz="8" w:color="959595"/>
            </w:tcBorders>
            <w:gridSpan w:val="2"/>
            <w:shd w:val="clear" w:color="auto" w:fill="ECECEC"/>
          </w:tcPr>
          <w:p>
            <w:pPr>
              <w:jc w:val="right"/>
              <w:ind w:right="330"/>
              <w:spacing w:after="0"/>
              <w:rPr>
                <w:sz w:val="20"/>
                <w:szCs w:val="20"/>
                <w:color w:val="auto"/>
              </w:rPr>
            </w:pPr>
            <w:r>
              <w:rPr>
                <w:rFonts w:ascii="Arial" w:cs="Arial" w:eastAsia="Arial" w:hAnsi="Arial"/>
                <w:sz w:val="13"/>
                <w:szCs w:val="13"/>
                <w:color w:val="auto"/>
              </w:rPr>
              <w:t>Stock Awards</w:t>
            </w:r>
          </w:p>
        </w:tc>
        <w:tc>
          <w:tcPr>
            <w:tcW w:w="540" w:type="dxa"/>
            <w:vAlign w:val="bottom"/>
            <w:tcBorders>
              <w:bottom w:val="single" w:sz="8" w:color="959595"/>
            </w:tcBorders>
            <w:shd w:val="clear" w:color="auto" w:fill="ECECEC"/>
          </w:tcPr>
          <w:p>
            <w:pPr>
              <w:spacing w:after="0"/>
              <w:rPr>
                <w:sz w:val="22"/>
                <w:szCs w:val="22"/>
                <w:color w:val="auto"/>
              </w:rPr>
            </w:pPr>
          </w:p>
        </w:tc>
        <w:tc>
          <w:tcPr>
            <w:tcW w:w="1320" w:type="dxa"/>
            <w:vAlign w:val="bottom"/>
            <w:tcBorders>
              <w:bottom w:val="single" w:sz="8" w:color="959595"/>
            </w:tcBorders>
            <w:shd w:val="clear" w:color="auto" w:fill="ECECEC"/>
          </w:tcPr>
          <w:p>
            <w:pPr>
              <w:spacing w:after="0"/>
              <w:rPr>
                <w:sz w:val="22"/>
                <w:szCs w:val="22"/>
                <w:color w:val="auto"/>
              </w:rPr>
            </w:pPr>
          </w:p>
        </w:tc>
        <w:tc>
          <w:tcPr>
            <w:tcW w:w="0" w:type="dxa"/>
            <w:vAlign w:val="bottom"/>
          </w:tcPr>
          <w:p>
            <w:pPr>
              <w:spacing w:after="0"/>
              <w:rPr>
                <w:sz w:val="1"/>
                <w:szCs w:val="1"/>
                <w:color w:val="auto"/>
              </w:rPr>
            </w:pPr>
          </w:p>
        </w:tc>
      </w:tr>
      <w:tr>
        <w:trPr>
          <w:trHeight w:val="140"/>
        </w:trPr>
        <w:tc>
          <w:tcPr>
            <w:tcW w:w="3100" w:type="dxa"/>
            <w:vAlign w:val="bottom"/>
            <w:shd w:val="clear" w:color="auto" w:fill="ECECEC"/>
          </w:tcPr>
          <w:p>
            <w:pPr>
              <w:spacing w:after="0"/>
              <w:rPr>
                <w:sz w:val="12"/>
                <w:szCs w:val="12"/>
                <w:color w:val="auto"/>
              </w:rPr>
            </w:pPr>
          </w:p>
        </w:tc>
        <w:tc>
          <w:tcPr>
            <w:tcW w:w="920" w:type="dxa"/>
            <w:vAlign w:val="bottom"/>
            <w:vMerge w:val="restart"/>
            <w:shd w:val="clear" w:color="auto" w:fill="ECECEC"/>
          </w:tcPr>
          <w:p>
            <w:pPr>
              <w:jc w:val="right"/>
              <w:spacing w:after="0"/>
              <w:rPr>
                <w:sz w:val="20"/>
                <w:szCs w:val="20"/>
                <w:color w:val="auto"/>
              </w:rPr>
            </w:pPr>
            <w:r>
              <w:rPr>
                <w:rFonts w:ascii="Arial" w:cs="Arial" w:eastAsia="Arial" w:hAnsi="Arial"/>
                <w:sz w:val="13"/>
                <w:szCs w:val="13"/>
                <w:color w:val="auto"/>
              </w:rPr>
              <w:t>Number of</w:t>
            </w:r>
          </w:p>
        </w:tc>
        <w:tc>
          <w:tcPr>
            <w:tcW w:w="40" w:type="dxa"/>
            <w:vAlign w:val="bottom"/>
            <w:shd w:val="clear" w:color="auto" w:fill="ECECEC"/>
          </w:tcPr>
          <w:p>
            <w:pPr>
              <w:spacing w:after="0"/>
              <w:rPr>
                <w:sz w:val="12"/>
                <w:szCs w:val="12"/>
                <w:color w:val="auto"/>
              </w:rPr>
            </w:pPr>
          </w:p>
        </w:tc>
        <w:tc>
          <w:tcPr>
            <w:tcW w:w="80" w:type="dxa"/>
            <w:vAlign w:val="bottom"/>
            <w:shd w:val="clear" w:color="auto" w:fill="ECECEC"/>
          </w:tcPr>
          <w:p>
            <w:pPr>
              <w:spacing w:after="0"/>
              <w:rPr>
                <w:sz w:val="12"/>
                <w:szCs w:val="12"/>
                <w:color w:val="auto"/>
              </w:rPr>
            </w:pPr>
          </w:p>
        </w:tc>
        <w:tc>
          <w:tcPr>
            <w:tcW w:w="820" w:type="dxa"/>
            <w:vAlign w:val="bottom"/>
            <w:shd w:val="clear" w:color="auto" w:fill="ECECEC"/>
          </w:tcPr>
          <w:p>
            <w:pPr>
              <w:spacing w:after="0"/>
              <w:rPr>
                <w:sz w:val="12"/>
                <w:szCs w:val="12"/>
                <w:color w:val="auto"/>
              </w:rPr>
            </w:pPr>
          </w:p>
        </w:tc>
        <w:tc>
          <w:tcPr>
            <w:tcW w:w="800" w:type="dxa"/>
            <w:vAlign w:val="bottom"/>
            <w:shd w:val="clear" w:color="auto" w:fill="ECECEC"/>
          </w:tcPr>
          <w:p>
            <w:pPr>
              <w:spacing w:after="0"/>
              <w:rPr>
                <w:sz w:val="12"/>
                <w:szCs w:val="12"/>
                <w:color w:val="auto"/>
              </w:rPr>
            </w:pPr>
          </w:p>
        </w:tc>
        <w:tc>
          <w:tcPr>
            <w:tcW w:w="120" w:type="dxa"/>
            <w:vAlign w:val="bottom"/>
            <w:shd w:val="clear" w:color="auto" w:fill="ECECEC"/>
          </w:tcPr>
          <w:p>
            <w:pPr>
              <w:spacing w:after="0"/>
              <w:rPr>
                <w:sz w:val="12"/>
                <w:szCs w:val="12"/>
                <w:color w:val="auto"/>
              </w:rPr>
            </w:pPr>
          </w:p>
        </w:tc>
        <w:tc>
          <w:tcPr>
            <w:tcW w:w="220" w:type="dxa"/>
            <w:vAlign w:val="bottom"/>
            <w:shd w:val="clear" w:color="auto" w:fill="ECECEC"/>
          </w:tcPr>
          <w:p>
            <w:pPr>
              <w:spacing w:after="0"/>
              <w:rPr>
                <w:sz w:val="12"/>
                <w:szCs w:val="12"/>
                <w:color w:val="auto"/>
              </w:rPr>
            </w:pPr>
          </w:p>
        </w:tc>
        <w:tc>
          <w:tcPr>
            <w:tcW w:w="860" w:type="dxa"/>
            <w:vAlign w:val="bottom"/>
            <w:shd w:val="clear" w:color="auto" w:fill="ECECEC"/>
          </w:tcPr>
          <w:p>
            <w:pPr>
              <w:spacing w:after="0"/>
              <w:rPr>
                <w:sz w:val="12"/>
                <w:szCs w:val="12"/>
                <w:color w:val="auto"/>
              </w:rPr>
            </w:pPr>
          </w:p>
        </w:tc>
        <w:tc>
          <w:tcPr>
            <w:tcW w:w="380" w:type="dxa"/>
            <w:vAlign w:val="bottom"/>
            <w:shd w:val="clear" w:color="auto" w:fill="ECECEC"/>
          </w:tcPr>
          <w:p>
            <w:pPr>
              <w:spacing w:after="0"/>
              <w:rPr>
                <w:sz w:val="12"/>
                <w:szCs w:val="12"/>
                <w:color w:val="auto"/>
              </w:rPr>
            </w:pPr>
          </w:p>
        </w:tc>
        <w:tc>
          <w:tcPr>
            <w:tcW w:w="160" w:type="dxa"/>
            <w:vAlign w:val="bottom"/>
            <w:shd w:val="clear" w:color="auto" w:fill="ECECEC"/>
          </w:tcPr>
          <w:p>
            <w:pPr>
              <w:spacing w:after="0"/>
              <w:rPr>
                <w:sz w:val="12"/>
                <w:szCs w:val="12"/>
                <w:color w:val="auto"/>
              </w:rPr>
            </w:pPr>
          </w:p>
        </w:tc>
        <w:tc>
          <w:tcPr>
            <w:tcW w:w="1180" w:type="dxa"/>
            <w:vAlign w:val="bottom"/>
            <w:shd w:val="clear" w:color="auto" w:fill="ECECEC"/>
          </w:tcPr>
          <w:p>
            <w:pPr>
              <w:spacing w:after="0"/>
              <w:rPr>
                <w:sz w:val="12"/>
                <w:szCs w:val="12"/>
                <w:color w:val="auto"/>
              </w:rPr>
            </w:pPr>
          </w:p>
        </w:tc>
        <w:tc>
          <w:tcPr>
            <w:tcW w:w="1420" w:type="dxa"/>
            <w:vAlign w:val="bottom"/>
            <w:gridSpan w:val="2"/>
            <w:shd w:val="clear" w:color="auto" w:fill="ECECEC"/>
          </w:tcPr>
          <w:p>
            <w:pPr>
              <w:jc w:val="right"/>
              <w:ind w:right="100"/>
              <w:spacing w:after="0" w:line="140" w:lineRule="exact"/>
              <w:rPr>
                <w:sz w:val="20"/>
                <w:szCs w:val="20"/>
                <w:color w:val="auto"/>
              </w:rPr>
            </w:pPr>
            <w:r>
              <w:rPr>
                <w:rFonts w:ascii="Arial" w:cs="Arial" w:eastAsia="Arial" w:hAnsi="Arial"/>
                <w:sz w:val="13"/>
                <w:szCs w:val="13"/>
                <w:color w:val="auto"/>
              </w:rPr>
              <w:t>Equity Incentive</w:t>
            </w:r>
          </w:p>
        </w:tc>
        <w:tc>
          <w:tcPr>
            <w:tcW w:w="1320" w:type="dxa"/>
            <w:vAlign w:val="bottom"/>
            <w:shd w:val="clear" w:color="auto" w:fill="ECECEC"/>
          </w:tcPr>
          <w:p>
            <w:pPr>
              <w:jc w:val="right"/>
              <w:ind w:right="30"/>
              <w:spacing w:after="0" w:line="140" w:lineRule="exact"/>
              <w:rPr>
                <w:sz w:val="20"/>
                <w:szCs w:val="20"/>
                <w:color w:val="auto"/>
              </w:rPr>
            </w:pPr>
            <w:r>
              <w:rPr>
                <w:rFonts w:ascii="Arial" w:cs="Arial" w:eastAsia="Arial" w:hAnsi="Arial"/>
                <w:sz w:val="13"/>
                <w:szCs w:val="13"/>
                <w:color w:val="auto"/>
              </w:rPr>
              <w:t>Equity Incentive</w:t>
            </w:r>
          </w:p>
        </w:tc>
        <w:tc>
          <w:tcPr>
            <w:tcW w:w="0" w:type="dxa"/>
            <w:vAlign w:val="bottom"/>
          </w:tcPr>
          <w:p>
            <w:pPr>
              <w:spacing w:after="0"/>
              <w:rPr>
                <w:sz w:val="1"/>
                <w:szCs w:val="1"/>
                <w:color w:val="auto"/>
              </w:rPr>
            </w:pPr>
          </w:p>
        </w:tc>
      </w:tr>
      <w:tr>
        <w:trPr>
          <w:trHeight w:val="135"/>
        </w:trPr>
        <w:tc>
          <w:tcPr>
            <w:tcW w:w="3100" w:type="dxa"/>
            <w:vAlign w:val="bottom"/>
            <w:shd w:val="clear" w:color="auto" w:fill="ECECEC"/>
          </w:tcPr>
          <w:p>
            <w:pPr>
              <w:spacing w:after="0"/>
              <w:rPr>
                <w:sz w:val="11"/>
                <w:szCs w:val="11"/>
                <w:color w:val="auto"/>
              </w:rPr>
            </w:pPr>
          </w:p>
        </w:tc>
        <w:tc>
          <w:tcPr>
            <w:tcW w:w="920" w:type="dxa"/>
            <w:vAlign w:val="bottom"/>
            <w:vMerge w:val="continue"/>
            <w:shd w:val="clear" w:color="auto" w:fill="ECECEC"/>
          </w:tcPr>
          <w:p>
            <w:pPr>
              <w:spacing w:after="0"/>
              <w:rPr>
                <w:sz w:val="11"/>
                <w:szCs w:val="11"/>
                <w:color w:val="auto"/>
              </w:rPr>
            </w:pPr>
          </w:p>
        </w:tc>
        <w:tc>
          <w:tcPr>
            <w:tcW w:w="40" w:type="dxa"/>
            <w:vAlign w:val="bottom"/>
            <w:shd w:val="clear" w:color="auto" w:fill="ECECEC"/>
          </w:tcPr>
          <w:p>
            <w:pPr>
              <w:spacing w:after="0"/>
              <w:rPr>
                <w:sz w:val="11"/>
                <w:szCs w:val="11"/>
                <w:color w:val="auto"/>
              </w:rPr>
            </w:pPr>
          </w:p>
        </w:tc>
        <w:tc>
          <w:tcPr>
            <w:tcW w:w="80" w:type="dxa"/>
            <w:vAlign w:val="bottom"/>
            <w:shd w:val="clear" w:color="auto" w:fill="ECECEC"/>
          </w:tcPr>
          <w:p>
            <w:pPr>
              <w:spacing w:after="0"/>
              <w:rPr>
                <w:sz w:val="11"/>
                <w:szCs w:val="11"/>
                <w:color w:val="auto"/>
              </w:rPr>
            </w:pPr>
          </w:p>
        </w:tc>
        <w:tc>
          <w:tcPr>
            <w:tcW w:w="820" w:type="dxa"/>
            <w:vAlign w:val="bottom"/>
            <w:shd w:val="clear" w:color="auto" w:fill="ECECEC"/>
          </w:tcPr>
          <w:p>
            <w:pPr>
              <w:spacing w:after="0"/>
              <w:rPr>
                <w:sz w:val="11"/>
                <w:szCs w:val="11"/>
                <w:color w:val="auto"/>
              </w:rPr>
            </w:pPr>
          </w:p>
        </w:tc>
        <w:tc>
          <w:tcPr>
            <w:tcW w:w="800" w:type="dxa"/>
            <w:vAlign w:val="bottom"/>
            <w:shd w:val="clear" w:color="auto" w:fill="ECECEC"/>
          </w:tcPr>
          <w:p>
            <w:pPr>
              <w:spacing w:after="0"/>
              <w:rPr>
                <w:sz w:val="11"/>
                <w:szCs w:val="11"/>
                <w:color w:val="auto"/>
              </w:rPr>
            </w:pPr>
          </w:p>
        </w:tc>
        <w:tc>
          <w:tcPr>
            <w:tcW w:w="120" w:type="dxa"/>
            <w:vAlign w:val="bottom"/>
            <w:shd w:val="clear" w:color="auto" w:fill="ECECEC"/>
          </w:tcPr>
          <w:p>
            <w:pPr>
              <w:spacing w:after="0"/>
              <w:rPr>
                <w:sz w:val="11"/>
                <w:szCs w:val="11"/>
                <w:color w:val="auto"/>
              </w:rPr>
            </w:pPr>
          </w:p>
        </w:tc>
        <w:tc>
          <w:tcPr>
            <w:tcW w:w="220" w:type="dxa"/>
            <w:vAlign w:val="bottom"/>
            <w:shd w:val="clear" w:color="auto" w:fill="ECECEC"/>
          </w:tcPr>
          <w:p>
            <w:pPr>
              <w:spacing w:after="0"/>
              <w:rPr>
                <w:sz w:val="11"/>
                <w:szCs w:val="11"/>
                <w:color w:val="auto"/>
              </w:rPr>
            </w:pPr>
          </w:p>
        </w:tc>
        <w:tc>
          <w:tcPr>
            <w:tcW w:w="860" w:type="dxa"/>
            <w:vAlign w:val="bottom"/>
            <w:shd w:val="clear" w:color="auto" w:fill="ECECEC"/>
          </w:tcPr>
          <w:p>
            <w:pPr>
              <w:spacing w:after="0"/>
              <w:rPr>
                <w:sz w:val="11"/>
                <w:szCs w:val="11"/>
                <w:color w:val="auto"/>
              </w:rPr>
            </w:pPr>
          </w:p>
        </w:tc>
        <w:tc>
          <w:tcPr>
            <w:tcW w:w="380" w:type="dxa"/>
            <w:vAlign w:val="bottom"/>
            <w:shd w:val="clear" w:color="auto" w:fill="ECECEC"/>
          </w:tcPr>
          <w:p>
            <w:pPr>
              <w:spacing w:after="0"/>
              <w:rPr>
                <w:sz w:val="11"/>
                <w:szCs w:val="11"/>
                <w:color w:val="auto"/>
              </w:rPr>
            </w:pPr>
          </w:p>
        </w:tc>
        <w:tc>
          <w:tcPr>
            <w:tcW w:w="160" w:type="dxa"/>
            <w:vAlign w:val="bottom"/>
            <w:shd w:val="clear" w:color="auto" w:fill="ECECEC"/>
          </w:tcPr>
          <w:p>
            <w:pPr>
              <w:spacing w:after="0"/>
              <w:rPr>
                <w:sz w:val="11"/>
                <w:szCs w:val="11"/>
                <w:color w:val="auto"/>
              </w:rPr>
            </w:pPr>
          </w:p>
        </w:tc>
        <w:tc>
          <w:tcPr>
            <w:tcW w:w="1180" w:type="dxa"/>
            <w:vAlign w:val="bottom"/>
            <w:vMerge w:val="restart"/>
            <w:shd w:val="clear" w:color="auto" w:fill="ECECEC"/>
          </w:tcPr>
          <w:p>
            <w:pPr>
              <w:jc w:val="right"/>
              <w:ind w:right="170"/>
              <w:spacing w:after="0"/>
              <w:rPr>
                <w:sz w:val="20"/>
                <w:szCs w:val="20"/>
                <w:color w:val="auto"/>
              </w:rPr>
            </w:pPr>
            <w:r>
              <w:rPr>
                <w:rFonts w:ascii="Arial" w:cs="Arial" w:eastAsia="Arial" w:hAnsi="Arial"/>
                <w:sz w:val="13"/>
                <w:szCs w:val="13"/>
                <w:color w:val="auto"/>
              </w:rPr>
              <w:t>Market Value</w:t>
            </w:r>
          </w:p>
        </w:tc>
        <w:tc>
          <w:tcPr>
            <w:tcW w:w="1420" w:type="dxa"/>
            <w:vAlign w:val="bottom"/>
            <w:gridSpan w:val="2"/>
            <w:shd w:val="clear" w:color="auto" w:fill="ECECEC"/>
          </w:tcPr>
          <w:p>
            <w:pPr>
              <w:jc w:val="right"/>
              <w:ind w:right="100"/>
              <w:spacing w:after="0" w:line="135" w:lineRule="exact"/>
              <w:rPr>
                <w:sz w:val="20"/>
                <w:szCs w:val="20"/>
                <w:color w:val="auto"/>
              </w:rPr>
            </w:pPr>
            <w:r>
              <w:rPr>
                <w:rFonts w:ascii="Arial" w:cs="Arial" w:eastAsia="Arial" w:hAnsi="Arial"/>
                <w:sz w:val="13"/>
                <w:szCs w:val="13"/>
                <w:color w:val="auto"/>
              </w:rPr>
              <w:t>Plan Awards:</w:t>
            </w:r>
          </w:p>
        </w:tc>
        <w:tc>
          <w:tcPr>
            <w:tcW w:w="1320" w:type="dxa"/>
            <w:vAlign w:val="bottom"/>
            <w:shd w:val="clear" w:color="auto" w:fill="ECECEC"/>
          </w:tcPr>
          <w:p>
            <w:pPr>
              <w:jc w:val="right"/>
              <w:ind w:right="30"/>
              <w:spacing w:after="0" w:line="135" w:lineRule="exact"/>
              <w:rPr>
                <w:sz w:val="20"/>
                <w:szCs w:val="20"/>
                <w:color w:val="auto"/>
              </w:rPr>
            </w:pPr>
            <w:r>
              <w:rPr>
                <w:rFonts w:ascii="Arial" w:cs="Arial" w:eastAsia="Arial" w:hAnsi="Arial"/>
                <w:sz w:val="13"/>
                <w:szCs w:val="13"/>
                <w:color w:val="auto"/>
              </w:rPr>
              <w:t>Plan Awards:</w:t>
            </w:r>
          </w:p>
        </w:tc>
        <w:tc>
          <w:tcPr>
            <w:tcW w:w="0" w:type="dxa"/>
            <w:vAlign w:val="bottom"/>
          </w:tcPr>
          <w:p>
            <w:pPr>
              <w:spacing w:after="0"/>
              <w:rPr>
                <w:sz w:val="1"/>
                <w:szCs w:val="1"/>
                <w:color w:val="auto"/>
              </w:rPr>
            </w:pPr>
          </w:p>
        </w:tc>
      </w:tr>
      <w:tr>
        <w:trPr>
          <w:trHeight w:val="135"/>
        </w:trPr>
        <w:tc>
          <w:tcPr>
            <w:tcW w:w="3100" w:type="dxa"/>
            <w:vAlign w:val="bottom"/>
            <w:shd w:val="clear" w:color="auto" w:fill="ECECEC"/>
          </w:tcPr>
          <w:p>
            <w:pPr>
              <w:spacing w:after="0"/>
              <w:rPr>
                <w:sz w:val="11"/>
                <w:szCs w:val="11"/>
                <w:color w:val="auto"/>
              </w:rPr>
            </w:pPr>
          </w:p>
        </w:tc>
        <w:tc>
          <w:tcPr>
            <w:tcW w:w="920" w:type="dxa"/>
            <w:vAlign w:val="bottom"/>
            <w:shd w:val="clear" w:color="auto" w:fill="ECECEC"/>
          </w:tcPr>
          <w:p>
            <w:pPr>
              <w:jc w:val="right"/>
              <w:spacing w:after="0" w:line="135" w:lineRule="exact"/>
              <w:rPr>
                <w:sz w:val="20"/>
                <w:szCs w:val="20"/>
                <w:color w:val="auto"/>
              </w:rPr>
            </w:pPr>
            <w:r>
              <w:rPr>
                <w:rFonts w:ascii="Arial" w:cs="Arial" w:eastAsia="Arial" w:hAnsi="Arial"/>
                <w:sz w:val="13"/>
                <w:szCs w:val="13"/>
                <w:color w:val="auto"/>
              </w:rPr>
              <w:t>Securities</w:t>
            </w:r>
          </w:p>
        </w:tc>
        <w:tc>
          <w:tcPr>
            <w:tcW w:w="40" w:type="dxa"/>
            <w:vAlign w:val="bottom"/>
            <w:shd w:val="clear" w:color="auto" w:fill="ECECEC"/>
          </w:tcPr>
          <w:p>
            <w:pPr>
              <w:spacing w:after="0"/>
              <w:rPr>
                <w:sz w:val="11"/>
                <w:szCs w:val="11"/>
                <w:color w:val="auto"/>
              </w:rPr>
            </w:pPr>
          </w:p>
        </w:tc>
        <w:tc>
          <w:tcPr>
            <w:tcW w:w="80" w:type="dxa"/>
            <w:vAlign w:val="bottom"/>
            <w:shd w:val="clear" w:color="auto" w:fill="ECECEC"/>
          </w:tcPr>
          <w:p>
            <w:pPr>
              <w:spacing w:after="0"/>
              <w:rPr>
                <w:sz w:val="11"/>
                <w:szCs w:val="11"/>
                <w:color w:val="auto"/>
              </w:rPr>
            </w:pPr>
          </w:p>
        </w:tc>
        <w:tc>
          <w:tcPr>
            <w:tcW w:w="820" w:type="dxa"/>
            <w:vAlign w:val="bottom"/>
            <w:shd w:val="clear" w:color="auto" w:fill="ECECEC"/>
          </w:tcPr>
          <w:p>
            <w:pPr>
              <w:spacing w:after="0"/>
              <w:rPr>
                <w:sz w:val="11"/>
                <w:szCs w:val="11"/>
                <w:color w:val="auto"/>
              </w:rPr>
            </w:pPr>
          </w:p>
        </w:tc>
        <w:tc>
          <w:tcPr>
            <w:tcW w:w="800" w:type="dxa"/>
            <w:vAlign w:val="bottom"/>
            <w:shd w:val="clear" w:color="auto" w:fill="ECECEC"/>
          </w:tcPr>
          <w:p>
            <w:pPr>
              <w:spacing w:after="0"/>
              <w:rPr>
                <w:sz w:val="11"/>
                <w:szCs w:val="11"/>
                <w:color w:val="auto"/>
              </w:rPr>
            </w:pPr>
          </w:p>
        </w:tc>
        <w:tc>
          <w:tcPr>
            <w:tcW w:w="120" w:type="dxa"/>
            <w:vAlign w:val="bottom"/>
            <w:shd w:val="clear" w:color="auto" w:fill="ECECEC"/>
          </w:tcPr>
          <w:p>
            <w:pPr>
              <w:spacing w:after="0"/>
              <w:rPr>
                <w:sz w:val="11"/>
                <w:szCs w:val="11"/>
                <w:color w:val="auto"/>
              </w:rPr>
            </w:pPr>
          </w:p>
        </w:tc>
        <w:tc>
          <w:tcPr>
            <w:tcW w:w="220" w:type="dxa"/>
            <w:vAlign w:val="bottom"/>
            <w:shd w:val="clear" w:color="auto" w:fill="ECECEC"/>
          </w:tcPr>
          <w:p>
            <w:pPr>
              <w:spacing w:after="0"/>
              <w:rPr>
                <w:sz w:val="11"/>
                <w:szCs w:val="11"/>
                <w:color w:val="auto"/>
              </w:rPr>
            </w:pPr>
          </w:p>
        </w:tc>
        <w:tc>
          <w:tcPr>
            <w:tcW w:w="1400" w:type="dxa"/>
            <w:vAlign w:val="bottom"/>
            <w:gridSpan w:val="3"/>
            <w:vMerge w:val="restart"/>
            <w:shd w:val="clear" w:color="auto" w:fill="ECECEC"/>
          </w:tcPr>
          <w:p>
            <w:pPr>
              <w:jc w:val="right"/>
              <w:ind w:right="160"/>
              <w:spacing w:after="0"/>
              <w:rPr>
                <w:sz w:val="20"/>
                <w:szCs w:val="20"/>
                <w:color w:val="auto"/>
              </w:rPr>
            </w:pPr>
            <w:r>
              <w:rPr>
                <w:rFonts w:ascii="Arial" w:cs="Arial" w:eastAsia="Arial" w:hAnsi="Arial"/>
                <w:sz w:val="13"/>
                <w:szCs w:val="13"/>
                <w:color w:val="auto"/>
              </w:rPr>
              <w:t>Number of</w:t>
            </w:r>
          </w:p>
        </w:tc>
        <w:tc>
          <w:tcPr>
            <w:tcW w:w="1180" w:type="dxa"/>
            <w:vAlign w:val="bottom"/>
            <w:vMerge w:val="continue"/>
            <w:shd w:val="clear" w:color="auto" w:fill="ECECEC"/>
          </w:tcPr>
          <w:p>
            <w:pPr>
              <w:spacing w:after="0"/>
              <w:rPr>
                <w:sz w:val="11"/>
                <w:szCs w:val="11"/>
                <w:color w:val="auto"/>
              </w:rPr>
            </w:pPr>
          </w:p>
        </w:tc>
        <w:tc>
          <w:tcPr>
            <w:tcW w:w="1420" w:type="dxa"/>
            <w:vAlign w:val="bottom"/>
            <w:gridSpan w:val="2"/>
            <w:shd w:val="clear" w:color="auto" w:fill="ECECEC"/>
          </w:tcPr>
          <w:p>
            <w:pPr>
              <w:jc w:val="center"/>
              <w:ind w:left="450"/>
              <w:spacing w:after="0" w:line="135" w:lineRule="exact"/>
              <w:rPr>
                <w:sz w:val="20"/>
                <w:szCs w:val="20"/>
                <w:color w:val="auto"/>
              </w:rPr>
            </w:pPr>
            <w:r>
              <w:rPr>
                <w:rFonts w:ascii="Arial" w:cs="Arial" w:eastAsia="Arial" w:hAnsi="Arial"/>
                <w:sz w:val="13"/>
                <w:szCs w:val="13"/>
                <w:color w:val="auto"/>
                <w:w w:val="95"/>
              </w:rPr>
              <w:t>Number of</w:t>
            </w:r>
          </w:p>
        </w:tc>
        <w:tc>
          <w:tcPr>
            <w:tcW w:w="1320" w:type="dxa"/>
            <w:vAlign w:val="bottom"/>
            <w:shd w:val="clear" w:color="auto" w:fill="ECECEC"/>
          </w:tcPr>
          <w:p>
            <w:pPr>
              <w:jc w:val="right"/>
              <w:ind w:right="30"/>
              <w:spacing w:after="0" w:line="135" w:lineRule="exact"/>
              <w:rPr>
                <w:sz w:val="20"/>
                <w:szCs w:val="20"/>
                <w:color w:val="auto"/>
              </w:rPr>
            </w:pPr>
            <w:r>
              <w:rPr>
                <w:rFonts w:ascii="Arial" w:cs="Arial" w:eastAsia="Arial" w:hAnsi="Arial"/>
                <w:sz w:val="13"/>
                <w:szCs w:val="13"/>
                <w:color w:val="auto"/>
              </w:rPr>
              <w:t>Market or Payout</w:t>
            </w:r>
          </w:p>
        </w:tc>
        <w:tc>
          <w:tcPr>
            <w:tcW w:w="0" w:type="dxa"/>
            <w:vAlign w:val="bottom"/>
          </w:tcPr>
          <w:p>
            <w:pPr>
              <w:spacing w:after="0"/>
              <w:rPr>
                <w:sz w:val="1"/>
                <w:szCs w:val="1"/>
                <w:color w:val="auto"/>
              </w:rPr>
            </w:pPr>
          </w:p>
        </w:tc>
      </w:tr>
      <w:tr>
        <w:trPr>
          <w:trHeight w:val="135"/>
        </w:trPr>
        <w:tc>
          <w:tcPr>
            <w:tcW w:w="3100" w:type="dxa"/>
            <w:vAlign w:val="bottom"/>
            <w:shd w:val="clear" w:color="auto" w:fill="ECECEC"/>
          </w:tcPr>
          <w:p>
            <w:pPr>
              <w:spacing w:after="0"/>
              <w:rPr>
                <w:sz w:val="11"/>
                <w:szCs w:val="11"/>
                <w:color w:val="auto"/>
              </w:rPr>
            </w:pPr>
          </w:p>
        </w:tc>
        <w:tc>
          <w:tcPr>
            <w:tcW w:w="920" w:type="dxa"/>
            <w:vAlign w:val="bottom"/>
            <w:shd w:val="clear" w:color="auto" w:fill="ECECEC"/>
          </w:tcPr>
          <w:p>
            <w:pPr>
              <w:jc w:val="right"/>
              <w:spacing w:after="0" w:line="135" w:lineRule="exact"/>
              <w:rPr>
                <w:sz w:val="20"/>
                <w:szCs w:val="20"/>
                <w:color w:val="auto"/>
              </w:rPr>
            </w:pPr>
            <w:r>
              <w:rPr>
                <w:rFonts w:ascii="Arial" w:cs="Arial" w:eastAsia="Arial" w:hAnsi="Arial"/>
                <w:sz w:val="13"/>
                <w:szCs w:val="13"/>
                <w:color w:val="auto"/>
              </w:rPr>
              <w:t>Underlying</w:t>
            </w:r>
          </w:p>
        </w:tc>
        <w:tc>
          <w:tcPr>
            <w:tcW w:w="40" w:type="dxa"/>
            <w:vAlign w:val="bottom"/>
            <w:shd w:val="clear" w:color="auto" w:fill="ECECEC"/>
          </w:tcPr>
          <w:p>
            <w:pPr>
              <w:spacing w:after="0"/>
              <w:rPr>
                <w:sz w:val="11"/>
                <w:szCs w:val="11"/>
                <w:color w:val="auto"/>
              </w:rPr>
            </w:pPr>
          </w:p>
        </w:tc>
        <w:tc>
          <w:tcPr>
            <w:tcW w:w="80" w:type="dxa"/>
            <w:vAlign w:val="bottom"/>
            <w:shd w:val="clear" w:color="auto" w:fill="ECECEC"/>
          </w:tcPr>
          <w:p>
            <w:pPr>
              <w:spacing w:after="0"/>
              <w:rPr>
                <w:sz w:val="11"/>
                <w:szCs w:val="11"/>
                <w:color w:val="auto"/>
              </w:rPr>
            </w:pPr>
          </w:p>
        </w:tc>
        <w:tc>
          <w:tcPr>
            <w:tcW w:w="820" w:type="dxa"/>
            <w:vAlign w:val="bottom"/>
            <w:vMerge w:val="restart"/>
            <w:shd w:val="clear" w:color="auto" w:fill="ECECEC"/>
          </w:tcPr>
          <w:p>
            <w:pPr>
              <w:jc w:val="right"/>
              <w:ind w:right="70"/>
              <w:spacing w:after="0"/>
              <w:rPr>
                <w:sz w:val="20"/>
                <w:szCs w:val="20"/>
                <w:color w:val="auto"/>
              </w:rPr>
            </w:pPr>
            <w:r>
              <w:rPr>
                <w:rFonts w:ascii="Arial" w:cs="Arial" w:eastAsia="Arial" w:hAnsi="Arial"/>
                <w:sz w:val="13"/>
                <w:szCs w:val="13"/>
                <w:color w:val="auto"/>
              </w:rPr>
              <w:t>Option</w:t>
            </w:r>
          </w:p>
        </w:tc>
        <w:tc>
          <w:tcPr>
            <w:tcW w:w="800" w:type="dxa"/>
            <w:vAlign w:val="bottom"/>
            <w:shd w:val="clear" w:color="auto" w:fill="ECECEC"/>
          </w:tcPr>
          <w:p>
            <w:pPr>
              <w:spacing w:after="0"/>
              <w:rPr>
                <w:sz w:val="11"/>
                <w:szCs w:val="11"/>
                <w:color w:val="auto"/>
              </w:rPr>
            </w:pPr>
          </w:p>
        </w:tc>
        <w:tc>
          <w:tcPr>
            <w:tcW w:w="120" w:type="dxa"/>
            <w:vAlign w:val="bottom"/>
            <w:shd w:val="clear" w:color="auto" w:fill="ECECEC"/>
          </w:tcPr>
          <w:p>
            <w:pPr>
              <w:spacing w:after="0"/>
              <w:rPr>
                <w:sz w:val="11"/>
                <w:szCs w:val="11"/>
                <w:color w:val="auto"/>
              </w:rPr>
            </w:pPr>
          </w:p>
        </w:tc>
        <w:tc>
          <w:tcPr>
            <w:tcW w:w="220" w:type="dxa"/>
            <w:vAlign w:val="bottom"/>
            <w:shd w:val="clear" w:color="auto" w:fill="ECECEC"/>
          </w:tcPr>
          <w:p>
            <w:pPr>
              <w:spacing w:after="0"/>
              <w:rPr>
                <w:sz w:val="11"/>
                <w:szCs w:val="11"/>
                <w:color w:val="auto"/>
              </w:rPr>
            </w:pPr>
          </w:p>
        </w:tc>
        <w:tc>
          <w:tcPr>
            <w:tcW w:w="1400" w:type="dxa"/>
            <w:vAlign w:val="bottom"/>
            <w:gridSpan w:val="3"/>
            <w:vMerge w:val="continue"/>
            <w:shd w:val="clear" w:color="auto" w:fill="ECECEC"/>
          </w:tcPr>
          <w:p>
            <w:pPr>
              <w:spacing w:after="0"/>
              <w:rPr>
                <w:sz w:val="11"/>
                <w:szCs w:val="11"/>
                <w:color w:val="auto"/>
              </w:rPr>
            </w:pPr>
          </w:p>
        </w:tc>
        <w:tc>
          <w:tcPr>
            <w:tcW w:w="1180" w:type="dxa"/>
            <w:vAlign w:val="bottom"/>
            <w:shd w:val="clear" w:color="auto" w:fill="ECECEC"/>
          </w:tcPr>
          <w:p>
            <w:pPr>
              <w:jc w:val="right"/>
              <w:ind w:right="170"/>
              <w:spacing w:after="0" w:line="135" w:lineRule="exact"/>
              <w:rPr>
                <w:sz w:val="20"/>
                <w:szCs w:val="20"/>
                <w:color w:val="auto"/>
              </w:rPr>
            </w:pPr>
            <w:r>
              <w:rPr>
                <w:rFonts w:ascii="Arial" w:cs="Arial" w:eastAsia="Arial" w:hAnsi="Arial"/>
                <w:sz w:val="13"/>
                <w:szCs w:val="13"/>
                <w:color w:val="auto"/>
              </w:rPr>
              <w:t>of Shares or</w:t>
            </w:r>
          </w:p>
        </w:tc>
        <w:tc>
          <w:tcPr>
            <w:tcW w:w="1420" w:type="dxa"/>
            <w:vAlign w:val="bottom"/>
            <w:gridSpan w:val="2"/>
            <w:shd w:val="clear" w:color="auto" w:fill="ECECEC"/>
          </w:tcPr>
          <w:p>
            <w:pPr>
              <w:jc w:val="right"/>
              <w:ind w:right="100"/>
              <w:spacing w:after="0" w:line="135" w:lineRule="exact"/>
              <w:rPr>
                <w:sz w:val="20"/>
                <w:szCs w:val="20"/>
                <w:color w:val="auto"/>
              </w:rPr>
            </w:pPr>
            <w:r>
              <w:rPr>
                <w:rFonts w:ascii="Arial" w:cs="Arial" w:eastAsia="Arial" w:hAnsi="Arial"/>
                <w:sz w:val="13"/>
                <w:szCs w:val="13"/>
                <w:color w:val="auto"/>
              </w:rPr>
              <w:t>Unearned Shares,</w:t>
            </w:r>
          </w:p>
        </w:tc>
        <w:tc>
          <w:tcPr>
            <w:tcW w:w="1320" w:type="dxa"/>
            <w:vAlign w:val="bottom"/>
            <w:shd w:val="clear" w:color="auto" w:fill="ECECEC"/>
          </w:tcPr>
          <w:p>
            <w:pPr>
              <w:jc w:val="right"/>
              <w:ind w:right="30"/>
              <w:spacing w:after="0" w:line="135" w:lineRule="exact"/>
              <w:rPr>
                <w:sz w:val="20"/>
                <w:szCs w:val="20"/>
                <w:color w:val="auto"/>
              </w:rPr>
            </w:pPr>
            <w:r>
              <w:rPr>
                <w:rFonts w:ascii="Arial" w:cs="Arial" w:eastAsia="Arial" w:hAnsi="Arial"/>
                <w:sz w:val="13"/>
                <w:szCs w:val="13"/>
                <w:color w:val="auto"/>
              </w:rPr>
              <w:t>Value of Unearned</w:t>
            </w:r>
          </w:p>
        </w:tc>
        <w:tc>
          <w:tcPr>
            <w:tcW w:w="0" w:type="dxa"/>
            <w:vAlign w:val="bottom"/>
          </w:tcPr>
          <w:p>
            <w:pPr>
              <w:spacing w:after="0"/>
              <w:rPr>
                <w:sz w:val="1"/>
                <w:szCs w:val="1"/>
                <w:color w:val="auto"/>
              </w:rPr>
            </w:pPr>
          </w:p>
        </w:tc>
      </w:tr>
      <w:tr>
        <w:trPr>
          <w:trHeight w:val="135"/>
        </w:trPr>
        <w:tc>
          <w:tcPr>
            <w:tcW w:w="3100" w:type="dxa"/>
            <w:vAlign w:val="bottom"/>
            <w:shd w:val="clear" w:color="auto" w:fill="ECECEC"/>
          </w:tcPr>
          <w:p>
            <w:pPr>
              <w:spacing w:after="0"/>
              <w:rPr>
                <w:sz w:val="11"/>
                <w:szCs w:val="11"/>
                <w:color w:val="auto"/>
              </w:rPr>
            </w:pPr>
          </w:p>
        </w:tc>
        <w:tc>
          <w:tcPr>
            <w:tcW w:w="920" w:type="dxa"/>
            <w:vAlign w:val="bottom"/>
            <w:shd w:val="clear" w:color="auto" w:fill="ECECEC"/>
          </w:tcPr>
          <w:p>
            <w:pPr>
              <w:jc w:val="right"/>
              <w:spacing w:after="0" w:line="135" w:lineRule="exact"/>
              <w:rPr>
                <w:sz w:val="20"/>
                <w:szCs w:val="20"/>
                <w:color w:val="auto"/>
              </w:rPr>
            </w:pPr>
            <w:r>
              <w:rPr>
                <w:rFonts w:ascii="Arial" w:cs="Arial" w:eastAsia="Arial" w:hAnsi="Arial"/>
                <w:sz w:val="13"/>
                <w:szCs w:val="13"/>
                <w:color w:val="auto"/>
              </w:rPr>
              <w:t>Unexercised</w:t>
            </w:r>
          </w:p>
        </w:tc>
        <w:tc>
          <w:tcPr>
            <w:tcW w:w="40" w:type="dxa"/>
            <w:vAlign w:val="bottom"/>
            <w:shd w:val="clear" w:color="auto" w:fill="ECECEC"/>
          </w:tcPr>
          <w:p>
            <w:pPr>
              <w:spacing w:after="0"/>
              <w:rPr>
                <w:sz w:val="11"/>
                <w:szCs w:val="11"/>
                <w:color w:val="auto"/>
              </w:rPr>
            </w:pPr>
          </w:p>
        </w:tc>
        <w:tc>
          <w:tcPr>
            <w:tcW w:w="80" w:type="dxa"/>
            <w:vAlign w:val="bottom"/>
            <w:shd w:val="clear" w:color="auto" w:fill="ECECEC"/>
          </w:tcPr>
          <w:p>
            <w:pPr>
              <w:spacing w:after="0"/>
              <w:rPr>
                <w:sz w:val="11"/>
                <w:szCs w:val="11"/>
                <w:color w:val="auto"/>
              </w:rPr>
            </w:pPr>
          </w:p>
        </w:tc>
        <w:tc>
          <w:tcPr>
            <w:tcW w:w="820" w:type="dxa"/>
            <w:vAlign w:val="bottom"/>
            <w:vMerge w:val="continue"/>
            <w:shd w:val="clear" w:color="auto" w:fill="ECECEC"/>
          </w:tcPr>
          <w:p>
            <w:pPr>
              <w:spacing w:after="0"/>
              <w:rPr>
                <w:sz w:val="11"/>
                <w:szCs w:val="11"/>
                <w:color w:val="auto"/>
              </w:rPr>
            </w:pPr>
          </w:p>
        </w:tc>
        <w:tc>
          <w:tcPr>
            <w:tcW w:w="800" w:type="dxa"/>
            <w:vAlign w:val="bottom"/>
            <w:shd w:val="clear" w:color="auto" w:fill="ECECEC"/>
          </w:tcPr>
          <w:p>
            <w:pPr>
              <w:spacing w:after="0"/>
              <w:rPr>
                <w:sz w:val="11"/>
                <w:szCs w:val="11"/>
                <w:color w:val="auto"/>
              </w:rPr>
            </w:pPr>
          </w:p>
        </w:tc>
        <w:tc>
          <w:tcPr>
            <w:tcW w:w="120" w:type="dxa"/>
            <w:vAlign w:val="bottom"/>
            <w:shd w:val="clear" w:color="auto" w:fill="ECECEC"/>
          </w:tcPr>
          <w:p>
            <w:pPr>
              <w:spacing w:after="0"/>
              <w:rPr>
                <w:sz w:val="11"/>
                <w:szCs w:val="11"/>
                <w:color w:val="auto"/>
              </w:rPr>
            </w:pPr>
          </w:p>
        </w:tc>
        <w:tc>
          <w:tcPr>
            <w:tcW w:w="220" w:type="dxa"/>
            <w:vAlign w:val="bottom"/>
            <w:shd w:val="clear" w:color="auto" w:fill="ECECEC"/>
          </w:tcPr>
          <w:p>
            <w:pPr>
              <w:spacing w:after="0"/>
              <w:rPr>
                <w:sz w:val="11"/>
                <w:szCs w:val="11"/>
                <w:color w:val="auto"/>
              </w:rPr>
            </w:pPr>
          </w:p>
        </w:tc>
        <w:tc>
          <w:tcPr>
            <w:tcW w:w="1400" w:type="dxa"/>
            <w:vAlign w:val="bottom"/>
            <w:gridSpan w:val="3"/>
            <w:shd w:val="clear" w:color="auto" w:fill="ECECEC"/>
          </w:tcPr>
          <w:p>
            <w:pPr>
              <w:jc w:val="right"/>
              <w:ind w:right="160"/>
              <w:spacing w:after="0" w:line="135" w:lineRule="exact"/>
              <w:rPr>
                <w:sz w:val="20"/>
                <w:szCs w:val="20"/>
                <w:color w:val="auto"/>
              </w:rPr>
            </w:pPr>
            <w:r>
              <w:rPr>
                <w:rFonts w:ascii="Arial" w:cs="Arial" w:eastAsia="Arial" w:hAnsi="Arial"/>
                <w:sz w:val="13"/>
                <w:szCs w:val="13"/>
                <w:color w:val="auto"/>
              </w:rPr>
              <w:t>Shares or Units</w:t>
            </w:r>
          </w:p>
        </w:tc>
        <w:tc>
          <w:tcPr>
            <w:tcW w:w="1180" w:type="dxa"/>
            <w:vAlign w:val="bottom"/>
            <w:shd w:val="clear" w:color="auto" w:fill="ECECEC"/>
          </w:tcPr>
          <w:p>
            <w:pPr>
              <w:jc w:val="right"/>
              <w:ind w:right="170"/>
              <w:spacing w:after="0" w:line="135" w:lineRule="exact"/>
              <w:rPr>
                <w:sz w:val="20"/>
                <w:szCs w:val="20"/>
                <w:color w:val="auto"/>
              </w:rPr>
            </w:pPr>
            <w:r>
              <w:rPr>
                <w:rFonts w:ascii="Arial" w:cs="Arial" w:eastAsia="Arial" w:hAnsi="Arial"/>
                <w:sz w:val="13"/>
                <w:szCs w:val="13"/>
                <w:color w:val="auto"/>
              </w:rPr>
              <w:t>Units of Stock</w:t>
            </w:r>
          </w:p>
        </w:tc>
        <w:tc>
          <w:tcPr>
            <w:tcW w:w="1420" w:type="dxa"/>
            <w:vAlign w:val="bottom"/>
            <w:gridSpan w:val="2"/>
            <w:shd w:val="clear" w:color="auto" w:fill="ECECEC"/>
          </w:tcPr>
          <w:p>
            <w:pPr>
              <w:jc w:val="right"/>
              <w:ind w:right="100"/>
              <w:spacing w:after="0" w:line="135" w:lineRule="exact"/>
              <w:rPr>
                <w:sz w:val="20"/>
                <w:szCs w:val="20"/>
                <w:color w:val="auto"/>
              </w:rPr>
            </w:pPr>
            <w:r>
              <w:rPr>
                <w:rFonts w:ascii="Arial" w:cs="Arial" w:eastAsia="Arial" w:hAnsi="Arial"/>
                <w:sz w:val="13"/>
                <w:szCs w:val="13"/>
                <w:color w:val="auto"/>
              </w:rPr>
              <w:t>Units or Other</w:t>
            </w:r>
          </w:p>
        </w:tc>
        <w:tc>
          <w:tcPr>
            <w:tcW w:w="1320" w:type="dxa"/>
            <w:vAlign w:val="bottom"/>
            <w:shd w:val="clear" w:color="auto" w:fill="ECECEC"/>
          </w:tcPr>
          <w:p>
            <w:pPr>
              <w:jc w:val="right"/>
              <w:ind w:right="30"/>
              <w:spacing w:after="0" w:line="135" w:lineRule="exact"/>
              <w:rPr>
                <w:sz w:val="20"/>
                <w:szCs w:val="20"/>
                <w:color w:val="auto"/>
              </w:rPr>
            </w:pPr>
            <w:r>
              <w:rPr>
                <w:rFonts w:ascii="Arial" w:cs="Arial" w:eastAsia="Arial" w:hAnsi="Arial"/>
                <w:sz w:val="13"/>
                <w:szCs w:val="13"/>
                <w:color w:val="auto"/>
              </w:rPr>
              <w:t>Shares, Units or</w:t>
            </w:r>
          </w:p>
        </w:tc>
        <w:tc>
          <w:tcPr>
            <w:tcW w:w="0" w:type="dxa"/>
            <w:vAlign w:val="bottom"/>
          </w:tcPr>
          <w:p>
            <w:pPr>
              <w:spacing w:after="0"/>
              <w:rPr>
                <w:sz w:val="1"/>
                <w:szCs w:val="1"/>
                <w:color w:val="auto"/>
              </w:rPr>
            </w:pPr>
          </w:p>
        </w:tc>
      </w:tr>
      <w:tr>
        <w:trPr>
          <w:trHeight w:val="135"/>
        </w:trPr>
        <w:tc>
          <w:tcPr>
            <w:tcW w:w="3100" w:type="dxa"/>
            <w:vAlign w:val="bottom"/>
            <w:shd w:val="clear" w:color="auto" w:fill="ECECEC"/>
          </w:tcPr>
          <w:p>
            <w:pPr>
              <w:spacing w:after="0"/>
              <w:rPr>
                <w:sz w:val="11"/>
                <w:szCs w:val="11"/>
                <w:color w:val="auto"/>
              </w:rPr>
            </w:pPr>
          </w:p>
        </w:tc>
        <w:tc>
          <w:tcPr>
            <w:tcW w:w="920" w:type="dxa"/>
            <w:vAlign w:val="bottom"/>
            <w:shd w:val="clear" w:color="auto" w:fill="ECECEC"/>
          </w:tcPr>
          <w:p>
            <w:pPr>
              <w:jc w:val="right"/>
              <w:spacing w:after="0" w:line="135" w:lineRule="exact"/>
              <w:rPr>
                <w:sz w:val="20"/>
                <w:szCs w:val="20"/>
                <w:color w:val="auto"/>
              </w:rPr>
            </w:pPr>
            <w:r>
              <w:rPr>
                <w:rFonts w:ascii="Arial" w:cs="Arial" w:eastAsia="Arial" w:hAnsi="Arial"/>
                <w:sz w:val="13"/>
                <w:szCs w:val="13"/>
                <w:color w:val="auto"/>
              </w:rPr>
              <w:t>Options</w:t>
            </w:r>
          </w:p>
        </w:tc>
        <w:tc>
          <w:tcPr>
            <w:tcW w:w="40" w:type="dxa"/>
            <w:vAlign w:val="bottom"/>
            <w:shd w:val="clear" w:color="auto" w:fill="ECECEC"/>
          </w:tcPr>
          <w:p>
            <w:pPr>
              <w:spacing w:after="0"/>
              <w:rPr>
                <w:sz w:val="11"/>
                <w:szCs w:val="11"/>
                <w:color w:val="auto"/>
              </w:rPr>
            </w:pPr>
          </w:p>
        </w:tc>
        <w:tc>
          <w:tcPr>
            <w:tcW w:w="80" w:type="dxa"/>
            <w:vAlign w:val="bottom"/>
            <w:shd w:val="clear" w:color="auto" w:fill="ECECEC"/>
          </w:tcPr>
          <w:p>
            <w:pPr>
              <w:spacing w:after="0"/>
              <w:rPr>
                <w:sz w:val="11"/>
                <w:szCs w:val="11"/>
                <w:color w:val="auto"/>
              </w:rPr>
            </w:pPr>
          </w:p>
        </w:tc>
        <w:tc>
          <w:tcPr>
            <w:tcW w:w="820" w:type="dxa"/>
            <w:vAlign w:val="bottom"/>
            <w:shd w:val="clear" w:color="auto" w:fill="ECECEC"/>
          </w:tcPr>
          <w:p>
            <w:pPr>
              <w:jc w:val="right"/>
              <w:ind w:right="70"/>
              <w:spacing w:after="0" w:line="135" w:lineRule="exact"/>
              <w:rPr>
                <w:sz w:val="20"/>
                <w:szCs w:val="20"/>
                <w:color w:val="auto"/>
              </w:rPr>
            </w:pPr>
            <w:r>
              <w:rPr>
                <w:rFonts w:ascii="Arial" w:cs="Arial" w:eastAsia="Arial" w:hAnsi="Arial"/>
                <w:sz w:val="13"/>
                <w:szCs w:val="13"/>
                <w:color w:val="auto"/>
              </w:rPr>
              <w:t>Exercise</w:t>
            </w:r>
          </w:p>
        </w:tc>
        <w:tc>
          <w:tcPr>
            <w:tcW w:w="800" w:type="dxa"/>
            <w:vAlign w:val="bottom"/>
            <w:vMerge w:val="restart"/>
            <w:shd w:val="clear" w:color="auto" w:fill="ECECEC"/>
          </w:tcPr>
          <w:p>
            <w:pPr>
              <w:jc w:val="right"/>
              <w:spacing w:after="0"/>
              <w:rPr>
                <w:sz w:val="20"/>
                <w:szCs w:val="20"/>
                <w:color w:val="auto"/>
              </w:rPr>
            </w:pPr>
            <w:r>
              <w:rPr>
                <w:rFonts w:ascii="Arial" w:cs="Arial" w:eastAsia="Arial" w:hAnsi="Arial"/>
                <w:sz w:val="13"/>
                <w:szCs w:val="13"/>
                <w:color w:val="auto"/>
              </w:rPr>
              <w:t>Option</w:t>
            </w:r>
          </w:p>
        </w:tc>
        <w:tc>
          <w:tcPr>
            <w:tcW w:w="120" w:type="dxa"/>
            <w:vAlign w:val="bottom"/>
            <w:shd w:val="clear" w:color="auto" w:fill="ECECEC"/>
          </w:tcPr>
          <w:p>
            <w:pPr>
              <w:spacing w:after="0"/>
              <w:rPr>
                <w:sz w:val="11"/>
                <w:szCs w:val="11"/>
                <w:color w:val="auto"/>
              </w:rPr>
            </w:pPr>
          </w:p>
        </w:tc>
        <w:tc>
          <w:tcPr>
            <w:tcW w:w="220" w:type="dxa"/>
            <w:vAlign w:val="bottom"/>
            <w:shd w:val="clear" w:color="auto" w:fill="ECECEC"/>
          </w:tcPr>
          <w:p>
            <w:pPr>
              <w:spacing w:after="0"/>
              <w:rPr>
                <w:sz w:val="11"/>
                <w:szCs w:val="11"/>
                <w:color w:val="auto"/>
              </w:rPr>
            </w:pPr>
          </w:p>
        </w:tc>
        <w:tc>
          <w:tcPr>
            <w:tcW w:w="1400" w:type="dxa"/>
            <w:vAlign w:val="bottom"/>
            <w:gridSpan w:val="3"/>
            <w:shd w:val="clear" w:color="auto" w:fill="ECECEC"/>
          </w:tcPr>
          <w:p>
            <w:pPr>
              <w:jc w:val="right"/>
              <w:ind w:right="160"/>
              <w:spacing w:after="0" w:line="135" w:lineRule="exact"/>
              <w:rPr>
                <w:sz w:val="20"/>
                <w:szCs w:val="20"/>
                <w:color w:val="auto"/>
              </w:rPr>
            </w:pPr>
            <w:r>
              <w:rPr>
                <w:rFonts w:ascii="Arial" w:cs="Arial" w:eastAsia="Arial" w:hAnsi="Arial"/>
                <w:sz w:val="13"/>
                <w:szCs w:val="13"/>
                <w:color w:val="auto"/>
              </w:rPr>
              <w:t>of Stock That</w:t>
            </w:r>
          </w:p>
        </w:tc>
        <w:tc>
          <w:tcPr>
            <w:tcW w:w="1180" w:type="dxa"/>
            <w:vAlign w:val="bottom"/>
            <w:shd w:val="clear" w:color="auto" w:fill="ECECEC"/>
          </w:tcPr>
          <w:p>
            <w:pPr>
              <w:jc w:val="right"/>
              <w:ind w:right="170"/>
              <w:spacing w:after="0" w:line="135" w:lineRule="exact"/>
              <w:rPr>
                <w:sz w:val="20"/>
                <w:szCs w:val="20"/>
                <w:color w:val="auto"/>
              </w:rPr>
            </w:pPr>
            <w:r>
              <w:rPr>
                <w:rFonts w:ascii="Arial" w:cs="Arial" w:eastAsia="Arial" w:hAnsi="Arial"/>
                <w:sz w:val="13"/>
                <w:szCs w:val="13"/>
                <w:color w:val="auto"/>
              </w:rPr>
              <w:t>That Have</w:t>
            </w:r>
          </w:p>
        </w:tc>
        <w:tc>
          <w:tcPr>
            <w:tcW w:w="1420" w:type="dxa"/>
            <w:vAlign w:val="bottom"/>
            <w:gridSpan w:val="2"/>
            <w:shd w:val="clear" w:color="auto" w:fill="ECECEC"/>
          </w:tcPr>
          <w:p>
            <w:pPr>
              <w:jc w:val="right"/>
              <w:ind w:right="100"/>
              <w:spacing w:after="0" w:line="135" w:lineRule="exact"/>
              <w:rPr>
                <w:sz w:val="20"/>
                <w:szCs w:val="20"/>
                <w:color w:val="auto"/>
              </w:rPr>
            </w:pPr>
            <w:r>
              <w:rPr>
                <w:rFonts w:ascii="Arial" w:cs="Arial" w:eastAsia="Arial" w:hAnsi="Arial"/>
                <w:sz w:val="13"/>
                <w:szCs w:val="13"/>
                <w:color w:val="auto"/>
              </w:rPr>
              <w:t>Rights That Have</w:t>
            </w:r>
          </w:p>
        </w:tc>
        <w:tc>
          <w:tcPr>
            <w:tcW w:w="1320" w:type="dxa"/>
            <w:vAlign w:val="bottom"/>
            <w:shd w:val="clear" w:color="auto" w:fill="ECECEC"/>
          </w:tcPr>
          <w:p>
            <w:pPr>
              <w:jc w:val="right"/>
              <w:ind w:right="30"/>
              <w:spacing w:after="0" w:line="135" w:lineRule="exact"/>
              <w:rPr>
                <w:sz w:val="20"/>
                <w:szCs w:val="20"/>
                <w:color w:val="auto"/>
              </w:rPr>
            </w:pPr>
            <w:r>
              <w:rPr>
                <w:rFonts w:ascii="Arial" w:cs="Arial" w:eastAsia="Arial" w:hAnsi="Arial"/>
                <w:sz w:val="13"/>
                <w:szCs w:val="13"/>
                <w:color w:val="auto"/>
              </w:rPr>
              <w:t>Other Rights That</w:t>
            </w:r>
          </w:p>
        </w:tc>
        <w:tc>
          <w:tcPr>
            <w:tcW w:w="0" w:type="dxa"/>
            <w:vAlign w:val="bottom"/>
          </w:tcPr>
          <w:p>
            <w:pPr>
              <w:spacing w:after="0"/>
              <w:rPr>
                <w:sz w:val="1"/>
                <w:szCs w:val="1"/>
                <w:color w:val="auto"/>
              </w:rPr>
            </w:pPr>
          </w:p>
        </w:tc>
      </w:tr>
      <w:tr>
        <w:trPr>
          <w:trHeight w:val="135"/>
        </w:trPr>
        <w:tc>
          <w:tcPr>
            <w:tcW w:w="3100" w:type="dxa"/>
            <w:vAlign w:val="bottom"/>
            <w:shd w:val="clear" w:color="auto" w:fill="ECECEC"/>
          </w:tcPr>
          <w:p>
            <w:pPr>
              <w:spacing w:after="0"/>
              <w:rPr>
                <w:sz w:val="11"/>
                <w:szCs w:val="11"/>
                <w:color w:val="auto"/>
              </w:rPr>
            </w:pPr>
          </w:p>
        </w:tc>
        <w:tc>
          <w:tcPr>
            <w:tcW w:w="920" w:type="dxa"/>
            <w:vAlign w:val="bottom"/>
            <w:shd w:val="clear" w:color="auto" w:fill="ECECEC"/>
          </w:tcPr>
          <w:p>
            <w:pPr>
              <w:jc w:val="right"/>
              <w:spacing w:after="0" w:line="135" w:lineRule="exact"/>
              <w:rPr>
                <w:sz w:val="20"/>
                <w:szCs w:val="20"/>
                <w:color w:val="auto"/>
              </w:rPr>
            </w:pPr>
            <w:r>
              <w:rPr>
                <w:rFonts w:ascii="Arial" w:cs="Arial" w:eastAsia="Arial" w:hAnsi="Arial"/>
                <w:sz w:val="13"/>
                <w:szCs w:val="13"/>
                <w:color w:val="auto"/>
              </w:rPr>
              <w:t>Exercisable</w:t>
            </w:r>
          </w:p>
        </w:tc>
        <w:tc>
          <w:tcPr>
            <w:tcW w:w="40" w:type="dxa"/>
            <w:vAlign w:val="bottom"/>
            <w:shd w:val="clear" w:color="auto" w:fill="ECECEC"/>
          </w:tcPr>
          <w:p>
            <w:pPr>
              <w:spacing w:after="0"/>
              <w:rPr>
                <w:sz w:val="11"/>
                <w:szCs w:val="11"/>
                <w:color w:val="auto"/>
              </w:rPr>
            </w:pPr>
          </w:p>
        </w:tc>
        <w:tc>
          <w:tcPr>
            <w:tcW w:w="80" w:type="dxa"/>
            <w:vAlign w:val="bottom"/>
            <w:shd w:val="clear" w:color="auto" w:fill="ECECEC"/>
          </w:tcPr>
          <w:p>
            <w:pPr>
              <w:spacing w:after="0"/>
              <w:rPr>
                <w:sz w:val="11"/>
                <w:szCs w:val="11"/>
                <w:color w:val="auto"/>
              </w:rPr>
            </w:pPr>
          </w:p>
        </w:tc>
        <w:tc>
          <w:tcPr>
            <w:tcW w:w="820" w:type="dxa"/>
            <w:vAlign w:val="bottom"/>
            <w:shd w:val="clear" w:color="auto" w:fill="ECECEC"/>
          </w:tcPr>
          <w:p>
            <w:pPr>
              <w:jc w:val="right"/>
              <w:ind w:right="70"/>
              <w:spacing w:after="0" w:line="135" w:lineRule="exact"/>
              <w:rPr>
                <w:sz w:val="20"/>
                <w:szCs w:val="20"/>
                <w:color w:val="auto"/>
              </w:rPr>
            </w:pPr>
            <w:r>
              <w:rPr>
                <w:rFonts w:ascii="Arial" w:cs="Arial" w:eastAsia="Arial" w:hAnsi="Arial"/>
                <w:sz w:val="13"/>
                <w:szCs w:val="13"/>
                <w:color w:val="auto"/>
              </w:rPr>
              <w:t>Price</w:t>
            </w:r>
          </w:p>
        </w:tc>
        <w:tc>
          <w:tcPr>
            <w:tcW w:w="800" w:type="dxa"/>
            <w:vAlign w:val="bottom"/>
            <w:vMerge w:val="continue"/>
            <w:shd w:val="clear" w:color="auto" w:fill="ECECEC"/>
          </w:tcPr>
          <w:p>
            <w:pPr>
              <w:spacing w:after="0"/>
              <w:rPr>
                <w:sz w:val="11"/>
                <w:szCs w:val="11"/>
                <w:color w:val="auto"/>
              </w:rPr>
            </w:pPr>
          </w:p>
        </w:tc>
        <w:tc>
          <w:tcPr>
            <w:tcW w:w="120" w:type="dxa"/>
            <w:vAlign w:val="bottom"/>
            <w:shd w:val="clear" w:color="auto" w:fill="ECECEC"/>
          </w:tcPr>
          <w:p>
            <w:pPr>
              <w:spacing w:after="0"/>
              <w:rPr>
                <w:sz w:val="11"/>
                <w:szCs w:val="11"/>
                <w:color w:val="auto"/>
              </w:rPr>
            </w:pPr>
          </w:p>
        </w:tc>
        <w:tc>
          <w:tcPr>
            <w:tcW w:w="220" w:type="dxa"/>
            <w:vAlign w:val="bottom"/>
            <w:shd w:val="clear" w:color="auto" w:fill="ECECEC"/>
          </w:tcPr>
          <w:p>
            <w:pPr>
              <w:spacing w:after="0"/>
              <w:rPr>
                <w:sz w:val="11"/>
                <w:szCs w:val="11"/>
                <w:color w:val="auto"/>
              </w:rPr>
            </w:pPr>
          </w:p>
        </w:tc>
        <w:tc>
          <w:tcPr>
            <w:tcW w:w="1400" w:type="dxa"/>
            <w:vAlign w:val="bottom"/>
            <w:gridSpan w:val="3"/>
            <w:shd w:val="clear" w:color="auto" w:fill="ECECEC"/>
          </w:tcPr>
          <w:p>
            <w:pPr>
              <w:jc w:val="right"/>
              <w:ind w:right="160"/>
              <w:spacing w:after="0" w:line="135" w:lineRule="exact"/>
              <w:rPr>
                <w:sz w:val="20"/>
                <w:szCs w:val="20"/>
                <w:color w:val="auto"/>
              </w:rPr>
            </w:pPr>
            <w:r>
              <w:rPr>
                <w:rFonts w:ascii="Arial" w:cs="Arial" w:eastAsia="Arial" w:hAnsi="Arial"/>
                <w:sz w:val="13"/>
                <w:szCs w:val="13"/>
                <w:color w:val="auto"/>
              </w:rPr>
              <w:t>Have Not Vested</w:t>
            </w:r>
            <w:r>
              <w:rPr>
                <w:rFonts w:ascii="Arial" w:cs="Arial" w:eastAsia="Arial" w:hAnsi="Arial"/>
                <w:sz w:val="10"/>
                <w:szCs w:val="10"/>
                <w:color w:val="auto"/>
              </w:rPr>
              <w:t>(1)</w:t>
            </w:r>
          </w:p>
        </w:tc>
        <w:tc>
          <w:tcPr>
            <w:tcW w:w="1180" w:type="dxa"/>
            <w:vAlign w:val="bottom"/>
            <w:shd w:val="clear" w:color="auto" w:fill="ECECEC"/>
          </w:tcPr>
          <w:p>
            <w:pPr>
              <w:jc w:val="right"/>
              <w:ind w:right="170"/>
              <w:spacing w:after="0" w:line="135" w:lineRule="exact"/>
              <w:rPr>
                <w:sz w:val="20"/>
                <w:szCs w:val="20"/>
                <w:color w:val="auto"/>
              </w:rPr>
            </w:pPr>
            <w:r>
              <w:rPr>
                <w:rFonts w:ascii="Arial" w:cs="Arial" w:eastAsia="Arial" w:hAnsi="Arial"/>
                <w:sz w:val="13"/>
                <w:szCs w:val="13"/>
                <w:color w:val="auto"/>
              </w:rPr>
              <w:t>Not Vested</w:t>
            </w:r>
            <w:r>
              <w:rPr>
                <w:rFonts w:ascii="Arial" w:cs="Arial" w:eastAsia="Arial" w:hAnsi="Arial"/>
                <w:sz w:val="10"/>
                <w:szCs w:val="10"/>
                <w:color w:val="auto"/>
              </w:rPr>
              <w:t>(2)</w:t>
            </w:r>
          </w:p>
        </w:tc>
        <w:tc>
          <w:tcPr>
            <w:tcW w:w="1420" w:type="dxa"/>
            <w:vAlign w:val="bottom"/>
            <w:gridSpan w:val="2"/>
            <w:shd w:val="clear" w:color="auto" w:fill="ECECEC"/>
          </w:tcPr>
          <w:p>
            <w:pPr>
              <w:jc w:val="right"/>
              <w:ind w:right="100"/>
              <w:spacing w:after="0" w:line="135" w:lineRule="exact"/>
              <w:rPr>
                <w:sz w:val="20"/>
                <w:szCs w:val="20"/>
                <w:color w:val="auto"/>
              </w:rPr>
            </w:pPr>
            <w:r>
              <w:rPr>
                <w:rFonts w:ascii="Arial" w:cs="Arial" w:eastAsia="Arial" w:hAnsi="Arial"/>
                <w:sz w:val="13"/>
                <w:szCs w:val="13"/>
                <w:color w:val="auto"/>
              </w:rPr>
              <w:t>Not Vested</w:t>
            </w:r>
            <w:r>
              <w:rPr>
                <w:rFonts w:ascii="Arial" w:cs="Arial" w:eastAsia="Arial" w:hAnsi="Arial"/>
                <w:sz w:val="10"/>
                <w:szCs w:val="10"/>
                <w:color w:val="auto"/>
              </w:rPr>
              <w:t>(3)</w:t>
            </w:r>
          </w:p>
        </w:tc>
        <w:tc>
          <w:tcPr>
            <w:tcW w:w="1320" w:type="dxa"/>
            <w:vAlign w:val="bottom"/>
            <w:shd w:val="clear" w:color="auto" w:fill="ECECEC"/>
          </w:tcPr>
          <w:p>
            <w:pPr>
              <w:jc w:val="right"/>
              <w:ind w:right="30"/>
              <w:spacing w:after="0" w:line="135" w:lineRule="exact"/>
              <w:rPr>
                <w:sz w:val="20"/>
                <w:szCs w:val="20"/>
                <w:color w:val="auto"/>
              </w:rPr>
            </w:pPr>
            <w:r>
              <w:rPr>
                <w:rFonts w:ascii="Arial" w:cs="Arial" w:eastAsia="Arial" w:hAnsi="Arial"/>
                <w:sz w:val="13"/>
                <w:szCs w:val="13"/>
                <w:color w:val="auto"/>
              </w:rPr>
              <w:t>Have Not Vested</w:t>
            </w: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135"/>
        </w:trPr>
        <w:tc>
          <w:tcPr>
            <w:tcW w:w="3100" w:type="dxa"/>
            <w:vAlign w:val="bottom"/>
            <w:vMerge w:val="restart"/>
            <w:shd w:val="clear" w:color="auto" w:fill="ECECEC"/>
          </w:tcPr>
          <w:p>
            <w:pPr>
              <w:ind w:left="40"/>
              <w:spacing w:after="0"/>
              <w:rPr>
                <w:sz w:val="20"/>
                <w:szCs w:val="20"/>
                <w:color w:val="auto"/>
              </w:rPr>
            </w:pPr>
            <w:r>
              <w:rPr>
                <w:rFonts w:ascii="Arial" w:cs="Arial" w:eastAsia="Arial" w:hAnsi="Arial"/>
                <w:sz w:val="13"/>
                <w:szCs w:val="13"/>
                <w:color w:val="auto"/>
              </w:rPr>
              <w:t>Name</w:t>
            </w:r>
          </w:p>
        </w:tc>
        <w:tc>
          <w:tcPr>
            <w:tcW w:w="920" w:type="dxa"/>
            <w:vAlign w:val="bottom"/>
            <w:vMerge w:val="restart"/>
            <w:shd w:val="clear" w:color="auto" w:fill="ECECEC"/>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ECECEC"/>
          </w:tcPr>
          <w:p>
            <w:pPr>
              <w:spacing w:after="0"/>
              <w:rPr>
                <w:sz w:val="11"/>
                <w:szCs w:val="11"/>
                <w:color w:val="auto"/>
              </w:rPr>
            </w:pPr>
          </w:p>
        </w:tc>
        <w:tc>
          <w:tcPr>
            <w:tcW w:w="80" w:type="dxa"/>
            <w:vAlign w:val="bottom"/>
            <w:shd w:val="clear" w:color="auto" w:fill="ECECEC"/>
          </w:tcPr>
          <w:p>
            <w:pPr>
              <w:spacing w:after="0"/>
              <w:rPr>
                <w:sz w:val="11"/>
                <w:szCs w:val="11"/>
                <w:color w:val="auto"/>
              </w:rPr>
            </w:pPr>
          </w:p>
        </w:tc>
        <w:tc>
          <w:tcPr>
            <w:tcW w:w="820" w:type="dxa"/>
            <w:vAlign w:val="bottom"/>
            <w:vMerge w:val="restart"/>
            <w:shd w:val="clear" w:color="auto" w:fill="ECECEC"/>
          </w:tcPr>
          <w:p>
            <w:pPr>
              <w:jc w:val="right"/>
              <w:ind w:right="70"/>
              <w:spacing w:after="0"/>
              <w:rPr>
                <w:sz w:val="20"/>
                <w:szCs w:val="20"/>
                <w:color w:val="auto"/>
              </w:rPr>
            </w:pPr>
            <w:r>
              <w:rPr>
                <w:rFonts w:ascii="Arial" w:cs="Arial" w:eastAsia="Arial" w:hAnsi="Arial"/>
                <w:sz w:val="13"/>
                <w:szCs w:val="13"/>
                <w:color w:val="auto"/>
              </w:rPr>
              <w:t>($)</w:t>
            </w:r>
          </w:p>
        </w:tc>
        <w:tc>
          <w:tcPr>
            <w:tcW w:w="800" w:type="dxa"/>
            <w:vAlign w:val="bottom"/>
            <w:shd w:val="clear" w:color="auto" w:fill="ECECEC"/>
          </w:tcPr>
          <w:p>
            <w:pPr>
              <w:jc w:val="right"/>
              <w:spacing w:after="0" w:line="135" w:lineRule="exact"/>
              <w:rPr>
                <w:sz w:val="20"/>
                <w:szCs w:val="20"/>
                <w:color w:val="auto"/>
              </w:rPr>
            </w:pPr>
            <w:r>
              <w:rPr>
                <w:rFonts w:ascii="Arial" w:cs="Arial" w:eastAsia="Arial" w:hAnsi="Arial"/>
                <w:sz w:val="13"/>
                <w:szCs w:val="13"/>
                <w:color w:val="auto"/>
              </w:rPr>
              <w:t>Expiration</w:t>
            </w:r>
          </w:p>
        </w:tc>
        <w:tc>
          <w:tcPr>
            <w:tcW w:w="120" w:type="dxa"/>
            <w:vAlign w:val="bottom"/>
            <w:shd w:val="clear" w:color="auto" w:fill="ECECEC"/>
          </w:tcPr>
          <w:p>
            <w:pPr>
              <w:spacing w:after="0"/>
              <w:rPr>
                <w:sz w:val="11"/>
                <w:szCs w:val="11"/>
                <w:color w:val="auto"/>
              </w:rPr>
            </w:pPr>
          </w:p>
        </w:tc>
        <w:tc>
          <w:tcPr>
            <w:tcW w:w="220" w:type="dxa"/>
            <w:vAlign w:val="bottom"/>
            <w:shd w:val="clear" w:color="auto" w:fill="ECECEC"/>
          </w:tcPr>
          <w:p>
            <w:pPr>
              <w:spacing w:after="0"/>
              <w:rPr>
                <w:sz w:val="11"/>
                <w:szCs w:val="11"/>
                <w:color w:val="auto"/>
              </w:rPr>
            </w:pPr>
          </w:p>
        </w:tc>
        <w:tc>
          <w:tcPr>
            <w:tcW w:w="860" w:type="dxa"/>
            <w:vAlign w:val="bottom"/>
            <w:shd w:val="clear" w:color="auto" w:fill="ECECEC"/>
          </w:tcPr>
          <w:p>
            <w:pPr>
              <w:spacing w:after="0"/>
              <w:rPr>
                <w:sz w:val="11"/>
                <w:szCs w:val="11"/>
                <w:color w:val="auto"/>
              </w:rPr>
            </w:pPr>
          </w:p>
        </w:tc>
        <w:tc>
          <w:tcPr>
            <w:tcW w:w="380" w:type="dxa"/>
            <w:vAlign w:val="bottom"/>
            <w:vMerge w:val="restart"/>
            <w:shd w:val="clear" w:color="auto" w:fill="ECECE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ECECEC"/>
          </w:tcPr>
          <w:p>
            <w:pPr>
              <w:spacing w:after="0"/>
              <w:rPr>
                <w:sz w:val="11"/>
                <w:szCs w:val="11"/>
                <w:color w:val="auto"/>
              </w:rPr>
            </w:pPr>
          </w:p>
        </w:tc>
        <w:tc>
          <w:tcPr>
            <w:tcW w:w="1180" w:type="dxa"/>
            <w:vAlign w:val="bottom"/>
            <w:vMerge w:val="restart"/>
            <w:shd w:val="clear" w:color="auto" w:fill="ECECEC"/>
          </w:tcPr>
          <w:p>
            <w:pPr>
              <w:jc w:val="right"/>
              <w:ind w:right="170"/>
              <w:spacing w:after="0"/>
              <w:rPr>
                <w:sz w:val="20"/>
                <w:szCs w:val="20"/>
                <w:color w:val="auto"/>
              </w:rPr>
            </w:pPr>
            <w:r>
              <w:rPr>
                <w:rFonts w:ascii="Arial" w:cs="Arial" w:eastAsia="Arial" w:hAnsi="Arial"/>
                <w:sz w:val="13"/>
                <w:szCs w:val="13"/>
                <w:color w:val="auto"/>
              </w:rPr>
              <w:t>($)</w:t>
            </w:r>
          </w:p>
        </w:tc>
        <w:tc>
          <w:tcPr>
            <w:tcW w:w="880" w:type="dxa"/>
            <w:vAlign w:val="bottom"/>
            <w:shd w:val="clear" w:color="auto" w:fill="ECECEC"/>
          </w:tcPr>
          <w:p>
            <w:pPr>
              <w:spacing w:after="0"/>
              <w:rPr>
                <w:sz w:val="11"/>
                <w:szCs w:val="11"/>
                <w:color w:val="auto"/>
              </w:rPr>
            </w:pPr>
          </w:p>
        </w:tc>
        <w:tc>
          <w:tcPr>
            <w:tcW w:w="540" w:type="dxa"/>
            <w:vAlign w:val="bottom"/>
            <w:vMerge w:val="restart"/>
            <w:shd w:val="clear" w:color="auto" w:fill="ECECEC"/>
          </w:tcPr>
          <w:p>
            <w:pPr>
              <w:jc w:val="right"/>
              <w:ind w:right="100"/>
              <w:spacing w:after="0"/>
              <w:rPr>
                <w:sz w:val="20"/>
                <w:szCs w:val="20"/>
                <w:color w:val="auto"/>
              </w:rPr>
            </w:pPr>
            <w:r>
              <w:rPr>
                <w:rFonts w:ascii="Arial" w:cs="Arial" w:eastAsia="Arial" w:hAnsi="Arial"/>
                <w:sz w:val="13"/>
                <w:szCs w:val="13"/>
                <w:color w:val="auto"/>
              </w:rPr>
              <w:t>(#)</w:t>
            </w:r>
          </w:p>
        </w:tc>
        <w:tc>
          <w:tcPr>
            <w:tcW w:w="1320" w:type="dxa"/>
            <w:vAlign w:val="bottom"/>
            <w:vMerge w:val="restart"/>
            <w:shd w:val="clear" w:color="auto" w:fill="ECECEC"/>
          </w:tcPr>
          <w:p>
            <w:pPr>
              <w:jc w:val="right"/>
              <w:ind w:right="3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8"/>
        </w:trPr>
        <w:tc>
          <w:tcPr>
            <w:tcW w:w="3100" w:type="dxa"/>
            <w:vAlign w:val="bottom"/>
            <w:tcBorders>
              <w:bottom w:val="single" w:sz="8" w:color="959595"/>
            </w:tcBorders>
            <w:vMerge w:val="continue"/>
            <w:shd w:val="clear" w:color="auto" w:fill="ECECEC"/>
          </w:tcPr>
          <w:p>
            <w:pPr>
              <w:spacing w:after="0"/>
              <w:rPr>
                <w:sz w:val="15"/>
                <w:szCs w:val="15"/>
                <w:color w:val="auto"/>
              </w:rPr>
            </w:pPr>
          </w:p>
        </w:tc>
        <w:tc>
          <w:tcPr>
            <w:tcW w:w="920" w:type="dxa"/>
            <w:vAlign w:val="bottom"/>
            <w:tcBorders>
              <w:bottom w:val="single" w:sz="8" w:color="959595"/>
            </w:tcBorders>
            <w:vMerge w:val="continue"/>
            <w:shd w:val="clear" w:color="auto" w:fill="ECECEC"/>
          </w:tcPr>
          <w:p>
            <w:pPr>
              <w:spacing w:after="0"/>
              <w:rPr>
                <w:sz w:val="15"/>
                <w:szCs w:val="15"/>
                <w:color w:val="auto"/>
              </w:rPr>
            </w:pPr>
          </w:p>
        </w:tc>
        <w:tc>
          <w:tcPr>
            <w:tcW w:w="40" w:type="dxa"/>
            <w:vAlign w:val="bottom"/>
            <w:tcBorders>
              <w:bottom w:val="single" w:sz="8" w:color="959595"/>
            </w:tcBorders>
            <w:shd w:val="clear" w:color="auto" w:fill="ECECEC"/>
          </w:tcPr>
          <w:p>
            <w:pPr>
              <w:spacing w:after="0"/>
              <w:rPr>
                <w:sz w:val="15"/>
                <w:szCs w:val="15"/>
                <w:color w:val="auto"/>
              </w:rPr>
            </w:pPr>
          </w:p>
        </w:tc>
        <w:tc>
          <w:tcPr>
            <w:tcW w:w="80" w:type="dxa"/>
            <w:vAlign w:val="bottom"/>
            <w:tcBorders>
              <w:bottom w:val="single" w:sz="8" w:color="959595"/>
            </w:tcBorders>
            <w:shd w:val="clear" w:color="auto" w:fill="ECECEC"/>
          </w:tcPr>
          <w:p>
            <w:pPr>
              <w:spacing w:after="0"/>
              <w:rPr>
                <w:sz w:val="15"/>
                <w:szCs w:val="15"/>
                <w:color w:val="auto"/>
              </w:rPr>
            </w:pPr>
          </w:p>
        </w:tc>
        <w:tc>
          <w:tcPr>
            <w:tcW w:w="820" w:type="dxa"/>
            <w:vAlign w:val="bottom"/>
            <w:tcBorders>
              <w:bottom w:val="single" w:sz="8" w:color="959595"/>
            </w:tcBorders>
            <w:vMerge w:val="continue"/>
            <w:shd w:val="clear" w:color="auto" w:fill="ECECEC"/>
          </w:tcPr>
          <w:p>
            <w:pPr>
              <w:spacing w:after="0"/>
              <w:rPr>
                <w:sz w:val="15"/>
                <w:szCs w:val="15"/>
                <w:color w:val="auto"/>
              </w:rPr>
            </w:pPr>
          </w:p>
        </w:tc>
        <w:tc>
          <w:tcPr>
            <w:tcW w:w="800" w:type="dxa"/>
            <w:vAlign w:val="bottom"/>
            <w:tcBorders>
              <w:bottom w:val="single" w:sz="8" w:color="959595"/>
            </w:tcBorders>
            <w:shd w:val="clear" w:color="auto" w:fill="ECECEC"/>
          </w:tcPr>
          <w:p>
            <w:pPr>
              <w:jc w:val="right"/>
              <w:spacing w:after="0"/>
              <w:rPr>
                <w:sz w:val="20"/>
                <w:szCs w:val="20"/>
                <w:color w:val="auto"/>
              </w:rPr>
            </w:pPr>
            <w:r>
              <w:rPr>
                <w:rFonts w:ascii="Arial" w:cs="Arial" w:eastAsia="Arial" w:hAnsi="Arial"/>
                <w:sz w:val="13"/>
                <w:szCs w:val="13"/>
                <w:color w:val="auto"/>
              </w:rPr>
              <w:t>Date</w:t>
            </w:r>
          </w:p>
        </w:tc>
        <w:tc>
          <w:tcPr>
            <w:tcW w:w="120" w:type="dxa"/>
            <w:vAlign w:val="bottom"/>
            <w:tcBorders>
              <w:bottom w:val="single" w:sz="8" w:color="959595"/>
            </w:tcBorders>
            <w:shd w:val="clear" w:color="auto" w:fill="ECECEC"/>
          </w:tcPr>
          <w:p>
            <w:pPr>
              <w:spacing w:after="0"/>
              <w:rPr>
                <w:sz w:val="15"/>
                <w:szCs w:val="15"/>
                <w:color w:val="auto"/>
              </w:rPr>
            </w:pPr>
          </w:p>
        </w:tc>
        <w:tc>
          <w:tcPr>
            <w:tcW w:w="220" w:type="dxa"/>
            <w:vAlign w:val="bottom"/>
            <w:tcBorders>
              <w:bottom w:val="single" w:sz="8" w:color="959595"/>
            </w:tcBorders>
            <w:shd w:val="clear" w:color="auto" w:fill="ECECEC"/>
          </w:tcPr>
          <w:p>
            <w:pPr>
              <w:spacing w:after="0"/>
              <w:rPr>
                <w:sz w:val="15"/>
                <w:szCs w:val="15"/>
                <w:color w:val="auto"/>
              </w:rPr>
            </w:pPr>
          </w:p>
        </w:tc>
        <w:tc>
          <w:tcPr>
            <w:tcW w:w="860" w:type="dxa"/>
            <w:vAlign w:val="bottom"/>
            <w:tcBorders>
              <w:bottom w:val="single" w:sz="8" w:color="959595"/>
            </w:tcBorders>
            <w:shd w:val="clear" w:color="auto" w:fill="ECECEC"/>
          </w:tcPr>
          <w:p>
            <w:pPr>
              <w:spacing w:after="0"/>
              <w:rPr>
                <w:sz w:val="15"/>
                <w:szCs w:val="15"/>
                <w:color w:val="auto"/>
              </w:rPr>
            </w:pPr>
          </w:p>
        </w:tc>
        <w:tc>
          <w:tcPr>
            <w:tcW w:w="380" w:type="dxa"/>
            <w:vAlign w:val="bottom"/>
            <w:tcBorders>
              <w:bottom w:val="single" w:sz="8" w:color="959595"/>
            </w:tcBorders>
            <w:vMerge w:val="continue"/>
            <w:shd w:val="clear" w:color="auto" w:fill="ECECEC"/>
          </w:tcPr>
          <w:p>
            <w:pPr>
              <w:spacing w:after="0"/>
              <w:rPr>
                <w:sz w:val="15"/>
                <w:szCs w:val="15"/>
                <w:color w:val="auto"/>
              </w:rPr>
            </w:pPr>
          </w:p>
        </w:tc>
        <w:tc>
          <w:tcPr>
            <w:tcW w:w="160" w:type="dxa"/>
            <w:vAlign w:val="bottom"/>
            <w:tcBorders>
              <w:bottom w:val="single" w:sz="8" w:color="959595"/>
            </w:tcBorders>
            <w:shd w:val="clear" w:color="auto" w:fill="ECECEC"/>
          </w:tcPr>
          <w:p>
            <w:pPr>
              <w:spacing w:after="0"/>
              <w:rPr>
                <w:sz w:val="15"/>
                <w:szCs w:val="15"/>
                <w:color w:val="auto"/>
              </w:rPr>
            </w:pPr>
          </w:p>
        </w:tc>
        <w:tc>
          <w:tcPr>
            <w:tcW w:w="1180" w:type="dxa"/>
            <w:vAlign w:val="bottom"/>
            <w:tcBorders>
              <w:bottom w:val="single" w:sz="8" w:color="959595"/>
            </w:tcBorders>
            <w:vMerge w:val="continue"/>
            <w:shd w:val="clear" w:color="auto" w:fill="ECECEC"/>
          </w:tcPr>
          <w:p>
            <w:pPr>
              <w:spacing w:after="0"/>
              <w:rPr>
                <w:sz w:val="15"/>
                <w:szCs w:val="15"/>
                <w:color w:val="auto"/>
              </w:rPr>
            </w:pPr>
          </w:p>
        </w:tc>
        <w:tc>
          <w:tcPr>
            <w:tcW w:w="880" w:type="dxa"/>
            <w:vAlign w:val="bottom"/>
            <w:tcBorders>
              <w:bottom w:val="single" w:sz="8" w:color="959595"/>
            </w:tcBorders>
            <w:shd w:val="clear" w:color="auto" w:fill="ECECEC"/>
          </w:tcPr>
          <w:p>
            <w:pPr>
              <w:spacing w:after="0"/>
              <w:rPr>
                <w:sz w:val="15"/>
                <w:szCs w:val="15"/>
                <w:color w:val="auto"/>
              </w:rPr>
            </w:pPr>
          </w:p>
        </w:tc>
        <w:tc>
          <w:tcPr>
            <w:tcW w:w="540" w:type="dxa"/>
            <w:vAlign w:val="bottom"/>
            <w:tcBorders>
              <w:bottom w:val="single" w:sz="8" w:color="959595"/>
            </w:tcBorders>
            <w:vMerge w:val="continue"/>
            <w:shd w:val="clear" w:color="auto" w:fill="ECECEC"/>
          </w:tcPr>
          <w:p>
            <w:pPr>
              <w:spacing w:after="0"/>
              <w:rPr>
                <w:sz w:val="15"/>
                <w:szCs w:val="15"/>
                <w:color w:val="auto"/>
              </w:rPr>
            </w:pPr>
          </w:p>
        </w:tc>
        <w:tc>
          <w:tcPr>
            <w:tcW w:w="1320" w:type="dxa"/>
            <w:vAlign w:val="bottom"/>
            <w:tcBorders>
              <w:bottom w:val="single" w:sz="8" w:color="959595"/>
            </w:tcBorders>
            <w:vMerge w:val="continue"/>
            <w:shd w:val="clear" w:color="auto" w:fill="ECECEC"/>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3100" w:type="dxa"/>
            <w:vAlign w:val="bottom"/>
            <w:tcBorders>
              <w:bottom w:val="single" w:sz="8" w:color="959595"/>
            </w:tcBorders>
            <w:shd w:val="clear" w:color="auto" w:fill="ECECEC"/>
          </w:tcPr>
          <w:p>
            <w:pPr>
              <w:ind w:left="40"/>
              <w:spacing w:after="0"/>
              <w:rPr>
                <w:sz w:val="20"/>
                <w:szCs w:val="20"/>
                <w:color w:val="auto"/>
              </w:rPr>
            </w:pPr>
            <w:r>
              <w:rPr>
                <w:rFonts w:ascii="Arial" w:cs="Arial" w:eastAsia="Arial" w:hAnsi="Arial"/>
                <w:sz w:val="13"/>
                <w:szCs w:val="13"/>
                <w:color w:val="auto"/>
              </w:rPr>
              <w:t>(a)</w:t>
            </w:r>
          </w:p>
        </w:tc>
        <w:tc>
          <w:tcPr>
            <w:tcW w:w="920" w:type="dxa"/>
            <w:vAlign w:val="bottom"/>
            <w:tcBorders>
              <w:bottom w:val="single" w:sz="8" w:color="959595"/>
            </w:tcBorders>
            <w:shd w:val="clear" w:color="auto" w:fill="ECECEC"/>
          </w:tcPr>
          <w:p>
            <w:pPr>
              <w:jc w:val="right"/>
              <w:spacing w:after="0"/>
              <w:rPr>
                <w:sz w:val="20"/>
                <w:szCs w:val="20"/>
                <w:color w:val="auto"/>
              </w:rPr>
            </w:pPr>
            <w:r>
              <w:rPr>
                <w:rFonts w:ascii="Arial" w:cs="Arial" w:eastAsia="Arial" w:hAnsi="Arial"/>
                <w:sz w:val="13"/>
                <w:szCs w:val="13"/>
                <w:color w:val="auto"/>
              </w:rPr>
              <w:t>(b)</w:t>
            </w:r>
          </w:p>
        </w:tc>
        <w:tc>
          <w:tcPr>
            <w:tcW w:w="40" w:type="dxa"/>
            <w:vAlign w:val="bottom"/>
            <w:tcBorders>
              <w:bottom w:val="single" w:sz="8" w:color="959595"/>
            </w:tcBorders>
            <w:shd w:val="clear" w:color="auto" w:fill="ECECEC"/>
          </w:tcPr>
          <w:p>
            <w:pPr>
              <w:spacing w:after="0"/>
              <w:rPr>
                <w:sz w:val="22"/>
                <w:szCs w:val="22"/>
                <w:color w:val="auto"/>
              </w:rPr>
            </w:pPr>
          </w:p>
        </w:tc>
        <w:tc>
          <w:tcPr>
            <w:tcW w:w="80" w:type="dxa"/>
            <w:vAlign w:val="bottom"/>
            <w:tcBorders>
              <w:bottom w:val="single" w:sz="8" w:color="959595"/>
            </w:tcBorders>
            <w:shd w:val="clear" w:color="auto" w:fill="ECECEC"/>
          </w:tcPr>
          <w:p>
            <w:pPr>
              <w:spacing w:after="0"/>
              <w:rPr>
                <w:sz w:val="22"/>
                <w:szCs w:val="22"/>
                <w:color w:val="auto"/>
              </w:rPr>
            </w:pPr>
          </w:p>
        </w:tc>
        <w:tc>
          <w:tcPr>
            <w:tcW w:w="820" w:type="dxa"/>
            <w:vAlign w:val="bottom"/>
            <w:tcBorders>
              <w:bottom w:val="single" w:sz="8" w:color="959595"/>
            </w:tcBorders>
            <w:shd w:val="clear" w:color="auto" w:fill="ECECEC"/>
          </w:tcPr>
          <w:p>
            <w:pPr>
              <w:jc w:val="right"/>
              <w:ind w:right="70"/>
              <w:spacing w:after="0"/>
              <w:rPr>
                <w:sz w:val="20"/>
                <w:szCs w:val="20"/>
                <w:color w:val="auto"/>
              </w:rPr>
            </w:pPr>
            <w:r>
              <w:rPr>
                <w:rFonts w:ascii="Arial" w:cs="Arial" w:eastAsia="Arial" w:hAnsi="Arial"/>
                <w:sz w:val="13"/>
                <w:szCs w:val="13"/>
                <w:color w:val="auto"/>
              </w:rPr>
              <w:t>(e)</w:t>
            </w:r>
          </w:p>
        </w:tc>
        <w:tc>
          <w:tcPr>
            <w:tcW w:w="800" w:type="dxa"/>
            <w:vAlign w:val="bottom"/>
            <w:tcBorders>
              <w:bottom w:val="single" w:sz="8" w:color="959595"/>
            </w:tcBorders>
            <w:shd w:val="clear" w:color="auto" w:fill="ECECEC"/>
          </w:tcPr>
          <w:p>
            <w:pPr>
              <w:jc w:val="right"/>
              <w:spacing w:after="0"/>
              <w:rPr>
                <w:sz w:val="20"/>
                <w:szCs w:val="20"/>
                <w:color w:val="auto"/>
              </w:rPr>
            </w:pPr>
            <w:r>
              <w:rPr>
                <w:rFonts w:ascii="Arial" w:cs="Arial" w:eastAsia="Arial" w:hAnsi="Arial"/>
                <w:sz w:val="13"/>
                <w:szCs w:val="13"/>
                <w:color w:val="auto"/>
              </w:rPr>
              <w:t>(f)</w:t>
            </w:r>
          </w:p>
        </w:tc>
        <w:tc>
          <w:tcPr>
            <w:tcW w:w="120" w:type="dxa"/>
            <w:vAlign w:val="bottom"/>
            <w:tcBorders>
              <w:bottom w:val="single" w:sz="8" w:color="959595"/>
            </w:tcBorders>
            <w:shd w:val="clear" w:color="auto" w:fill="ECECEC"/>
          </w:tcPr>
          <w:p>
            <w:pPr>
              <w:spacing w:after="0"/>
              <w:rPr>
                <w:sz w:val="22"/>
                <w:szCs w:val="22"/>
                <w:color w:val="auto"/>
              </w:rPr>
            </w:pPr>
          </w:p>
        </w:tc>
        <w:tc>
          <w:tcPr>
            <w:tcW w:w="220" w:type="dxa"/>
            <w:vAlign w:val="bottom"/>
            <w:tcBorders>
              <w:bottom w:val="single" w:sz="8" w:color="959595"/>
            </w:tcBorders>
            <w:shd w:val="clear" w:color="auto" w:fill="ECECEC"/>
          </w:tcPr>
          <w:p>
            <w:pPr>
              <w:spacing w:after="0"/>
              <w:rPr>
                <w:sz w:val="22"/>
                <w:szCs w:val="22"/>
                <w:color w:val="auto"/>
              </w:rPr>
            </w:pPr>
          </w:p>
        </w:tc>
        <w:tc>
          <w:tcPr>
            <w:tcW w:w="860" w:type="dxa"/>
            <w:vAlign w:val="bottom"/>
            <w:tcBorders>
              <w:bottom w:val="single" w:sz="8" w:color="959595"/>
            </w:tcBorders>
            <w:shd w:val="clear" w:color="auto" w:fill="ECECEC"/>
          </w:tcPr>
          <w:p>
            <w:pPr>
              <w:spacing w:after="0"/>
              <w:rPr>
                <w:sz w:val="22"/>
                <w:szCs w:val="22"/>
                <w:color w:val="auto"/>
              </w:rPr>
            </w:pPr>
          </w:p>
        </w:tc>
        <w:tc>
          <w:tcPr>
            <w:tcW w:w="380" w:type="dxa"/>
            <w:vAlign w:val="bottom"/>
            <w:tcBorders>
              <w:bottom w:val="single" w:sz="8" w:color="959595"/>
            </w:tcBorders>
            <w:shd w:val="clear" w:color="auto" w:fill="ECECEC"/>
          </w:tcPr>
          <w:p>
            <w:pPr>
              <w:jc w:val="right"/>
              <w:spacing w:after="0"/>
              <w:rPr>
                <w:sz w:val="20"/>
                <w:szCs w:val="20"/>
                <w:color w:val="auto"/>
              </w:rPr>
            </w:pPr>
            <w:r>
              <w:rPr>
                <w:rFonts w:ascii="Arial" w:cs="Arial" w:eastAsia="Arial" w:hAnsi="Arial"/>
                <w:sz w:val="13"/>
                <w:szCs w:val="13"/>
                <w:color w:val="auto"/>
              </w:rPr>
              <w:t>(g)</w:t>
            </w:r>
          </w:p>
        </w:tc>
        <w:tc>
          <w:tcPr>
            <w:tcW w:w="160" w:type="dxa"/>
            <w:vAlign w:val="bottom"/>
            <w:tcBorders>
              <w:bottom w:val="single" w:sz="8" w:color="959595"/>
            </w:tcBorders>
            <w:shd w:val="clear" w:color="auto" w:fill="ECECEC"/>
          </w:tcPr>
          <w:p>
            <w:pPr>
              <w:spacing w:after="0"/>
              <w:rPr>
                <w:sz w:val="22"/>
                <w:szCs w:val="22"/>
                <w:color w:val="auto"/>
              </w:rPr>
            </w:pPr>
          </w:p>
        </w:tc>
        <w:tc>
          <w:tcPr>
            <w:tcW w:w="1180" w:type="dxa"/>
            <w:vAlign w:val="bottom"/>
            <w:tcBorders>
              <w:bottom w:val="single" w:sz="8" w:color="959595"/>
            </w:tcBorders>
            <w:shd w:val="clear" w:color="auto" w:fill="ECECEC"/>
          </w:tcPr>
          <w:p>
            <w:pPr>
              <w:jc w:val="right"/>
              <w:ind w:right="170"/>
              <w:spacing w:after="0"/>
              <w:rPr>
                <w:sz w:val="20"/>
                <w:szCs w:val="20"/>
                <w:color w:val="auto"/>
              </w:rPr>
            </w:pPr>
            <w:r>
              <w:rPr>
                <w:rFonts w:ascii="Arial" w:cs="Arial" w:eastAsia="Arial" w:hAnsi="Arial"/>
                <w:sz w:val="13"/>
                <w:szCs w:val="13"/>
                <w:color w:val="auto"/>
              </w:rPr>
              <w:t>(h)</w:t>
            </w:r>
          </w:p>
        </w:tc>
        <w:tc>
          <w:tcPr>
            <w:tcW w:w="880" w:type="dxa"/>
            <w:vAlign w:val="bottom"/>
            <w:tcBorders>
              <w:bottom w:val="single" w:sz="8" w:color="959595"/>
            </w:tcBorders>
            <w:shd w:val="clear" w:color="auto" w:fill="ECECEC"/>
          </w:tcPr>
          <w:p>
            <w:pPr>
              <w:spacing w:after="0"/>
              <w:rPr>
                <w:sz w:val="22"/>
                <w:szCs w:val="22"/>
                <w:color w:val="auto"/>
              </w:rPr>
            </w:pPr>
          </w:p>
        </w:tc>
        <w:tc>
          <w:tcPr>
            <w:tcW w:w="540" w:type="dxa"/>
            <w:vAlign w:val="bottom"/>
            <w:tcBorders>
              <w:bottom w:val="single" w:sz="8" w:color="959595"/>
            </w:tcBorders>
            <w:shd w:val="clear" w:color="auto" w:fill="ECECEC"/>
          </w:tcPr>
          <w:p>
            <w:pPr>
              <w:jc w:val="right"/>
              <w:ind w:right="100"/>
              <w:spacing w:after="0"/>
              <w:rPr>
                <w:sz w:val="20"/>
                <w:szCs w:val="20"/>
                <w:color w:val="auto"/>
              </w:rPr>
            </w:pPr>
            <w:r>
              <w:rPr>
                <w:rFonts w:ascii="Arial" w:cs="Arial" w:eastAsia="Arial" w:hAnsi="Arial"/>
                <w:sz w:val="13"/>
                <w:szCs w:val="13"/>
                <w:color w:val="auto"/>
              </w:rPr>
              <w:t>(i)</w:t>
            </w:r>
          </w:p>
        </w:tc>
        <w:tc>
          <w:tcPr>
            <w:tcW w:w="1320" w:type="dxa"/>
            <w:vAlign w:val="bottom"/>
            <w:tcBorders>
              <w:bottom w:val="single" w:sz="8" w:color="959595"/>
            </w:tcBorders>
            <w:shd w:val="clear" w:color="auto" w:fill="ECECEC"/>
          </w:tcPr>
          <w:p>
            <w:pPr>
              <w:jc w:val="right"/>
              <w:ind w:right="30"/>
              <w:spacing w:after="0"/>
              <w:rPr>
                <w:sz w:val="20"/>
                <w:szCs w:val="20"/>
                <w:color w:val="auto"/>
              </w:rPr>
            </w:pPr>
            <w:r>
              <w:rPr>
                <w:rFonts w:ascii="Arial" w:cs="Arial" w:eastAsia="Arial" w:hAnsi="Arial"/>
                <w:sz w:val="13"/>
                <w:szCs w:val="13"/>
                <w:color w:val="auto"/>
              </w:rPr>
              <w:t>(j)</w:t>
            </w:r>
          </w:p>
        </w:tc>
        <w:tc>
          <w:tcPr>
            <w:tcW w:w="0" w:type="dxa"/>
            <w:vAlign w:val="bottom"/>
          </w:tcPr>
          <w:p>
            <w:pPr>
              <w:spacing w:after="0"/>
              <w:rPr>
                <w:sz w:val="1"/>
                <w:szCs w:val="1"/>
                <w:color w:val="auto"/>
              </w:rPr>
            </w:pPr>
          </w:p>
        </w:tc>
      </w:tr>
      <w:tr>
        <w:trPr>
          <w:trHeight w:val="269"/>
        </w:trPr>
        <w:tc>
          <w:tcPr>
            <w:tcW w:w="3100" w:type="dxa"/>
            <w:vAlign w:val="bottom"/>
          </w:tcPr>
          <w:p>
            <w:pPr>
              <w:ind w:left="40"/>
              <w:spacing w:after="0"/>
              <w:rPr>
                <w:sz w:val="20"/>
                <w:szCs w:val="20"/>
                <w:color w:val="auto"/>
              </w:rPr>
            </w:pPr>
            <w:r>
              <w:rPr>
                <w:rFonts w:ascii="Arial" w:cs="Arial" w:eastAsia="Arial" w:hAnsi="Arial"/>
                <w:sz w:val="14"/>
                <w:szCs w:val="14"/>
                <w:b w:val="1"/>
                <w:bCs w:val="1"/>
                <w:color w:val="012E6C"/>
              </w:rPr>
              <w:t>Marillyn A. Hewson</w:t>
            </w:r>
          </w:p>
        </w:tc>
        <w:tc>
          <w:tcPr>
            <w:tcW w:w="960" w:type="dxa"/>
            <w:vAlign w:val="bottom"/>
            <w:tcBorders>
              <w:bottom w:val="single" w:sz="8" w:color="959595"/>
            </w:tcBorders>
            <w:gridSpan w:val="2"/>
          </w:tcPr>
          <w:p>
            <w:pPr>
              <w:jc w:val="right"/>
              <w:ind w:right="40"/>
              <w:spacing w:after="0"/>
              <w:rPr>
                <w:sz w:val="20"/>
                <w:szCs w:val="20"/>
                <w:color w:val="auto"/>
              </w:rPr>
            </w:pPr>
            <w:r>
              <w:rPr>
                <w:rFonts w:ascii="Arial" w:cs="Arial" w:eastAsia="Arial" w:hAnsi="Arial"/>
                <w:sz w:val="14"/>
                <w:szCs w:val="14"/>
                <w:color w:val="auto"/>
              </w:rPr>
              <w:t>82,935</w:t>
            </w:r>
          </w:p>
        </w:tc>
        <w:tc>
          <w:tcPr>
            <w:tcW w:w="900" w:type="dxa"/>
            <w:vAlign w:val="bottom"/>
            <w:tcBorders>
              <w:bottom w:val="single" w:sz="8" w:color="959595"/>
            </w:tcBorders>
            <w:gridSpan w:val="2"/>
          </w:tcPr>
          <w:p>
            <w:pPr>
              <w:jc w:val="right"/>
              <w:ind w:right="70"/>
              <w:spacing w:after="0"/>
              <w:rPr>
                <w:sz w:val="20"/>
                <w:szCs w:val="20"/>
                <w:color w:val="auto"/>
              </w:rPr>
            </w:pPr>
            <w:r>
              <w:rPr>
                <w:rFonts w:ascii="Arial" w:cs="Arial" w:eastAsia="Arial" w:hAnsi="Arial"/>
                <w:sz w:val="14"/>
                <w:szCs w:val="14"/>
                <w:color w:val="auto"/>
              </w:rPr>
              <w:t>82.01</w:t>
            </w:r>
          </w:p>
        </w:tc>
        <w:tc>
          <w:tcPr>
            <w:tcW w:w="8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1/28/2022</w:t>
            </w:r>
          </w:p>
        </w:tc>
        <w:tc>
          <w:tcPr>
            <w:tcW w:w="120" w:type="dxa"/>
            <w:vAlign w:val="bottom"/>
            <w:tcBorders>
              <w:bottom w:val="single" w:sz="8" w:color="959595"/>
            </w:tcBorders>
          </w:tcPr>
          <w:p>
            <w:pPr>
              <w:spacing w:after="0"/>
              <w:rPr>
                <w:sz w:val="23"/>
                <w:szCs w:val="23"/>
                <w:color w:val="auto"/>
              </w:rPr>
            </w:pPr>
          </w:p>
        </w:tc>
        <w:tc>
          <w:tcPr>
            <w:tcW w:w="1080" w:type="dxa"/>
            <w:vAlign w:val="bottom"/>
            <w:tcBorders>
              <w:bottom w:val="single" w:sz="8" w:color="959595"/>
            </w:tcBorders>
            <w:gridSpan w:val="2"/>
          </w:tcPr>
          <w:p>
            <w:pPr>
              <w:jc w:val="right"/>
              <w:spacing w:after="0"/>
              <w:rPr>
                <w:sz w:val="20"/>
                <w:szCs w:val="20"/>
                <w:color w:val="auto"/>
              </w:rPr>
            </w:pPr>
            <w:r>
              <w:rPr>
                <w:rFonts w:ascii="Arial" w:cs="Arial" w:eastAsia="Arial" w:hAnsi="Arial"/>
                <w:sz w:val="14"/>
                <w:szCs w:val="14"/>
                <w:color w:val="auto"/>
              </w:rPr>
              <w:t>9,926</w:t>
            </w:r>
          </w:p>
        </w:tc>
        <w:tc>
          <w:tcPr>
            <w:tcW w:w="380" w:type="dxa"/>
            <w:vAlign w:val="bottom"/>
            <w:tcBorders>
              <w:bottom w:val="single" w:sz="8" w:color="959595"/>
            </w:tcBorders>
          </w:tcPr>
          <w:p>
            <w:pPr>
              <w:ind w:left="80"/>
              <w:spacing w:after="0"/>
              <w:rPr>
                <w:sz w:val="20"/>
                <w:szCs w:val="20"/>
                <w:color w:val="auto"/>
              </w:rPr>
            </w:pPr>
            <w:r>
              <w:rPr>
                <w:rFonts w:ascii="Arial" w:cs="Arial" w:eastAsia="Arial" w:hAnsi="Arial"/>
                <w:sz w:val="12"/>
                <w:szCs w:val="12"/>
                <w:color w:val="auto"/>
              </w:rPr>
              <w:t>5</w:t>
            </w:r>
          </w:p>
        </w:tc>
        <w:tc>
          <w:tcPr>
            <w:tcW w:w="160" w:type="dxa"/>
            <w:vAlign w:val="bottom"/>
            <w:tcBorders>
              <w:bottom w:val="single" w:sz="8" w:color="959595"/>
            </w:tcBorders>
          </w:tcPr>
          <w:p>
            <w:pPr>
              <w:spacing w:after="0"/>
              <w:rPr>
                <w:sz w:val="23"/>
                <w:szCs w:val="23"/>
                <w:color w:val="auto"/>
              </w:rPr>
            </w:pPr>
          </w:p>
        </w:tc>
        <w:tc>
          <w:tcPr>
            <w:tcW w:w="1180" w:type="dxa"/>
            <w:vAlign w:val="bottom"/>
            <w:tcBorders>
              <w:bottom w:val="single" w:sz="8" w:color="959595"/>
            </w:tcBorders>
          </w:tcPr>
          <w:p>
            <w:pPr>
              <w:jc w:val="right"/>
              <w:ind w:right="170"/>
              <w:spacing w:after="0"/>
              <w:rPr>
                <w:sz w:val="20"/>
                <w:szCs w:val="20"/>
                <w:color w:val="auto"/>
              </w:rPr>
            </w:pPr>
            <w:r>
              <w:rPr>
                <w:rFonts w:ascii="Arial" w:cs="Arial" w:eastAsia="Arial" w:hAnsi="Arial"/>
                <w:sz w:val="14"/>
                <w:szCs w:val="14"/>
                <w:color w:val="auto"/>
              </w:rPr>
              <w:t>2,599,024</w:t>
            </w:r>
          </w:p>
        </w:tc>
        <w:tc>
          <w:tcPr>
            <w:tcW w:w="8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19,132</w:t>
            </w:r>
          </w:p>
        </w:tc>
        <w:tc>
          <w:tcPr>
            <w:tcW w:w="540" w:type="dxa"/>
            <w:vAlign w:val="bottom"/>
            <w:tcBorders>
              <w:bottom w:val="single" w:sz="8" w:color="959595"/>
            </w:tcBorders>
          </w:tcPr>
          <w:p>
            <w:pPr>
              <w:jc w:val="center"/>
              <w:ind w:right="260"/>
              <w:spacing w:after="0"/>
              <w:rPr>
                <w:sz w:val="20"/>
                <w:szCs w:val="20"/>
                <w:color w:val="auto"/>
              </w:rPr>
            </w:pPr>
            <w:r>
              <w:rPr>
                <w:rFonts w:ascii="Arial" w:cs="Arial" w:eastAsia="Arial" w:hAnsi="Arial"/>
                <w:sz w:val="12"/>
                <w:szCs w:val="12"/>
                <w:color w:val="auto"/>
                <w:w w:val="89"/>
              </w:rPr>
              <w:t>6</w:t>
            </w:r>
          </w:p>
        </w:tc>
        <w:tc>
          <w:tcPr>
            <w:tcW w:w="1320" w:type="dxa"/>
            <w:vAlign w:val="bottom"/>
            <w:tcBorders>
              <w:bottom w:val="single" w:sz="8" w:color="959595"/>
            </w:tcBorders>
          </w:tcPr>
          <w:p>
            <w:pPr>
              <w:jc w:val="right"/>
              <w:ind w:right="30"/>
              <w:spacing w:after="0"/>
              <w:rPr>
                <w:sz w:val="20"/>
                <w:szCs w:val="20"/>
                <w:color w:val="auto"/>
              </w:rPr>
            </w:pPr>
            <w:r>
              <w:rPr>
                <w:rFonts w:ascii="Arial" w:cs="Arial" w:eastAsia="Arial" w:hAnsi="Arial"/>
                <w:sz w:val="14"/>
                <w:szCs w:val="14"/>
                <w:color w:val="auto"/>
              </w:rPr>
              <w:t>5,009,523</w:t>
            </w:r>
          </w:p>
        </w:tc>
        <w:tc>
          <w:tcPr>
            <w:tcW w:w="0" w:type="dxa"/>
            <w:vAlign w:val="bottom"/>
          </w:tcPr>
          <w:p>
            <w:pPr>
              <w:spacing w:after="0"/>
              <w:rPr>
                <w:sz w:val="1"/>
                <w:szCs w:val="1"/>
                <w:color w:val="auto"/>
              </w:rPr>
            </w:pPr>
          </w:p>
        </w:tc>
      </w:tr>
      <w:tr>
        <w:trPr>
          <w:trHeight w:val="261"/>
        </w:trPr>
        <w:tc>
          <w:tcPr>
            <w:tcW w:w="3100" w:type="dxa"/>
            <w:vAlign w:val="bottom"/>
          </w:tcPr>
          <w:p>
            <w:pPr>
              <w:spacing w:after="0"/>
              <w:rPr>
                <w:sz w:val="22"/>
                <w:szCs w:val="22"/>
                <w:color w:val="auto"/>
              </w:rPr>
            </w:pPr>
          </w:p>
        </w:tc>
        <w:tc>
          <w:tcPr>
            <w:tcW w:w="960" w:type="dxa"/>
            <w:vAlign w:val="bottom"/>
            <w:tcBorders>
              <w:bottom w:val="single" w:sz="8" w:color="959595"/>
            </w:tcBorders>
            <w:gridSpan w:val="2"/>
          </w:tcPr>
          <w:p>
            <w:pPr>
              <w:jc w:val="right"/>
              <w:ind w:right="40"/>
              <w:spacing w:after="0"/>
              <w:rPr>
                <w:sz w:val="20"/>
                <w:szCs w:val="20"/>
                <w:color w:val="auto"/>
              </w:rPr>
            </w:pPr>
            <w:r>
              <w:rPr>
                <w:rFonts w:ascii="Arial" w:cs="Arial" w:eastAsia="Arial" w:hAnsi="Arial"/>
                <w:sz w:val="14"/>
                <w:szCs w:val="14"/>
                <w:color w:val="auto"/>
              </w:rPr>
              <w:t>59,434</w:t>
            </w:r>
          </w:p>
        </w:tc>
        <w:tc>
          <w:tcPr>
            <w:tcW w:w="900" w:type="dxa"/>
            <w:vAlign w:val="bottom"/>
            <w:tcBorders>
              <w:bottom w:val="single" w:sz="8" w:color="959595"/>
            </w:tcBorders>
            <w:gridSpan w:val="2"/>
          </w:tcPr>
          <w:p>
            <w:pPr>
              <w:jc w:val="right"/>
              <w:ind w:right="70"/>
              <w:spacing w:after="0"/>
              <w:rPr>
                <w:sz w:val="20"/>
                <w:szCs w:val="20"/>
                <w:color w:val="auto"/>
              </w:rPr>
            </w:pPr>
            <w:r>
              <w:rPr>
                <w:rFonts w:ascii="Arial" w:cs="Arial" w:eastAsia="Arial" w:hAnsi="Arial"/>
                <w:sz w:val="14"/>
                <w:szCs w:val="14"/>
                <w:color w:val="auto"/>
              </w:rPr>
              <w:t>79.60</w:t>
            </w:r>
          </w:p>
        </w:tc>
        <w:tc>
          <w:tcPr>
            <w:tcW w:w="8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1/29/2021</w:t>
            </w:r>
          </w:p>
        </w:tc>
        <w:tc>
          <w:tcPr>
            <w:tcW w:w="120" w:type="dxa"/>
            <w:vAlign w:val="bottom"/>
            <w:tcBorders>
              <w:bottom w:val="single" w:sz="8" w:color="959595"/>
            </w:tcBorders>
          </w:tcPr>
          <w:p>
            <w:pPr>
              <w:spacing w:after="0"/>
              <w:rPr>
                <w:sz w:val="22"/>
                <w:szCs w:val="22"/>
                <w:color w:val="auto"/>
              </w:rPr>
            </w:pPr>
          </w:p>
        </w:tc>
        <w:tc>
          <w:tcPr>
            <w:tcW w:w="1080" w:type="dxa"/>
            <w:vAlign w:val="bottom"/>
            <w:tcBorders>
              <w:bottom w:val="single" w:sz="8" w:color="959595"/>
            </w:tcBorders>
            <w:gridSpan w:val="2"/>
          </w:tcPr>
          <w:p>
            <w:pPr>
              <w:jc w:val="right"/>
              <w:spacing w:after="0"/>
              <w:rPr>
                <w:sz w:val="20"/>
                <w:szCs w:val="20"/>
                <w:color w:val="auto"/>
              </w:rPr>
            </w:pPr>
            <w:r>
              <w:rPr>
                <w:rFonts w:ascii="Arial" w:cs="Arial" w:eastAsia="Arial" w:hAnsi="Arial"/>
                <w:sz w:val="14"/>
                <w:szCs w:val="14"/>
                <w:color w:val="auto"/>
              </w:rPr>
              <w:t>13,396</w:t>
            </w:r>
          </w:p>
        </w:tc>
        <w:tc>
          <w:tcPr>
            <w:tcW w:w="380" w:type="dxa"/>
            <w:vAlign w:val="bottom"/>
            <w:tcBorders>
              <w:bottom w:val="single" w:sz="8" w:color="959595"/>
            </w:tcBorders>
          </w:tcPr>
          <w:p>
            <w:pPr>
              <w:ind w:left="80"/>
              <w:spacing w:after="0"/>
              <w:rPr>
                <w:sz w:val="20"/>
                <w:szCs w:val="20"/>
                <w:color w:val="auto"/>
              </w:rPr>
            </w:pPr>
            <w:r>
              <w:rPr>
                <w:rFonts w:ascii="Arial" w:cs="Arial" w:eastAsia="Arial" w:hAnsi="Arial"/>
                <w:sz w:val="12"/>
                <w:szCs w:val="12"/>
                <w:color w:val="auto"/>
              </w:rPr>
              <w:t>7</w:t>
            </w:r>
          </w:p>
        </w:tc>
        <w:tc>
          <w:tcPr>
            <w:tcW w:w="160" w:type="dxa"/>
            <w:vAlign w:val="bottom"/>
            <w:tcBorders>
              <w:bottom w:val="single" w:sz="8" w:color="959595"/>
            </w:tcBorders>
          </w:tcPr>
          <w:p>
            <w:pPr>
              <w:spacing w:after="0"/>
              <w:rPr>
                <w:sz w:val="22"/>
                <w:szCs w:val="22"/>
                <w:color w:val="auto"/>
              </w:rPr>
            </w:pPr>
          </w:p>
        </w:tc>
        <w:tc>
          <w:tcPr>
            <w:tcW w:w="1180" w:type="dxa"/>
            <w:vAlign w:val="bottom"/>
            <w:tcBorders>
              <w:bottom w:val="single" w:sz="8" w:color="959595"/>
            </w:tcBorders>
          </w:tcPr>
          <w:p>
            <w:pPr>
              <w:jc w:val="right"/>
              <w:ind w:right="170"/>
              <w:spacing w:after="0"/>
              <w:rPr>
                <w:sz w:val="20"/>
                <w:szCs w:val="20"/>
                <w:color w:val="auto"/>
              </w:rPr>
            </w:pPr>
            <w:r>
              <w:rPr>
                <w:rFonts w:ascii="Arial" w:cs="Arial" w:eastAsia="Arial" w:hAnsi="Arial"/>
                <w:sz w:val="14"/>
                <w:szCs w:val="14"/>
                <w:color w:val="auto"/>
              </w:rPr>
              <w:t>3,507,609</w:t>
            </w:r>
          </w:p>
        </w:tc>
        <w:tc>
          <w:tcPr>
            <w:tcW w:w="8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30,113</w:t>
            </w:r>
          </w:p>
        </w:tc>
        <w:tc>
          <w:tcPr>
            <w:tcW w:w="540" w:type="dxa"/>
            <w:vAlign w:val="bottom"/>
            <w:tcBorders>
              <w:bottom w:val="single" w:sz="8" w:color="959595"/>
            </w:tcBorders>
          </w:tcPr>
          <w:p>
            <w:pPr>
              <w:jc w:val="center"/>
              <w:ind w:right="260"/>
              <w:spacing w:after="0"/>
              <w:rPr>
                <w:sz w:val="20"/>
                <w:szCs w:val="20"/>
                <w:color w:val="auto"/>
              </w:rPr>
            </w:pPr>
            <w:r>
              <w:rPr>
                <w:rFonts w:ascii="Arial" w:cs="Arial" w:eastAsia="Arial" w:hAnsi="Arial"/>
                <w:sz w:val="12"/>
                <w:szCs w:val="12"/>
                <w:color w:val="auto"/>
                <w:w w:val="89"/>
              </w:rPr>
              <w:t>8</w:t>
            </w:r>
          </w:p>
        </w:tc>
        <w:tc>
          <w:tcPr>
            <w:tcW w:w="1320" w:type="dxa"/>
            <w:vAlign w:val="bottom"/>
            <w:tcBorders>
              <w:bottom w:val="single" w:sz="8" w:color="959595"/>
            </w:tcBorders>
          </w:tcPr>
          <w:p>
            <w:pPr>
              <w:jc w:val="right"/>
              <w:ind w:right="30"/>
              <w:spacing w:after="0"/>
              <w:rPr>
                <w:sz w:val="20"/>
                <w:szCs w:val="20"/>
                <w:color w:val="auto"/>
              </w:rPr>
            </w:pPr>
            <w:r>
              <w:rPr>
                <w:rFonts w:ascii="Arial" w:cs="Arial" w:eastAsia="Arial" w:hAnsi="Arial"/>
                <w:sz w:val="14"/>
                <w:szCs w:val="14"/>
                <w:color w:val="auto"/>
              </w:rPr>
              <w:t>7,884,788</w:t>
            </w:r>
          </w:p>
        </w:tc>
        <w:tc>
          <w:tcPr>
            <w:tcW w:w="0" w:type="dxa"/>
            <w:vAlign w:val="bottom"/>
          </w:tcPr>
          <w:p>
            <w:pPr>
              <w:spacing w:after="0"/>
              <w:rPr>
                <w:sz w:val="1"/>
                <w:szCs w:val="1"/>
                <w:color w:val="auto"/>
              </w:rPr>
            </w:pPr>
          </w:p>
        </w:tc>
      </w:tr>
      <w:tr>
        <w:trPr>
          <w:trHeight w:val="264"/>
        </w:trPr>
        <w:tc>
          <w:tcPr>
            <w:tcW w:w="3100" w:type="dxa"/>
            <w:vAlign w:val="bottom"/>
          </w:tcPr>
          <w:p>
            <w:pPr>
              <w:spacing w:after="0"/>
              <w:rPr>
                <w:sz w:val="22"/>
                <w:szCs w:val="22"/>
                <w:color w:val="auto"/>
              </w:rPr>
            </w:pPr>
          </w:p>
        </w:tc>
        <w:tc>
          <w:tcPr>
            <w:tcW w:w="960" w:type="dxa"/>
            <w:vAlign w:val="bottom"/>
            <w:tcBorders>
              <w:bottom w:val="single" w:sz="8" w:color="959595"/>
            </w:tcBorders>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959595"/>
            </w:tcBorders>
          </w:tcPr>
          <w:p>
            <w:pPr>
              <w:spacing w:after="0"/>
              <w:rPr>
                <w:sz w:val="22"/>
                <w:szCs w:val="22"/>
                <w:color w:val="auto"/>
              </w:rPr>
            </w:pPr>
          </w:p>
        </w:tc>
        <w:tc>
          <w:tcPr>
            <w:tcW w:w="820" w:type="dxa"/>
            <w:vAlign w:val="bottom"/>
            <w:tcBorders>
              <w:bottom w:val="single" w:sz="8" w:color="959595"/>
            </w:tcBorders>
          </w:tcPr>
          <w:p>
            <w:pPr>
              <w:jc w:val="right"/>
              <w:ind w:right="7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959595"/>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59595"/>
            </w:tcBorders>
            <w:gridSpan w:val="2"/>
          </w:tcPr>
          <w:p>
            <w:pPr>
              <w:jc w:val="right"/>
              <w:spacing w:after="0"/>
              <w:rPr>
                <w:sz w:val="20"/>
                <w:szCs w:val="20"/>
                <w:color w:val="auto"/>
              </w:rPr>
            </w:pPr>
            <w:r>
              <w:rPr>
                <w:rFonts w:ascii="Arial" w:cs="Arial" w:eastAsia="Arial" w:hAnsi="Arial"/>
                <w:sz w:val="14"/>
                <w:szCs w:val="14"/>
                <w:color w:val="auto"/>
              </w:rPr>
              <w:t>16,005</w:t>
            </w:r>
          </w:p>
        </w:tc>
        <w:tc>
          <w:tcPr>
            <w:tcW w:w="380" w:type="dxa"/>
            <w:vAlign w:val="bottom"/>
            <w:tcBorders>
              <w:bottom w:val="single" w:sz="8" w:color="959595"/>
            </w:tcBorders>
          </w:tcPr>
          <w:p>
            <w:pPr>
              <w:ind w:left="80"/>
              <w:spacing w:after="0"/>
              <w:rPr>
                <w:sz w:val="20"/>
                <w:szCs w:val="20"/>
                <w:color w:val="auto"/>
              </w:rPr>
            </w:pPr>
            <w:r>
              <w:rPr>
                <w:rFonts w:ascii="Arial" w:cs="Arial" w:eastAsia="Arial" w:hAnsi="Arial"/>
                <w:sz w:val="12"/>
                <w:szCs w:val="12"/>
                <w:color w:val="auto"/>
              </w:rPr>
              <w:t>9</w:t>
            </w:r>
          </w:p>
        </w:tc>
        <w:tc>
          <w:tcPr>
            <w:tcW w:w="160" w:type="dxa"/>
            <w:vAlign w:val="bottom"/>
            <w:tcBorders>
              <w:bottom w:val="single" w:sz="8" w:color="959595"/>
            </w:tcBorders>
          </w:tcPr>
          <w:p>
            <w:pPr>
              <w:spacing w:after="0"/>
              <w:rPr>
                <w:sz w:val="22"/>
                <w:szCs w:val="22"/>
                <w:color w:val="auto"/>
              </w:rPr>
            </w:pPr>
          </w:p>
        </w:tc>
        <w:tc>
          <w:tcPr>
            <w:tcW w:w="1180" w:type="dxa"/>
            <w:vAlign w:val="bottom"/>
            <w:tcBorders>
              <w:bottom w:val="single" w:sz="8" w:color="959595"/>
            </w:tcBorders>
          </w:tcPr>
          <w:p>
            <w:pPr>
              <w:jc w:val="right"/>
              <w:ind w:right="170"/>
              <w:spacing w:after="0"/>
              <w:rPr>
                <w:sz w:val="20"/>
                <w:szCs w:val="20"/>
                <w:color w:val="auto"/>
              </w:rPr>
            </w:pPr>
            <w:r>
              <w:rPr>
                <w:rFonts w:ascii="Arial" w:cs="Arial" w:eastAsia="Arial" w:hAnsi="Arial"/>
                <w:sz w:val="14"/>
                <w:szCs w:val="14"/>
                <w:color w:val="auto"/>
              </w:rPr>
              <w:t>4,190,749</w:t>
            </w:r>
          </w:p>
        </w:tc>
        <w:tc>
          <w:tcPr>
            <w:tcW w:w="8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959595"/>
            </w:tcBorders>
          </w:tcPr>
          <w:p>
            <w:pPr>
              <w:spacing w:after="0"/>
              <w:rPr>
                <w:sz w:val="22"/>
                <w:szCs w:val="22"/>
                <w:color w:val="auto"/>
              </w:rPr>
            </w:pPr>
          </w:p>
        </w:tc>
        <w:tc>
          <w:tcPr>
            <w:tcW w:w="1320" w:type="dxa"/>
            <w:vAlign w:val="bottom"/>
            <w:tcBorders>
              <w:bottom w:val="single" w:sz="8" w:color="959595"/>
            </w:tcBorders>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100" w:type="dxa"/>
            <w:vAlign w:val="bottom"/>
            <w:tcBorders>
              <w:bottom w:val="single" w:sz="8" w:color="959595"/>
            </w:tcBorders>
          </w:tcPr>
          <w:p>
            <w:pPr>
              <w:spacing w:after="0"/>
              <w:rPr>
                <w:sz w:val="22"/>
                <w:szCs w:val="22"/>
                <w:color w:val="auto"/>
              </w:rPr>
            </w:pPr>
          </w:p>
        </w:tc>
        <w:tc>
          <w:tcPr>
            <w:tcW w:w="960" w:type="dxa"/>
            <w:vAlign w:val="bottom"/>
            <w:tcBorders>
              <w:bottom w:val="single" w:sz="8" w:color="959595"/>
            </w:tcBorders>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959595"/>
            </w:tcBorders>
          </w:tcPr>
          <w:p>
            <w:pPr>
              <w:spacing w:after="0"/>
              <w:rPr>
                <w:sz w:val="22"/>
                <w:szCs w:val="22"/>
                <w:color w:val="auto"/>
              </w:rPr>
            </w:pPr>
          </w:p>
        </w:tc>
        <w:tc>
          <w:tcPr>
            <w:tcW w:w="820" w:type="dxa"/>
            <w:vAlign w:val="bottom"/>
            <w:tcBorders>
              <w:bottom w:val="single" w:sz="8" w:color="959595"/>
            </w:tcBorders>
          </w:tcPr>
          <w:p>
            <w:pPr>
              <w:jc w:val="right"/>
              <w:ind w:right="7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959595"/>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59595"/>
            </w:tcBorders>
            <w:gridSpan w:val="2"/>
          </w:tcPr>
          <w:p>
            <w:pPr>
              <w:jc w:val="right"/>
              <w:spacing w:after="0"/>
              <w:rPr>
                <w:sz w:val="20"/>
                <w:szCs w:val="20"/>
                <w:color w:val="auto"/>
              </w:rPr>
            </w:pPr>
            <w:r>
              <w:rPr>
                <w:rFonts w:ascii="Arial" w:cs="Arial" w:eastAsia="Arial" w:hAnsi="Arial"/>
                <w:sz w:val="14"/>
                <w:szCs w:val="14"/>
                <w:color w:val="auto"/>
              </w:rPr>
              <w:t>37,753</w:t>
            </w:r>
          </w:p>
        </w:tc>
        <w:tc>
          <w:tcPr>
            <w:tcW w:w="380" w:type="dxa"/>
            <w:vAlign w:val="bottom"/>
            <w:tcBorders>
              <w:bottom w:val="single" w:sz="8" w:color="959595"/>
            </w:tcBorders>
          </w:tcPr>
          <w:p>
            <w:pPr>
              <w:ind w:left="80"/>
              <w:spacing w:after="0"/>
              <w:rPr>
                <w:sz w:val="20"/>
                <w:szCs w:val="20"/>
                <w:color w:val="auto"/>
              </w:rPr>
            </w:pPr>
            <w:r>
              <w:rPr>
                <w:rFonts w:ascii="Arial" w:cs="Arial" w:eastAsia="Arial" w:hAnsi="Arial"/>
                <w:sz w:val="12"/>
                <w:szCs w:val="12"/>
                <w:color w:val="auto"/>
              </w:rPr>
              <w:t>10</w:t>
            </w:r>
          </w:p>
        </w:tc>
        <w:tc>
          <w:tcPr>
            <w:tcW w:w="160" w:type="dxa"/>
            <w:vAlign w:val="bottom"/>
            <w:tcBorders>
              <w:bottom w:val="single" w:sz="8" w:color="959595"/>
            </w:tcBorders>
          </w:tcPr>
          <w:p>
            <w:pPr>
              <w:spacing w:after="0"/>
              <w:rPr>
                <w:sz w:val="22"/>
                <w:szCs w:val="22"/>
                <w:color w:val="auto"/>
              </w:rPr>
            </w:pPr>
          </w:p>
        </w:tc>
        <w:tc>
          <w:tcPr>
            <w:tcW w:w="1180" w:type="dxa"/>
            <w:vAlign w:val="bottom"/>
            <w:tcBorders>
              <w:bottom w:val="single" w:sz="8" w:color="959595"/>
            </w:tcBorders>
          </w:tcPr>
          <w:p>
            <w:pPr>
              <w:jc w:val="right"/>
              <w:ind w:right="170"/>
              <w:spacing w:after="0"/>
              <w:rPr>
                <w:sz w:val="20"/>
                <w:szCs w:val="20"/>
                <w:color w:val="auto"/>
              </w:rPr>
            </w:pPr>
            <w:r>
              <w:rPr>
                <w:rFonts w:ascii="Arial" w:cs="Arial" w:eastAsia="Arial" w:hAnsi="Arial"/>
                <w:sz w:val="14"/>
                <w:szCs w:val="14"/>
                <w:color w:val="auto"/>
              </w:rPr>
              <w:t>9,885,246</w:t>
            </w:r>
          </w:p>
        </w:tc>
        <w:tc>
          <w:tcPr>
            <w:tcW w:w="8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959595"/>
            </w:tcBorders>
          </w:tcPr>
          <w:p>
            <w:pPr>
              <w:spacing w:after="0"/>
              <w:rPr>
                <w:sz w:val="22"/>
                <w:szCs w:val="22"/>
                <w:color w:val="auto"/>
              </w:rPr>
            </w:pPr>
          </w:p>
        </w:tc>
        <w:tc>
          <w:tcPr>
            <w:tcW w:w="1320" w:type="dxa"/>
            <w:vAlign w:val="bottom"/>
            <w:tcBorders>
              <w:bottom w:val="single" w:sz="8" w:color="959595"/>
            </w:tcBorders>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7"/>
        </w:trPr>
        <w:tc>
          <w:tcPr>
            <w:tcW w:w="3100" w:type="dxa"/>
            <w:vAlign w:val="bottom"/>
          </w:tcPr>
          <w:p>
            <w:pPr>
              <w:ind w:left="40"/>
              <w:spacing w:after="0"/>
              <w:rPr>
                <w:sz w:val="20"/>
                <w:szCs w:val="20"/>
                <w:color w:val="auto"/>
              </w:rPr>
            </w:pPr>
            <w:r>
              <w:rPr>
                <w:rFonts w:ascii="Arial" w:cs="Arial" w:eastAsia="Arial" w:hAnsi="Arial"/>
                <w:sz w:val="14"/>
                <w:szCs w:val="14"/>
                <w:b w:val="1"/>
                <w:bCs w:val="1"/>
                <w:color w:val="012E6C"/>
              </w:rPr>
              <w:t>Bruce L. Tanner</w:t>
            </w:r>
          </w:p>
        </w:tc>
        <w:tc>
          <w:tcPr>
            <w:tcW w:w="960" w:type="dxa"/>
            <w:vAlign w:val="bottom"/>
            <w:tcBorders>
              <w:bottom w:val="single" w:sz="8" w:color="959595"/>
            </w:tcBorders>
            <w:gridSpan w:val="2"/>
          </w:tcPr>
          <w:p>
            <w:pPr>
              <w:jc w:val="right"/>
              <w:ind w:right="40"/>
              <w:spacing w:after="0"/>
              <w:rPr>
                <w:sz w:val="20"/>
                <w:szCs w:val="20"/>
                <w:color w:val="auto"/>
              </w:rPr>
            </w:pPr>
            <w:r>
              <w:rPr>
                <w:rFonts w:ascii="Arial" w:cs="Arial" w:eastAsia="Arial" w:hAnsi="Arial"/>
                <w:sz w:val="14"/>
                <w:szCs w:val="14"/>
                <w:color w:val="auto"/>
              </w:rPr>
              <w:t>97,213</w:t>
            </w:r>
          </w:p>
        </w:tc>
        <w:tc>
          <w:tcPr>
            <w:tcW w:w="900" w:type="dxa"/>
            <w:vAlign w:val="bottom"/>
            <w:tcBorders>
              <w:bottom w:val="single" w:sz="8" w:color="959595"/>
            </w:tcBorders>
            <w:gridSpan w:val="2"/>
          </w:tcPr>
          <w:p>
            <w:pPr>
              <w:jc w:val="right"/>
              <w:ind w:right="70"/>
              <w:spacing w:after="0"/>
              <w:rPr>
                <w:sz w:val="20"/>
                <w:szCs w:val="20"/>
                <w:color w:val="auto"/>
              </w:rPr>
            </w:pPr>
            <w:r>
              <w:rPr>
                <w:rFonts w:ascii="Arial" w:cs="Arial" w:eastAsia="Arial" w:hAnsi="Arial"/>
                <w:sz w:val="14"/>
                <w:szCs w:val="14"/>
                <w:color w:val="auto"/>
              </w:rPr>
              <w:t>82.01</w:t>
            </w:r>
          </w:p>
        </w:tc>
        <w:tc>
          <w:tcPr>
            <w:tcW w:w="8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1/28/2022</w:t>
            </w:r>
          </w:p>
        </w:tc>
        <w:tc>
          <w:tcPr>
            <w:tcW w:w="120" w:type="dxa"/>
            <w:vAlign w:val="bottom"/>
            <w:tcBorders>
              <w:bottom w:val="single" w:sz="8" w:color="959595"/>
            </w:tcBorders>
          </w:tcPr>
          <w:p>
            <w:pPr>
              <w:spacing w:after="0"/>
              <w:rPr>
                <w:sz w:val="23"/>
                <w:szCs w:val="23"/>
                <w:color w:val="auto"/>
              </w:rPr>
            </w:pPr>
          </w:p>
        </w:tc>
        <w:tc>
          <w:tcPr>
            <w:tcW w:w="1080" w:type="dxa"/>
            <w:vAlign w:val="bottom"/>
            <w:tcBorders>
              <w:bottom w:val="single" w:sz="8" w:color="959595"/>
            </w:tcBorders>
            <w:gridSpan w:val="2"/>
          </w:tcPr>
          <w:p>
            <w:pPr>
              <w:jc w:val="right"/>
              <w:spacing w:after="0"/>
              <w:rPr>
                <w:sz w:val="20"/>
                <w:szCs w:val="20"/>
                <w:color w:val="auto"/>
              </w:rPr>
            </w:pPr>
            <w:r>
              <w:rPr>
                <w:rFonts w:ascii="Arial" w:cs="Arial" w:eastAsia="Arial" w:hAnsi="Arial"/>
                <w:sz w:val="14"/>
                <w:szCs w:val="14"/>
                <w:color w:val="auto"/>
              </w:rPr>
              <w:t>3,642</w:t>
            </w:r>
          </w:p>
        </w:tc>
        <w:tc>
          <w:tcPr>
            <w:tcW w:w="380" w:type="dxa"/>
            <w:vAlign w:val="bottom"/>
            <w:tcBorders>
              <w:bottom w:val="single" w:sz="8" w:color="959595"/>
            </w:tcBorders>
          </w:tcPr>
          <w:p>
            <w:pPr>
              <w:ind w:left="80"/>
              <w:spacing w:after="0"/>
              <w:rPr>
                <w:sz w:val="20"/>
                <w:szCs w:val="20"/>
                <w:color w:val="auto"/>
              </w:rPr>
            </w:pPr>
            <w:r>
              <w:rPr>
                <w:rFonts w:ascii="Arial" w:cs="Arial" w:eastAsia="Arial" w:hAnsi="Arial"/>
                <w:sz w:val="12"/>
                <w:szCs w:val="12"/>
                <w:color w:val="auto"/>
              </w:rPr>
              <w:t>5</w:t>
            </w:r>
          </w:p>
        </w:tc>
        <w:tc>
          <w:tcPr>
            <w:tcW w:w="160" w:type="dxa"/>
            <w:vAlign w:val="bottom"/>
            <w:tcBorders>
              <w:bottom w:val="single" w:sz="8" w:color="959595"/>
            </w:tcBorders>
          </w:tcPr>
          <w:p>
            <w:pPr>
              <w:spacing w:after="0"/>
              <w:rPr>
                <w:sz w:val="23"/>
                <w:szCs w:val="23"/>
                <w:color w:val="auto"/>
              </w:rPr>
            </w:pPr>
          </w:p>
        </w:tc>
        <w:tc>
          <w:tcPr>
            <w:tcW w:w="1180" w:type="dxa"/>
            <w:vAlign w:val="bottom"/>
            <w:tcBorders>
              <w:bottom w:val="single" w:sz="8" w:color="959595"/>
            </w:tcBorders>
          </w:tcPr>
          <w:p>
            <w:pPr>
              <w:jc w:val="right"/>
              <w:ind w:right="170"/>
              <w:spacing w:after="0"/>
              <w:rPr>
                <w:sz w:val="20"/>
                <w:szCs w:val="20"/>
                <w:color w:val="auto"/>
              </w:rPr>
            </w:pPr>
            <w:r>
              <w:rPr>
                <w:rFonts w:ascii="Arial" w:cs="Arial" w:eastAsia="Arial" w:hAnsi="Arial"/>
                <w:sz w:val="14"/>
                <w:szCs w:val="14"/>
                <w:color w:val="auto"/>
              </w:rPr>
              <w:t>953,621</w:t>
            </w:r>
          </w:p>
        </w:tc>
        <w:tc>
          <w:tcPr>
            <w:tcW w:w="8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7,037</w:t>
            </w:r>
          </w:p>
        </w:tc>
        <w:tc>
          <w:tcPr>
            <w:tcW w:w="540" w:type="dxa"/>
            <w:vAlign w:val="bottom"/>
            <w:tcBorders>
              <w:bottom w:val="single" w:sz="8" w:color="959595"/>
            </w:tcBorders>
          </w:tcPr>
          <w:p>
            <w:pPr>
              <w:jc w:val="center"/>
              <w:ind w:right="260"/>
              <w:spacing w:after="0"/>
              <w:rPr>
                <w:sz w:val="20"/>
                <w:szCs w:val="20"/>
                <w:color w:val="auto"/>
              </w:rPr>
            </w:pPr>
            <w:r>
              <w:rPr>
                <w:rFonts w:ascii="Arial" w:cs="Arial" w:eastAsia="Arial" w:hAnsi="Arial"/>
                <w:sz w:val="12"/>
                <w:szCs w:val="12"/>
                <w:color w:val="auto"/>
                <w:w w:val="89"/>
              </w:rPr>
              <w:t>6</w:t>
            </w:r>
          </w:p>
        </w:tc>
        <w:tc>
          <w:tcPr>
            <w:tcW w:w="1320" w:type="dxa"/>
            <w:vAlign w:val="bottom"/>
            <w:tcBorders>
              <w:bottom w:val="single" w:sz="8" w:color="959595"/>
            </w:tcBorders>
          </w:tcPr>
          <w:p>
            <w:pPr>
              <w:jc w:val="right"/>
              <w:ind w:right="30"/>
              <w:spacing w:after="0"/>
              <w:rPr>
                <w:sz w:val="20"/>
                <w:szCs w:val="20"/>
                <w:color w:val="auto"/>
              </w:rPr>
            </w:pPr>
            <w:r>
              <w:rPr>
                <w:rFonts w:ascii="Arial" w:cs="Arial" w:eastAsia="Arial" w:hAnsi="Arial"/>
                <w:sz w:val="14"/>
                <w:szCs w:val="14"/>
                <w:color w:val="auto"/>
              </w:rPr>
              <w:t>1,842,568</w:t>
            </w:r>
          </w:p>
        </w:tc>
        <w:tc>
          <w:tcPr>
            <w:tcW w:w="0" w:type="dxa"/>
            <w:vAlign w:val="bottom"/>
          </w:tcPr>
          <w:p>
            <w:pPr>
              <w:spacing w:after="0"/>
              <w:rPr>
                <w:sz w:val="1"/>
                <w:szCs w:val="1"/>
                <w:color w:val="auto"/>
              </w:rPr>
            </w:pPr>
          </w:p>
        </w:tc>
      </w:tr>
      <w:tr>
        <w:trPr>
          <w:trHeight w:val="261"/>
        </w:trPr>
        <w:tc>
          <w:tcPr>
            <w:tcW w:w="3100" w:type="dxa"/>
            <w:vAlign w:val="bottom"/>
          </w:tcPr>
          <w:p>
            <w:pPr>
              <w:spacing w:after="0"/>
              <w:rPr>
                <w:sz w:val="22"/>
                <w:szCs w:val="22"/>
                <w:color w:val="auto"/>
              </w:rPr>
            </w:pPr>
          </w:p>
        </w:tc>
        <w:tc>
          <w:tcPr>
            <w:tcW w:w="960" w:type="dxa"/>
            <w:vAlign w:val="bottom"/>
            <w:tcBorders>
              <w:bottom w:val="single" w:sz="8" w:color="959595"/>
            </w:tcBorders>
            <w:gridSpan w:val="2"/>
          </w:tcPr>
          <w:p>
            <w:pPr>
              <w:jc w:val="right"/>
              <w:ind w:right="40"/>
              <w:spacing w:after="0"/>
              <w:rPr>
                <w:sz w:val="20"/>
                <w:szCs w:val="20"/>
                <w:color w:val="auto"/>
              </w:rPr>
            </w:pPr>
            <w:r>
              <w:rPr>
                <w:rFonts w:ascii="Arial" w:cs="Arial" w:eastAsia="Arial" w:hAnsi="Arial"/>
                <w:sz w:val="14"/>
                <w:szCs w:val="14"/>
                <w:color w:val="auto"/>
              </w:rPr>
              <w:t>64,531</w:t>
            </w:r>
          </w:p>
        </w:tc>
        <w:tc>
          <w:tcPr>
            <w:tcW w:w="900" w:type="dxa"/>
            <w:vAlign w:val="bottom"/>
            <w:tcBorders>
              <w:bottom w:val="single" w:sz="8" w:color="959595"/>
            </w:tcBorders>
            <w:gridSpan w:val="2"/>
          </w:tcPr>
          <w:p>
            <w:pPr>
              <w:jc w:val="right"/>
              <w:ind w:right="70"/>
              <w:spacing w:after="0"/>
              <w:rPr>
                <w:sz w:val="20"/>
                <w:szCs w:val="20"/>
                <w:color w:val="auto"/>
              </w:rPr>
            </w:pPr>
            <w:r>
              <w:rPr>
                <w:rFonts w:ascii="Arial" w:cs="Arial" w:eastAsia="Arial" w:hAnsi="Arial"/>
                <w:sz w:val="14"/>
                <w:szCs w:val="14"/>
                <w:color w:val="auto"/>
              </w:rPr>
              <w:t>79.60</w:t>
            </w:r>
          </w:p>
        </w:tc>
        <w:tc>
          <w:tcPr>
            <w:tcW w:w="8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1/29/2021</w:t>
            </w:r>
          </w:p>
        </w:tc>
        <w:tc>
          <w:tcPr>
            <w:tcW w:w="120" w:type="dxa"/>
            <w:vAlign w:val="bottom"/>
            <w:tcBorders>
              <w:bottom w:val="single" w:sz="8" w:color="959595"/>
            </w:tcBorders>
          </w:tcPr>
          <w:p>
            <w:pPr>
              <w:spacing w:after="0"/>
              <w:rPr>
                <w:sz w:val="22"/>
                <w:szCs w:val="22"/>
                <w:color w:val="auto"/>
              </w:rPr>
            </w:pPr>
          </w:p>
        </w:tc>
        <w:tc>
          <w:tcPr>
            <w:tcW w:w="1080" w:type="dxa"/>
            <w:vAlign w:val="bottom"/>
            <w:tcBorders>
              <w:bottom w:val="single" w:sz="8" w:color="959595"/>
            </w:tcBorders>
            <w:gridSpan w:val="2"/>
          </w:tcPr>
          <w:p>
            <w:pPr>
              <w:jc w:val="right"/>
              <w:spacing w:after="0"/>
              <w:rPr>
                <w:sz w:val="20"/>
                <w:szCs w:val="20"/>
                <w:color w:val="auto"/>
              </w:rPr>
            </w:pPr>
            <w:r>
              <w:rPr>
                <w:rFonts w:ascii="Arial" w:cs="Arial" w:eastAsia="Arial" w:hAnsi="Arial"/>
                <w:sz w:val="14"/>
                <w:szCs w:val="14"/>
                <w:color w:val="auto"/>
              </w:rPr>
              <w:t>4,735</w:t>
            </w:r>
          </w:p>
        </w:tc>
        <w:tc>
          <w:tcPr>
            <w:tcW w:w="380" w:type="dxa"/>
            <w:vAlign w:val="bottom"/>
            <w:tcBorders>
              <w:bottom w:val="single" w:sz="8" w:color="959595"/>
            </w:tcBorders>
          </w:tcPr>
          <w:p>
            <w:pPr>
              <w:ind w:left="80"/>
              <w:spacing w:after="0"/>
              <w:rPr>
                <w:sz w:val="20"/>
                <w:szCs w:val="20"/>
                <w:color w:val="auto"/>
              </w:rPr>
            </w:pPr>
            <w:r>
              <w:rPr>
                <w:rFonts w:ascii="Arial" w:cs="Arial" w:eastAsia="Arial" w:hAnsi="Arial"/>
                <w:sz w:val="12"/>
                <w:szCs w:val="12"/>
                <w:color w:val="auto"/>
              </w:rPr>
              <w:t>7</w:t>
            </w:r>
          </w:p>
        </w:tc>
        <w:tc>
          <w:tcPr>
            <w:tcW w:w="160" w:type="dxa"/>
            <w:vAlign w:val="bottom"/>
            <w:tcBorders>
              <w:bottom w:val="single" w:sz="8" w:color="959595"/>
            </w:tcBorders>
          </w:tcPr>
          <w:p>
            <w:pPr>
              <w:spacing w:after="0"/>
              <w:rPr>
                <w:sz w:val="22"/>
                <w:szCs w:val="22"/>
                <w:color w:val="auto"/>
              </w:rPr>
            </w:pPr>
          </w:p>
        </w:tc>
        <w:tc>
          <w:tcPr>
            <w:tcW w:w="1180" w:type="dxa"/>
            <w:vAlign w:val="bottom"/>
            <w:tcBorders>
              <w:bottom w:val="single" w:sz="8" w:color="959595"/>
            </w:tcBorders>
          </w:tcPr>
          <w:p>
            <w:pPr>
              <w:jc w:val="right"/>
              <w:ind w:right="170"/>
              <w:spacing w:after="0"/>
              <w:rPr>
                <w:sz w:val="20"/>
                <w:szCs w:val="20"/>
                <w:color w:val="auto"/>
              </w:rPr>
            </w:pPr>
            <w:r>
              <w:rPr>
                <w:rFonts w:ascii="Arial" w:cs="Arial" w:eastAsia="Arial" w:hAnsi="Arial"/>
                <w:sz w:val="14"/>
                <w:szCs w:val="14"/>
                <w:color w:val="auto"/>
              </w:rPr>
              <w:t>1,239,812</w:t>
            </w:r>
          </w:p>
        </w:tc>
        <w:tc>
          <w:tcPr>
            <w:tcW w:w="8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10,647</w:t>
            </w:r>
          </w:p>
        </w:tc>
        <w:tc>
          <w:tcPr>
            <w:tcW w:w="540" w:type="dxa"/>
            <w:vAlign w:val="bottom"/>
            <w:tcBorders>
              <w:bottom w:val="single" w:sz="8" w:color="959595"/>
            </w:tcBorders>
          </w:tcPr>
          <w:p>
            <w:pPr>
              <w:jc w:val="center"/>
              <w:ind w:right="260"/>
              <w:spacing w:after="0"/>
              <w:rPr>
                <w:sz w:val="20"/>
                <w:szCs w:val="20"/>
                <w:color w:val="auto"/>
              </w:rPr>
            </w:pPr>
            <w:r>
              <w:rPr>
                <w:rFonts w:ascii="Arial" w:cs="Arial" w:eastAsia="Arial" w:hAnsi="Arial"/>
                <w:sz w:val="12"/>
                <w:szCs w:val="12"/>
                <w:color w:val="auto"/>
                <w:w w:val="89"/>
              </w:rPr>
              <w:t>8</w:t>
            </w:r>
          </w:p>
        </w:tc>
        <w:tc>
          <w:tcPr>
            <w:tcW w:w="1320" w:type="dxa"/>
            <w:vAlign w:val="bottom"/>
            <w:tcBorders>
              <w:bottom w:val="single" w:sz="8" w:color="959595"/>
            </w:tcBorders>
          </w:tcPr>
          <w:p>
            <w:pPr>
              <w:jc w:val="right"/>
              <w:ind w:right="30"/>
              <w:spacing w:after="0"/>
              <w:rPr>
                <w:sz w:val="20"/>
                <w:szCs w:val="20"/>
                <w:color w:val="auto"/>
              </w:rPr>
            </w:pPr>
            <w:r>
              <w:rPr>
                <w:rFonts w:ascii="Arial" w:cs="Arial" w:eastAsia="Arial" w:hAnsi="Arial"/>
                <w:sz w:val="14"/>
                <w:szCs w:val="14"/>
                <w:color w:val="auto"/>
              </w:rPr>
              <w:t>2,787,810</w:t>
            </w:r>
          </w:p>
        </w:tc>
        <w:tc>
          <w:tcPr>
            <w:tcW w:w="0" w:type="dxa"/>
            <w:vAlign w:val="bottom"/>
          </w:tcPr>
          <w:p>
            <w:pPr>
              <w:spacing w:after="0"/>
              <w:rPr>
                <w:sz w:val="1"/>
                <w:szCs w:val="1"/>
                <w:color w:val="auto"/>
              </w:rPr>
            </w:pPr>
          </w:p>
        </w:tc>
      </w:tr>
      <w:tr>
        <w:trPr>
          <w:trHeight w:val="264"/>
        </w:trPr>
        <w:tc>
          <w:tcPr>
            <w:tcW w:w="3100" w:type="dxa"/>
            <w:vAlign w:val="bottom"/>
          </w:tcPr>
          <w:p>
            <w:pPr>
              <w:spacing w:after="0"/>
              <w:rPr>
                <w:sz w:val="22"/>
                <w:szCs w:val="22"/>
                <w:color w:val="auto"/>
              </w:rPr>
            </w:pPr>
          </w:p>
        </w:tc>
        <w:tc>
          <w:tcPr>
            <w:tcW w:w="960" w:type="dxa"/>
            <w:vAlign w:val="bottom"/>
            <w:tcBorders>
              <w:bottom w:val="single" w:sz="8" w:color="959595"/>
            </w:tcBorders>
            <w:gridSpan w:val="2"/>
          </w:tcPr>
          <w:p>
            <w:pPr>
              <w:jc w:val="right"/>
              <w:ind w:right="40"/>
              <w:spacing w:after="0"/>
              <w:rPr>
                <w:sz w:val="20"/>
                <w:szCs w:val="20"/>
                <w:color w:val="auto"/>
              </w:rPr>
            </w:pPr>
            <w:r>
              <w:rPr>
                <w:rFonts w:ascii="Arial" w:cs="Arial" w:eastAsia="Arial" w:hAnsi="Arial"/>
                <w:sz w:val="14"/>
                <w:szCs w:val="14"/>
                <w:color w:val="auto"/>
              </w:rPr>
              <w:t>55,000</w:t>
            </w:r>
          </w:p>
        </w:tc>
        <w:tc>
          <w:tcPr>
            <w:tcW w:w="900" w:type="dxa"/>
            <w:vAlign w:val="bottom"/>
            <w:tcBorders>
              <w:bottom w:val="single" w:sz="8" w:color="959595"/>
            </w:tcBorders>
            <w:gridSpan w:val="2"/>
          </w:tcPr>
          <w:p>
            <w:pPr>
              <w:jc w:val="right"/>
              <w:ind w:right="70"/>
              <w:spacing w:after="0"/>
              <w:rPr>
                <w:sz w:val="20"/>
                <w:szCs w:val="20"/>
                <w:color w:val="auto"/>
              </w:rPr>
            </w:pPr>
            <w:r>
              <w:rPr>
                <w:rFonts w:ascii="Arial" w:cs="Arial" w:eastAsia="Arial" w:hAnsi="Arial"/>
                <w:sz w:val="14"/>
                <w:szCs w:val="14"/>
                <w:color w:val="auto"/>
              </w:rPr>
              <w:t>74.89</w:t>
            </w:r>
          </w:p>
        </w:tc>
        <w:tc>
          <w:tcPr>
            <w:tcW w:w="8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1/31/2020</w:t>
            </w:r>
          </w:p>
        </w:tc>
        <w:tc>
          <w:tcPr>
            <w:tcW w:w="120" w:type="dxa"/>
            <w:vAlign w:val="bottom"/>
            <w:tcBorders>
              <w:bottom w:val="single" w:sz="8" w:color="959595"/>
            </w:tcBorders>
          </w:tcPr>
          <w:p>
            <w:pPr>
              <w:spacing w:after="0"/>
              <w:rPr>
                <w:sz w:val="22"/>
                <w:szCs w:val="22"/>
                <w:color w:val="auto"/>
              </w:rPr>
            </w:pPr>
          </w:p>
        </w:tc>
        <w:tc>
          <w:tcPr>
            <w:tcW w:w="1080" w:type="dxa"/>
            <w:vAlign w:val="bottom"/>
            <w:tcBorders>
              <w:bottom w:val="single" w:sz="8" w:color="959595"/>
            </w:tcBorders>
            <w:gridSpan w:val="2"/>
          </w:tcPr>
          <w:p>
            <w:pPr>
              <w:jc w:val="right"/>
              <w:spacing w:after="0"/>
              <w:rPr>
                <w:sz w:val="20"/>
                <w:szCs w:val="20"/>
                <w:color w:val="auto"/>
              </w:rPr>
            </w:pPr>
            <w:r>
              <w:rPr>
                <w:rFonts w:ascii="Arial" w:cs="Arial" w:eastAsia="Arial" w:hAnsi="Arial"/>
                <w:sz w:val="14"/>
                <w:szCs w:val="14"/>
                <w:color w:val="auto"/>
              </w:rPr>
              <w:t>5,570</w:t>
            </w:r>
          </w:p>
        </w:tc>
        <w:tc>
          <w:tcPr>
            <w:tcW w:w="380" w:type="dxa"/>
            <w:vAlign w:val="bottom"/>
            <w:tcBorders>
              <w:bottom w:val="single" w:sz="8" w:color="959595"/>
            </w:tcBorders>
          </w:tcPr>
          <w:p>
            <w:pPr>
              <w:ind w:left="80"/>
              <w:spacing w:after="0"/>
              <w:rPr>
                <w:sz w:val="20"/>
                <w:szCs w:val="20"/>
                <w:color w:val="auto"/>
              </w:rPr>
            </w:pPr>
            <w:r>
              <w:rPr>
                <w:rFonts w:ascii="Arial" w:cs="Arial" w:eastAsia="Arial" w:hAnsi="Arial"/>
                <w:sz w:val="12"/>
                <w:szCs w:val="12"/>
                <w:color w:val="auto"/>
              </w:rPr>
              <w:t>9</w:t>
            </w:r>
          </w:p>
        </w:tc>
        <w:tc>
          <w:tcPr>
            <w:tcW w:w="160" w:type="dxa"/>
            <w:vAlign w:val="bottom"/>
            <w:tcBorders>
              <w:bottom w:val="single" w:sz="8" w:color="959595"/>
            </w:tcBorders>
          </w:tcPr>
          <w:p>
            <w:pPr>
              <w:spacing w:after="0"/>
              <w:rPr>
                <w:sz w:val="22"/>
                <w:szCs w:val="22"/>
                <w:color w:val="auto"/>
              </w:rPr>
            </w:pPr>
          </w:p>
        </w:tc>
        <w:tc>
          <w:tcPr>
            <w:tcW w:w="1180" w:type="dxa"/>
            <w:vAlign w:val="bottom"/>
            <w:tcBorders>
              <w:bottom w:val="single" w:sz="8" w:color="959595"/>
            </w:tcBorders>
          </w:tcPr>
          <w:p>
            <w:pPr>
              <w:jc w:val="right"/>
              <w:ind w:right="170"/>
              <w:spacing w:after="0"/>
              <w:rPr>
                <w:sz w:val="20"/>
                <w:szCs w:val="20"/>
                <w:color w:val="auto"/>
              </w:rPr>
            </w:pPr>
            <w:r>
              <w:rPr>
                <w:rFonts w:ascii="Arial" w:cs="Arial" w:eastAsia="Arial" w:hAnsi="Arial"/>
                <w:sz w:val="14"/>
                <w:szCs w:val="14"/>
                <w:color w:val="auto"/>
              </w:rPr>
              <w:t>1,458,449</w:t>
            </w:r>
          </w:p>
        </w:tc>
        <w:tc>
          <w:tcPr>
            <w:tcW w:w="8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959595"/>
            </w:tcBorders>
          </w:tcPr>
          <w:p>
            <w:pPr>
              <w:spacing w:after="0"/>
              <w:rPr>
                <w:sz w:val="22"/>
                <w:szCs w:val="22"/>
                <w:color w:val="auto"/>
              </w:rPr>
            </w:pPr>
          </w:p>
        </w:tc>
        <w:tc>
          <w:tcPr>
            <w:tcW w:w="1320" w:type="dxa"/>
            <w:vAlign w:val="bottom"/>
            <w:tcBorders>
              <w:bottom w:val="single" w:sz="8" w:color="959595"/>
            </w:tcBorders>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100" w:type="dxa"/>
            <w:vAlign w:val="bottom"/>
            <w:tcBorders>
              <w:bottom w:val="single" w:sz="8" w:color="959595"/>
            </w:tcBorders>
          </w:tcPr>
          <w:p>
            <w:pPr>
              <w:spacing w:after="0"/>
              <w:rPr>
                <w:sz w:val="22"/>
                <w:szCs w:val="22"/>
                <w:color w:val="auto"/>
              </w:rPr>
            </w:pPr>
          </w:p>
        </w:tc>
        <w:tc>
          <w:tcPr>
            <w:tcW w:w="960" w:type="dxa"/>
            <w:vAlign w:val="bottom"/>
            <w:tcBorders>
              <w:bottom w:val="single" w:sz="8" w:color="959595"/>
            </w:tcBorders>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959595"/>
            </w:tcBorders>
          </w:tcPr>
          <w:p>
            <w:pPr>
              <w:spacing w:after="0"/>
              <w:rPr>
                <w:sz w:val="22"/>
                <w:szCs w:val="22"/>
                <w:color w:val="auto"/>
              </w:rPr>
            </w:pPr>
          </w:p>
        </w:tc>
        <w:tc>
          <w:tcPr>
            <w:tcW w:w="820" w:type="dxa"/>
            <w:vAlign w:val="bottom"/>
            <w:tcBorders>
              <w:bottom w:val="single" w:sz="8" w:color="959595"/>
            </w:tcBorders>
          </w:tcPr>
          <w:p>
            <w:pPr>
              <w:jc w:val="right"/>
              <w:ind w:right="7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959595"/>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59595"/>
            </w:tcBorders>
            <w:gridSpan w:val="2"/>
          </w:tcPr>
          <w:p>
            <w:pPr>
              <w:jc w:val="right"/>
              <w:spacing w:after="0"/>
              <w:rPr>
                <w:sz w:val="20"/>
                <w:szCs w:val="20"/>
                <w:color w:val="auto"/>
              </w:rPr>
            </w:pPr>
            <w:r>
              <w:rPr>
                <w:rFonts w:ascii="Arial" w:cs="Arial" w:eastAsia="Arial" w:hAnsi="Arial"/>
                <w:sz w:val="14"/>
                <w:szCs w:val="14"/>
                <w:color w:val="auto"/>
              </w:rPr>
              <w:t>13,141</w:t>
            </w:r>
          </w:p>
        </w:tc>
        <w:tc>
          <w:tcPr>
            <w:tcW w:w="380" w:type="dxa"/>
            <w:vAlign w:val="bottom"/>
            <w:tcBorders>
              <w:bottom w:val="single" w:sz="8" w:color="959595"/>
            </w:tcBorders>
          </w:tcPr>
          <w:p>
            <w:pPr>
              <w:ind w:left="80"/>
              <w:spacing w:after="0"/>
              <w:rPr>
                <w:sz w:val="20"/>
                <w:szCs w:val="20"/>
                <w:color w:val="auto"/>
              </w:rPr>
            </w:pPr>
            <w:r>
              <w:rPr>
                <w:rFonts w:ascii="Arial" w:cs="Arial" w:eastAsia="Arial" w:hAnsi="Arial"/>
                <w:sz w:val="12"/>
                <w:szCs w:val="12"/>
                <w:color w:val="auto"/>
              </w:rPr>
              <w:t>10</w:t>
            </w:r>
          </w:p>
        </w:tc>
        <w:tc>
          <w:tcPr>
            <w:tcW w:w="160" w:type="dxa"/>
            <w:vAlign w:val="bottom"/>
            <w:tcBorders>
              <w:bottom w:val="single" w:sz="8" w:color="959595"/>
            </w:tcBorders>
          </w:tcPr>
          <w:p>
            <w:pPr>
              <w:spacing w:after="0"/>
              <w:rPr>
                <w:sz w:val="22"/>
                <w:szCs w:val="22"/>
                <w:color w:val="auto"/>
              </w:rPr>
            </w:pPr>
          </w:p>
        </w:tc>
        <w:tc>
          <w:tcPr>
            <w:tcW w:w="1180" w:type="dxa"/>
            <w:vAlign w:val="bottom"/>
            <w:tcBorders>
              <w:bottom w:val="single" w:sz="8" w:color="959595"/>
            </w:tcBorders>
          </w:tcPr>
          <w:p>
            <w:pPr>
              <w:jc w:val="right"/>
              <w:ind w:right="170"/>
              <w:spacing w:after="0"/>
              <w:rPr>
                <w:sz w:val="20"/>
                <w:szCs w:val="20"/>
                <w:color w:val="auto"/>
              </w:rPr>
            </w:pPr>
            <w:r>
              <w:rPr>
                <w:rFonts w:ascii="Arial" w:cs="Arial" w:eastAsia="Arial" w:hAnsi="Arial"/>
                <w:sz w:val="14"/>
                <w:szCs w:val="14"/>
                <w:color w:val="auto"/>
              </w:rPr>
              <w:t>3,440,839</w:t>
            </w:r>
          </w:p>
        </w:tc>
        <w:tc>
          <w:tcPr>
            <w:tcW w:w="8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959595"/>
            </w:tcBorders>
          </w:tcPr>
          <w:p>
            <w:pPr>
              <w:spacing w:after="0"/>
              <w:rPr>
                <w:sz w:val="22"/>
                <w:szCs w:val="22"/>
                <w:color w:val="auto"/>
              </w:rPr>
            </w:pPr>
          </w:p>
        </w:tc>
        <w:tc>
          <w:tcPr>
            <w:tcW w:w="1320" w:type="dxa"/>
            <w:vAlign w:val="bottom"/>
            <w:tcBorders>
              <w:bottom w:val="single" w:sz="8" w:color="959595"/>
            </w:tcBorders>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7"/>
        </w:trPr>
        <w:tc>
          <w:tcPr>
            <w:tcW w:w="3100" w:type="dxa"/>
            <w:vAlign w:val="bottom"/>
          </w:tcPr>
          <w:p>
            <w:pPr>
              <w:ind w:left="40"/>
              <w:spacing w:after="0"/>
              <w:rPr>
                <w:sz w:val="20"/>
                <w:szCs w:val="20"/>
                <w:color w:val="auto"/>
              </w:rPr>
            </w:pPr>
            <w:r>
              <w:rPr>
                <w:rFonts w:ascii="Arial" w:cs="Arial" w:eastAsia="Arial" w:hAnsi="Arial"/>
                <w:sz w:val="14"/>
                <w:szCs w:val="14"/>
                <w:b w:val="1"/>
                <w:bCs w:val="1"/>
                <w:color w:val="012E6C"/>
              </w:rPr>
              <w:t>Richard F. Ambrose</w:t>
            </w:r>
          </w:p>
        </w:tc>
        <w:tc>
          <w:tcPr>
            <w:tcW w:w="960" w:type="dxa"/>
            <w:vAlign w:val="bottom"/>
            <w:tcBorders>
              <w:bottom w:val="single" w:sz="8" w:color="959595"/>
            </w:tcBorders>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959595"/>
            </w:tcBorders>
          </w:tcPr>
          <w:p>
            <w:pPr>
              <w:spacing w:after="0"/>
              <w:rPr>
                <w:sz w:val="23"/>
                <w:szCs w:val="23"/>
                <w:color w:val="auto"/>
              </w:rPr>
            </w:pPr>
          </w:p>
        </w:tc>
        <w:tc>
          <w:tcPr>
            <w:tcW w:w="820" w:type="dxa"/>
            <w:vAlign w:val="bottom"/>
            <w:tcBorders>
              <w:bottom w:val="single" w:sz="8" w:color="959595"/>
            </w:tcBorders>
          </w:tcPr>
          <w:p>
            <w:pPr>
              <w:jc w:val="right"/>
              <w:ind w:right="7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959595"/>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59595"/>
            </w:tcBorders>
            <w:gridSpan w:val="2"/>
          </w:tcPr>
          <w:p>
            <w:pPr>
              <w:jc w:val="right"/>
              <w:spacing w:after="0"/>
              <w:rPr>
                <w:sz w:val="20"/>
                <w:szCs w:val="20"/>
                <w:color w:val="auto"/>
              </w:rPr>
            </w:pPr>
            <w:r>
              <w:rPr>
                <w:rFonts w:ascii="Arial" w:cs="Arial" w:eastAsia="Arial" w:hAnsi="Arial"/>
                <w:sz w:val="14"/>
                <w:szCs w:val="14"/>
                <w:color w:val="auto"/>
              </w:rPr>
              <w:t>2,922</w:t>
            </w:r>
          </w:p>
        </w:tc>
        <w:tc>
          <w:tcPr>
            <w:tcW w:w="380" w:type="dxa"/>
            <w:vAlign w:val="bottom"/>
            <w:tcBorders>
              <w:bottom w:val="single" w:sz="8" w:color="959595"/>
            </w:tcBorders>
          </w:tcPr>
          <w:p>
            <w:pPr>
              <w:ind w:left="80"/>
              <w:spacing w:after="0"/>
              <w:rPr>
                <w:sz w:val="20"/>
                <w:szCs w:val="20"/>
                <w:color w:val="auto"/>
              </w:rPr>
            </w:pPr>
            <w:r>
              <w:rPr>
                <w:rFonts w:ascii="Arial" w:cs="Arial" w:eastAsia="Arial" w:hAnsi="Arial"/>
                <w:sz w:val="12"/>
                <w:szCs w:val="12"/>
                <w:color w:val="auto"/>
              </w:rPr>
              <w:t>5</w:t>
            </w:r>
          </w:p>
        </w:tc>
        <w:tc>
          <w:tcPr>
            <w:tcW w:w="160" w:type="dxa"/>
            <w:vAlign w:val="bottom"/>
            <w:tcBorders>
              <w:bottom w:val="single" w:sz="8" w:color="959595"/>
            </w:tcBorders>
          </w:tcPr>
          <w:p>
            <w:pPr>
              <w:spacing w:after="0"/>
              <w:rPr>
                <w:sz w:val="23"/>
                <w:szCs w:val="23"/>
                <w:color w:val="auto"/>
              </w:rPr>
            </w:pPr>
          </w:p>
        </w:tc>
        <w:tc>
          <w:tcPr>
            <w:tcW w:w="1180" w:type="dxa"/>
            <w:vAlign w:val="bottom"/>
            <w:tcBorders>
              <w:bottom w:val="single" w:sz="8" w:color="959595"/>
            </w:tcBorders>
          </w:tcPr>
          <w:p>
            <w:pPr>
              <w:jc w:val="right"/>
              <w:ind w:right="170"/>
              <w:spacing w:after="0"/>
              <w:rPr>
                <w:sz w:val="20"/>
                <w:szCs w:val="20"/>
                <w:color w:val="auto"/>
              </w:rPr>
            </w:pPr>
            <w:r>
              <w:rPr>
                <w:rFonts w:ascii="Arial" w:cs="Arial" w:eastAsia="Arial" w:hAnsi="Arial"/>
                <w:sz w:val="14"/>
                <w:szCs w:val="14"/>
                <w:color w:val="auto"/>
              </w:rPr>
              <w:t>765,096</w:t>
            </w:r>
          </w:p>
        </w:tc>
        <w:tc>
          <w:tcPr>
            <w:tcW w:w="8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5,631</w:t>
            </w:r>
          </w:p>
        </w:tc>
        <w:tc>
          <w:tcPr>
            <w:tcW w:w="540" w:type="dxa"/>
            <w:vAlign w:val="bottom"/>
            <w:tcBorders>
              <w:bottom w:val="single" w:sz="8" w:color="959595"/>
            </w:tcBorders>
          </w:tcPr>
          <w:p>
            <w:pPr>
              <w:jc w:val="center"/>
              <w:ind w:right="260"/>
              <w:spacing w:after="0"/>
              <w:rPr>
                <w:sz w:val="20"/>
                <w:szCs w:val="20"/>
                <w:color w:val="auto"/>
              </w:rPr>
            </w:pPr>
            <w:r>
              <w:rPr>
                <w:rFonts w:ascii="Arial" w:cs="Arial" w:eastAsia="Arial" w:hAnsi="Arial"/>
                <w:sz w:val="12"/>
                <w:szCs w:val="12"/>
                <w:color w:val="auto"/>
                <w:w w:val="89"/>
              </w:rPr>
              <w:t>6</w:t>
            </w:r>
          </w:p>
        </w:tc>
        <w:tc>
          <w:tcPr>
            <w:tcW w:w="1320" w:type="dxa"/>
            <w:vAlign w:val="bottom"/>
            <w:tcBorders>
              <w:bottom w:val="single" w:sz="8" w:color="959595"/>
            </w:tcBorders>
          </w:tcPr>
          <w:p>
            <w:pPr>
              <w:jc w:val="right"/>
              <w:ind w:right="30"/>
              <w:spacing w:after="0"/>
              <w:rPr>
                <w:sz w:val="20"/>
                <w:szCs w:val="20"/>
                <w:color w:val="auto"/>
              </w:rPr>
            </w:pPr>
            <w:r>
              <w:rPr>
                <w:rFonts w:ascii="Arial" w:cs="Arial" w:eastAsia="Arial" w:hAnsi="Arial"/>
                <w:sz w:val="14"/>
                <w:szCs w:val="14"/>
                <w:color w:val="auto"/>
              </w:rPr>
              <w:t>1,474,421</w:t>
            </w:r>
          </w:p>
        </w:tc>
        <w:tc>
          <w:tcPr>
            <w:tcW w:w="0" w:type="dxa"/>
            <w:vAlign w:val="bottom"/>
          </w:tcPr>
          <w:p>
            <w:pPr>
              <w:spacing w:after="0"/>
              <w:rPr>
                <w:sz w:val="1"/>
                <w:szCs w:val="1"/>
                <w:color w:val="auto"/>
              </w:rPr>
            </w:pPr>
          </w:p>
        </w:tc>
      </w:tr>
      <w:tr>
        <w:trPr>
          <w:trHeight w:val="261"/>
        </w:trPr>
        <w:tc>
          <w:tcPr>
            <w:tcW w:w="3100" w:type="dxa"/>
            <w:vAlign w:val="bottom"/>
          </w:tcPr>
          <w:p>
            <w:pPr>
              <w:spacing w:after="0"/>
              <w:rPr>
                <w:sz w:val="22"/>
                <w:szCs w:val="22"/>
                <w:color w:val="auto"/>
              </w:rPr>
            </w:pPr>
          </w:p>
        </w:tc>
        <w:tc>
          <w:tcPr>
            <w:tcW w:w="960" w:type="dxa"/>
            <w:vAlign w:val="bottom"/>
            <w:tcBorders>
              <w:bottom w:val="single" w:sz="8" w:color="959595"/>
            </w:tcBorders>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959595"/>
            </w:tcBorders>
          </w:tcPr>
          <w:p>
            <w:pPr>
              <w:spacing w:after="0"/>
              <w:rPr>
                <w:sz w:val="22"/>
                <w:szCs w:val="22"/>
                <w:color w:val="auto"/>
              </w:rPr>
            </w:pPr>
          </w:p>
        </w:tc>
        <w:tc>
          <w:tcPr>
            <w:tcW w:w="820" w:type="dxa"/>
            <w:vAlign w:val="bottom"/>
            <w:tcBorders>
              <w:bottom w:val="single" w:sz="8" w:color="959595"/>
            </w:tcBorders>
          </w:tcPr>
          <w:p>
            <w:pPr>
              <w:jc w:val="right"/>
              <w:ind w:right="7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959595"/>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59595"/>
            </w:tcBorders>
            <w:gridSpan w:val="2"/>
          </w:tcPr>
          <w:p>
            <w:pPr>
              <w:jc w:val="right"/>
              <w:spacing w:after="0"/>
              <w:rPr>
                <w:sz w:val="20"/>
                <w:szCs w:val="20"/>
                <w:color w:val="auto"/>
              </w:rPr>
            </w:pPr>
            <w:r>
              <w:rPr>
                <w:rFonts w:ascii="Arial" w:cs="Arial" w:eastAsia="Arial" w:hAnsi="Arial"/>
                <w:sz w:val="14"/>
                <w:szCs w:val="14"/>
                <w:color w:val="auto"/>
              </w:rPr>
              <w:t>3,110</w:t>
            </w:r>
          </w:p>
        </w:tc>
        <w:tc>
          <w:tcPr>
            <w:tcW w:w="380" w:type="dxa"/>
            <w:vAlign w:val="bottom"/>
            <w:tcBorders>
              <w:bottom w:val="single" w:sz="8" w:color="959595"/>
            </w:tcBorders>
          </w:tcPr>
          <w:p>
            <w:pPr>
              <w:ind w:left="80"/>
              <w:spacing w:after="0"/>
              <w:rPr>
                <w:sz w:val="20"/>
                <w:szCs w:val="20"/>
                <w:color w:val="auto"/>
              </w:rPr>
            </w:pPr>
            <w:r>
              <w:rPr>
                <w:rFonts w:ascii="Arial" w:cs="Arial" w:eastAsia="Arial" w:hAnsi="Arial"/>
                <w:sz w:val="12"/>
                <w:szCs w:val="12"/>
                <w:color w:val="auto"/>
              </w:rPr>
              <w:t>7</w:t>
            </w:r>
          </w:p>
        </w:tc>
        <w:tc>
          <w:tcPr>
            <w:tcW w:w="160" w:type="dxa"/>
            <w:vAlign w:val="bottom"/>
            <w:tcBorders>
              <w:bottom w:val="single" w:sz="8" w:color="959595"/>
            </w:tcBorders>
          </w:tcPr>
          <w:p>
            <w:pPr>
              <w:spacing w:after="0"/>
              <w:rPr>
                <w:sz w:val="22"/>
                <w:szCs w:val="22"/>
                <w:color w:val="auto"/>
              </w:rPr>
            </w:pPr>
          </w:p>
        </w:tc>
        <w:tc>
          <w:tcPr>
            <w:tcW w:w="1180" w:type="dxa"/>
            <w:vAlign w:val="bottom"/>
            <w:tcBorders>
              <w:bottom w:val="single" w:sz="8" w:color="959595"/>
            </w:tcBorders>
          </w:tcPr>
          <w:p>
            <w:pPr>
              <w:jc w:val="right"/>
              <w:ind w:right="170"/>
              <w:spacing w:after="0"/>
              <w:rPr>
                <w:sz w:val="20"/>
                <w:szCs w:val="20"/>
                <w:color w:val="auto"/>
              </w:rPr>
            </w:pPr>
            <w:r>
              <w:rPr>
                <w:rFonts w:ascii="Arial" w:cs="Arial" w:eastAsia="Arial" w:hAnsi="Arial"/>
                <w:sz w:val="14"/>
                <w:szCs w:val="14"/>
                <w:color w:val="auto"/>
              </w:rPr>
              <w:t>814,322</w:t>
            </w:r>
          </w:p>
        </w:tc>
        <w:tc>
          <w:tcPr>
            <w:tcW w:w="8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6,972</w:t>
            </w:r>
          </w:p>
        </w:tc>
        <w:tc>
          <w:tcPr>
            <w:tcW w:w="540" w:type="dxa"/>
            <w:vAlign w:val="bottom"/>
            <w:tcBorders>
              <w:bottom w:val="single" w:sz="8" w:color="959595"/>
            </w:tcBorders>
          </w:tcPr>
          <w:p>
            <w:pPr>
              <w:jc w:val="center"/>
              <w:ind w:right="260"/>
              <w:spacing w:after="0"/>
              <w:rPr>
                <w:sz w:val="20"/>
                <w:szCs w:val="20"/>
                <w:color w:val="auto"/>
              </w:rPr>
            </w:pPr>
            <w:r>
              <w:rPr>
                <w:rFonts w:ascii="Arial" w:cs="Arial" w:eastAsia="Arial" w:hAnsi="Arial"/>
                <w:sz w:val="12"/>
                <w:szCs w:val="12"/>
                <w:color w:val="auto"/>
                <w:w w:val="89"/>
              </w:rPr>
              <w:t>8</w:t>
            </w:r>
          </w:p>
        </w:tc>
        <w:tc>
          <w:tcPr>
            <w:tcW w:w="1320" w:type="dxa"/>
            <w:vAlign w:val="bottom"/>
            <w:tcBorders>
              <w:bottom w:val="single" w:sz="8" w:color="959595"/>
            </w:tcBorders>
          </w:tcPr>
          <w:p>
            <w:pPr>
              <w:jc w:val="right"/>
              <w:ind w:right="30"/>
              <w:spacing w:after="0"/>
              <w:rPr>
                <w:sz w:val="20"/>
                <w:szCs w:val="20"/>
                <w:color w:val="auto"/>
              </w:rPr>
            </w:pPr>
            <w:r>
              <w:rPr>
                <w:rFonts w:ascii="Arial" w:cs="Arial" w:eastAsia="Arial" w:hAnsi="Arial"/>
                <w:sz w:val="14"/>
                <w:szCs w:val="14"/>
                <w:color w:val="auto"/>
              </w:rPr>
              <w:t>1,825,548</w:t>
            </w:r>
          </w:p>
        </w:tc>
        <w:tc>
          <w:tcPr>
            <w:tcW w:w="0" w:type="dxa"/>
            <w:vAlign w:val="bottom"/>
          </w:tcPr>
          <w:p>
            <w:pPr>
              <w:spacing w:after="0"/>
              <w:rPr>
                <w:sz w:val="1"/>
                <w:szCs w:val="1"/>
                <w:color w:val="auto"/>
              </w:rPr>
            </w:pPr>
          </w:p>
        </w:tc>
      </w:tr>
      <w:tr>
        <w:trPr>
          <w:trHeight w:val="264"/>
        </w:trPr>
        <w:tc>
          <w:tcPr>
            <w:tcW w:w="3100" w:type="dxa"/>
            <w:vAlign w:val="bottom"/>
          </w:tcPr>
          <w:p>
            <w:pPr>
              <w:spacing w:after="0"/>
              <w:rPr>
                <w:sz w:val="22"/>
                <w:szCs w:val="22"/>
                <w:color w:val="auto"/>
              </w:rPr>
            </w:pPr>
          </w:p>
        </w:tc>
        <w:tc>
          <w:tcPr>
            <w:tcW w:w="960" w:type="dxa"/>
            <w:vAlign w:val="bottom"/>
            <w:tcBorders>
              <w:bottom w:val="single" w:sz="8" w:color="959595"/>
            </w:tcBorders>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959595"/>
            </w:tcBorders>
          </w:tcPr>
          <w:p>
            <w:pPr>
              <w:spacing w:after="0"/>
              <w:rPr>
                <w:sz w:val="22"/>
                <w:szCs w:val="22"/>
                <w:color w:val="auto"/>
              </w:rPr>
            </w:pPr>
          </w:p>
        </w:tc>
        <w:tc>
          <w:tcPr>
            <w:tcW w:w="820" w:type="dxa"/>
            <w:vAlign w:val="bottom"/>
            <w:tcBorders>
              <w:bottom w:val="single" w:sz="8" w:color="959595"/>
            </w:tcBorders>
          </w:tcPr>
          <w:p>
            <w:pPr>
              <w:jc w:val="right"/>
              <w:ind w:right="7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959595"/>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59595"/>
            </w:tcBorders>
            <w:gridSpan w:val="2"/>
          </w:tcPr>
          <w:p>
            <w:pPr>
              <w:jc w:val="right"/>
              <w:spacing w:after="0"/>
              <w:rPr>
                <w:sz w:val="20"/>
                <w:szCs w:val="20"/>
                <w:color w:val="auto"/>
              </w:rPr>
            </w:pPr>
            <w:r>
              <w:rPr>
                <w:rFonts w:ascii="Arial" w:cs="Arial" w:eastAsia="Arial" w:hAnsi="Arial"/>
                <w:sz w:val="14"/>
                <w:szCs w:val="14"/>
                <w:color w:val="auto"/>
              </w:rPr>
              <w:t>3,501</w:t>
            </w:r>
          </w:p>
        </w:tc>
        <w:tc>
          <w:tcPr>
            <w:tcW w:w="380" w:type="dxa"/>
            <w:vAlign w:val="bottom"/>
            <w:tcBorders>
              <w:bottom w:val="single" w:sz="8" w:color="959595"/>
            </w:tcBorders>
          </w:tcPr>
          <w:p>
            <w:pPr>
              <w:ind w:left="80"/>
              <w:spacing w:after="0"/>
              <w:rPr>
                <w:sz w:val="20"/>
                <w:szCs w:val="20"/>
                <w:color w:val="auto"/>
              </w:rPr>
            </w:pPr>
            <w:r>
              <w:rPr>
                <w:rFonts w:ascii="Arial" w:cs="Arial" w:eastAsia="Arial" w:hAnsi="Arial"/>
                <w:sz w:val="12"/>
                <w:szCs w:val="12"/>
                <w:color w:val="auto"/>
              </w:rPr>
              <w:t>9</w:t>
            </w:r>
          </w:p>
        </w:tc>
        <w:tc>
          <w:tcPr>
            <w:tcW w:w="160" w:type="dxa"/>
            <w:vAlign w:val="bottom"/>
            <w:tcBorders>
              <w:bottom w:val="single" w:sz="8" w:color="959595"/>
            </w:tcBorders>
          </w:tcPr>
          <w:p>
            <w:pPr>
              <w:spacing w:after="0"/>
              <w:rPr>
                <w:sz w:val="22"/>
                <w:szCs w:val="22"/>
                <w:color w:val="auto"/>
              </w:rPr>
            </w:pPr>
          </w:p>
        </w:tc>
        <w:tc>
          <w:tcPr>
            <w:tcW w:w="1180" w:type="dxa"/>
            <w:vAlign w:val="bottom"/>
            <w:tcBorders>
              <w:bottom w:val="single" w:sz="8" w:color="959595"/>
            </w:tcBorders>
          </w:tcPr>
          <w:p>
            <w:pPr>
              <w:jc w:val="right"/>
              <w:ind w:right="170"/>
              <w:spacing w:after="0"/>
              <w:rPr>
                <w:sz w:val="20"/>
                <w:szCs w:val="20"/>
                <w:color w:val="auto"/>
              </w:rPr>
            </w:pPr>
            <w:r>
              <w:rPr>
                <w:rFonts w:ascii="Arial" w:cs="Arial" w:eastAsia="Arial" w:hAnsi="Arial"/>
                <w:sz w:val="14"/>
                <w:szCs w:val="14"/>
                <w:color w:val="auto"/>
              </w:rPr>
              <w:t>916,702</w:t>
            </w:r>
          </w:p>
        </w:tc>
        <w:tc>
          <w:tcPr>
            <w:tcW w:w="8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959595"/>
            </w:tcBorders>
          </w:tcPr>
          <w:p>
            <w:pPr>
              <w:spacing w:after="0"/>
              <w:rPr>
                <w:sz w:val="22"/>
                <w:szCs w:val="22"/>
                <w:color w:val="auto"/>
              </w:rPr>
            </w:pPr>
          </w:p>
        </w:tc>
        <w:tc>
          <w:tcPr>
            <w:tcW w:w="1320" w:type="dxa"/>
            <w:vAlign w:val="bottom"/>
            <w:tcBorders>
              <w:bottom w:val="single" w:sz="8" w:color="959595"/>
            </w:tcBorders>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100" w:type="dxa"/>
            <w:vAlign w:val="bottom"/>
            <w:tcBorders>
              <w:bottom w:val="single" w:sz="8" w:color="959595"/>
            </w:tcBorders>
          </w:tcPr>
          <w:p>
            <w:pPr>
              <w:spacing w:after="0"/>
              <w:rPr>
                <w:sz w:val="22"/>
                <w:szCs w:val="22"/>
                <w:color w:val="auto"/>
              </w:rPr>
            </w:pPr>
          </w:p>
        </w:tc>
        <w:tc>
          <w:tcPr>
            <w:tcW w:w="960" w:type="dxa"/>
            <w:vAlign w:val="bottom"/>
            <w:tcBorders>
              <w:bottom w:val="single" w:sz="8" w:color="959595"/>
            </w:tcBorders>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959595"/>
            </w:tcBorders>
          </w:tcPr>
          <w:p>
            <w:pPr>
              <w:spacing w:after="0"/>
              <w:rPr>
                <w:sz w:val="22"/>
                <w:szCs w:val="22"/>
                <w:color w:val="auto"/>
              </w:rPr>
            </w:pPr>
          </w:p>
        </w:tc>
        <w:tc>
          <w:tcPr>
            <w:tcW w:w="820" w:type="dxa"/>
            <w:vAlign w:val="bottom"/>
            <w:tcBorders>
              <w:bottom w:val="single" w:sz="8" w:color="959595"/>
            </w:tcBorders>
          </w:tcPr>
          <w:p>
            <w:pPr>
              <w:jc w:val="right"/>
              <w:ind w:right="7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959595"/>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59595"/>
            </w:tcBorders>
            <w:gridSpan w:val="2"/>
          </w:tcPr>
          <w:p>
            <w:pPr>
              <w:jc w:val="right"/>
              <w:spacing w:after="0"/>
              <w:rPr>
                <w:sz w:val="20"/>
                <w:szCs w:val="20"/>
                <w:color w:val="auto"/>
              </w:rPr>
            </w:pPr>
            <w:r>
              <w:rPr>
                <w:rFonts w:ascii="Arial" w:cs="Arial" w:eastAsia="Arial" w:hAnsi="Arial"/>
                <w:sz w:val="14"/>
                <w:szCs w:val="14"/>
                <w:color w:val="auto"/>
              </w:rPr>
              <w:t>8,231</w:t>
            </w:r>
          </w:p>
        </w:tc>
        <w:tc>
          <w:tcPr>
            <w:tcW w:w="380" w:type="dxa"/>
            <w:vAlign w:val="bottom"/>
            <w:tcBorders>
              <w:bottom w:val="single" w:sz="8" w:color="959595"/>
            </w:tcBorders>
          </w:tcPr>
          <w:p>
            <w:pPr>
              <w:ind w:left="80"/>
              <w:spacing w:after="0"/>
              <w:rPr>
                <w:sz w:val="20"/>
                <w:szCs w:val="20"/>
                <w:color w:val="auto"/>
              </w:rPr>
            </w:pPr>
            <w:r>
              <w:rPr>
                <w:rFonts w:ascii="Arial" w:cs="Arial" w:eastAsia="Arial" w:hAnsi="Arial"/>
                <w:sz w:val="12"/>
                <w:szCs w:val="12"/>
                <w:color w:val="auto"/>
              </w:rPr>
              <w:t>10</w:t>
            </w:r>
          </w:p>
        </w:tc>
        <w:tc>
          <w:tcPr>
            <w:tcW w:w="160" w:type="dxa"/>
            <w:vAlign w:val="bottom"/>
            <w:tcBorders>
              <w:bottom w:val="single" w:sz="8" w:color="959595"/>
            </w:tcBorders>
          </w:tcPr>
          <w:p>
            <w:pPr>
              <w:spacing w:after="0"/>
              <w:rPr>
                <w:sz w:val="22"/>
                <w:szCs w:val="22"/>
                <w:color w:val="auto"/>
              </w:rPr>
            </w:pPr>
          </w:p>
        </w:tc>
        <w:tc>
          <w:tcPr>
            <w:tcW w:w="1180" w:type="dxa"/>
            <w:vAlign w:val="bottom"/>
            <w:tcBorders>
              <w:bottom w:val="single" w:sz="8" w:color="959595"/>
            </w:tcBorders>
          </w:tcPr>
          <w:p>
            <w:pPr>
              <w:jc w:val="right"/>
              <w:ind w:right="170"/>
              <w:spacing w:after="0"/>
              <w:rPr>
                <w:sz w:val="20"/>
                <w:szCs w:val="20"/>
                <w:color w:val="auto"/>
              </w:rPr>
            </w:pPr>
            <w:r>
              <w:rPr>
                <w:rFonts w:ascii="Arial" w:cs="Arial" w:eastAsia="Arial" w:hAnsi="Arial"/>
                <w:sz w:val="14"/>
                <w:szCs w:val="14"/>
                <w:color w:val="auto"/>
              </w:rPr>
              <w:t>2,155,205</w:t>
            </w:r>
          </w:p>
        </w:tc>
        <w:tc>
          <w:tcPr>
            <w:tcW w:w="8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959595"/>
            </w:tcBorders>
          </w:tcPr>
          <w:p>
            <w:pPr>
              <w:spacing w:after="0"/>
              <w:rPr>
                <w:sz w:val="22"/>
                <w:szCs w:val="22"/>
                <w:color w:val="auto"/>
              </w:rPr>
            </w:pPr>
          </w:p>
        </w:tc>
        <w:tc>
          <w:tcPr>
            <w:tcW w:w="1320" w:type="dxa"/>
            <w:vAlign w:val="bottom"/>
            <w:tcBorders>
              <w:bottom w:val="single" w:sz="8" w:color="959595"/>
            </w:tcBorders>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7"/>
        </w:trPr>
        <w:tc>
          <w:tcPr>
            <w:tcW w:w="3100" w:type="dxa"/>
            <w:vAlign w:val="bottom"/>
          </w:tcPr>
          <w:p>
            <w:pPr>
              <w:ind w:left="40"/>
              <w:spacing w:after="0"/>
              <w:rPr>
                <w:sz w:val="20"/>
                <w:szCs w:val="20"/>
                <w:color w:val="auto"/>
              </w:rPr>
            </w:pPr>
            <w:r>
              <w:rPr>
                <w:rFonts w:ascii="Arial" w:cs="Arial" w:eastAsia="Arial" w:hAnsi="Arial"/>
                <w:sz w:val="14"/>
                <w:szCs w:val="14"/>
                <w:b w:val="1"/>
                <w:bCs w:val="1"/>
                <w:color w:val="012E6C"/>
              </w:rPr>
              <w:t>Dale P. Bennett</w:t>
            </w:r>
          </w:p>
        </w:tc>
        <w:tc>
          <w:tcPr>
            <w:tcW w:w="960" w:type="dxa"/>
            <w:vAlign w:val="bottom"/>
            <w:tcBorders>
              <w:bottom w:val="single" w:sz="8" w:color="959595"/>
            </w:tcBorders>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959595"/>
            </w:tcBorders>
          </w:tcPr>
          <w:p>
            <w:pPr>
              <w:spacing w:after="0"/>
              <w:rPr>
                <w:sz w:val="23"/>
                <w:szCs w:val="23"/>
                <w:color w:val="auto"/>
              </w:rPr>
            </w:pPr>
          </w:p>
        </w:tc>
        <w:tc>
          <w:tcPr>
            <w:tcW w:w="820" w:type="dxa"/>
            <w:vAlign w:val="bottom"/>
            <w:tcBorders>
              <w:bottom w:val="single" w:sz="8" w:color="959595"/>
            </w:tcBorders>
          </w:tcPr>
          <w:p>
            <w:pPr>
              <w:jc w:val="right"/>
              <w:ind w:right="7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959595"/>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59595"/>
            </w:tcBorders>
            <w:gridSpan w:val="2"/>
          </w:tcPr>
          <w:p>
            <w:pPr>
              <w:jc w:val="right"/>
              <w:spacing w:after="0"/>
              <w:rPr>
                <w:sz w:val="20"/>
                <w:szCs w:val="20"/>
                <w:color w:val="auto"/>
              </w:rPr>
            </w:pPr>
            <w:r>
              <w:rPr>
                <w:rFonts w:ascii="Arial" w:cs="Arial" w:eastAsia="Arial" w:hAnsi="Arial"/>
                <w:sz w:val="14"/>
                <w:szCs w:val="14"/>
                <w:color w:val="auto"/>
              </w:rPr>
              <w:t>2,931</w:t>
            </w:r>
          </w:p>
        </w:tc>
        <w:tc>
          <w:tcPr>
            <w:tcW w:w="380" w:type="dxa"/>
            <w:vAlign w:val="bottom"/>
            <w:tcBorders>
              <w:bottom w:val="single" w:sz="8" w:color="959595"/>
            </w:tcBorders>
          </w:tcPr>
          <w:p>
            <w:pPr>
              <w:ind w:left="80"/>
              <w:spacing w:after="0"/>
              <w:rPr>
                <w:sz w:val="20"/>
                <w:szCs w:val="20"/>
                <w:color w:val="auto"/>
              </w:rPr>
            </w:pPr>
            <w:r>
              <w:rPr>
                <w:rFonts w:ascii="Arial" w:cs="Arial" w:eastAsia="Arial" w:hAnsi="Arial"/>
                <w:sz w:val="12"/>
                <w:szCs w:val="12"/>
                <w:color w:val="auto"/>
              </w:rPr>
              <w:t>5</w:t>
            </w:r>
          </w:p>
        </w:tc>
        <w:tc>
          <w:tcPr>
            <w:tcW w:w="160" w:type="dxa"/>
            <w:vAlign w:val="bottom"/>
            <w:tcBorders>
              <w:bottom w:val="single" w:sz="8" w:color="959595"/>
            </w:tcBorders>
          </w:tcPr>
          <w:p>
            <w:pPr>
              <w:spacing w:after="0"/>
              <w:rPr>
                <w:sz w:val="23"/>
                <w:szCs w:val="23"/>
                <w:color w:val="auto"/>
              </w:rPr>
            </w:pPr>
          </w:p>
        </w:tc>
        <w:tc>
          <w:tcPr>
            <w:tcW w:w="1180" w:type="dxa"/>
            <w:vAlign w:val="bottom"/>
            <w:tcBorders>
              <w:bottom w:val="single" w:sz="8" w:color="959595"/>
            </w:tcBorders>
          </w:tcPr>
          <w:p>
            <w:pPr>
              <w:jc w:val="right"/>
              <w:ind w:right="170"/>
              <w:spacing w:after="0"/>
              <w:rPr>
                <w:sz w:val="20"/>
                <w:szCs w:val="20"/>
                <w:color w:val="auto"/>
              </w:rPr>
            </w:pPr>
            <w:r>
              <w:rPr>
                <w:rFonts w:ascii="Arial" w:cs="Arial" w:eastAsia="Arial" w:hAnsi="Arial"/>
                <w:sz w:val="14"/>
                <w:szCs w:val="14"/>
                <w:color w:val="auto"/>
              </w:rPr>
              <w:t>767,453</w:t>
            </w:r>
          </w:p>
        </w:tc>
        <w:tc>
          <w:tcPr>
            <w:tcW w:w="8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5,631</w:t>
            </w:r>
          </w:p>
        </w:tc>
        <w:tc>
          <w:tcPr>
            <w:tcW w:w="540" w:type="dxa"/>
            <w:vAlign w:val="bottom"/>
            <w:tcBorders>
              <w:bottom w:val="single" w:sz="8" w:color="959595"/>
            </w:tcBorders>
          </w:tcPr>
          <w:p>
            <w:pPr>
              <w:jc w:val="center"/>
              <w:ind w:right="260"/>
              <w:spacing w:after="0"/>
              <w:rPr>
                <w:sz w:val="20"/>
                <w:szCs w:val="20"/>
                <w:color w:val="auto"/>
              </w:rPr>
            </w:pPr>
            <w:r>
              <w:rPr>
                <w:rFonts w:ascii="Arial" w:cs="Arial" w:eastAsia="Arial" w:hAnsi="Arial"/>
                <w:sz w:val="12"/>
                <w:szCs w:val="12"/>
                <w:color w:val="auto"/>
                <w:w w:val="89"/>
              </w:rPr>
              <w:t>6</w:t>
            </w:r>
          </w:p>
        </w:tc>
        <w:tc>
          <w:tcPr>
            <w:tcW w:w="1320" w:type="dxa"/>
            <w:vAlign w:val="bottom"/>
            <w:tcBorders>
              <w:bottom w:val="single" w:sz="8" w:color="959595"/>
            </w:tcBorders>
          </w:tcPr>
          <w:p>
            <w:pPr>
              <w:jc w:val="right"/>
              <w:ind w:right="30"/>
              <w:spacing w:after="0"/>
              <w:rPr>
                <w:sz w:val="20"/>
                <w:szCs w:val="20"/>
                <w:color w:val="auto"/>
              </w:rPr>
            </w:pPr>
            <w:r>
              <w:rPr>
                <w:rFonts w:ascii="Arial" w:cs="Arial" w:eastAsia="Arial" w:hAnsi="Arial"/>
                <w:sz w:val="14"/>
                <w:szCs w:val="14"/>
                <w:color w:val="auto"/>
              </w:rPr>
              <w:t>1,474,421</w:t>
            </w:r>
          </w:p>
        </w:tc>
        <w:tc>
          <w:tcPr>
            <w:tcW w:w="0" w:type="dxa"/>
            <w:vAlign w:val="bottom"/>
          </w:tcPr>
          <w:p>
            <w:pPr>
              <w:spacing w:after="0"/>
              <w:rPr>
                <w:sz w:val="1"/>
                <w:szCs w:val="1"/>
                <w:color w:val="auto"/>
              </w:rPr>
            </w:pPr>
          </w:p>
        </w:tc>
      </w:tr>
      <w:tr>
        <w:trPr>
          <w:trHeight w:val="261"/>
        </w:trPr>
        <w:tc>
          <w:tcPr>
            <w:tcW w:w="3100" w:type="dxa"/>
            <w:vAlign w:val="bottom"/>
          </w:tcPr>
          <w:p>
            <w:pPr>
              <w:spacing w:after="0"/>
              <w:rPr>
                <w:sz w:val="22"/>
                <w:szCs w:val="22"/>
                <w:color w:val="auto"/>
              </w:rPr>
            </w:pPr>
          </w:p>
        </w:tc>
        <w:tc>
          <w:tcPr>
            <w:tcW w:w="960" w:type="dxa"/>
            <w:vAlign w:val="bottom"/>
            <w:tcBorders>
              <w:bottom w:val="single" w:sz="8" w:color="959595"/>
            </w:tcBorders>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959595"/>
            </w:tcBorders>
          </w:tcPr>
          <w:p>
            <w:pPr>
              <w:spacing w:after="0"/>
              <w:rPr>
                <w:sz w:val="22"/>
                <w:szCs w:val="22"/>
                <w:color w:val="auto"/>
              </w:rPr>
            </w:pPr>
          </w:p>
        </w:tc>
        <w:tc>
          <w:tcPr>
            <w:tcW w:w="820" w:type="dxa"/>
            <w:vAlign w:val="bottom"/>
            <w:tcBorders>
              <w:bottom w:val="single" w:sz="8" w:color="959595"/>
            </w:tcBorders>
          </w:tcPr>
          <w:p>
            <w:pPr>
              <w:jc w:val="right"/>
              <w:ind w:right="7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959595"/>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59595"/>
            </w:tcBorders>
            <w:gridSpan w:val="2"/>
          </w:tcPr>
          <w:p>
            <w:pPr>
              <w:jc w:val="right"/>
              <w:spacing w:after="0"/>
              <w:rPr>
                <w:sz w:val="20"/>
                <w:szCs w:val="20"/>
                <w:color w:val="auto"/>
              </w:rPr>
            </w:pPr>
            <w:r>
              <w:rPr>
                <w:rFonts w:ascii="Arial" w:cs="Arial" w:eastAsia="Arial" w:hAnsi="Arial"/>
                <w:sz w:val="14"/>
                <w:szCs w:val="14"/>
                <w:color w:val="auto"/>
              </w:rPr>
              <w:t>3,800</w:t>
            </w:r>
          </w:p>
        </w:tc>
        <w:tc>
          <w:tcPr>
            <w:tcW w:w="380" w:type="dxa"/>
            <w:vAlign w:val="bottom"/>
            <w:tcBorders>
              <w:bottom w:val="single" w:sz="8" w:color="959595"/>
            </w:tcBorders>
          </w:tcPr>
          <w:p>
            <w:pPr>
              <w:ind w:left="80"/>
              <w:spacing w:after="0"/>
              <w:rPr>
                <w:sz w:val="20"/>
                <w:szCs w:val="20"/>
                <w:color w:val="auto"/>
              </w:rPr>
            </w:pPr>
            <w:r>
              <w:rPr>
                <w:rFonts w:ascii="Arial" w:cs="Arial" w:eastAsia="Arial" w:hAnsi="Arial"/>
                <w:sz w:val="12"/>
                <w:szCs w:val="12"/>
                <w:color w:val="auto"/>
              </w:rPr>
              <w:t>7</w:t>
            </w:r>
          </w:p>
        </w:tc>
        <w:tc>
          <w:tcPr>
            <w:tcW w:w="160" w:type="dxa"/>
            <w:vAlign w:val="bottom"/>
            <w:tcBorders>
              <w:bottom w:val="single" w:sz="8" w:color="959595"/>
            </w:tcBorders>
          </w:tcPr>
          <w:p>
            <w:pPr>
              <w:spacing w:after="0"/>
              <w:rPr>
                <w:sz w:val="22"/>
                <w:szCs w:val="22"/>
                <w:color w:val="auto"/>
              </w:rPr>
            </w:pPr>
          </w:p>
        </w:tc>
        <w:tc>
          <w:tcPr>
            <w:tcW w:w="1180" w:type="dxa"/>
            <w:vAlign w:val="bottom"/>
            <w:tcBorders>
              <w:bottom w:val="single" w:sz="8" w:color="959595"/>
            </w:tcBorders>
          </w:tcPr>
          <w:p>
            <w:pPr>
              <w:jc w:val="right"/>
              <w:ind w:right="170"/>
              <w:spacing w:after="0"/>
              <w:rPr>
                <w:sz w:val="20"/>
                <w:szCs w:val="20"/>
                <w:color w:val="auto"/>
              </w:rPr>
            </w:pPr>
            <w:r>
              <w:rPr>
                <w:rFonts w:ascii="Arial" w:cs="Arial" w:eastAsia="Arial" w:hAnsi="Arial"/>
                <w:sz w:val="14"/>
                <w:szCs w:val="14"/>
                <w:color w:val="auto"/>
              </w:rPr>
              <w:t>994,992</w:t>
            </w:r>
          </w:p>
        </w:tc>
        <w:tc>
          <w:tcPr>
            <w:tcW w:w="8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8,494</w:t>
            </w:r>
          </w:p>
        </w:tc>
        <w:tc>
          <w:tcPr>
            <w:tcW w:w="540" w:type="dxa"/>
            <w:vAlign w:val="bottom"/>
            <w:tcBorders>
              <w:bottom w:val="single" w:sz="8" w:color="959595"/>
            </w:tcBorders>
          </w:tcPr>
          <w:p>
            <w:pPr>
              <w:jc w:val="center"/>
              <w:ind w:right="260"/>
              <w:spacing w:after="0"/>
              <w:rPr>
                <w:sz w:val="20"/>
                <w:szCs w:val="20"/>
                <w:color w:val="auto"/>
              </w:rPr>
            </w:pPr>
            <w:r>
              <w:rPr>
                <w:rFonts w:ascii="Arial" w:cs="Arial" w:eastAsia="Arial" w:hAnsi="Arial"/>
                <w:sz w:val="12"/>
                <w:szCs w:val="12"/>
                <w:color w:val="auto"/>
                <w:w w:val="89"/>
              </w:rPr>
              <w:t>8</w:t>
            </w:r>
          </w:p>
        </w:tc>
        <w:tc>
          <w:tcPr>
            <w:tcW w:w="1320" w:type="dxa"/>
            <w:vAlign w:val="bottom"/>
            <w:tcBorders>
              <w:bottom w:val="single" w:sz="8" w:color="959595"/>
            </w:tcBorders>
          </w:tcPr>
          <w:p>
            <w:pPr>
              <w:jc w:val="right"/>
              <w:ind w:right="30"/>
              <w:spacing w:after="0"/>
              <w:rPr>
                <w:sz w:val="20"/>
                <w:szCs w:val="20"/>
                <w:color w:val="auto"/>
              </w:rPr>
            </w:pPr>
            <w:r>
              <w:rPr>
                <w:rFonts w:ascii="Arial" w:cs="Arial" w:eastAsia="Arial" w:hAnsi="Arial"/>
                <w:sz w:val="14"/>
                <w:szCs w:val="14"/>
                <w:color w:val="auto"/>
              </w:rPr>
              <w:t>2,224,069</w:t>
            </w:r>
          </w:p>
        </w:tc>
        <w:tc>
          <w:tcPr>
            <w:tcW w:w="0" w:type="dxa"/>
            <w:vAlign w:val="bottom"/>
          </w:tcPr>
          <w:p>
            <w:pPr>
              <w:spacing w:after="0"/>
              <w:rPr>
                <w:sz w:val="1"/>
                <w:szCs w:val="1"/>
                <w:color w:val="auto"/>
              </w:rPr>
            </w:pPr>
          </w:p>
        </w:tc>
      </w:tr>
      <w:tr>
        <w:trPr>
          <w:trHeight w:val="264"/>
        </w:trPr>
        <w:tc>
          <w:tcPr>
            <w:tcW w:w="3100" w:type="dxa"/>
            <w:vAlign w:val="bottom"/>
          </w:tcPr>
          <w:p>
            <w:pPr>
              <w:spacing w:after="0"/>
              <w:rPr>
                <w:sz w:val="22"/>
                <w:szCs w:val="22"/>
                <w:color w:val="auto"/>
              </w:rPr>
            </w:pPr>
          </w:p>
        </w:tc>
        <w:tc>
          <w:tcPr>
            <w:tcW w:w="960" w:type="dxa"/>
            <w:vAlign w:val="bottom"/>
            <w:tcBorders>
              <w:bottom w:val="single" w:sz="8" w:color="959595"/>
            </w:tcBorders>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959595"/>
            </w:tcBorders>
          </w:tcPr>
          <w:p>
            <w:pPr>
              <w:spacing w:after="0"/>
              <w:rPr>
                <w:sz w:val="22"/>
                <w:szCs w:val="22"/>
                <w:color w:val="auto"/>
              </w:rPr>
            </w:pPr>
          </w:p>
        </w:tc>
        <w:tc>
          <w:tcPr>
            <w:tcW w:w="820" w:type="dxa"/>
            <w:vAlign w:val="bottom"/>
            <w:tcBorders>
              <w:bottom w:val="single" w:sz="8" w:color="959595"/>
            </w:tcBorders>
          </w:tcPr>
          <w:p>
            <w:pPr>
              <w:jc w:val="right"/>
              <w:ind w:right="7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959595"/>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59595"/>
            </w:tcBorders>
            <w:gridSpan w:val="2"/>
          </w:tcPr>
          <w:p>
            <w:pPr>
              <w:jc w:val="right"/>
              <w:spacing w:after="0"/>
              <w:rPr>
                <w:sz w:val="20"/>
                <w:szCs w:val="20"/>
                <w:color w:val="auto"/>
              </w:rPr>
            </w:pPr>
            <w:r>
              <w:rPr>
                <w:rFonts w:ascii="Arial" w:cs="Arial" w:eastAsia="Arial" w:hAnsi="Arial"/>
                <w:sz w:val="14"/>
                <w:szCs w:val="14"/>
                <w:color w:val="auto"/>
              </w:rPr>
              <w:t>4,638</w:t>
            </w:r>
          </w:p>
        </w:tc>
        <w:tc>
          <w:tcPr>
            <w:tcW w:w="380" w:type="dxa"/>
            <w:vAlign w:val="bottom"/>
            <w:tcBorders>
              <w:bottom w:val="single" w:sz="8" w:color="959595"/>
            </w:tcBorders>
          </w:tcPr>
          <w:p>
            <w:pPr>
              <w:ind w:left="80"/>
              <w:spacing w:after="0"/>
              <w:rPr>
                <w:sz w:val="20"/>
                <w:szCs w:val="20"/>
                <w:color w:val="auto"/>
              </w:rPr>
            </w:pPr>
            <w:r>
              <w:rPr>
                <w:rFonts w:ascii="Arial" w:cs="Arial" w:eastAsia="Arial" w:hAnsi="Arial"/>
                <w:sz w:val="12"/>
                <w:szCs w:val="12"/>
                <w:color w:val="auto"/>
              </w:rPr>
              <w:t>9</w:t>
            </w:r>
          </w:p>
        </w:tc>
        <w:tc>
          <w:tcPr>
            <w:tcW w:w="160" w:type="dxa"/>
            <w:vAlign w:val="bottom"/>
            <w:tcBorders>
              <w:bottom w:val="single" w:sz="8" w:color="959595"/>
            </w:tcBorders>
          </w:tcPr>
          <w:p>
            <w:pPr>
              <w:spacing w:after="0"/>
              <w:rPr>
                <w:sz w:val="22"/>
                <w:szCs w:val="22"/>
                <w:color w:val="auto"/>
              </w:rPr>
            </w:pPr>
          </w:p>
        </w:tc>
        <w:tc>
          <w:tcPr>
            <w:tcW w:w="1180" w:type="dxa"/>
            <w:vAlign w:val="bottom"/>
            <w:tcBorders>
              <w:bottom w:val="single" w:sz="8" w:color="959595"/>
            </w:tcBorders>
          </w:tcPr>
          <w:p>
            <w:pPr>
              <w:jc w:val="right"/>
              <w:ind w:right="170"/>
              <w:spacing w:after="0"/>
              <w:rPr>
                <w:sz w:val="20"/>
                <w:szCs w:val="20"/>
                <w:color w:val="auto"/>
              </w:rPr>
            </w:pPr>
            <w:r>
              <w:rPr>
                <w:rFonts w:ascii="Arial" w:cs="Arial" w:eastAsia="Arial" w:hAnsi="Arial"/>
                <w:sz w:val="14"/>
                <w:szCs w:val="14"/>
                <w:color w:val="auto"/>
              </w:rPr>
              <w:t>1,214,414</w:t>
            </w:r>
          </w:p>
        </w:tc>
        <w:tc>
          <w:tcPr>
            <w:tcW w:w="8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959595"/>
            </w:tcBorders>
          </w:tcPr>
          <w:p>
            <w:pPr>
              <w:spacing w:after="0"/>
              <w:rPr>
                <w:sz w:val="22"/>
                <w:szCs w:val="22"/>
                <w:color w:val="auto"/>
              </w:rPr>
            </w:pPr>
          </w:p>
        </w:tc>
        <w:tc>
          <w:tcPr>
            <w:tcW w:w="1320" w:type="dxa"/>
            <w:vAlign w:val="bottom"/>
            <w:tcBorders>
              <w:bottom w:val="single" w:sz="8" w:color="959595"/>
            </w:tcBorders>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100" w:type="dxa"/>
            <w:vAlign w:val="bottom"/>
            <w:tcBorders>
              <w:bottom w:val="single" w:sz="8" w:color="959595"/>
            </w:tcBorders>
          </w:tcPr>
          <w:p>
            <w:pPr>
              <w:spacing w:after="0"/>
              <w:rPr>
                <w:sz w:val="22"/>
                <w:szCs w:val="22"/>
                <w:color w:val="auto"/>
              </w:rPr>
            </w:pPr>
          </w:p>
        </w:tc>
        <w:tc>
          <w:tcPr>
            <w:tcW w:w="960" w:type="dxa"/>
            <w:vAlign w:val="bottom"/>
            <w:tcBorders>
              <w:bottom w:val="single" w:sz="8" w:color="959595"/>
            </w:tcBorders>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959595"/>
            </w:tcBorders>
          </w:tcPr>
          <w:p>
            <w:pPr>
              <w:spacing w:after="0"/>
              <w:rPr>
                <w:sz w:val="22"/>
                <w:szCs w:val="22"/>
                <w:color w:val="auto"/>
              </w:rPr>
            </w:pPr>
          </w:p>
        </w:tc>
        <w:tc>
          <w:tcPr>
            <w:tcW w:w="820" w:type="dxa"/>
            <w:vAlign w:val="bottom"/>
            <w:tcBorders>
              <w:bottom w:val="single" w:sz="8" w:color="959595"/>
            </w:tcBorders>
          </w:tcPr>
          <w:p>
            <w:pPr>
              <w:jc w:val="right"/>
              <w:ind w:right="7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959595"/>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59595"/>
            </w:tcBorders>
            <w:gridSpan w:val="2"/>
          </w:tcPr>
          <w:p>
            <w:pPr>
              <w:jc w:val="right"/>
              <w:spacing w:after="0"/>
              <w:rPr>
                <w:sz w:val="20"/>
                <w:szCs w:val="20"/>
                <w:color w:val="auto"/>
              </w:rPr>
            </w:pPr>
            <w:r>
              <w:rPr>
                <w:rFonts w:ascii="Arial" w:cs="Arial" w:eastAsia="Arial" w:hAnsi="Arial"/>
                <w:sz w:val="14"/>
                <w:szCs w:val="14"/>
                <w:color w:val="auto"/>
              </w:rPr>
              <w:t>10,867</w:t>
            </w:r>
          </w:p>
        </w:tc>
        <w:tc>
          <w:tcPr>
            <w:tcW w:w="380" w:type="dxa"/>
            <w:vAlign w:val="bottom"/>
            <w:tcBorders>
              <w:bottom w:val="single" w:sz="8" w:color="959595"/>
            </w:tcBorders>
          </w:tcPr>
          <w:p>
            <w:pPr>
              <w:ind w:left="80"/>
              <w:spacing w:after="0"/>
              <w:rPr>
                <w:sz w:val="20"/>
                <w:szCs w:val="20"/>
                <w:color w:val="auto"/>
              </w:rPr>
            </w:pPr>
            <w:r>
              <w:rPr>
                <w:rFonts w:ascii="Arial" w:cs="Arial" w:eastAsia="Arial" w:hAnsi="Arial"/>
                <w:sz w:val="12"/>
                <w:szCs w:val="12"/>
                <w:color w:val="auto"/>
              </w:rPr>
              <w:t>10</w:t>
            </w:r>
          </w:p>
        </w:tc>
        <w:tc>
          <w:tcPr>
            <w:tcW w:w="160" w:type="dxa"/>
            <w:vAlign w:val="bottom"/>
            <w:tcBorders>
              <w:bottom w:val="single" w:sz="8" w:color="959595"/>
            </w:tcBorders>
          </w:tcPr>
          <w:p>
            <w:pPr>
              <w:spacing w:after="0"/>
              <w:rPr>
                <w:sz w:val="22"/>
                <w:szCs w:val="22"/>
                <w:color w:val="auto"/>
              </w:rPr>
            </w:pPr>
          </w:p>
        </w:tc>
        <w:tc>
          <w:tcPr>
            <w:tcW w:w="1180" w:type="dxa"/>
            <w:vAlign w:val="bottom"/>
            <w:tcBorders>
              <w:bottom w:val="single" w:sz="8" w:color="959595"/>
            </w:tcBorders>
          </w:tcPr>
          <w:p>
            <w:pPr>
              <w:jc w:val="right"/>
              <w:ind w:right="170"/>
              <w:spacing w:after="0"/>
              <w:rPr>
                <w:sz w:val="20"/>
                <w:szCs w:val="20"/>
                <w:color w:val="auto"/>
              </w:rPr>
            </w:pPr>
            <w:r>
              <w:rPr>
                <w:rFonts w:ascii="Arial" w:cs="Arial" w:eastAsia="Arial" w:hAnsi="Arial"/>
                <w:sz w:val="14"/>
                <w:szCs w:val="14"/>
                <w:color w:val="auto"/>
              </w:rPr>
              <w:t>2,845,415</w:t>
            </w:r>
          </w:p>
        </w:tc>
        <w:tc>
          <w:tcPr>
            <w:tcW w:w="8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959595"/>
            </w:tcBorders>
          </w:tcPr>
          <w:p>
            <w:pPr>
              <w:spacing w:after="0"/>
              <w:rPr>
                <w:sz w:val="22"/>
                <w:szCs w:val="22"/>
                <w:color w:val="auto"/>
              </w:rPr>
            </w:pPr>
          </w:p>
        </w:tc>
        <w:tc>
          <w:tcPr>
            <w:tcW w:w="1320" w:type="dxa"/>
            <w:vAlign w:val="bottom"/>
            <w:tcBorders>
              <w:bottom w:val="single" w:sz="8" w:color="959595"/>
            </w:tcBorders>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7"/>
        </w:trPr>
        <w:tc>
          <w:tcPr>
            <w:tcW w:w="3100" w:type="dxa"/>
            <w:vAlign w:val="bottom"/>
          </w:tcPr>
          <w:p>
            <w:pPr>
              <w:ind w:left="40"/>
              <w:spacing w:after="0"/>
              <w:rPr>
                <w:sz w:val="20"/>
                <w:szCs w:val="20"/>
                <w:color w:val="auto"/>
              </w:rPr>
            </w:pPr>
            <w:r>
              <w:rPr>
                <w:rFonts w:ascii="Arial" w:cs="Arial" w:eastAsia="Arial" w:hAnsi="Arial"/>
                <w:sz w:val="14"/>
                <w:szCs w:val="14"/>
                <w:b w:val="1"/>
                <w:bCs w:val="1"/>
                <w:color w:val="012E6C"/>
              </w:rPr>
              <w:t>Orlando P. Carvalho</w:t>
            </w:r>
          </w:p>
        </w:tc>
        <w:tc>
          <w:tcPr>
            <w:tcW w:w="960" w:type="dxa"/>
            <w:vAlign w:val="bottom"/>
            <w:tcBorders>
              <w:bottom w:val="single" w:sz="8" w:color="959595"/>
            </w:tcBorders>
            <w:gridSpan w:val="2"/>
          </w:tcPr>
          <w:p>
            <w:pPr>
              <w:jc w:val="right"/>
              <w:ind w:right="40"/>
              <w:spacing w:after="0"/>
              <w:rPr>
                <w:sz w:val="20"/>
                <w:szCs w:val="20"/>
                <w:color w:val="auto"/>
              </w:rPr>
            </w:pPr>
            <w:r>
              <w:rPr>
                <w:rFonts w:ascii="Arial" w:cs="Arial" w:eastAsia="Arial" w:hAnsi="Arial"/>
                <w:sz w:val="14"/>
                <w:szCs w:val="14"/>
                <w:color w:val="auto"/>
              </w:rPr>
              <w:t>29,705</w:t>
            </w:r>
          </w:p>
        </w:tc>
        <w:tc>
          <w:tcPr>
            <w:tcW w:w="900" w:type="dxa"/>
            <w:vAlign w:val="bottom"/>
            <w:tcBorders>
              <w:bottom w:val="single" w:sz="8" w:color="959595"/>
            </w:tcBorders>
            <w:gridSpan w:val="2"/>
          </w:tcPr>
          <w:p>
            <w:pPr>
              <w:jc w:val="right"/>
              <w:ind w:right="70"/>
              <w:spacing w:after="0"/>
              <w:rPr>
                <w:sz w:val="20"/>
                <w:szCs w:val="20"/>
                <w:color w:val="auto"/>
              </w:rPr>
            </w:pPr>
            <w:r>
              <w:rPr>
                <w:rFonts w:ascii="Arial" w:cs="Arial" w:eastAsia="Arial" w:hAnsi="Arial"/>
                <w:sz w:val="14"/>
                <w:szCs w:val="14"/>
                <w:color w:val="auto"/>
              </w:rPr>
              <w:t>82.01</w:t>
            </w:r>
          </w:p>
        </w:tc>
        <w:tc>
          <w:tcPr>
            <w:tcW w:w="8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1/28/2022</w:t>
            </w:r>
          </w:p>
        </w:tc>
        <w:tc>
          <w:tcPr>
            <w:tcW w:w="120" w:type="dxa"/>
            <w:vAlign w:val="bottom"/>
            <w:tcBorders>
              <w:bottom w:val="single" w:sz="8" w:color="959595"/>
            </w:tcBorders>
          </w:tcPr>
          <w:p>
            <w:pPr>
              <w:spacing w:after="0"/>
              <w:rPr>
                <w:sz w:val="23"/>
                <w:szCs w:val="23"/>
                <w:color w:val="auto"/>
              </w:rPr>
            </w:pPr>
          </w:p>
        </w:tc>
        <w:tc>
          <w:tcPr>
            <w:tcW w:w="1080" w:type="dxa"/>
            <w:vAlign w:val="bottom"/>
            <w:tcBorders>
              <w:bottom w:val="single" w:sz="8" w:color="959595"/>
            </w:tcBorders>
            <w:gridSpan w:val="2"/>
          </w:tcPr>
          <w:p>
            <w:pPr>
              <w:jc w:val="right"/>
              <w:spacing w:after="0"/>
              <w:rPr>
                <w:sz w:val="20"/>
                <w:szCs w:val="20"/>
                <w:color w:val="auto"/>
              </w:rPr>
            </w:pPr>
            <w:r>
              <w:rPr>
                <w:rFonts w:ascii="Arial" w:cs="Arial" w:eastAsia="Arial" w:hAnsi="Arial"/>
                <w:sz w:val="14"/>
                <w:szCs w:val="14"/>
                <w:color w:val="auto"/>
              </w:rPr>
              <w:t>2,931</w:t>
            </w:r>
          </w:p>
        </w:tc>
        <w:tc>
          <w:tcPr>
            <w:tcW w:w="380" w:type="dxa"/>
            <w:vAlign w:val="bottom"/>
            <w:tcBorders>
              <w:bottom w:val="single" w:sz="8" w:color="959595"/>
            </w:tcBorders>
          </w:tcPr>
          <w:p>
            <w:pPr>
              <w:ind w:left="80"/>
              <w:spacing w:after="0"/>
              <w:rPr>
                <w:sz w:val="20"/>
                <w:szCs w:val="20"/>
                <w:color w:val="auto"/>
              </w:rPr>
            </w:pPr>
            <w:r>
              <w:rPr>
                <w:rFonts w:ascii="Arial" w:cs="Arial" w:eastAsia="Arial" w:hAnsi="Arial"/>
                <w:sz w:val="12"/>
                <w:szCs w:val="12"/>
                <w:color w:val="auto"/>
              </w:rPr>
              <w:t>5</w:t>
            </w:r>
          </w:p>
        </w:tc>
        <w:tc>
          <w:tcPr>
            <w:tcW w:w="160" w:type="dxa"/>
            <w:vAlign w:val="bottom"/>
            <w:tcBorders>
              <w:bottom w:val="single" w:sz="8" w:color="959595"/>
            </w:tcBorders>
          </w:tcPr>
          <w:p>
            <w:pPr>
              <w:spacing w:after="0"/>
              <w:rPr>
                <w:sz w:val="23"/>
                <w:szCs w:val="23"/>
                <w:color w:val="auto"/>
              </w:rPr>
            </w:pPr>
          </w:p>
        </w:tc>
        <w:tc>
          <w:tcPr>
            <w:tcW w:w="1180" w:type="dxa"/>
            <w:vAlign w:val="bottom"/>
            <w:tcBorders>
              <w:bottom w:val="single" w:sz="8" w:color="959595"/>
            </w:tcBorders>
          </w:tcPr>
          <w:p>
            <w:pPr>
              <w:jc w:val="right"/>
              <w:ind w:right="170"/>
              <w:spacing w:after="0"/>
              <w:rPr>
                <w:sz w:val="20"/>
                <w:szCs w:val="20"/>
                <w:color w:val="auto"/>
              </w:rPr>
            </w:pPr>
            <w:r>
              <w:rPr>
                <w:rFonts w:ascii="Arial" w:cs="Arial" w:eastAsia="Arial" w:hAnsi="Arial"/>
                <w:sz w:val="14"/>
                <w:szCs w:val="14"/>
                <w:color w:val="auto"/>
              </w:rPr>
              <w:t>767,453</w:t>
            </w:r>
          </w:p>
        </w:tc>
        <w:tc>
          <w:tcPr>
            <w:tcW w:w="8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5,631</w:t>
            </w:r>
          </w:p>
        </w:tc>
        <w:tc>
          <w:tcPr>
            <w:tcW w:w="540" w:type="dxa"/>
            <w:vAlign w:val="bottom"/>
            <w:tcBorders>
              <w:bottom w:val="single" w:sz="8" w:color="959595"/>
            </w:tcBorders>
          </w:tcPr>
          <w:p>
            <w:pPr>
              <w:jc w:val="center"/>
              <w:ind w:right="260"/>
              <w:spacing w:after="0"/>
              <w:rPr>
                <w:sz w:val="20"/>
                <w:szCs w:val="20"/>
                <w:color w:val="auto"/>
              </w:rPr>
            </w:pPr>
            <w:r>
              <w:rPr>
                <w:rFonts w:ascii="Arial" w:cs="Arial" w:eastAsia="Arial" w:hAnsi="Arial"/>
                <w:sz w:val="12"/>
                <w:szCs w:val="12"/>
                <w:color w:val="auto"/>
                <w:w w:val="89"/>
              </w:rPr>
              <w:t>6</w:t>
            </w:r>
          </w:p>
        </w:tc>
        <w:tc>
          <w:tcPr>
            <w:tcW w:w="1320" w:type="dxa"/>
            <w:vAlign w:val="bottom"/>
            <w:tcBorders>
              <w:bottom w:val="single" w:sz="8" w:color="959595"/>
            </w:tcBorders>
          </w:tcPr>
          <w:p>
            <w:pPr>
              <w:jc w:val="right"/>
              <w:ind w:right="30"/>
              <w:spacing w:after="0"/>
              <w:rPr>
                <w:sz w:val="20"/>
                <w:szCs w:val="20"/>
                <w:color w:val="auto"/>
              </w:rPr>
            </w:pPr>
            <w:r>
              <w:rPr>
                <w:rFonts w:ascii="Arial" w:cs="Arial" w:eastAsia="Arial" w:hAnsi="Arial"/>
                <w:sz w:val="14"/>
                <w:szCs w:val="14"/>
                <w:color w:val="auto"/>
              </w:rPr>
              <w:t>1,474,421</w:t>
            </w:r>
          </w:p>
        </w:tc>
        <w:tc>
          <w:tcPr>
            <w:tcW w:w="0" w:type="dxa"/>
            <w:vAlign w:val="bottom"/>
          </w:tcPr>
          <w:p>
            <w:pPr>
              <w:spacing w:after="0"/>
              <w:rPr>
                <w:sz w:val="1"/>
                <w:szCs w:val="1"/>
                <w:color w:val="auto"/>
              </w:rPr>
            </w:pPr>
          </w:p>
        </w:tc>
      </w:tr>
      <w:tr>
        <w:trPr>
          <w:trHeight w:val="261"/>
        </w:trPr>
        <w:tc>
          <w:tcPr>
            <w:tcW w:w="3100" w:type="dxa"/>
            <w:vAlign w:val="bottom"/>
          </w:tcPr>
          <w:p>
            <w:pPr>
              <w:spacing w:after="0"/>
              <w:rPr>
                <w:sz w:val="22"/>
                <w:szCs w:val="22"/>
                <w:color w:val="auto"/>
              </w:rPr>
            </w:pPr>
          </w:p>
        </w:tc>
        <w:tc>
          <w:tcPr>
            <w:tcW w:w="960" w:type="dxa"/>
            <w:vAlign w:val="bottom"/>
            <w:tcBorders>
              <w:bottom w:val="single" w:sz="8" w:color="959595"/>
            </w:tcBorders>
            <w:gridSpan w:val="2"/>
          </w:tcPr>
          <w:p>
            <w:pPr>
              <w:jc w:val="right"/>
              <w:ind w:right="40"/>
              <w:spacing w:after="0"/>
              <w:rPr>
                <w:sz w:val="20"/>
                <w:szCs w:val="20"/>
                <w:color w:val="auto"/>
              </w:rPr>
            </w:pPr>
            <w:r>
              <w:rPr>
                <w:rFonts w:ascii="Arial" w:cs="Arial" w:eastAsia="Arial" w:hAnsi="Arial"/>
                <w:sz w:val="14"/>
                <w:szCs w:val="14"/>
                <w:color w:val="auto"/>
              </w:rPr>
              <w:t>20,466</w:t>
            </w:r>
          </w:p>
        </w:tc>
        <w:tc>
          <w:tcPr>
            <w:tcW w:w="900" w:type="dxa"/>
            <w:vAlign w:val="bottom"/>
            <w:tcBorders>
              <w:bottom w:val="single" w:sz="8" w:color="959595"/>
            </w:tcBorders>
            <w:gridSpan w:val="2"/>
          </w:tcPr>
          <w:p>
            <w:pPr>
              <w:jc w:val="right"/>
              <w:ind w:right="70"/>
              <w:spacing w:after="0"/>
              <w:rPr>
                <w:sz w:val="20"/>
                <w:szCs w:val="20"/>
                <w:color w:val="auto"/>
              </w:rPr>
            </w:pPr>
            <w:r>
              <w:rPr>
                <w:rFonts w:ascii="Arial" w:cs="Arial" w:eastAsia="Arial" w:hAnsi="Arial"/>
                <w:sz w:val="14"/>
                <w:szCs w:val="14"/>
                <w:color w:val="auto"/>
              </w:rPr>
              <w:t>79.60</w:t>
            </w:r>
          </w:p>
        </w:tc>
        <w:tc>
          <w:tcPr>
            <w:tcW w:w="8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1/29/2021</w:t>
            </w:r>
          </w:p>
        </w:tc>
        <w:tc>
          <w:tcPr>
            <w:tcW w:w="120" w:type="dxa"/>
            <w:vAlign w:val="bottom"/>
            <w:tcBorders>
              <w:bottom w:val="single" w:sz="8" w:color="959595"/>
            </w:tcBorders>
          </w:tcPr>
          <w:p>
            <w:pPr>
              <w:spacing w:after="0"/>
              <w:rPr>
                <w:sz w:val="22"/>
                <w:szCs w:val="22"/>
                <w:color w:val="auto"/>
              </w:rPr>
            </w:pPr>
          </w:p>
        </w:tc>
        <w:tc>
          <w:tcPr>
            <w:tcW w:w="1080" w:type="dxa"/>
            <w:vAlign w:val="bottom"/>
            <w:tcBorders>
              <w:bottom w:val="single" w:sz="8" w:color="959595"/>
            </w:tcBorders>
            <w:gridSpan w:val="2"/>
          </w:tcPr>
          <w:p>
            <w:pPr>
              <w:jc w:val="right"/>
              <w:spacing w:after="0"/>
              <w:rPr>
                <w:sz w:val="20"/>
                <w:szCs w:val="20"/>
                <w:color w:val="auto"/>
              </w:rPr>
            </w:pPr>
            <w:r>
              <w:rPr>
                <w:rFonts w:ascii="Arial" w:cs="Arial" w:eastAsia="Arial" w:hAnsi="Arial"/>
                <w:sz w:val="14"/>
                <w:szCs w:val="14"/>
                <w:color w:val="auto"/>
              </w:rPr>
              <w:t>3,800</w:t>
            </w:r>
          </w:p>
        </w:tc>
        <w:tc>
          <w:tcPr>
            <w:tcW w:w="380" w:type="dxa"/>
            <w:vAlign w:val="bottom"/>
            <w:tcBorders>
              <w:bottom w:val="single" w:sz="8" w:color="959595"/>
            </w:tcBorders>
          </w:tcPr>
          <w:p>
            <w:pPr>
              <w:ind w:left="80"/>
              <w:spacing w:after="0"/>
              <w:rPr>
                <w:sz w:val="20"/>
                <w:szCs w:val="20"/>
                <w:color w:val="auto"/>
              </w:rPr>
            </w:pPr>
            <w:r>
              <w:rPr>
                <w:rFonts w:ascii="Arial" w:cs="Arial" w:eastAsia="Arial" w:hAnsi="Arial"/>
                <w:sz w:val="12"/>
                <w:szCs w:val="12"/>
                <w:color w:val="auto"/>
              </w:rPr>
              <w:t>7</w:t>
            </w:r>
          </w:p>
        </w:tc>
        <w:tc>
          <w:tcPr>
            <w:tcW w:w="160" w:type="dxa"/>
            <w:vAlign w:val="bottom"/>
            <w:tcBorders>
              <w:bottom w:val="single" w:sz="8" w:color="959595"/>
            </w:tcBorders>
          </w:tcPr>
          <w:p>
            <w:pPr>
              <w:spacing w:after="0"/>
              <w:rPr>
                <w:sz w:val="22"/>
                <w:szCs w:val="22"/>
                <w:color w:val="auto"/>
              </w:rPr>
            </w:pPr>
          </w:p>
        </w:tc>
        <w:tc>
          <w:tcPr>
            <w:tcW w:w="1180" w:type="dxa"/>
            <w:vAlign w:val="bottom"/>
            <w:tcBorders>
              <w:bottom w:val="single" w:sz="8" w:color="959595"/>
            </w:tcBorders>
          </w:tcPr>
          <w:p>
            <w:pPr>
              <w:jc w:val="right"/>
              <w:ind w:right="170"/>
              <w:spacing w:after="0"/>
              <w:rPr>
                <w:sz w:val="20"/>
                <w:szCs w:val="20"/>
                <w:color w:val="auto"/>
              </w:rPr>
            </w:pPr>
            <w:r>
              <w:rPr>
                <w:rFonts w:ascii="Arial" w:cs="Arial" w:eastAsia="Arial" w:hAnsi="Arial"/>
                <w:sz w:val="14"/>
                <w:szCs w:val="14"/>
                <w:color w:val="auto"/>
              </w:rPr>
              <w:t>994,992</w:t>
            </w:r>
          </w:p>
        </w:tc>
        <w:tc>
          <w:tcPr>
            <w:tcW w:w="8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8,494</w:t>
            </w:r>
          </w:p>
        </w:tc>
        <w:tc>
          <w:tcPr>
            <w:tcW w:w="540" w:type="dxa"/>
            <w:vAlign w:val="bottom"/>
            <w:tcBorders>
              <w:bottom w:val="single" w:sz="8" w:color="959595"/>
            </w:tcBorders>
          </w:tcPr>
          <w:p>
            <w:pPr>
              <w:jc w:val="center"/>
              <w:ind w:right="260"/>
              <w:spacing w:after="0"/>
              <w:rPr>
                <w:sz w:val="20"/>
                <w:szCs w:val="20"/>
                <w:color w:val="auto"/>
              </w:rPr>
            </w:pPr>
            <w:r>
              <w:rPr>
                <w:rFonts w:ascii="Arial" w:cs="Arial" w:eastAsia="Arial" w:hAnsi="Arial"/>
                <w:sz w:val="12"/>
                <w:szCs w:val="12"/>
                <w:color w:val="auto"/>
                <w:w w:val="89"/>
              </w:rPr>
              <w:t>8</w:t>
            </w:r>
          </w:p>
        </w:tc>
        <w:tc>
          <w:tcPr>
            <w:tcW w:w="1320" w:type="dxa"/>
            <w:vAlign w:val="bottom"/>
            <w:tcBorders>
              <w:bottom w:val="single" w:sz="8" w:color="959595"/>
            </w:tcBorders>
          </w:tcPr>
          <w:p>
            <w:pPr>
              <w:jc w:val="right"/>
              <w:ind w:right="30"/>
              <w:spacing w:after="0"/>
              <w:rPr>
                <w:sz w:val="20"/>
                <w:szCs w:val="20"/>
                <w:color w:val="auto"/>
              </w:rPr>
            </w:pPr>
            <w:r>
              <w:rPr>
                <w:rFonts w:ascii="Arial" w:cs="Arial" w:eastAsia="Arial" w:hAnsi="Arial"/>
                <w:sz w:val="14"/>
                <w:szCs w:val="14"/>
                <w:color w:val="auto"/>
              </w:rPr>
              <w:t>2,224,069</w:t>
            </w:r>
          </w:p>
        </w:tc>
        <w:tc>
          <w:tcPr>
            <w:tcW w:w="0" w:type="dxa"/>
            <w:vAlign w:val="bottom"/>
          </w:tcPr>
          <w:p>
            <w:pPr>
              <w:spacing w:after="0"/>
              <w:rPr>
                <w:sz w:val="1"/>
                <w:szCs w:val="1"/>
                <w:color w:val="auto"/>
              </w:rPr>
            </w:pPr>
          </w:p>
        </w:tc>
      </w:tr>
      <w:tr>
        <w:trPr>
          <w:trHeight w:val="264"/>
        </w:trPr>
        <w:tc>
          <w:tcPr>
            <w:tcW w:w="3100" w:type="dxa"/>
            <w:vAlign w:val="bottom"/>
          </w:tcPr>
          <w:p>
            <w:pPr>
              <w:spacing w:after="0"/>
              <w:rPr>
                <w:sz w:val="22"/>
                <w:szCs w:val="22"/>
                <w:color w:val="auto"/>
              </w:rPr>
            </w:pPr>
          </w:p>
        </w:tc>
        <w:tc>
          <w:tcPr>
            <w:tcW w:w="960" w:type="dxa"/>
            <w:vAlign w:val="bottom"/>
            <w:tcBorders>
              <w:bottom w:val="single" w:sz="8" w:color="959595"/>
            </w:tcBorders>
            <w:gridSpan w:val="2"/>
          </w:tcPr>
          <w:p>
            <w:pPr>
              <w:jc w:val="right"/>
              <w:ind w:right="40"/>
              <w:spacing w:after="0"/>
              <w:rPr>
                <w:sz w:val="20"/>
                <w:szCs w:val="20"/>
                <w:color w:val="auto"/>
              </w:rPr>
            </w:pPr>
            <w:r>
              <w:rPr>
                <w:rFonts w:ascii="Arial" w:cs="Arial" w:eastAsia="Arial" w:hAnsi="Arial"/>
                <w:sz w:val="14"/>
                <w:szCs w:val="14"/>
                <w:color w:val="auto"/>
              </w:rPr>
              <w:t>15,300</w:t>
            </w:r>
          </w:p>
        </w:tc>
        <w:tc>
          <w:tcPr>
            <w:tcW w:w="900" w:type="dxa"/>
            <w:vAlign w:val="bottom"/>
            <w:tcBorders>
              <w:bottom w:val="single" w:sz="8" w:color="959595"/>
            </w:tcBorders>
            <w:gridSpan w:val="2"/>
          </w:tcPr>
          <w:p>
            <w:pPr>
              <w:jc w:val="right"/>
              <w:ind w:right="70"/>
              <w:spacing w:after="0"/>
              <w:rPr>
                <w:sz w:val="20"/>
                <w:szCs w:val="20"/>
                <w:color w:val="auto"/>
              </w:rPr>
            </w:pPr>
            <w:r>
              <w:rPr>
                <w:rFonts w:ascii="Arial" w:cs="Arial" w:eastAsia="Arial" w:hAnsi="Arial"/>
                <w:sz w:val="14"/>
                <w:szCs w:val="14"/>
                <w:color w:val="auto"/>
              </w:rPr>
              <w:t>74.89</w:t>
            </w:r>
          </w:p>
        </w:tc>
        <w:tc>
          <w:tcPr>
            <w:tcW w:w="8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1/31/2020</w:t>
            </w:r>
          </w:p>
        </w:tc>
        <w:tc>
          <w:tcPr>
            <w:tcW w:w="120" w:type="dxa"/>
            <w:vAlign w:val="bottom"/>
            <w:tcBorders>
              <w:bottom w:val="single" w:sz="8" w:color="959595"/>
            </w:tcBorders>
          </w:tcPr>
          <w:p>
            <w:pPr>
              <w:spacing w:after="0"/>
              <w:rPr>
                <w:sz w:val="22"/>
                <w:szCs w:val="22"/>
                <w:color w:val="auto"/>
              </w:rPr>
            </w:pPr>
          </w:p>
        </w:tc>
        <w:tc>
          <w:tcPr>
            <w:tcW w:w="1080" w:type="dxa"/>
            <w:vAlign w:val="bottom"/>
            <w:tcBorders>
              <w:bottom w:val="single" w:sz="8" w:color="959595"/>
            </w:tcBorders>
            <w:gridSpan w:val="2"/>
          </w:tcPr>
          <w:p>
            <w:pPr>
              <w:jc w:val="right"/>
              <w:spacing w:after="0"/>
              <w:rPr>
                <w:sz w:val="20"/>
                <w:szCs w:val="20"/>
                <w:color w:val="auto"/>
              </w:rPr>
            </w:pPr>
            <w:r>
              <w:rPr>
                <w:rFonts w:ascii="Arial" w:cs="Arial" w:eastAsia="Arial" w:hAnsi="Arial"/>
                <w:sz w:val="14"/>
                <w:szCs w:val="14"/>
                <w:color w:val="auto"/>
              </w:rPr>
              <w:t>4,638</w:t>
            </w:r>
          </w:p>
        </w:tc>
        <w:tc>
          <w:tcPr>
            <w:tcW w:w="380" w:type="dxa"/>
            <w:vAlign w:val="bottom"/>
            <w:tcBorders>
              <w:bottom w:val="single" w:sz="8" w:color="959595"/>
            </w:tcBorders>
          </w:tcPr>
          <w:p>
            <w:pPr>
              <w:ind w:left="80"/>
              <w:spacing w:after="0"/>
              <w:rPr>
                <w:sz w:val="20"/>
                <w:szCs w:val="20"/>
                <w:color w:val="auto"/>
              </w:rPr>
            </w:pPr>
            <w:r>
              <w:rPr>
                <w:rFonts w:ascii="Arial" w:cs="Arial" w:eastAsia="Arial" w:hAnsi="Arial"/>
                <w:sz w:val="12"/>
                <w:szCs w:val="12"/>
                <w:color w:val="auto"/>
              </w:rPr>
              <w:t>9</w:t>
            </w:r>
          </w:p>
        </w:tc>
        <w:tc>
          <w:tcPr>
            <w:tcW w:w="160" w:type="dxa"/>
            <w:vAlign w:val="bottom"/>
            <w:tcBorders>
              <w:bottom w:val="single" w:sz="8" w:color="959595"/>
            </w:tcBorders>
          </w:tcPr>
          <w:p>
            <w:pPr>
              <w:spacing w:after="0"/>
              <w:rPr>
                <w:sz w:val="22"/>
                <w:szCs w:val="22"/>
                <w:color w:val="auto"/>
              </w:rPr>
            </w:pPr>
          </w:p>
        </w:tc>
        <w:tc>
          <w:tcPr>
            <w:tcW w:w="1180" w:type="dxa"/>
            <w:vAlign w:val="bottom"/>
            <w:tcBorders>
              <w:bottom w:val="single" w:sz="8" w:color="959595"/>
            </w:tcBorders>
          </w:tcPr>
          <w:p>
            <w:pPr>
              <w:jc w:val="right"/>
              <w:ind w:right="170"/>
              <w:spacing w:after="0"/>
              <w:rPr>
                <w:sz w:val="20"/>
                <w:szCs w:val="20"/>
                <w:color w:val="auto"/>
              </w:rPr>
            </w:pPr>
            <w:r>
              <w:rPr>
                <w:rFonts w:ascii="Arial" w:cs="Arial" w:eastAsia="Arial" w:hAnsi="Arial"/>
                <w:sz w:val="14"/>
                <w:szCs w:val="14"/>
                <w:color w:val="auto"/>
              </w:rPr>
              <w:t>1,214,414</w:t>
            </w:r>
          </w:p>
        </w:tc>
        <w:tc>
          <w:tcPr>
            <w:tcW w:w="8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959595"/>
            </w:tcBorders>
          </w:tcPr>
          <w:p>
            <w:pPr>
              <w:spacing w:after="0"/>
              <w:rPr>
                <w:sz w:val="22"/>
                <w:szCs w:val="22"/>
                <w:color w:val="auto"/>
              </w:rPr>
            </w:pPr>
          </w:p>
        </w:tc>
        <w:tc>
          <w:tcPr>
            <w:tcW w:w="1320" w:type="dxa"/>
            <w:vAlign w:val="bottom"/>
            <w:tcBorders>
              <w:bottom w:val="single" w:sz="8" w:color="959595"/>
            </w:tcBorders>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100" w:type="dxa"/>
            <w:vAlign w:val="bottom"/>
            <w:tcBorders>
              <w:bottom w:val="single" w:sz="8" w:color="959595"/>
            </w:tcBorders>
          </w:tcPr>
          <w:p>
            <w:pPr>
              <w:spacing w:after="0"/>
              <w:rPr>
                <w:sz w:val="22"/>
                <w:szCs w:val="22"/>
                <w:color w:val="auto"/>
              </w:rPr>
            </w:pPr>
          </w:p>
        </w:tc>
        <w:tc>
          <w:tcPr>
            <w:tcW w:w="960" w:type="dxa"/>
            <w:vAlign w:val="bottom"/>
            <w:tcBorders>
              <w:bottom w:val="single" w:sz="8" w:color="959595"/>
            </w:tcBorders>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959595"/>
            </w:tcBorders>
          </w:tcPr>
          <w:p>
            <w:pPr>
              <w:spacing w:after="0"/>
              <w:rPr>
                <w:sz w:val="22"/>
                <w:szCs w:val="22"/>
                <w:color w:val="auto"/>
              </w:rPr>
            </w:pPr>
          </w:p>
        </w:tc>
        <w:tc>
          <w:tcPr>
            <w:tcW w:w="820" w:type="dxa"/>
            <w:vAlign w:val="bottom"/>
            <w:tcBorders>
              <w:bottom w:val="single" w:sz="8" w:color="959595"/>
            </w:tcBorders>
          </w:tcPr>
          <w:p>
            <w:pPr>
              <w:jc w:val="right"/>
              <w:ind w:right="7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959595"/>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59595"/>
            </w:tcBorders>
            <w:gridSpan w:val="2"/>
          </w:tcPr>
          <w:p>
            <w:pPr>
              <w:jc w:val="right"/>
              <w:spacing w:after="0"/>
              <w:rPr>
                <w:sz w:val="20"/>
                <w:szCs w:val="20"/>
                <w:color w:val="auto"/>
              </w:rPr>
            </w:pPr>
            <w:r>
              <w:rPr>
                <w:rFonts w:ascii="Arial" w:cs="Arial" w:eastAsia="Arial" w:hAnsi="Arial"/>
                <w:sz w:val="14"/>
                <w:szCs w:val="14"/>
                <w:color w:val="auto"/>
              </w:rPr>
              <w:t>10,587</w:t>
            </w:r>
          </w:p>
        </w:tc>
        <w:tc>
          <w:tcPr>
            <w:tcW w:w="380" w:type="dxa"/>
            <w:vAlign w:val="bottom"/>
            <w:tcBorders>
              <w:bottom w:val="single" w:sz="8" w:color="959595"/>
            </w:tcBorders>
          </w:tcPr>
          <w:p>
            <w:pPr>
              <w:ind w:left="80"/>
              <w:spacing w:after="0"/>
              <w:rPr>
                <w:sz w:val="20"/>
                <w:szCs w:val="20"/>
                <w:color w:val="auto"/>
              </w:rPr>
            </w:pPr>
            <w:r>
              <w:rPr>
                <w:rFonts w:ascii="Arial" w:cs="Arial" w:eastAsia="Arial" w:hAnsi="Arial"/>
                <w:sz w:val="12"/>
                <w:szCs w:val="12"/>
                <w:color w:val="auto"/>
              </w:rPr>
              <w:t>10</w:t>
            </w:r>
          </w:p>
        </w:tc>
        <w:tc>
          <w:tcPr>
            <w:tcW w:w="160" w:type="dxa"/>
            <w:vAlign w:val="bottom"/>
            <w:tcBorders>
              <w:bottom w:val="single" w:sz="8" w:color="959595"/>
            </w:tcBorders>
          </w:tcPr>
          <w:p>
            <w:pPr>
              <w:spacing w:after="0"/>
              <w:rPr>
                <w:sz w:val="22"/>
                <w:szCs w:val="22"/>
                <w:color w:val="auto"/>
              </w:rPr>
            </w:pPr>
          </w:p>
        </w:tc>
        <w:tc>
          <w:tcPr>
            <w:tcW w:w="1180" w:type="dxa"/>
            <w:vAlign w:val="bottom"/>
            <w:tcBorders>
              <w:bottom w:val="single" w:sz="8" w:color="959595"/>
            </w:tcBorders>
          </w:tcPr>
          <w:p>
            <w:pPr>
              <w:jc w:val="right"/>
              <w:ind w:right="170"/>
              <w:spacing w:after="0"/>
              <w:rPr>
                <w:sz w:val="20"/>
                <w:szCs w:val="20"/>
                <w:color w:val="auto"/>
              </w:rPr>
            </w:pPr>
            <w:r>
              <w:rPr>
                <w:rFonts w:ascii="Arial" w:cs="Arial" w:eastAsia="Arial" w:hAnsi="Arial"/>
                <w:sz w:val="14"/>
                <w:szCs w:val="14"/>
                <w:color w:val="auto"/>
              </w:rPr>
              <w:t>2,772,100</w:t>
            </w:r>
          </w:p>
        </w:tc>
        <w:tc>
          <w:tcPr>
            <w:tcW w:w="8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959595"/>
            </w:tcBorders>
          </w:tcPr>
          <w:p>
            <w:pPr>
              <w:spacing w:after="0"/>
              <w:rPr>
                <w:sz w:val="22"/>
                <w:szCs w:val="22"/>
                <w:color w:val="auto"/>
              </w:rPr>
            </w:pPr>
          </w:p>
        </w:tc>
        <w:tc>
          <w:tcPr>
            <w:tcW w:w="1320" w:type="dxa"/>
            <w:vAlign w:val="bottom"/>
            <w:tcBorders>
              <w:bottom w:val="single" w:sz="8" w:color="959595"/>
            </w:tcBorders>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7"/>
        </w:trPr>
        <w:tc>
          <w:tcPr>
            <w:tcW w:w="3100" w:type="dxa"/>
            <w:vAlign w:val="bottom"/>
          </w:tcPr>
          <w:p>
            <w:pPr>
              <w:ind w:left="40"/>
              <w:spacing w:after="0"/>
              <w:rPr>
                <w:sz w:val="20"/>
                <w:szCs w:val="20"/>
                <w:color w:val="auto"/>
              </w:rPr>
            </w:pPr>
            <w:r>
              <w:rPr>
                <w:rFonts w:ascii="Arial" w:cs="Arial" w:eastAsia="Arial" w:hAnsi="Arial"/>
                <w:sz w:val="14"/>
                <w:szCs w:val="14"/>
                <w:b w:val="1"/>
                <w:bCs w:val="1"/>
                <w:color w:val="012E6C"/>
              </w:rPr>
              <w:t>Richard H. Edwards</w:t>
            </w:r>
          </w:p>
        </w:tc>
        <w:tc>
          <w:tcPr>
            <w:tcW w:w="960" w:type="dxa"/>
            <w:vAlign w:val="bottom"/>
            <w:tcBorders>
              <w:bottom w:val="single" w:sz="8" w:color="959595"/>
            </w:tcBorders>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959595"/>
            </w:tcBorders>
          </w:tcPr>
          <w:p>
            <w:pPr>
              <w:spacing w:after="0"/>
              <w:rPr>
                <w:sz w:val="23"/>
                <w:szCs w:val="23"/>
                <w:color w:val="auto"/>
              </w:rPr>
            </w:pPr>
          </w:p>
        </w:tc>
        <w:tc>
          <w:tcPr>
            <w:tcW w:w="820" w:type="dxa"/>
            <w:vAlign w:val="bottom"/>
            <w:tcBorders>
              <w:bottom w:val="single" w:sz="8" w:color="959595"/>
            </w:tcBorders>
          </w:tcPr>
          <w:p>
            <w:pPr>
              <w:jc w:val="right"/>
              <w:ind w:right="7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959595"/>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59595"/>
            </w:tcBorders>
            <w:gridSpan w:val="2"/>
          </w:tcPr>
          <w:p>
            <w:pPr>
              <w:jc w:val="right"/>
              <w:spacing w:after="0"/>
              <w:rPr>
                <w:sz w:val="20"/>
                <w:szCs w:val="20"/>
                <w:color w:val="auto"/>
              </w:rPr>
            </w:pPr>
            <w:r>
              <w:rPr>
                <w:rFonts w:ascii="Arial" w:cs="Arial" w:eastAsia="Arial" w:hAnsi="Arial"/>
                <w:sz w:val="14"/>
                <w:szCs w:val="14"/>
                <w:color w:val="auto"/>
              </w:rPr>
              <w:t>2,931</w:t>
            </w:r>
          </w:p>
        </w:tc>
        <w:tc>
          <w:tcPr>
            <w:tcW w:w="380" w:type="dxa"/>
            <w:vAlign w:val="bottom"/>
            <w:tcBorders>
              <w:bottom w:val="single" w:sz="8" w:color="959595"/>
            </w:tcBorders>
          </w:tcPr>
          <w:p>
            <w:pPr>
              <w:ind w:left="80"/>
              <w:spacing w:after="0"/>
              <w:rPr>
                <w:sz w:val="20"/>
                <w:szCs w:val="20"/>
                <w:color w:val="auto"/>
              </w:rPr>
            </w:pPr>
            <w:r>
              <w:rPr>
                <w:rFonts w:ascii="Arial" w:cs="Arial" w:eastAsia="Arial" w:hAnsi="Arial"/>
                <w:sz w:val="12"/>
                <w:szCs w:val="12"/>
                <w:color w:val="auto"/>
              </w:rPr>
              <w:t>5</w:t>
            </w:r>
          </w:p>
        </w:tc>
        <w:tc>
          <w:tcPr>
            <w:tcW w:w="160" w:type="dxa"/>
            <w:vAlign w:val="bottom"/>
            <w:tcBorders>
              <w:bottom w:val="single" w:sz="8" w:color="959595"/>
            </w:tcBorders>
          </w:tcPr>
          <w:p>
            <w:pPr>
              <w:spacing w:after="0"/>
              <w:rPr>
                <w:sz w:val="23"/>
                <w:szCs w:val="23"/>
                <w:color w:val="auto"/>
              </w:rPr>
            </w:pPr>
          </w:p>
        </w:tc>
        <w:tc>
          <w:tcPr>
            <w:tcW w:w="1180" w:type="dxa"/>
            <w:vAlign w:val="bottom"/>
            <w:tcBorders>
              <w:bottom w:val="single" w:sz="8" w:color="959595"/>
            </w:tcBorders>
          </w:tcPr>
          <w:p>
            <w:pPr>
              <w:jc w:val="right"/>
              <w:ind w:right="170"/>
              <w:spacing w:after="0"/>
              <w:rPr>
                <w:sz w:val="20"/>
                <w:szCs w:val="20"/>
                <w:color w:val="auto"/>
              </w:rPr>
            </w:pPr>
            <w:r>
              <w:rPr>
                <w:rFonts w:ascii="Arial" w:cs="Arial" w:eastAsia="Arial" w:hAnsi="Arial"/>
                <w:sz w:val="14"/>
                <w:szCs w:val="14"/>
                <w:color w:val="auto"/>
              </w:rPr>
              <w:t>767,453</w:t>
            </w:r>
          </w:p>
        </w:tc>
        <w:tc>
          <w:tcPr>
            <w:tcW w:w="8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5,631</w:t>
            </w:r>
          </w:p>
        </w:tc>
        <w:tc>
          <w:tcPr>
            <w:tcW w:w="540" w:type="dxa"/>
            <w:vAlign w:val="bottom"/>
            <w:tcBorders>
              <w:bottom w:val="single" w:sz="8" w:color="959595"/>
            </w:tcBorders>
          </w:tcPr>
          <w:p>
            <w:pPr>
              <w:jc w:val="center"/>
              <w:ind w:right="260"/>
              <w:spacing w:after="0"/>
              <w:rPr>
                <w:sz w:val="20"/>
                <w:szCs w:val="20"/>
                <w:color w:val="auto"/>
              </w:rPr>
            </w:pPr>
            <w:r>
              <w:rPr>
                <w:rFonts w:ascii="Arial" w:cs="Arial" w:eastAsia="Arial" w:hAnsi="Arial"/>
                <w:sz w:val="12"/>
                <w:szCs w:val="12"/>
                <w:color w:val="auto"/>
                <w:w w:val="89"/>
              </w:rPr>
              <w:t>6</w:t>
            </w:r>
          </w:p>
        </w:tc>
        <w:tc>
          <w:tcPr>
            <w:tcW w:w="1320" w:type="dxa"/>
            <w:vAlign w:val="bottom"/>
            <w:tcBorders>
              <w:bottom w:val="single" w:sz="8" w:color="959595"/>
            </w:tcBorders>
          </w:tcPr>
          <w:p>
            <w:pPr>
              <w:jc w:val="right"/>
              <w:ind w:right="30"/>
              <w:spacing w:after="0"/>
              <w:rPr>
                <w:sz w:val="20"/>
                <w:szCs w:val="20"/>
                <w:color w:val="auto"/>
              </w:rPr>
            </w:pPr>
            <w:r>
              <w:rPr>
                <w:rFonts w:ascii="Arial" w:cs="Arial" w:eastAsia="Arial" w:hAnsi="Arial"/>
                <w:sz w:val="14"/>
                <w:szCs w:val="14"/>
                <w:color w:val="auto"/>
              </w:rPr>
              <w:t>1,474,421</w:t>
            </w:r>
          </w:p>
        </w:tc>
        <w:tc>
          <w:tcPr>
            <w:tcW w:w="0" w:type="dxa"/>
            <w:vAlign w:val="bottom"/>
          </w:tcPr>
          <w:p>
            <w:pPr>
              <w:spacing w:after="0"/>
              <w:rPr>
                <w:sz w:val="1"/>
                <w:szCs w:val="1"/>
                <w:color w:val="auto"/>
              </w:rPr>
            </w:pPr>
          </w:p>
        </w:tc>
      </w:tr>
      <w:tr>
        <w:trPr>
          <w:trHeight w:val="261"/>
        </w:trPr>
        <w:tc>
          <w:tcPr>
            <w:tcW w:w="3100" w:type="dxa"/>
            <w:vAlign w:val="bottom"/>
          </w:tcPr>
          <w:p>
            <w:pPr>
              <w:spacing w:after="0"/>
              <w:rPr>
                <w:sz w:val="22"/>
                <w:szCs w:val="22"/>
                <w:color w:val="auto"/>
              </w:rPr>
            </w:pPr>
          </w:p>
        </w:tc>
        <w:tc>
          <w:tcPr>
            <w:tcW w:w="960" w:type="dxa"/>
            <w:vAlign w:val="bottom"/>
            <w:tcBorders>
              <w:bottom w:val="single" w:sz="8" w:color="959595"/>
            </w:tcBorders>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959595"/>
            </w:tcBorders>
          </w:tcPr>
          <w:p>
            <w:pPr>
              <w:spacing w:after="0"/>
              <w:rPr>
                <w:sz w:val="22"/>
                <w:szCs w:val="22"/>
                <w:color w:val="auto"/>
              </w:rPr>
            </w:pPr>
          </w:p>
        </w:tc>
        <w:tc>
          <w:tcPr>
            <w:tcW w:w="820" w:type="dxa"/>
            <w:vAlign w:val="bottom"/>
            <w:tcBorders>
              <w:bottom w:val="single" w:sz="8" w:color="959595"/>
            </w:tcBorders>
          </w:tcPr>
          <w:p>
            <w:pPr>
              <w:jc w:val="right"/>
              <w:ind w:right="7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959595"/>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59595"/>
            </w:tcBorders>
            <w:gridSpan w:val="2"/>
          </w:tcPr>
          <w:p>
            <w:pPr>
              <w:jc w:val="right"/>
              <w:spacing w:after="0"/>
              <w:rPr>
                <w:sz w:val="20"/>
                <w:szCs w:val="20"/>
                <w:color w:val="auto"/>
              </w:rPr>
            </w:pPr>
            <w:r>
              <w:rPr>
                <w:rFonts w:ascii="Arial" w:cs="Arial" w:eastAsia="Arial" w:hAnsi="Arial"/>
                <w:sz w:val="14"/>
                <w:szCs w:val="14"/>
                <w:color w:val="auto"/>
              </w:rPr>
              <w:t>3,120</w:t>
            </w:r>
          </w:p>
        </w:tc>
        <w:tc>
          <w:tcPr>
            <w:tcW w:w="380" w:type="dxa"/>
            <w:vAlign w:val="bottom"/>
            <w:tcBorders>
              <w:bottom w:val="single" w:sz="8" w:color="959595"/>
            </w:tcBorders>
          </w:tcPr>
          <w:p>
            <w:pPr>
              <w:ind w:left="80"/>
              <w:spacing w:after="0"/>
              <w:rPr>
                <w:sz w:val="20"/>
                <w:szCs w:val="20"/>
                <w:color w:val="auto"/>
              </w:rPr>
            </w:pPr>
            <w:r>
              <w:rPr>
                <w:rFonts w:ascii="Arial" w:cs="Arial" w:eastAsia="Arial" w:hAnsi="Arial"/>
                <w:sz w:val="12"/>
                <w:szCs w:val="12"/>
                <w:color w:val="auto"/>
              </w:rPr>
              <w:t>7</w:t>
            </w:r>
          </w:p>
        </w:tc>
        <w:tc>
          <w:tcPr>
            <w:tcW w:w="160" w:type="dxa"/>
            <w:vAlign w:val="bottom"/>
            <w:tcBorders>
              <w:bottom w:val="single" w:sz="8" w:color="959595"/>
            </w:tcBorders>
          </w:tcPr>
          <w:p>
            <w:pPr>
              <w:spacing w:after="0"/>
              <w:rPr>
                <w:sz w:val="22"/>
                <w:szCs w:val="22"/>
                <w:color w:val="auto"/>
              </w:rPr>
            </w:pPr>
          </w:p>
        </w:tc>
        <w:tc>
          <w:tcPr>
            <w:tcW w:w="1180" w:type="dxa"/>
            <w:vAlign w:val="bottom"/>
            <w:tcBorders>
              <w:bottom w:val="single" w:sz="8" w:color="959595"/>
            </w:tcBorders>
          </w:tcPr>
          <w:p>
            <w:pPr>
              <w:jc w:val="right"/>
              <w:ind w:right="170"/>
              <w:spacing w:after="0"/>
              <w:rPr>
                <w:sz w:val="20"/>
                <w:szCs w:val="20"/>
                <w:color w:val="auto"/>
              </w:rPr>
            </w:pPr>
            <w:r>
              <w:rPr>
                <w:rFonts w:ascii="Arial" w:cs="Arial" w:eastAsia="Arial" w:hAnsi="Arial"/>
                <w:sz w:val="14"/>
                <w:szCs w:val="14"/>
                <w:color w:val="auto"/>
              </w:rPr>
              <w:t>816,941</w:t>
            </w:r>
          </w:p>
        </w:tc>
        <w:tc>
          <w:tcPr>
            <w:tcW w:w="8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6,972</w:t>
            </w:r>
          </w:p>
        </w:tc>
        <w:tc>
          <w:tcPr>
            <w:tcW w:w="540" w:type="dxa"/>
            <w:vAlign w:val="bottom"/>
            <w:tcBorders>
              <w:bottom w:val="single" w:sz="8" w:color="959595"/>
            </w:tcBorders>
          </w:tcPr>
          <w:p>
            <w:pPr>
              <w:jc w:val="center"/>
              <w:ind w:right="260"/>
              <w:spacing w:after="0"/>
              <w:rPr>
                <w:sz w:val="20"/>
                <w:szCs w:val="20"/>
                <w:color w:val="auto"/>
              </w:rPr>
            </w:pPr>
            <w:r>
              <w:rPr>
                <w:rFonts w:ascii="Arial" w:cs="Arial" w:eastAsia="Arial" w:hAnsi="Arial"/>
                <w:sz w:val="12"/>
                <w:szCs w:val="12"/>
                <w:color w:val="auto"/>
                <w:w w:val="89"/>
              </w:rPr>
              <w:t>8</w:t>
            </w:r>
          </w:p>
        </w:tc>
        <w:tc>
          <w:tcPr>
            <w:tcW w:w="1320" w:type="dxa"/>
            <w:vAlign w:val="bottom"/>
            <w:tcBorders>
              <w:bottom w:val="single" w:sz="8" w:color="959595"/>
            </w:tcBorders>
          </w:tcPr>
          <w:p>
            <w:pPr>
              <w:jc w:val="right"/>
              <w:ind w:right="30"/>
              <w:spacing w:after="0"/>
              <w:rPr>
                <w:sz w:val="20"/>
                <w:szCs w:val="20"/>
                <w:color w:val="auto"/>
              </w:rPr>
            </w:pPr>
            <w:r>
              <w:rPr>
                <w:rFonts w:ascii="Arial" w:cs="Arial" w:eastAsia="Arial" w:hAnsi="Arial"/>
                <w:sz w:val="14"/>
                <w:szCs w:val="14"/>
                <w:color w:val="auto"/>
              </w:rPr>
              <w:t>1,825,548</w:t>
            </w:r>
          </w:p>
        </w:tc>
        <w:tc>
          <w:tcPr>
            <w:tcW w:w="0" w:type="dxa"/>
            <w:vAlign w:val="bottom"/>
          </w:tcPr>
          <w:p>
            <w:pPr>
              <w:spacing w:after="0"/>
              <w:rPr>
                <w:sz w:val="1"/>
                <w:szCs w:val="1"/>
                <w:color w:val="auto"/>
              </w:rPr>
            </w:pPr>
          </w:p>
        </w:tc>
      </w:tr>
      <w:tr>
        <w:trPr>
          <w:trHeight w:val="264"/>
        </w:trPr>
        <w:tc>
          <w:tcPr>
            <w:tcW w:w="3100" w:type="dxa"/>
            <w:vAlign w:val="bottom"/>
          </w:tcPr>
          <w:p>
            <w:pPr>
              <w:spacing w:after="0"/>
              <w:rPr>
                <w:sz w:val="22"/>
                <w:szCs w:val="22"/>
                <w:color w:val="auto"/>
              </w:rPr>
            </w:pPr>
          </w:p>
        </w:tc>
        <w:tc>
          <w:tcPr>
            <w:tcW w:w="960" w:type="dxa"/>
            <w:vAlign w:val="bottom"/>
            <w:tcBorders>
              <w:bottom w:val="single" w:sz="8" w:color="959595"/>
            </w:tcBorders>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959595"/>
            </w:tcBorders>
          </w:tcPr>
          <w:p>
            <w:pPr>
              <w:spacing w:after="0"/>
              <w:rPr>
                <w:sz w:val="22"/>
                <w:szCs w:val="22"/>
                <w:color w:val="auto"/>
              </w:rPr>
            </w:pPr>
          </w:p>
        </w:tc>
        <w:tc>
          <w:tcPr>
            <w:tcW w:w="820" w:type="dxa"/>
            <w:vAlign w:val="bottom"/>
            <w:tcBorders>
              <w:bottom w:val="single" w:sz="8" w:color="959595"/>
            </w:tcBorders>
          </w:tcPr>
          <w:p>
            <w:pPr>
              <w:jc w:val="right"/>
              <w:ind w:right="7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959595"/>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59595"/>
            </w:tcBorders>
            <w:gridSpan w:val="2"/>
          </w:tcPr>
          <w:p>
            <w:pPr>
              <w:jc w:val="right"/>
              <w:spacing w:after="0"/>
              <w:rPr>
                <w:sz w:val="20"/>
                <w:szCs w:val="20"/>
                <w:color w:val="auto"/>
              </w:rPr>
            </w:pPr>
            <w:r>
              <w:rPr>
                <w:rFonts w:ascii="Arial" w:cs="Arial" w:eastAsia="Arial" w:hAnsi="Arial"/>
                <w:sz w:val="14"/>
                <w:szCs w:val="14"/>
                <w:color w:val="auto"/>
              </w:rPr>
              <w:t>3,513</w:t>
            </w:r>
          </w:p>
        </w:tc>
        <w:tc>
          <w:tcPr>
            <w:tcW w:w="380" w:type="dxa"/>
            <w:vAlign w:val="bottom"/>
            <w:tcBorders>
              <w:bottom w:val="single" w:sz="8" w:color="959595"/>
            </w:tcBorders>
          </w:tcPr>
          <w:p>
            <w:pPr>
              <w:ind w:left="80"/>
              <w:spacing w:after="0"/>
              <w:rPr>
                <w:sz w:val="20"/>
                <w:szCs w:val="20"/>
                <w:color w:val="auto"/>
              </w:rPr>
            </w:pPr>
            <w:r>
              <w:rPr>
                <w:rFonts w:ascii="Arial" w:cs="Arial" w:eastAsia="Arial" w:hAnsi="Arial"/>
                <w:sz w:val="12"/>
                <w:szCs w:val="12"/>
                <w:color w:val="auto"/>
              </w:rPr>
              <w:t>9</w:t>
            </w:r>
          </w:p>
        </w:tc>
        <w:tc>
          <w:tcPr>
            <w:tcW w:w="160" w:type="dxa"/>
            <w:vAlign w:val="bottom"/>
            <w:tcBorders>
              <w:bottom w:val="single" w:sz="8" w:color="959595"/>
            </w:tcBorders>
          </w:tcPr>
          <w:p>
            <w:pPr>
              <w:spacing w:after="0"/>
              <w:rPr>
                <w:sz w:val="22"/>
                <w:szCs w:val="22"/>
                <w:color w:val="auto"/>
              </w:rPr>
            </w:pPr>
          </w:p>
        </w:tc>
        <w:tc>
          <w:tcPr>
            <w:tcW w:w="1180" w:type="dxa"/>
            <w:vAlign w:val="bottom"/>
            <w:tcBorders>
              <w:bottom w:val="single" w:sz="8" w:color="959595"/>
            </w:tcBorders>
          </w:tcPr>
          <w:p>
            <w:pPr>
              <w:jc w:val="right"/>
              <w:ind w:right="170"/>
              <w:spacing w:after="0"/>
              <w:rPr>
                <w:sz w:val="20"/>
                <w:szCs w:val="20"/>
                <w:color w:val="auto"/>
              </w:rPr>
            </w:pPr>
            <w:r>
              <w:rPr>
                <w:rFonts w:ascii="Arial" w:cs="Arial" w:eastAsia="Arial" w:hAnsi="Arial"/>
                <w:sz w:val="14"/>
                <w:szCs w:val="14"/>
                <w:color w:val="auto"/>
              </w:rPr>
              <w:t>919,844</w:t>
            </w:r>
          </w:p>
        </w:tc>
        <w:tc>
          <w:tcPr>
            <w:tcW w:w="8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959595"/>
            </w:tcBorders>
          </w:tcPr>
          <w:p>
            <w:pPr>
              <w:spacing w:after="0"/>
              <w:rPr>
                <w:sz w:val="22"/>
                <w:szCs w:val="22"/>
                <w:color w:val="auto"/>
              </w:rPr>
            </w:pPr>
          </w:p>
        </w:tc>
        <w:tc>
          <w:tcPr>
            <w:tcW w:w="1320" w:type="dxa"/>
            <w:vAlign w:val="bottom"/>
            <w:tcBorders>
              <w:bottom w:val="single" w:sz="8" w:color="959595"/>
            </w:tcBorders>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100" w:type="dxa"/>
            <w:vAlign w:val="bottom"/>
            <w:tcBorders>
              <w:bottom w:val="single" w:sz="8" w:color="959595"/>
            </w:tcBorders>
          </w:tcPr>
          <w:p>
            <w:pPr>
              <w:spacing w:after="0"/>
              <w:rPr>
                <w:sz w:val="22"/>
                <w:szCs w:val="22"/>
                <w:color w:val="auto"/>
              </w:rPr>
            </w:pPr>
          </w:p>
        </w:tc>
        <w:tc>
          <w:tcPr>
            <w:tcW w:w="960" w:type="dxa"/>
            <w:vAlign w:val="bottom"/>
            <w:tcBorders>
              <w:bottom w:val="single" w:sz="8" w:color="959595"/>
            </w:tcBorders>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959595"/>
            </w:tcBorders>
          </w:tcPr>
          <w:p>
            <w:pPr>
              <w:spacing w:after="0"/>
              <w:rPr>
                <w:sz w:val="22"/>
                <w:szCs w:val="22"/>
                <w:color w:val="auto"/>
              </w:rPr>
            </w:pPr>
          </w:p>
        </w:tc>
        <w:tc>
          <w:tcPr>
            <w:tcW w:w="820" w:type="dxa"/>
            <w:vAlign w:val="bottom"/>
            <w:tcBorders>
              <w:bottom w:val="single" w:sz="8" w:color="959595"/>
            </w:tcBorders>
          </w:tcPr>
          <w:p>
            <w:pPr>
              <w:jc w:val="right"/>
              <w:ind w:right="7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959595"/>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59595"/>
            </w:tcBorders>
            <w:gridSpan w:val="2"/>
          </w:tcPr>
          <w:p>
            <w:pPr>
              <w:jc w:val="right"/>
              <w:spacing w:after="0"/>
              <w:rPr>
                <w:sz w:val="20"/>
                <w:szCs w:val="20"/>
                <w:color w:val="auto"/>
              </w:rPr>
            </w:pPr>
            <w:r>
              <w:rPr>
                <w:rFonts w:ascii="Arial" w:cs="Arial" w:eastAsia="Arial" w:hAnsi="Arial"/>
                <w:sz w:val="14"/>
                <w:szCs w:val="14"/>
                <w:color w:val="auto"/>
              </w:rPr>
              <w:t>8,231</w:t>
            </w:r>
          </w:p>
        </w:tc>
        <w:tc>
          <w:tcPr>
            <w:tcW w:w="380" w:type="dxa"/>
            <w:vAlign w:val="bottom"/>
            <w:tcBorders>
              <w:bottom w:val="single" w:sz="8" w:color="959595"/>
            </w:tcBorders>
          </w:tcPr>
          <w:p>
            <w:pPr>
              <w:ind w:left="80"/>
              <w:spacing w:after="0"/>
              <w:rPr>
                <w:sz w:val="20"/>
                <w:szCs w:val="20"/>
                <w:color w:val="auto"/>
              </w:rPr>
            </w:pPr>
            <w:r>
              <w:rPr>
                <w:rFonts w:ascii="Arial" w:cs="Arial" w:eastAsia="Arial" w:hAnsi="Arial"/>
                <w:sz w:val="12"/>
                <w:szCs w:val="12"/>
                <w:color w:val="auto"/>
              </w:rPr>
              <w:t>10</w:t>
            </w:r>
          </w:p>
        </w:tc>
        <w:tc>
          <w:tcPr>
            <w:tcW w:w="160" w:type="dxa"/>
            <w:vAlign w:val="bottom"/>
            <w:tcBorders>
              <w:bottom w:val="single" w:sz="8" w:color="959595"/>
            </w:tcBorders>
          </w:tcPr>
          <w:p>
            <w:pPr>
              <w:spacing w:after="0"/>
              <w:rPr>
                <w:sz w:val="22"/>
                <w:szCs w:val="22"/>
                <w:color w:val="auto"/>
              </w:rPr>
            </w:pPr>
          </w:p>
        </w:tc>
        <w:tc>
          <w:tcPr>
            <w:tcW w:w="1180" w:type="dxa"/>
            <w:vAlign w:val="bottom"/>
            <w:tcBorders>
              <w:bottom w:val="single" w:sz="8" w:color="959595"/>
            </w:tcBorders>
          </w:tcPr>
          <w:p>
            <w:pPr>
              <w:jc w:val="right"/>
              <w:ind w:right="170"/>
              <w:spacing w:after="0"/>
              <w:rPr>
                <w:sz w:val="20"/>
                <w:szCs w:val="20"/>
                <w:color w:val="auto"/>
              </w:rPr>
            </w:pPr>
            <w:r>
              <w:rPr>
                <w:rFonts w:ascii="Arial" w:cs="Arial" w:eastAsia="Arial" w:hAnsi="Arial"/>
                <w:sz w:val="14"/>
                <w:szCs w:val="14"/>
                <w:color w:val="auto"/>
              </w:rPr>
              <w:t>2,155,205</w:t>
            </w:r>
          </w:p>
        </w:tc>
        <w:tc>
          <w:tcPr>
            <w:tcW w:w="8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959595"/>
            </w:tcBorders>
          </w:tcPr>
          <w:p>
            <w:pPr>
              <w:spacing w:after="0"/>
              <w:rPr>
                <w:sz w:val="22"/>
                <w:szCs w:val="22"/>
                <w:color w:val="auto"/>
              </w:rPr>
            </w:pPr>
          </w:p>
        </w:tc>
        <w:tc>
          <w:tcPr>
            <w:tcW w:w="1320" w:type="dxa"/>
            <w:vAlign w:val="bottom"/>
            <w:tcBorders>
              <w:bottom w:val="single" w:sz="8" w:color="959595"/>
            </w:tcBorders>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7"/>
        </w:trPr>
        <w:tc>
          <w:tcPr>
            <w:tcW w:w="3100" w:type="dxa"/>
            <w:vAlign w:val="bottom"/>
          </w:tcPr>
          <w:p>
            <w:pPr>
              <w:ind w:left="40"/>
              <w:spacing w:after="0"/>
              <w:rPr>
                <w:sz w:val="20"/>
                <w:szCs w:val="20"/>
                <w:color w:val="auto"/>
              </w:rPr>
            </w:pPr>
            <w:r>
              <w:rPr>
                <w:rFonts w:ascii="Arial" w:cs="Arial" w:eastAsia="Arial" w:hAnsi="Arial"/>
                <w:sz w:val="14"/>
                <w:szCs w:val="14"/>
                <w:b w:val="1"/>
                <w:bCs w:val="1"/>
                <w:color w:val="012E6C"/>
              </w:rPr>
              <w:t>Frank A. St. John</w:t>
            </w:r>
          </w:p>
        </w:tc>
        <w:tc>
          <w:tcPr>
            <w:tcW w:w="960" w:type="dxa"/>
            <w:vAlign w:val="bottom"/>
            <w:tcBorders>
              <w:bottom w:val="single" w:sz="8" w:color="959595"/>
            </w:tcBorders>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959595"/>
            </w:tcBorders>
          </w:tcPr>
          <w:p>
            <w:pPr>
              <w:spacing w:after="0"/>
              <w:rPr>
                <w:sz w:val="23"/>
                <w:szCs w:val="23"/>
                <w:color w:val="auto"/>
              </w:rPr>
            </w:pPr>
          </w:p>
        </w:tc>
        <w:tc>
          <w:tcPr>
            <w:tcW w:w="820" w:type="dxa"/>
            <w:vAlign w:val="bottom"/>
            <w:tcBorders>
              <w:bottom w:val="single" w:sz="8" w:color="959595"/>
            </w:tcBorders>
          </w:tcPr>
          <w:p>
            <w:pPr>
              <w:jc w:val="right"/>
              <w:ind w:right="7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959595"/>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59595"/>
            </w:tcBorders>
            <w:gridSpan w:val="2"/>
          </w:tcPr>
          <w:p>
            <w:pPr>
              <w:jc w:val="right"/>
              <w:spacing w:after="0"/>
              <w:rPr>
                <w:sz w:val="20"/>
                <w:szCs w:val="20"/>
                <w:color w:val="auto"/>
              </w:rPr>
            </w:pPr>
            <w:r>
              <w:rPr>
                <w:rFonts w:ascii="Arial" w:cs="Arial" w:eastAsia="Arial" w:hAnsi="Arial"/>
                <w:sz w:val="14"/>
                <w:szCs w:val="14"/>
                <w:color w:val="auto"/>
              </w:rPr>
              <w:t>3,045</w:t>
            </w:r>
          </w:p>
        </w:tc>
        <w:tc>
          <w:tcPr>
            <w:tcW w:w="380" w:type="dxa"/>
            <w:vAlign w:val="bottom"/>
            <w:tcBorders>
              <w:bottom w:val="single" w:sz="8" w:color="959595"/>
            </w:tcBorders>
          </w:tcPr>
          <w:p>
            <w:pPr>
              <w:ind w:left="80"/>
              <w:spacing w:after="0"/>
              <w:rPr>
                <w:sz w:val="20"/>
                <w:szCs w:val="20"/>
                <w:color w:val="auto"/>
              </w:rPr>
            </w:pPr>
            <w:r>
              <w:rPr>
                <w:rFonts w:ascii="Arial" w:cs="Arial" w:eastAsia="Arial" w:hAnsi="Arial"/>
                <w:sz w:val="12"/>
                <w:szCs w:val="12"/>
                <w:color w:val="auto"/>
              </w:rPr>
              <w:t>5</w:t>
            </w:r>
          </w:p>
        </w:tc>
        <w:tc>
          <w:tcPr>
            <w:tcW w:w="160" w:type="dxa"/>
            <w:vAlign w:val="bottom"/>
            <w:tcBorders>
              <w:bottom w:val="single" w:sz="8" w:color="959595"/>
            </w:tcBorders>
          </w:tcPr>
          <w:p>
            <w:pPr>
              <w:spacing w:after="0"/>
              <w:rPr>
                <w:sz w:val="23"/>
                <w:szCs w:val="23"/>
                <w:color w:val="auto"/>
              </w:rPr>
            </w:pPr>
          </w:p>
        </w:tc>
        <w:tc>
          <w:tcPr>
            <w:tcW w:w="1180" w:type="dxa"/>
            <w:vAlign w:val="bottom"/>
            <w:tcBorders>
              <w:bottom w:val="single" w:sz="8" w:color="959595"/>
            </w:tcBorders>
          </w:tcPr>
          <w:p>
            <w:pPr>
              <w:jc w:val="right"/>
              <w:ind w:right="170"/>
              <w:spacing w:after="0"/>
              <w:rPr>
                <w:sz w:val="20"/>
                <w:szCs w:val="20"/>
                <w:color w:val="auto"/>
              </w:rPr>
            </w:pPr>
            <w:r>
              <w:rPr>
                <w:rFonts w:ascii="Arial" w:cs="Arial" w:eastAsia="Arial" w:hAnsi="Arial"/>
                <w:sz w:val="14"/>
                <w:szCs w:val="14"/>
                <w:color w:val="auto"/>
              </w:rPr>
              <w:t>797,303</w:t>
            </w:r>
          </w:p>
        </w:tc>
        <w:tc>
          <w:tcPr>
            <w:tcW w:w="8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5,631</w:t>
            </w:r>
          </w:p>
        </w:tc>
        <w:tc>
          <w:tcPr>
            <w:tcW w:w="540" w:type="dxa"/>
            <w:vAlign w:val="bottom"/>
            <w:tcBorders>
              <w:bottom w:val="single" w:sz="8" w:color="959595"/>
            </w:tcBorders>
          </w:tcPr>
          <w:p>
            <w:pPr>
              <w:jc w:val="center"/>
              <w:ind w:right="260"/>
              <w:spacing w:after="0"/>
              <w:rPr>
                <w:sz w:val="20"/>
                <w:szCs w:val="20"/>
                <w:color w:val="auto"/>
              </w:rPr>
            </w:pPr>
            <w:r>
              <w:rPr>
                <w:rFonts w:ascii="Arial" w:cs="Arial" w:eastAsia="Arial" w:hAnsi="Arial"/>
                <w:sz w:val="12"/>
                <w:szCs w:val="12"/>
                <w:color w:val="auto"/>
                <w:w w:val="89"/>
              </w:rPr>
              <w:t>6</w:t>
            </w:r>
          </w:p>
        </w:tc>
        <w:tc>
          <w:tcPr>
            <w:tcW w:w="1320" w:type="dxa"/>
            <w:vAlign w:val="bottom"/>
            <w:tcBorders>
              <w:bottom w:val="single" w:sz="8" w:color="959595"/>
            </w:tcBorders>
          </w:tcPr>
          <w:p>
            <w:pPr>
              <w:jc w:val="right"/>
              <w:ind w:right="30"/>
              <w:spacing w:after="0"/>
              <w:rPr>
                <w:sz w:val="20"/>
                <w:szCs w:val="20"/>
                <w:color w:val="auto"/>
              </w:rPr>
            </w:pPr>
            <w:r>
              <w:rPr>
                <w:rFonts w:ascii="Arial" w:cs="Arial" w:eastAsia="Arial" w:hAnsi="Arial"/>
                <w:sz w:val="14"/>
                <w:szCs w:val="14"/>
                <w:color w:val="auto"/>
              </w:rPr>
              <w:t>1,474,421</w:t>
            </w:r>
          </w:p>
        </w:tc>
        <w:tc>
          <w:tcPr>
            <w:tcW w:w="0" w:type="dxa"/>
            <w:vAlign w:val="bottom"/>
          </w:tcPr>
          <w:p>
            <w:pPr>
              <w:spacing w:after="0"/>
              <w:rPr>
                <w:sz w:val="1"/>
                <w:szCs w:val="1"/>
                <w:color w:val="auto"/>
              </w:rPr>
            </w:pPr>
          </w:p>
        </w:tc>
      </w:tr>
      <w:tr>
        <w:trPr>
          <w:trHeight w:val="261"/>
        </w:trPr>
        <w:tc>
          <w:tcPr>
            <w:tcW w:w="3100" w:type="dxa"/>
            <w:vAlign w:val="bottom"/>
          </w:tcPr>
          <w:p>
            <w:pPr>
              <w:spacing w:after="0"/>
              <w:rPr>
                <w:sz w:val="22"/>
                <w:szCs w:val="22"/>
                <w:color w:val="auto"/>
              </w:rPr>
            </w:pPr>
          </w:p>
        </w:tc>
        <w:tc>
          <w:tcPr>
            <w:tcW w:w="960" w:type="dxa"/>
            <w:vAlign w:val="bottom"/>
            <w:tcBorders>
              <w:bottom w:val="single" w:sz="8" w:color="959595"/>
            </w:tcBorders>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959595"/>
            </w:tcBorders>
          </w:tcPr>
          <w:p>
            <w:pPr>
              <w:spacing w:after="0"/>
              <w:rPr>
                <w:sz w:val="22"/>
                <w:szCs w:val="22"/>
                <w:color w:val="auto"/>
              </w:rPr>
            </w:pPr>
          </w:p>
        </w:tc>
        <w:tc>
          <w:tcPr>
            <w:tcW w:w="820" w:type="dxa"/>
            <w:vAlign w:val="bottom"/>
            <w:tcBorders>
              <w:bottom w:val="single" w:sz="8" w:color="959595"/>
            </w:tcBorders>
          </w:tcPr>
          <w:p>
            <w:pPr>
              <w:jc w:val="right"/>
              <w:ind w:right="7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959595"/>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59595"/>
            </w:tcBorders>
            <w:gridSpan w:val="2"/>
          </w:tcPr>
          <w:p>
            <w:pPr>
              <w:jc w:val="right"/>
              <w:spacing w:after="0"/>
              <w:rPr>
                <w:sz w:val="20"/>
                <w:szCs w:val="20"/>
                <w:color w:val="auto"/>
              </w:rPr>
            </w:pPr>
            <w:r>
              <w:rPr>
                <w:rFonts w:ascii="Arial" w:cs="Arial" w:eastAsia="Arial" w:hAnsi="Arial"/>
                <w:sz w:val="14"/>
                <w:szCs w:val="14"/>
                <w:color w:val="auto"/>
              </w:rPr>
              <w:t>1,723</w:t>
            </w:r>
          </w:p>
        </w:tc>
        <w:tc>
          <w:tcPr>
            <w:tcW w:w="380" w:type="dxa"/>
            <w:vAlign w:val="bottom"/>
            <w:tcBorders>
              <w:bottom w:val="single" w:sz="8" w:color="959595"/>
            </w:tcBorders>
          </w:tcPr>
          <w:p>
            <w:pPr>
              <w:ind w:left="80"/>
              <w:spacing w:after="0"/>
              <w:rPr>
                <w:sz w:val="20"/>
                <w:szCs w:val="20"/>
                <w:color w:val="auto"/>
              </w:rPr>
            </w:pPr>
            <w:r>
              <w:rPr>
                <w:rFonts w:ascii="Arial" w:cs="Arial" w:eastAsia="Arial" w:hAnsi="Arial"/>
                <w:sz w:val="12"/>
                <w:szCs w:val="12"/>
                <w:color w:val="auto"/>
              </w:rPr>
              <w:t>7</w:t>
            </w:r>
          </w:p>
        </w:tc>
        <w:tc>
          <w:tcPr>
            <w:tcW w:w="160" w:type="dxa"/>
            <w:vAlign w:val="bottom"/>
            <w:tcBorders>
              <w:bottom w:val="single" w:sz="8" w:color="959595"/>
            </w:tcBorders>
          </w:tcPr>
          <w:p>
            <w:pPr>
              <w:spacing w:after="0"/>
              <w:rPr>
                <w:sz w:val="22"/>
                <w:szCs w:val="22"/>
                <w:color w:val="auto"/>
              </w:rPr>
            </w:pPr>
          </w:p>
        </w:tc>
        <w:tc>
          <w:tcPr>
            <w:tcW w:w="1180" w:type="dxa"/>
            <w:vAlign w:val="bottom"/>
            <w:tcBorders>
              <w:bottom w:val="single" w:sz="8" w:color="959595"/>
            </w:tcBorders>
          </w:tcPr>
          <w:p>
            <w:pPr>
              <w:jc w:val="right"/>
              <w:ind w:right="170"/>
              <w:spacing w:after="0"/>
              <w:rPr>
                <w:sz w:val="20"/>
                <w:szCs w:val="20"/>
                <w:color w:val="auto"/>
              </w:rPr>
            </w:pPr>
            <w:r>
              <w:rPr>
                <w:rFonts w:ascii="Arial" w:cs="Arial" w:eastAsia="Arial" w:hAnsi="Arial"/>
                <w:sz w:val="14"/>
                <w:szCs w:val="14"/>
                <w:color w:val="auto"/>
              </w:rPr>
              <w:t>451,150</w:t>
            </w:r>
          </w:p>
        </w:tc>
        <w:tc>
          <w:tcPr>
            <w:tcW w:w="8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446</w:t>
            </w:r>
          </w:p>
        </w:tc>
        <w:tc>
          <w:tcPr>
            <w:tcW w:w="540" w:type="dxa"/>
            <w:vAlign w:val="bottom"/>
            <w:tcBorders>
              <w:bottom w:val="single" w:sz="8" w:color="959595"/>
            </w:tcBorders>
          </w:tcPr>
          <w:p>
            <w:pPr>
              <w:jc w:val="center"/>
              <w:ind w:right="260"/>
              <w:spacing w:after="0"/>
              <w:rPr>
                <w:sz w:val="20"/>
                <w:szCs w:val="20"/>
                <w:color w:val="auto"/>
              </w:rPr>
            </w:pPr>
            <w:r>
              <w:rPr>
                <w:rFonts w:ascii="Arial" w:cs="Arial" w:eastAsia="Arial" w:hAnsi="Arial"/>
                <w:sz w:val="12"/>
                <w:szCs w:val="12"/>
                <w:color w:val="auto"/>
                <w:w w:val="89"/>
              </w:rPr>
              <w:t>8</w:t>
            </w:r>
          </w:p>
        </w:tc>
        <w:tc>
          <w:tcPr>
            <w:tcW w:w="1320" w:type="dxa"/>
            <w:vAlign w:val="bottom"/>
            <w:tcBorders>
              <w:bottom w:val="single" w:sz="8" w:color="959595"/>
            </w:tcBorders>
          </w:tcPr>
          <w:p>
            <w:pPr>
              <w:jc w:val="right"/>
              <w:ind w:right="30"/>
              <w:spacing w:after="0"/>
              <w:rPr>
                <w:sz w:val="20"/>
                <w:szCs w:val="20"/>
                <w:color w:val="auto"/>
              </w:rPr>
            </w:pPr>
            <w:r>
              <w:rPr>
                <w:rFonts w:ascii="Arial" w:cs="Arial" w:eastAsia="Arial" w:hAnsi="Arial"/>
                <w:sz w:val="14"/>
                <w:szCs w:val="14"/>
                <w:color w:val="auto"/>
              </w:rPr>
              <w:t>116,781</w:t>
            </w:r>
          </w:p>
        </w:tc>
        <w:tc>
          <w:tcPr>
            <w:tcW w:w="0" w:type="dxa"/>
            <w:vAlign w:val="bottom"/>
          </w:tcPr>
          <w:p>
            <w:pPr>
              <w:spacing w:after="0"/>
              <w:rPr>
                <w:sz w:val="1"/>
                <w:szCs w:val="1"/>
                <w:color w:val="auto"/>
              </w:rPr>
            </w:pPr>
          </w:p>
        </w:tc>
      </w:tr>
      <w:tr>
        <w:trPr>
          <w:trHeight w:val="264"/>
        </w:trPr>
        <w:tc>
          <w:tcPr>
            <w:tcW w:w="3100" w:type="dxa"/>
            <w:vAlign w:val="bottom"/>
          </w:tcPr>
          <w:p>
            <w:pPr>
              <w:spacing w:after="0"/>
              <w:rPr>
                <w:sz w:val="22"/>
                <w:szCs w:val="22"/>
                <w:color w:val="auto"/>
              </w:rPr>
            </w:pPr>
          </w:p>
        </w:tc>
        <w:tc>
          <w:tcPr>
            <w:tcW w:w="960" w:type="dxa"/>
            <w:vAlign w:val="bottom"/>
            <w:tcBorders>
              <w:bottom w:val="single" w:sz="8" w:color="959595"/>
            </w:tcBorders>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959595"/>
            </w:tcBorders>
          </w:tcPr>
          <w:p>
            <w:pPr>
              <w:spacing w:after="0"/>
              <w:rPr>
                <w:sz w:val="22"/>
                <w:szCs w:val="22"/>
                <w:color w:val="auto"/>
              </w:rPr>
            </w:pPr>
          </w:p>
        </w:tc>
        <w:tc>
          <w:tcPr>
            <w:tcW w:w="820" w:type="dxa"/>
            <w:vAlign w:val="bottom"/>
            <w:tcBorders>
              <w:bottom w:val="single" w:sz="8" w:color="959595"/>
            </w:tcBorders>
          </w:tcPr>
          <w:p>
            <w:pPr>
              <w:jc w:val="right"/>
              <w:ind w:right="7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959595"/>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59595"/>
            </w:tcBorders>
            <w:gridSpan w:val="2"/>
          </w:tcPr>
          <w:p>
            <w:pPr>
              <w:jc w:val="right"/>
              <w:spacing w:after="0"/>
              <w:rPr>
                <w:sz w:val="20"/>
                <w:szCs w:val="20"/>
                <w:color w:val="auto"/>
              </w:rPr>
            </w:pPr>
            <w:r>
              <w:rPr>
                <w:rFonts w:ascii="Arial" w:cs="Arial" w:eastAsia="Arial" w:hAnsi="Arial"/>
                <w:sz w:val="14"/>
                <w:szCs w:val="14"/>
                <w:color w:val="auto"/>
              </w:rPr>
              <w:t>2,059</w:t>
            </w:r>
          </w:p>
        </w:tc>
        <w:tc>
          <w:tcPr>
            <w:tcW w:w="380" w:type="dxa"/>
            <w:vAlign w:val="bottom"/>
            <w:tcBorders>
              <w:bottom w:val="single" w:sz="8" w:color="959595"/>
            </w:tcBorders>
          </w:tcPr>
          <w:p>
            <w:pPr>
              <w:ind w:left="80"/>
              <w:spacing w:after="0"/>
              <w:rPr>
                <w:sz w:val="20"/>
                <w:szCs w:val="20"/>
                <w:color w:val="auto"/>
              </w:rPr>
            </w:pPr>
            <w:r>
              <w:rPr>
                <w:rFonts w:ascii="Arial" w:cs="Arial" w:eastAsia="Arial" w:hAnsi="Arial"/>
                <w:sz w:val="12"/>
                <w:szCs w:val="12"/>
                <w:color w:val="auto"/>
              </w:rPr>
              <w:t>9</w:t>
            </w:r>
          </w:p>
        </w:tc>
        <w:tc>
          <w:tcPr>
            <w:tcW w:w="160" w:type="dxa"/>
            <w:vAlign w:val="bottom"/>
            <w:tcBorders>
              <w:bottom w:val="single" w:sz="8" w:color="959595"/>
            </w:tcBorders>
          </w:tcPr>
          <w:p>
            <w:pPr>
              <w:spacing w:after="0"/>
              <w:rPr>
                <w:sz w:val="22"/>
                <w:szCs w:val="22"/>
                <w:color w:val="auto"/>
              </w:rPr>
            </w:pPr>
          </w:p>
        </w:tc>
        <w:tc>
          <w:tcPr>
            <w:tcW w:w="1180" w:type="dxa"/>
            <w:vAlign w:val="bottom"/>
            <w:tcBorders>
              <w:bottom w:val="single" w:sz="8" w:color="959595"/>
            </w:tcBorders>
          </w:tcPr>
          <w:p>
            <w:pPr>
              <w:jc w:val="right"/>
              <w:ind w:right="170"/>
              <w:spacing w:after="0"/>
              <w:rPr>
                <w:sz w:val="20"/>
                <w:szCs w:val="20"/>
                <w:color w:val="auto"/>
              </w:rPr>
            </w:pPr>
            <w:r>
              <w:rPr>
                <w:rFonts w:ascii="Arial" w:cs="Arial" w:eastAsia="Arial" w:hAnsi="Arial"/>
                <w:sz w:val="14"/>
                <w:szCs w:val="14"/>
                <w:color w:val="auto"/>
              </w:rPr>
              <w:t>539,129</w:t>
            </w:r>
          </w:p>
        </w:tc>
        <w:tc>
          <w:tcPr>
            <w:tcW w:w="8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959595"/>
            </w:tcBorders>
          </w:tcPr>
          <w:p>
            <w:pPr>
              <w:spacing w:after="0"/>
              <w:rPr>
                <w:sz w:val="22"/>
                <w:szCs w:val="22"/>
                <w:color w:val="auto"/>
              </w:rPr>
            </w:pPr>
          </w:p>
        </w:tc>
        <w:tc>
          <w:tcPr>
            <w:tcW w:w="1320" w:type="dxa"/>
            <w:vAlign w:val="bottom"/>
            <w:tcBorders>
              <w:bottom w:val="single" w:sz="8" w:color="959595"/>
            </w:tcBorders>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0"/>
        </w:trPr>
        <w:tc>
          <w:tcPr>
            <w:tcW w:w="3100" w:type="dxa"/>
            <w:vAlign w:val="bottom"/>
          </w:tcPr>
          <w:p>
            <w:pPr>
              <w:spacing w:after="0"/>
              <w:rPr>
                <w:sz w:val="22"/>
                <w:szCs w:val="22"/>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82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558</w:t>
            </w:r>
          </w:p>
        </w:tc>
        <w:tc>
          <w:tcPr>
            <w:tcW w:w="380" w:type="dxa"/>
            <w:vAlign w:val="bottom"/>
          </w:tcPr>
          <w:p>
            <w:pPr>
              <w:ind w:left="80"/>
              <w:spacing w:after="0"/>
              <w:rPr>
                <w:sz w:val="20"/>
                <w:szCs w:val="20"/>
                <w:color w:val="auto"/>
              </w:rPr>
            </w:pPr>
            <w:r>
              <w:rPr>
                <w:rFonts w:ascii="Arial" w:cs="Arial" w:eastAsia="Arial" w:hAnsi="Arial"/>
                <w:sz w:val="12"/>
                <w:szCs w:val="12"/>
                <w:color w:val="auto"/>
              </w:rPr>
              <w:t>10</w:t>
            </w:r>
          </w:p>
        </w:tc>
        <w:tc>
          <w:tcPr>
            <w:tcW w:w="160" w:type="dxa"/>
            <w:vAlign w:val="bottom"/>
          </w:tcPr>
          <w:p>
            <w:pPr>
              <w:spacing w:after="0"/>
              <w:rPr>
                <w:sz w:val="22"/>
                <w:szCs w:val="22"/>
                <w:color w:val="auto"/>
              </w:rPr>
            </w:pPr>
          </w:p>
        </w:tc>
        <w:tc>
          <w:tcPr>
            <w:tcW w:w="1180" w:type="dxa"/>
            <w:vAlign w:val="bottom"/>
          </w:tcPr>
          <w:p>
            <w:pPr>
              <w:jc w:val="right"/>
              <w:ind w:right="170"/>
              <w:spacing w:after="0"/>
              <w:rPr>
                <w:sz w:val="20"/>
                <w:szCs w:val="20"/>
                <w:color w:val="auto"/>
              </w:rPr>
            </w:pPr>
            <w:r>
              <w:rPr>
                <w:rFonts w:ascii="Arial" w:cs="Arial" w:eastAsia="Arial" w:hAnsi="Arial"/>
                <w:sz w:val="14"/>
                <w:szCs w:val="14"/>
                <w:color w:val="auto"/>
              </w:rPr>
              <w:t>146,107</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22"/>
                <w:szCs w:val="22"/>
                <w:color w:val="auto"/>
              </w:rPr>
            </w:pPr>
          </w:p>
        </w:tc>
        <w:tc>
          <w:tcPr>
            <w:tcW w:w="13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8" w:lineRule="exact"/>
        <w:rPr>
          <w:sz w:val="20"/>
          <w:szCs w:val="20"/>
          <w:color w:val="auto"/>
        </w:rPr>
      </w:pPr>
    </w:p>
    <w:p>
      <w:pPr>
        <w:ind w:left="340" w:hanging="332"/>
        <w:spacing w:after="0" w:line="218" w:lineRule="auto"/>
        <w:tabs>
          <w:tab w:leader="none" w:pos="340" w:val="left"/>
        </w:tabs>
        <w:numPr>
          <w:ilvl w:val="0"/>
          <w:numId w:val="82"/>
        </w:numPr>
        <w:rPr>
          <w:rFonts w:ascii="Arial" w:cs="Arial" w:eastAsia="Arial" w:hAnsi="Arial"/>
          <w:sz w:val="24"/>
          <w:szCs w:val="24"/>
          <w:color w:val="auto"/>
          <w:vertAlign w:val="superscript"/>
        </w:rPr>
      </w:pPr>
      <w:r>
        <w:rPr>
          <w:rFonts w:ascii="Arial" w:cs="Arial" w:eastAsia="Arial" w:hAnsi="Arial"/>
          <w:sz w:val="14"/>
          <w:szCs w:val="14"/>
          <w:color w:val="auto"/>
        </w:rPr>
        <w:t>Includes RSUs granted on February 22, 2018. This column also includes PSUs granted on January 28, 2016 for the 2016-2018 performance period. The vesting period for the PSUs ended on January 28, 2019 and the performance period ended on December 31, 2018. The number of shares shown in column (g) for the 2016-2018 PSUs is the number of shares earned under the PSU metrics and paid upon vesting. NEOs also receive a cash payment for deferred dividend equivalents accrued through vesting.</w:t>
      </w:r>
    </w:p>
    <w:p>
      <w:pPr>
        <w:spacing w:after="0" w:line="37" w:lineRule="exact"/>
        <w:rPr>
          <w:rFonts w:ascii="Arial" w:cs="Arial" w:eastAsia="Arial" w:hAnsi="Arial"/>
          <w:sz w:val="24"/>
          <w:szCs w:val="24"/>
          <w:color w:val="auto"/>
          <w:vertAlign w:val="superscript"/>
        </w:rPr>
      </w:pPr>
    </w:p>
    <w:p>
      <w:pPr>
        <w:ind w:left="340" w:right="160" w:hanging="332"/>
        <w:spacing w:after="0" w:line="203" w:lineRule="auto"/>
        <w:tabs>
          <w:tab w:leader="none" w:pos="340" w:val="left"/>
        </w:tabs>
        <w:numPr>
          <w:ilvl w:val="0"/>
          <w:numId w:val="82"/>
        </w:numPr>
        <w:rPr>
          <w:rFonts w:ascii="Arial" w:cs="Arial" w:eastAsia="Arial" w:hAnsi="Arial"/>
          <w:sz w:val="24"/>
          <w:szCs w:val="24"/>
          <w:color w:val="auto"/>
          <w:vertAlign w:val="superscript"/>
        </w:rPr>
      </w:pPr>
      <w:r>
        <w:rPr>
          <w:rFonts w:ascii="Arial" w:cs="Arial" w:eastAsia="Arial" w:hAnsi="Arial"/>
          <w:sz w:val="14"/>
          <w:szCs w:val="14"/>
          <w:color w:val="auto"/>
        </w:rPr>
        <w:t>The market value shown in column (h) is calculated by multiplying the number of shares shown in column (g) by the December 31, 2018 per share closing price of our stock ($261.84). NEOs also receive a cash payment for deferred dividend equivalents accrued through vesting.</w:t>
      </w:r>
    </w:p>
    <w:p>
      <w:pPr>
        <w:spacing w:after="0" w:line="35" w:lineRule="exact"/>
        <w:rPr>
          <w:rFonts w:ascii="Arial" w:cs="Arial" w:eastAsia="Arial" w:hAnsi="Arial"/>
          <w:sz w:val="24"/>
          <w:szCs w:val="24"/>
          <w:color w:val="auto"/>
          <w:vertAlign w:val="superscript"/>
        </w:rPr>
      </w:pPr>
    </w:p>
    <w:p>
      <w:pPr>
        <w:ind w:left="340" w:right="20" w:hanging="332"/>
        <w:spacing w:after="0" w:line="238" w:lineRule="auto"/>
        <w:tabs>
          <w:tab w:leader="none" w:pos="340" w:val="left"/>
        </w:tabs>
        <w:numPr>
          <w:ilvl w:val="0"/>
          <w:numId w:val="82"/>
        </w:numPr>
        <w:rPr>
          <w:rFonts w:ascii="Arial" w:cs="Arial" w:eastAsia="Arial" w:hAnsi="Arial"/>
          <w:sz w:val="24"/>
          <w:szCs w:val="24"/>
          <w:color w:val="auto"/>
          <w:vertAlign w:val="superscript"/>
        </w:rPr>
      </w:pPr>
      <w:r>
        <w:rPr>
          <w:rFonts w:ascii="Arial" w:cs="Arial" w:eastAsia="Arial" w:hAnsi="Arial"/>
          <w:sz w:val="14"/>
          <w:szCs w:val="14"/>
          <w:color w:val="auto"/>
        </w:rPr>
        <w:t>Represents PSUs granted on February 22, 2018 for the 2018-2020 performance period and on January 26, 2017 for the 2017-2019 performance period; the PSUs are earned and paid out in shares of our stock at the end of the three-year vesting period based upon performance on three separate metrics (Relative TSR, Performance Cash, and ROIC). The number of shares of stock shown in column (i) is based upon the threshold level of performance for each of the three metrics or, if performance to date on the metric has exceeded the threshold level (as is the case for performance through December 31, 2018), the estimated level of performance as of December 31, 2018. Performance under each metric is determined separately, with the three results added together to obtain the number of shares shown in column (i). NEOs also receive a cash payment for deferred dividend equivalents accrued through vesting.</w:t>
      </w:r>
    </w:p>
    <w:p>
      <w:pPr>
        <w:spacing w:after="0" w:line="35" w:lineRule="exact"/>
        <w:rPr>
          <w:rFonts w:ascii="Arial" w:cs="Arial" w:eastAsia="Arial" w:hAnsi="Arial"/>
          <w:sz w:val="24"/>
          <w:szCs w:val="24"/>
          <w:color w:val="auto"/>
          <w:vertAlign w:val="superscript"/>
        </w:rPr>
      </w:pPr>
    </w:p>
    <w:p>
      <w:pPr>
        <w:ind w:left="340" w:right="200" w:hanging="332"/>
        <w:spacing w:after="0" w:line="203" w:lineRule="auto"/>
        <w:tabs>
          <w:tab w:leader="none" w:pos="340" w:val="left"/>
        </w:tabs>
        <w:numPr>
          <w:ilvl w:val="0"/>
          <w:numId w:val="82"/>
        </w:numPr>
        <w:rPr>
          <w:rFonts w:ascii="Arial" w:cs="Arial" w:eastAsia="Arial" w:hAnsi="Arial"/>
          <w:sz w:val="24"/>
          <w:szCs w:val="24"/>
          <w:color w:val="auto"/>
          <w:vertAlign w:val="superscript"/>
        </w:rPr>
      </w:pPr>
      <w:r>
        <w:rPr>
          <w:rFonts w:ascii="Arial" w:cs="Arial" w:eastAsia="Arial" w:hAnsi="Arial"/>
          <w:sz w:val="14"/>
          <w:szCs w:val="14"/>
          <w:color w:val="auto"/>
        </w:rPr>
        <w:t>The market value shown in column (j) is calculated by multiplying the number of PSUs reported in column (i) by the December 31, 2018 per share closing price of our stock ($261.84).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-1563370</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356870</wp:posOffset>
            </wp:positionV>
            <wp:extent cx="1440815" cy="3257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440815" cy="325755"/>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808080"/>
        </w:rPr>
        <w:t>58</w:t>
      </w:r>
    </w:p>
    <w:p>
      <w:pPr>
        <w:sectPr>
          <w:pgSz w:w="11900" w:h="16838" w:orient="portrait"/>
          <w:cols w:equalWidth="0" w:num="1">
            <w:col w:w="11420"/>
          </w:cols>
          <w:pgMar w:left="240" w:top="292" w:right="239" w:bottom="1440" w:gutter="0" w:footer="0" w:header="0"/>
          <w:type w:val="continuous"/>
        </w:sectPr>
      </w:pPr>
    </w:p>
    <w:bookmarkStart w:id="61" w:name="page62"/>
    <w:bookmarkEnd w:id="61"/>
    <w:p>
      <w:pPr>
        <w:ind w:left="9720"/>
        <w:spacing w:after="0"/>
        <w:rPr>
          <w:sz w:val="20"/>
          <w:szCs w:val="20"/>
          <w:color w:val="auto"/>
        </w:rPr>
      </w:pPr>
      <w:r>
        <w:rPr>
          <w:rFonts w:ascii="Arial" w:cs="Arial" w:eastAsia="Arial" w:hAnsi="Arial"/>
          <w:sz w:val="15"/>
          <w:szCs w:val="15"/>
          <w:color w:val="003478"/>
        </w:rPr>
        <w:t>Executive Compensation</w:t>
      </w:r>
    </w:p>
    <w:p>
      <w:pPr>
        <w:spacing w:after="0" w:line="256" w:lineRule="exact"/>
        <w:rPr>
          <w:sz w:val="20"/>
          <w:szCs w:val="20"/>
          <w:color w:val="auto"/>
        </w:rPr>
      </w:pPr>
    </w:p>
    <w:p>
      <w:pPr>
        <w:ind w:left="340" w:right="520" w:hanging="332"/>
        <w:spacing w:after="0" w:line="203" w:lineRule="auto"/>
        <w:tabs>
          <w:tab w:leader="none" w:pos="340" w:val="left"/>
        </w:tabs>
        <w:numPr>
          <w:ilvl w:val="0"/>
          <w:numId w:val="83"/>
        </w:numPr>
        <w:rPr>
          <w:rFonts w:ascii="Arial" w:cs="Arial" w:eastAsia="Arial" w:hAnsi="Arial"/>
          <w:sz w:val="24"/>
          <w:szCs w:val="24"/>
          <w:color w:val="auto"/>
          <w:vertAlign w:val="superscript"/>
        </w:rPr>
      </w:pPr>
      <w:r>
        <w:rPr>
          <w:rFonts w:ascii="Arial" w:cs="Arial" w:eastAsia="Arial" w:hAnsi="Arial"/>
          <w:sz w:val="14"/>
          <w:szCs w:val="14"/>
          <w:color w:val="auto"/>
        </w:rPr>
        <w:t>Represents RSUs granted on February 22, 2018, which vest February 22, 2021, except that vesting may occur earlier as described in the “2018 Grants of Plan-Based Awards” table.</w:t>
      </w:r>
    </w:p>
    <w:p>
      <w:pPr>
        <w:spacing w:after="0" w:line="35" w:lineRule="exact"/>
        <w:rPr>
          <w:rFonts w:ascii="Arial" w:cs="Arial" w:eastAsia="Arial" w:hAnsi="Arial"/>
          <w:sz w:val="24"/>
          <w:szCs w:val="24"/>
          <w:color w:val="auto"/>
          <w:vertAlign w:val="superscript"/>
        </w:rPr>
      </w:pPr>
    </w:p>
    <w:p>
      <w:pPr>
        <w:ind w:left="340" w:right="80" w:hanging="332"/>
        <w:spacing w:after="0" w:line="203" w:lineRule="auto"/>
        <w:tabs>
          <w:tab w:leader="none" w:pos="340" w:val="left"/>
        </w:tabs>
        <w:numPr>
          <w:ilvl w:val="0"/>
          <w:numId w:val="83"/>
        </w:numPr>
        <w:rPr>
          <w:rFonts w:ascii="Arial" w:cs="Arial" w:eastAsia="Arial" w:hAnsi="Arial"/>
          <w:sz w:val="24"/>
          <w:szCs w:val="24"/>
          <w:color w:val="auto"/>
          <w:vertAlign w:val="superscript"/>
        </w:rPr>
      </w:pPr>
      <w:r>
        <w:rPr>
          <w:rFonts w:ascii="Arial" w:cs="Arial" w:eastAsia="Arial" w:hAnsi="Arial"/>
          <w:sz w:val="14"/>
          <w:szCs w:val="14"/>
          <w:color w:val="auto"/>
        </w:rPr>
        <w:t>Represents PSUs granted on February 22, 2018 and which are earned over a three-year period but provide for pro rata payments for certain terminations as described in the “2018 Grants of Plan-Based Awards” table.</w:t>
      </w:r>
    </w:p>
    <w:p>
      <w:pPr>
        <w:spacing w:after="0" w:line="35" w:lineRule="exact"/>
        <w:rPr>
          <w:rFonts w:ascii="Arial" w:cs="Arial" w:eastAsia="Arial" w:hAnsi="Arial"/>
          <w:sz w:val="24"/>
          <w:szCs w:val="24"/>
          <w:color w:val="auto"/>
          <w:vertAlign w:val="superscript"/>
        </w:rPr>
      </w:pPr>
    </w:p>
    <w:p>
      <w:pPr>
        <w:ind w:left="340" w:right="460" w:hanging="332"/>
        <w:spacing w:after="0" w:line="203" w:lineRule="auto"/>
        <w:tabs>
          <w:tab w:leader="none" w:pos="340" w:val="left"/>
        </w:tabs>
        <w:numPr>
          <w:ilvl w:val="0"/>
          <w:numId w:val="83"/>
        </w:numPr>
        <w:rPr>
          <w:rFonts w:ascii="Arial" w:cs="Arial" w:eastAsia="Arial" w:hAnsi="Arial"/>
          <w:sz w:val="24"/>
          <w:szCs w:val="24"/>
          <w:color w:val="auto"/>
          <w:vertAlign w:val="superscript"/>
        </w:rPr>
      </w:pPr>
      <w:r>
        <w:rPr>
          <w:rFonts w:ascii="Arial" w:cs="Arial" w:eastAsia="Arial" w:hAnsi="Arial"/>
          <w:sz w:val="14"/>
          <w:szCs w:val="14"/>
          <w:color w:val="auto"/>
        </w:rPr>
        <w:t>Represents RSUs granted on January 26, 2017, which vest on January 26, 2020, except that vesting may occur earlier as described in the “2018 Grants of Plan-Based Awards” table.</w:t>
      </w:r>
    </w:p>
    <w:p>
      <w:pPr>
        <w:spacing w:after="0" w:line="35" w:lineRule="exact"/>
        <w:rPr>
          <w:rFonts w:ascii="Arial" w:cs="Arial" w:eastAsia="Arial" w:hAnsi="Arial"/>
          <w:sz w:val="24"/>
          <w:szCs w:val="24"/>
          <w:color w:val="auto"/>
          <w:vertAlign w:val="superscript"/>
        </w:rPr>
      </w:pPr>
    </w:p>
    <w:p>
      <w:pPr>
        <w:ind w:left="340" w:right="160" w:hanging="332"/>
        <w:spacing w:after="0" w:line="203" w:lineRule="auto"/>
        <w:tabs>
          <w:tab w:leader="none" w:pos="340" w:val="left"/>
        </w:tabs>
        <w:numPr>
          <w:ilvl w:val="0"/>
          <w:numId w:val="83"/>
        </w:numPr>
        <w:rPr>
          <w:rFonts w:ascii="Arial" w:cs="Arial" w:eastAsia="Arial" w:hAnsi="Arial"/>
          <w:sz w:val="24"/>
          <w:szCs w:val="24"/>
          <w:color w:val="auto"/>
          <w:vertAlign w:val="superscript"/>
        </w:rPr>
      </w:pPr>
      <w:r>
        <w:rPr>
          <w:rFonts w:ascii="Arial" w:cs="Arial" w:eastAsia="Arial" w:hAnsi="Arial"/>
          <w:sz w:val="14"/>
          <w:szCs w:val="14"/>
          <w:color w:val="auto"/>
        </w:rPr>
        <w:t>Represents PSUs granted on January 26, 2017 and which are earned over a three-year period but provide for pro rata payments for certain terminations as described in the “2018 Grants of Plan-Based Awards” table.</w:t>
      </w:r>
    </w:p>
    <w:p>
      <w:pPr>
        <w:ind w:left="340" w:hanging="332"/>
        <w:spacing w:after="0" w:line="199" w:lineRule="auto"/>
        <w:tabs>
          <w:tab w:leader="none" w:pos="340" w:val="left"/>
        </w:tabs>
        <w:numPr>
          <w:ilvl w:val="0"/>
          <w:numId w:val="83"/>
        </w:numPr>
        <w:rPr>
          <w:rFonts w:ascii="Arial" w:cs="Arial" w:eastAsia="Arial" w:hAnsi="Arial"/>
          <w:sz w:val="24"/>
          <w:szCs w:val="24"/>
          <w:color w:val="auto"/>
          <w:vertAlign w:val="superscript"/>
        </w:rPr>
      </w:pPr>
      <w:r>
        <w:rPr>
          <w:rFonts w:ascii="Arial" w:cs="Arial" w:eastAsia="Arial" w:hAnsi="Arial"/>
          <w:sz w:val="14"/>
          <w:szCs w:val="14"/>
          <w:color w:val="auto"/>
        </w:rPr>
        <w:t>Represents RSUs granted on January 28, 2016, which vested on January 28, 2019.</w:t>
      </w:r>
    </w:p>
    <w:p>
      <w:pPr>
        <w:spacing w:after="0" w:line="54" w:lineRule="exact"/>
        <w:rPr>
          <w:rFonts w:ascii="Arial" w:cs="Arial" w:eastAsia="Arial" w:hAnsi="Arial"/>
          <w:sz w:val="24"/>
          <w:szCs w:val="24"/>
          <w:color w:val="auto"/>
          <w:vertAlign w:val="superscript"/>
        </w:rPr>
      </w:pPr>
    </w:p>
    <w:p>
      <w:pPr>
        <w:ind w:left="340" w:hanging="332"/>
        <w:spacing w:after="0" w:line="183" w:lineRule="auto"/>
        <w:tabs>
          <w:tab w:leader="none" w:pos="340" w:val="left"/>
        </w:tabs>
        <w:numPr>
          <w:ilvl w:val="0"/>
          <w:numId w:val="83"/>
        </w:numPr>
        <w:rPr>
          <w:rFonts w:ascii="Arial" w:cs="Arial" w:eastAsia="Arial" w:hAnsi="Arial"/>
          <w:sz w:val="20"/>
          <w:szCs w:val="20"/>
          <w:color w:val="auto"/>
          <w:vertAlign w:val="superscript"/>
        </w:rPr>
      </w:pPr>
      <w:r>
        <w:rPr>
          <w:rFonts w:ascii="Arial" w:cs="Arial" w:eastAsia="Arial" w:hAnsi="Arial"/>
          <w:sz w:val="12"/>
          <w:szCs w:val="12"/>
          <w:color w:val="auto"/>
        </w:rPr>
        <w:t>Represents PSUs granted on January 28, 2016, which vested on January 28, 2019. For Mr. Carvalho, the PSUs vested in a pro-rated amount following his retirement.</w:t>
      </w:r>
    </w:p>
    <w:p>
      <w:pPr>
        <w:spacing w:after="0" w:line="129" w:lineRule="exact"/>
        <w:rPr>
          <w:sz w:val="20"/>
          <w:szCs w:val="20"/>
          <w:color w:val="auto"/>
        </w:rPr>
      </w:pPr>
    </w:p>
    <w:p>
      <w:pPr>
        <w:spacing w:after="0"/>
        <w:rPr>
          <w:sz w:val="20"/>
          <w:szCs w:val="20"/>
          <w:color w:val="auto"/>
        </w:rPr>
      </w:pPr>
      <w:r>
        <w:rPr>
          <w:rFonts w:ascii="Arial" w:cs="Arial" w:eastAsia="Arial" w:hAnsi="Arial"/>
          <w:sz w:val="29"/>
          <w:szCs w:val="29"/>
          <w:b w:val="1"/>
          <w:bCs w:val="1"/>
          <w:color w:val="012E6C"/>
        </w:rPr>
        <w:t>Option Exercises and Stock Vested During 2018</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040" w:type="dxa"/>
            <w:vAlign w:val="bottom"/>
            <w:tcBorders>
              <w:bottom w:val="single" w:sz="8" w:color="ECECEC"/>
            </w:tcBorders>
            <w:shd w:val="clear" w:color="auto" w:fill="ECECEC"/>
          </w:tcPr>
          <w:p>
            <w:pPr>
              <w:spacing w:after="0"/>
              <w:rPr>
                <w:sz w:val="22"/>
                <w:szCs w:val="22"/>
                <w:color w:val="auto"/>
              </w:rPr>
            </w:pPr>
          </w:p>
        </w:tc>
        <w:tc>
          <w:tcPr>
            <w:tcW w:w="2060" w:type="dxa"/>
            <w:vAlign w:val="bottom"/>
            <w:tcBorders>
              <w:bottom w:val="single" w:sz="8" w:color="959595"/>
            </w:tcBorders>
            <w:shd w:val="clear" w:color="auto" w:fill="ECECEC"/>
          </w:tcPr>
          <w:p>
            <w:pPr>
              <w:jc w:val="right"/>
              <w:ind w:right="12"/>
              <w:spacing w:after="0"/>
              <w:rPr>
                <w:sz w:val="20"/>
                <w:szCs w:val="20"/>
                <w:color w:val="auto"/>
              </w:rPr>
            </w:pPr>
            <w:r>
              <w:rPr>
                <w:rFonts w:ascii="Arial" w:cs="Arial" w:eastAsia="Arial" w:hAnsi="Arial"/>
                <w:sz w:val="13"/>
                <w:szCs w:val="13"/>
                <w:color w:val="auto"/>
              </w:rPr>
              <w:t>Option Awards</w:t>
            </w:r>
          </w:p>
        </w:tc>
        <w:tc>
          <w:tcPr>
            <w:tcW w:w="1040" w:type="dxa"/>
            <w:vAlign w:val="bottom"/>
            <w:tcBorders>
              <w:bottom w:val="single" w:sz="8" w:color="959595"/>
            </w:tcBorders>
            <w:shd w:val="clear" w:color="auto" w:fill="ECECEC"/>
          </w:tcPr>
          <w:p>
            <w:pPr>
              <w:spacing w:after="0"/>
              <w:rPr>
                <w:sz w:val="22"/>
                <w:szCs w:val="22"/>
                <w:color w:val="auto"/>
              </w:rPr>
            </w:pPr>
          </w:p>
        </w:tc>
        <w:tc>
          <w:tcPr>
            <w:tcW w:w="220" w:type="dxa"/>
            <w:vAlign w:val="bottom"/>
            <w:tcBorders>
              <w:bottom w:val="single" w:sz="8" w:color="ECECEC"/>
            </w:tcBorders>
            <w:shd w:val="clear" w:color="auto" w:fill="ECECEC"/>
          </w:tcPr>
          <w:p>
            <w:pPr>
              <w:spacing w:after="0"/>
              <w:rPr>
                <w:sz w:val="22"/>
                <w:szCs w:val="22"/>
                <w:color w:val="auto"/>
              </w:rPr>
            </w:pPr>
          </w:p>
        </w:tc>
        <w:tc>
          <w:tcPr>
            <w:tcW w:w="2020" w:type="dxa"/>
            <w:vAlign w:val="bottom"/>
            <w:tcBorders>
              <w:bottom w:val="single" w:sz="8" w:color="959595"/>
            </w:tcBorders>
            <w:shd w:val="clear" w:color="auto" w:fill="ECECEC"/>
          </w:tcPr>
          <w:p>
            <w:pPr>
              <w:jc w:val="right"/>
              <w:ind w:right="12"/>
              <w:spacing w:after="0"/>
              <w:rPr>
                <w:sz w:val="20"/>
                <w:szCs w:val="20"/>
                <w:color w:val="auto"/>
              </w:rPr>
            </w:pPr>
            <w:r>
              <w:rPr>
                <w:rFonts w:ascii="Arial" w:cs="Arial" w:eastAsia="Arial" w:hAnsi="Arial"/>
                <w:sz w:val="13"/>
                <w:szCs w:val="13"/>
                <w:color w:val="auto"/>
              </w:rPr>
              <w:t>Stock Awards</w:t>
            </w:r>
          </w:p>
        </w:tc>
        <w:tc>
          <w:tcPr>
            <w:tcW w:w="1040" w:type="dxa"/>
            <w:vAlign w:val="bottom"/>
            <w:tcBorders>
              <w:bottom w:val="single" w:sz="8" w:color="959595"/>
            </w:tcBorders>
            <w:shd w:val="clear" w:color="auto" w:fill="ECECEC"/>
          </w:tcPr>
          <w:p>
            <w:pPr>
              <w:spacing w:after="0"/>
              <w:rPr>
                <w:sz w:val="22"/>
                <w:szCs w:val="22"/>
                <w:color w:val="auto"/>
              </w:rPr>
            </w:pPr>
          </w:p>
        </w:tc>
      </w:tr>
      <w:tr>
        <w:trPr>
          <w:trHeight w:val="140"/>
        </w:trPr>
        <w:tc>
          <w:tcPr>
            <w:tcW w:w="5040" w:type="dxa"/>
            <w:vAlign w:val="bottom"/>
            <w:shd w:val="clear" w:color="auto" w:fill="ECECEC"/>
          </w:tcPr>
          <w:p>
            <w:pPr>
              <w:spacing w:after="0"/>
              <w:rPr>
                <w:sz w:val="12"/>
                <w:szCs w:val="12"/>
                <w:color w:val="auto"/>
              </w:rPr>
            </w:pPr>
          </w:p>
        </w:tc>
        <w:tc>
          <w:tcPr>
            <w:tcW w:w="2060" w:type="dxa"/>
            <w:vAlign w:val="bottom"/>
            <w:shd w:val="clear" w:color="auto" w:fill="ECECEC"/>
          </w:tcPr>
          <w:p>
            <w:pPr>
              <w:jc w:val="right"/>
              <w:ind w:right="512"/>
              <w:spacing w:after="0" w:line="140" w:lineRule="exact"/>
              <w:rPr>
                <w:sz w:val="20"/>
                <w:szCs w:val="20"/>
                <w:color w:val="auto"/>
              </w:rPr>
            </w:pPr>
            <w:r>
              <w:rPr>
                <w:rFonts w:ascii="Arial" w:cs="Arial" w:eastAsia="Arial" w:hAnsi="Arial"/>
                <w:sz w:val="13"/>
                <w:szCs w:val="13"/>
                <w:color w:val="auto"/>
              </w:rPr>
              <w:t>Number of Shares</w:t>
            </w:r>
          </w:p>
        </w:tc>
        <w:tc>
          <w:tcPr>
            <w:tcW w:w="1260" w:type="dxa"/>
            <w:vAlign w:val="bottom"/>
            <w:gridSpan w:val="2"/>
            <w:shd w:val="clear" w:color="auto" w:fill="ECECEC"/>
          </w:tcPr>
          <w:p>
            <w:pPr>
              <w:jc w:val="right"/>
              <w:ind w:right="340"/>
              <w:spacing w:after="0" w:line="140" w:lineRule="exact"/>
              <w:rPr>
                <w:sz w:val="20"/>
                <w:szCs w:val="20"/>
                <w:color w:val="auto"/>
              </w:rPr>
            </w:pPr>
            <w:r>
              <w:rPr>
                <w:rFonts w:ascii="Arial" w:cs="Arial" w:eastAsia="Arial" w:hAnsi="Arial"/>
                <w:sz w:val="13"/>
                <w:szCs w:val="13"/>
                <w:color w:val="auto"/>
              </w:rPr>
              <w:t>Value Realized</w:t>
            </w:r>
          </w:p>
        </w:tc>
        <w:tc>
          <w:tcPr>
            <w:tcW w:w="2020" w:type="dxa"/>
            <w:vAlign w:val="bottom"/>
            <w:shd w:val="clear" w:color="auto" w:fill="ECECEC"/>
          </w:tcPr>
          <w:p>
            <w:pPr>
              <w:jc w:val="right"/>
              <w:ind w:right="352"/>
              <w:spacing w:after="0" w:line="140" w:lineRule="exact"/>
              <w:rPr>
                <w:sz w:val="20"/>
                <w:szCs w:val="20"/>
                <w:color w:val="auto"/>
              </w:rPr>
            </w:pPr>
            <w:r>
              <w:rPr>
                <w:rFonts w:ascii="Arial" w:cs="Arial" w:eastAsia="Arial" w:hAnsi="Arial"/>
                <w:sz w:val="13"/>
                <w:szCs w:val="13"/>
                <w:color w:val="auto"/>
              </w:rPr>
              <w:t>Number of Shares</w:t>
            </w:r>
          </w:p>
        </w:tc>
        <w:tc>
          <w:tcPr>
            <w:tcW w:w="1040" w:type="dxa"/>
            <w:vAlign w:val="bottom"/>
            <w:shd w:val="clear" w:color="auto" w:fill="ECECEC"/>
          </w:tcPr>
          <w:p>
            <w:pPr>
              <w:jc w:val="right"/>
              <w:ind w:right="31"/>
              <w:spacing w:after="0" w:line="140" w:lineRule="exact"/>
              <w:rPr>
                <w:sz w:val="20"/>
                <w:szCs w:val="20"/>
                <w:color w:val="auto"/>
              </w:rPr>
            </w:pPr>
            <w:r>
              <w:rPr>
                <w:rFonts w:ascii="Arial" w:cs="Arial" w:eastAsia="Arial" w:hAnsi="Arial"/>
                <w:sz w:val="13"/>
                <w:szCs w:val="13"/>
                <w:color w:val="auto"/>
              </w:rPr>
              <w:t>Value Realized</w:t>
            </w:r>
          </w:p>
        </w:tc>
      </w:tr>
      <w:tr>
        <w:trPr>
          <w:trHeight w:val="170"/>
        </w:trPr>
        <w:tc>
          <w:tcPr>
            <w:tcW w:w="5040" w:type="dxa"/>
            <w:vAlign w:val="bottom"/>
            <w:shd w:val="clear" w:color="auto" w:fill="ECECEC"/>
          </w:tcPr>
          <w:p>
            <w:pPr>
              <w:spacing w:after="0"/>
              <w:rPr>
                <w:sz w:val="14"/>
                <w:szCs w:val="14"/>
                <w:color w:val="auto"/>
              </w:rPr>
            </w:pPr>
          </w:p>
        </w:tc>
        <w:tc>
          <w:tcPr>
            <w:tcW w:w="2060" w:type="dxa"/>
            <w:vAlign w:val="bottom"/>
            <w:shd w:val="clear" w:color="auto" w:fill="ECECEC"/>
          </w:tcPr>
          <w:p>
            <w:pPr>
              <w:jc w:val="right"/>
              <w:ind w:right="512"/>
              <w:spacing w:after="0"/>
              <w:rPr>
                <w:sz w:val="20"/>
                <w:szCs w:val="20"/>
                <w:color w:val="auto"/>
              </w:rPr>
            </w:pPr>
            <w:r>
              <w:rPr>
                <w:rFonts w:ascii="Arial" w:cs="Arial" w:eastAsia="Arial" w:hAnsi="Arial"/>
                <w:sz w:val="13"/>
                <w:szCs w:val="13"/>
                <w:color w:val="auto"/>
              </w:rPr>
              <w:t>Acquired on Exercise</w:t>
            </w:r>
          </w:p>
        </w:tc>
        <w:tc>
          <w:tcPr>
            <w:tcW w:w="1260" w:type="dxa"/>
            <w:vAlign w:val="bottom"/>
            <w:gridSpan w:val="2"/>
            <w:shd w:val="clear" w:color="auto" w:fill="ECECEC"/>
          </w:tcPr>
          <w:p>
            <w:pPr>
              <w:jc w:val="right"/>
              <w:ind w:right="340"/>
              <w:spacing w:after="0"/>
              <w:rPr>
                <w:sz w:val="20"/>
                <w:szCs w:val="20"/>
                <w:color w:val="auto"/>
              </w:rPr>
            </w:pPr>
            <w:r>
              <w:rPr>
                <w:rFonts w:ascii="Arial" w:cs="Arial" w:eastAsia="Arial" w:hAnsi="Arial"/>
                <w:sz w:val="13"/>
                <w:szCs w:val="13"/>
                <w:color w:val="auto"/>
              </w:rPr>
              <w:t>on Exercise</w:t>
            </w:r>
          </w:p>
        </w:tc>
        <w:tc>
          <w:tcPr>
            <w:tcW w:w="2020" w:type="dxa"/>
            <w:vAlign w:val="bottom"/>
            <w:shd w:val="clear" w:color="auto" w:fill="ECECEC"/>
          </w:tcPr>
          <w:p>
            <w:pPr>
              <w:jc w:val="right"/>
              <w:ind w:right="352"/>
              <w:spacing w:after="0"/>
              <w:rPr>
                <w:sz w:val="20"/>
                <w:szCs w:val="20"/>
                <w:color w:val="auto"/>
              </w:rPr>
            </w:pPr>
            <w:r>
              <w:rPr>
                <w:rFonts w:ascii="Arial" w:cs="Arial" w:eastAsia="Arial" w:hAnsi="Arial"/>
                <w:sz w:val="13"/>
                <w:szCs w:val="13"/>
                <w:color w:val="auto"/>
              </w:rPr>
              <w:t>Acquired on Vesting</w:t>
            </w:r>
            <w:r>
              <w:rPr>
                <w:rFonts w:ascii="Arial" w:cs="Arial" w:eastAsia="Arial" w:hAnsi="Arial"/>
                <w:sz w:val="10"/>
                <w:szCs w:val="10"/>
                <w:color w:val="auto"/>
              </w:rPr>
              <w:t>(1)</w:t>
            </w:r>
          </w:p>
        </w:tc>
        <w:tc>
          <w:tcPr>
            <w:tcW w:w="1040" w:type="dxa"/>
            <w:vAlign w:val="bottom"/>
            <w:shd w:val="clear" w:color="auto" w:fill="ECECEC"/>
          </w:tcPr>
          <w:p>
            <w:pPr>
              <w:jc w:val="right"/>
              <w:ind w:right="31"/>
              <w:spacing w:after="0"/>
              <w:rPr>
                <w:sz w:val="20"/>
                <w:szCs w:val="20"/>
                <w:color w:val="auto"/>
              </w:rPr>
            </w:pPr>
            <w:r>
              <w:rPr>
                <w:rFonts w:ascii="Arial" w:cs="Arial" w:eastAsia="Arial" w:hAnsi="Arial"/>
                <w:sz w:val="13"/>
                <w:szCs w:val="13"/>
                <w:color w:val="auto"/>
              </w:rPr>
              <w:t>on Vesting</w:t>
            </w:r>
            <w:r>
              <w:rPr>
                <w:rFonts w:ascii="Arial" w:cs="Arial" w:eastAsia="Arial" w:hAnsi="Arial"/>
                <w:sz w:val="10"/>
                <w:szCs w:val="10"/>
                <w:color w:val="auto"/>
              </w:rPr>
              <w:t>(2)</w:t>
            </w:r>
          </w:p>
        </w:tc>
      </w:tr>
      <w:tr>
        <w:trPr>
          <w:trHeight w:val="278"/>
        </w:trPr>
        <w:tc>
          <w:tcPr>
            <w:tcW w:w="5040" w:type="dxa"/>
            <w:vAlign w:val="bottom"/>
            <w:tcBorders>
              <w:bottom w:val="single" w:sz="8" w:color="959595"/>
            </w:tcBorders>
            <w:shd w:val="clear" w:color="auto" w:fill="ECECEC"/>
          </w:tcPr>
          <w:p>
            <w:pPr>
              <w:ind w:left="40"/>
              <w:spacing w:after="0"/>
              <w:rPr>
                <w:sz w:val="20"/>
                <w:szCs w:val="20"/>
                <w:color w:val="auto"/>
              </w:rPr>
            </w:pPr>
            <w:r>
              <w:rPr>
                <w:rFonts w:ascii="Arial" w:cs="Arial" w:eastAsia="Arial" w:hAnsi="Arial"/>
                <w:sz w:val="13"/>
                <w:szCs w:val="13"/>
                <w:color w:val="auto"/>
              </w:rPr>
              <w:t>Name</w:t>
            </w:r>
          </w:p>
        </w:tc>
        <w:tc>
          <w:tcPr>
            <w:tcW w:w="2060" w:type="dxa"/>
            <w:vAlign w:val="bottom"/>
            <w:tcBorders>
              <w:bottom w:val="single" w:sz="8" w:color="959595"/>
            </w:tcBorders>
            <w:shd w:val="clear" w:color="auto" w:fill="ECECEC"/>
          </w:tcPr>
          <w:p>
            <w:pPr>
              <w:jc w:val="right"/>
              <w:ind w:right="512"/>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959595"/>
            </w:tcBorders>
            <w:shd w:val="clear" w:color="auto" w:fill="ECECEC"/>
          </w:tcPr>
          <w:p>
            <w:pPr>
              <w:jc w:val="right"/>
              <w:ind w:right="51"/>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959595"/>
            </w:tcBorders>
            <w:shd w:val="clear" w:color="auto" w:fill="ECECEC"/>
          </w:tcPr>
          <w:p>
            <w:pPr>
              <w:spacing w:after="0"/>
              <w:rPr>
                <w:sz w:val="24"/>
                <w:szCs w:val="24"/>
                <w:color w:val="auto"/>
              </w:rPr>
            </w:pPr>
          </w:p>
        </w:tc>
        <w:tc>
          <w:tcPr>
            <w:tcW w:w="2020" w:type="dxa"/>
            <w:vAlign w:val="bottom"/>
            <w:tcBorders>
              <w:bottom w:val="single" w:sz="8" w:color="959595"/>
            </w:tcBorders>
            <w:shd w:val="clear" w:color="auto" w:fill="ECECEC"/>
          </w:tcPr>
          <w:p>
            <w:pPr>
              <w:jc w:val="right"/>
              <w:ind w:right="352"/>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959595"/>
            </w:tcBorders>
            <w:shd w:val="clear" w:color="auto" w:fill="ECECEC"/>
          </w:tcPr>
          <w:p>
            <w:pPr>
              <w:jc w:val="right"/>
              <w:ind w:right="31"/>
              <w:spacing w:after="0"/>
              <w:rPr>
                <w:sz w:val="20"/>
                <w:szCs w:val="20"/>
                <w:color w:val="auto"/>
              </w:rPr>
            </w:pPr>
            <w:r>
              <w:rPr>
                <w:rFonts w:ascii="Arial" w:cs="Arial" w:eastAsia="Arial" w:hAnsi="Arial"/>
                <w:sz w:val="13"/>
                <w:szCs w:val="13"/>
                <w:color w:val="auto"/>
              </w:rPr>
              <w:t>($)</w:t>
            </w:r>
          </w:p>
        </w:tc>
      </w:tr>
      <w:tr>
        <w:trPr>
          <w:trHeight w:val="264"/>
        </w:trPr>
        <w:tc>
          <w:tcPr>
            <w:tcW w:w="5040" w:type="dxa"/>
            <w:vAlign w:val="bottom"/>
            <w:tcBorders>
              <w:bottom w:val="single" w:sz="8" w:color="959595"/>
            </w:tcBorders>
            <w:shd w:val="clear" w:color="auto" w:fill="ECECEC"/>
          </w:tcPr>
          <w:p>
            <w:pPr>
              <w:ind w:left="40"/>
              <w:spacing w:after="0"/>
              <w:rPr>
                <w:sz w:val="20"/>
                <w:szCs w:val="20"/>
                <w:color w:val="auto"/>
              </w:rPr>
            </w:pPr>
            <w:r>
              <w:rPr>
                <w:rFonts w:ascii="Arial" w:cs="Arial" w:eastAsia="Arial" w:hAnsi="Arial"/>
                <w:sz w:val="13"/>
                <w:szCs w:val="13"/>
                <w:color w:val="auto"/>
              </w:rPr>
              <w:t>(a)</w:t>
            </w:r>
          </w:p>
        </w:tc>
        <w:tc>
          <w:tcPr>
            <w:tcW w:w="2060" w:type="dxa"/>
            <w:vAlign w:val="bottom"/>
            <w:tcBorders>
              <w:bottom w:val="single" w:sz="8" w:color="959595"/>
            </w:tcBorders>
            <w:shd w:val="clear" w:color="auto" w:fill="ECECEC"/>
          </w:tcPr>
          <w:p>
            <w:pPr>
              <w:jc w:val="right"/>
              <w:ind w:right="512"/>
              <w:spacing w:after="0"/>
              <w:rPr>
                <w:sz w:val="20"/>
                <w:szCs w:val="20"/>
                <w:color w:val="auto"/>
              </w:rPr>
            </w:pPr>
            <w:r>
              <w:rPr>
                <w:rFonts w:ascii="Arial" w:cs="Arial" w:eastAsia="Arial" w:hAnsi="Arial"/>
                <w:sz w:val="13"/>
                <w:szCs w:val="13"/>
                <w:color w:val="auto"/>
              </w:rPr>
              <w:t>(b)</w:t>
            </w:r>
          </w:p>
        </w:tc>
        <w:tc>
          <w:tcPr>
            <w:tcW w:w="1260" w:type="dxa"/>
            <w:vAlign w:val="bottom"/>
            <w:tcBorders>
              <w:bottom w:val="single" w:sz="8" w:color="959595"/>
            </w:tcBorders>
            <w:gridSpan w:val="2"/>
            <w:shd w:val="clear" w:color="auto" w:fill="ECECEC"/>
          </w:tcPr>
          <w:p>
            <w:pPr>
              <w:jc w:val="right"/>
              <w:ind w:right="340"/>
              <w:spacing w:after="0"/>
              <w:rPr>
                <w:sz w:val="20"/>
                <w:szCs w:val="20"/>
                <w:color w:val="auto"/>
              </w:rPr>
            </w:pPr>
            <w:r>
              <w:rPr>
                <w:rFonts w:ascii="Arial" w:cs="Arial" w:eastAsia="Arial" w:hAnsi="Arial"/>
                <w:sz w:val="13"/>
                <w:szCs w:val="13"/>
                <w:color w:val="auto"/>
              </w:rPr>
              <w:t>(c)</w:t>
            </w:r>
          </w:p>
        </w:tc>
        <w:tc>
          <w:tcPr>
            <w:tcW w:w="2020" w:type="dxa"/>
            <w:vAlign w:val="bottom"/>
            <w:tcBorders>
              <w:bottom w:val="single" w:sz="8" w:color="959595"/>
            </w:tcBorders>
            <w:shd w:val="clear" w:color="auto" w:fill="ECECEC"/>
          </w:tcPr>
          <w:p>
            <w:pPr>
              <w:jc w:val="right"/>
              <w:ind w:right="352"/>
              <w:spacing w:after="0"/>
              <w:rPr>
                <w:sz w:val="20"/>
                <w:szCs w:val="20"/>
                <w:color w:val="auto"/>
              </w:rPr>
            </w:pPr>
            <w:r>
              <w:rPr>
                <w:rFonts w:ascii="Arial" w:cs="Arial" w:eastAsia="Arial" w:hAnsi="Arial"/>
                <w:sz w:val="13"/>
                <w:szCs w:val="13"/>
                <w:color w:val="auto"/>
              </w:rPr>
              <w:t>(d)</w:t>
            </w:r>
          </w:p>
        </w:tc>
        <w:tc>
          <w:tcPr>
            <w:tcW w:w="1040" w:type="dxa"/>
            <w:vAlign w:val="bottom"/>
            <w:tcBorders>
              <w:bottom w:val="single" w:sz="8" w:color="959595"/>
            </w:tcBorders>
            <w:shd w:val="clear" w:color="auto" w:fill="ECECEC"/>
          </w:tcPr>
          <w:p>
            <w:pPr>
              <w:jc w:val="right"/>
              <w:ind w:right="31"/>
              <w:spacing w:after="0"/>
              <w:rPr>
                <w:sz w:val="20"/>
                <w:szCs w:val="20"/>
                <w:color w:val="auto"/>
              </w:rPr>
            </w:pPr>
            <w:r>
              <w:rPr>
                <w:rFonts w:ascii="Arial" w:cs="Arial" w:eastAsia="Arial" w:hAnsi="Arial"/>
                <w:sz w:val="13"/>
                <w:szCs w:val="13"/>
                <w:color w:val="auto"/>
              </w:rPr>
              <w:t>(e)</w:t>
            </w:r>
          </w:p>
        </w:tc>
      </w:tr>
      <w:tr>
        <w:trPr>
          <w:trHeight w:val="269"/>
        </w:trPr>
        <w:tc>
          <w:tcPr>
            <w:tcW w:w="504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012E6C"/>
              </w:rPr>
              <w:t>Marillyn A. Hewson</w:t>
            </w:r>
          </w:p>
        </w:tc>
        <w:tc>
          <w:tcPr>
            <w:tcW w:w="2060" w:type="dxa"/>
            <w:vAlign w:val="bottom"/>
            <w:tcBorders>
              <w:bottom w:val="single" w:sz="8" w:color="959595"/>
            </w:tcBorders>
          </w:tcPr>
          <w:p>
            <w:pPr>
              <w:jc w:val="right"/>
              <w:ind w:right="512"/>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959595"/>
            </w:tcBorders>
            <w:gridSpan w:val="2"/>
          </w:tcPr>
          <w:p>
            <w:pPr>
              <w:jc w:val="right"/>
              <w:ind w:right="340"/>
              <w:spacing w:after="0"/>
              <w:rPr>
                <w:sz w:val="20"/>
                <w:szCs w:val="20"/>
                <w:color w:val="auto"/>
              </w:rPr>
            </w:pPr>
            <w:r>
              <w:rPr>
                <w:rFonts w:ascii="Arial" w:cs="Arial" w:eastAsia="Arial" w:hAnsi="Arial"/>
                <w:sz w:val="14"/>
                <w:szCs w:val="14"/>
                <w:color w:val="auto"/>
              </w:rPr>
              <w:t>—</w:t>
            </w:r>
          </w:p>
        </w:tc>
        <w:tc>
          <w:tcPr>
            <w:tcW w:w="2020" w:type="dxa"/>
            <w:vAlign w:val="bottom"/>
            <w:tcBorders>
              <w:bottom w:val="single" w:sz="8" w:color="959595"/>
            </w:tcBorders>
          </w:tcPr>
          <w:p>
            <w:pPr>
              <w:jc w:val="right"/>
              <w:ind w:right="352"/>
              <w:spacing w:after="0"/>
              <w:rPr>
                <w:sz w:val="20"/>
                <w:szCs w:val="20"/>
                <w:color w:val="auto"/>
              </w:rPr>
            </w:pPr>
            <w:r>
              <w:rPr>
                <w:rFonts w:ascii="Arial" w:cs="Arial" w:eastAsia="Arial" w:hAnsi="Arial"/>
                <w:sz w:val="14"/>
                <w:szCs w:val="14"/>
                <w:color w:val="auto"/>
              </w:rPr>
              <w:t>60,456</w:t>
            </w:r>
          </w:p>
        </w:tc>
        <w:tc>
          <w:tcPr>
            <w:tcW w:w="1040" w:type="dxa"/>
            <w:vAlign w:val="bottom"/>
            <w:tcBorders>
              <w:bottom w:val="single" w:sz="8" w:color="959595"/>
            </w:tcBorders>
          </w:tcPr>
          <w:p>
            <w:pPr>
              <w:jc w:val="right"/>
              <w:ind w:right="31"/>
              <w:spacing w:after="0"/>
              <w:rPr>
                <w:sz w:val="20"/>
                <w:szCs w:val="20"/>
                <w:color w:val="auto"/>
              </w:rPr>
            </w:pPr>
            <w:r>
              <w:rPr>
                <w:rFonts w:ascii="Arial" w:cs="Arial" w:eastAsia="Arial" w:hAnsi="Arial"/>
                <w:sz w:val="14"/>
                <w:szCs w:val="14"/>
                <w:color w:val="auto"/>
              </w:rPr>
              <w:t>21,219,811</w:t>
            </w:r>
          </w:p>
        </w:tc>
      </w:tr>
      <w:tr>
        <w:trPr>
          <w:trHeight w:val="264"/>
        </w:trPr>
        <w:tc>
          <w:tcPr>
            <w:tcW w:w="504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012E6C"/>
              </w:rPr>
              <w:t>Bruce L. Tanner</w:t>
            </w:r>
          </w:p>
        </w:tc>
        <w:tc>
          <w:tcPr>
            <w:tcW w:w="2060" w:type="dxa"/>
            <w:vAlign w:val="bottom"/>
            <w:tcBorders>
              <w:bottom w:val="single" w:sz="8" w:color="959595"/>
            </w:tcBorders>
          </w:tcPr>
          <w:p>
            <w:pPr>
              <w:jc w:val="right"/>
              <w:ind w:right="512"/>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959595"/>
            </w:tcBorders>
            <w:gridSpan w:val="2"/>
          </w:tcPr>
          <w:p>
            <w:pPr>
              <w:jc w:val="right"/>
              <w:ind w:right="340"/>
              <w:spacing w:after="0"/>
              <w:rPr>
                <w:sz w:val="20"/>
                <w:szCs w:val="20"/>
                <w:color w:val="auto"/>
              </w:rPr>
            </w:pPr>
            <w:r>
              <w:rPr>
                <w:rFonts w:ascii="Arial" w:cs="Arial" w:eastAsia="Arial" w:hAnsi="Arial"/>
                <w:sz w:val="14"/>
                <w:szCs w:val="14"/>
                <w:color w:val="auto"/>
              </w:rPr>
              <w:t>—</w:t>
            </w:r>
          </w:p>
        </w:tc>
        <w:tc>
          <w:tcPr>
            <w:tcW w:w="2020" w:type="dxa"/>
            <w:vAlign w:val="bottom"/>
            <w:tcBorders>
              <w:bottom w:val="single" w:sz="8" w:color="959595"/>
            </w:tcBorders>
          </w:tcPr>
          <w:p>
            <w:pPr>
              <w:jc w:val="right"/>
              <w:ind w:right="352"/>
              <w:spacing w:after="0"/>
              <w:rPr>
                <w:sz w:val="20"/>
                <w:szCs w:val="20"/>
                <w:color w:val="auto"/>
              </w:rPr>
            </w:pPr>
            <w:r>
              <w:rPr>
                <w:rFonts w:ascii="Arial" w:cs="Arial" w:eastAsia="Arial" w:hAnsi="Arial"/>
                <w:sz w:val="14"/>
                <w:szCs w:val="14"/>
                <w:color w:val="auto"/>
              </w:rPr>
              <w:t>21,683</w:t>
            </w:r>
          </w:p>
        </w:tc>
        <w:tc>
          <w:tcPr>
            <w:tcW w:w="1040" w:type="dxa"/>
            <w:vAlign w:val="bottom"/>
            <w:tcBorders>
              <w:bottom w:val="single" w:sz="8" w:color="959595"/>
            </w:tcBorders>
          </w:tcPr>
          <w:p>
            <w:pPr>
              <w:jc w:val="right"/>
              <w:ind w:right="31"/>
              <w:spacing w:after="0"/>
              <w:rPr>
                <w:sz w:val="20"/>
                <w:szCs w:val="20"/>
                <w:color w:val="auto"/>
              </w:rPr>
            </w:pPr>
            <w:r>
              <w:rPr>
                <w:rFonts w:ascii="Arial" w:cs="Arial" w:eastAsia="Arial" w:hAnsi="Arial"/>
                <w:sz w:val="14"/>
                <w:szCs w:val="14"/>
                <w:color w:val="auto"/>
              </w:rPr>
              <w:t>7,609,804</w:t>
            </w:r>
          </w:p>
        </w:tc>
      </w:tr>
      <w:tr>
        <w:trPr>
          <w:trHeight w:val="264"/>
        </w:trPr>
        <w:tc>
          <w:tcPr>
            <w:tcW w:w="504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012E6C"/>
              </w:rPr>
              <w:t>Richard F. Ambrose</w:t>
            </w:r>
          </w:p>
        </w:tc>
        <w:tc>
          <w:tcPr>
            <w:tcW w:w="2060" w:type="dxa"/>
            <w:vAlign w:val="bottom"/>
            <w:tcBorders>
              <w:bottom w:val="single" w:sz="8" w:color="959595"/>
            </w:tcBorders>
          </w:tcPr>
          <w:p>
            <w:pPr>
              <w:jc w:val="right"/>
              <w:ind w:right="512"/>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959595"/>
            </w:tcBorders>
            <w:gridSpan w:val="2"/>
          </w:tcPr>
          <w:p>
            <w:pPr>
              <w:jc w:val="right"/>
              <w:ind w:right="340"/>
              <w:spacing w:after="0"/>
              <w:rPr>
                <w:sz w:val="20"/>
                <w:szCs w:val="20"/>
                <w:color w:val="auto"/>
              </w:rPr>
            </w:pPr>
            <w:r>
              <w:rPr>
                <w:rFonts w:ascii="Arial" w:cs="Arial" w:eastAsia="Arial" w:hAnsi="Arial"/>
                <w:sz w:val="14"/>
                <w:szCs w:val="14"/>
                <w:color w:val="auto"/>
              </w:rPr>
              <w:t>—</w:t>
            </w:r>
          </w:p>
        </w:tc>
        <w:tc>
          <w:tcPr>
            <w:tcW w:w="2020" w:type="dxa"/>
            <w:vAlign w:val="bottom"/>
            <w:tcBorders>
              <w:bottom w:val="single" w:sz="8" w:color="959595"/>
            </w:tcBorders>
          </w:tcPr>
          <w:p>
            <w:pPr>
              <w:jc w:val="right"/>
              <w:ind w:right="352"/>
              <w:spacing w:after="0"/>
              <w:rPr>
                <w:sz w:val="20"/>
                <w:szCs w:val="20"/>
                <w:color w:val="auto"/>
              </w:rPr>
            </w:pPr>
            <w:r>
              <w:rPr>
                <w:rFonts w:ascii="Arial" w:cs="Arial" w:eastAsia="Arial" w:hAnsi="Arial"/>
                <w:sz w:val="14"/>
                <w:szCs w:val="14"/>
                <w:color w:val="auto"/>
              </w:rPr>
              <w:t>13,530</w:t>
            </w:r>
          </w:p>
        </w:tc>
        <w:tc>
          <w:tcPr>
            <w:tcW w:w="1040" w:type="dxa"/>
            <w:vAlign w:val="bottom"/>
            <w:tcBorders>
              <w:bottom w:val="single" w:sz="8" w:color="959595"/>
            </w:tcBorders>
          </w:tcPr>
          <w:p>
            <w:pPr>
              <w:jc w:val="right"/>
              <w:ind w:right="31"/>
              <w:spacing w:after="0"/>
              <w:rPr>
                <w:sz w:val="20"/>
                <w:szCs w:val="20"/>
                <w:color w:val="auto"/>
              </w:rPr>
            </w:pPr>
            <w:r>
              <w:rPr>
                <w:rFonts w:ascii="Arial" w:cs="Arial" w:eastAsia="Arial" w:hAnsi="Arial"/>
                <w:sz w:val="14"/>
                <w:szCs w:val="14"/>
                <w:color w:val="auto"/>
              </w:rPr>
              <w:t>4,747,115</w:t>
            </w:r>
          </w:p>
        </w:tc>
      </w:tr>
      <w:tr>
        <w:trPr>
          <w:trHeight w:val="264"/>
        </w:trPr>
        <w:tc>
          <w:tcPr>
            <w:tcW w:w="504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012E6C"/>
              </w:rPr>
              <w:t>Dale P. Bennett</w:t>
            </w:r>
          </w:p>
        </w:tc>
        <w:tc>
          <w:tcPr>
            <w:tcW w:w="2060" w:type="dxa"/>
            <w:vAlign w:val="bottom"/>
            <w:tcBorders>
              <w:bottom w:val="single" w:sz="8" w:color="959595"/>
            </w:tcBorders>
          </w:tcPr>
          <w:p>
            <w:pPr>
              <w:jc w:val="right"/>
              <w:ind w:right="512"/>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959595"/>
            </w:tcBorders>
            <w:gridSpan w:val="2"/>
          </w:tcPr>
          <w:p>
            <w:pPr>
              <w:jc w:val="right"/>
              <w:ind w:right="340"/>
              <w:spacing w:after="0"/>
              <w:rPr>
                <w:sz w:val="20"/>
                <w:szCs w:val="20"/>
                <w:color w:val="auto"/>
              </w:rPr>
            </w:pPr>
            <w:r>
              <w:rPr>
                <w:rFonts w:ascii="Arial" w:cs="Arial" w:eastAsia="Arial" w:hAnsi="Arial"/>
                <w:sz w:val="14"/>
                <w:szCs w:val="14"/>
                <w:color w:val="auto"/>
              </w:rPr>
              <w:t>—</w:t>
            </w:r>
          </w:p>
        </w:tc>
        <w:tc>
          <w:tcPr>
            <w:tcW w:w="2020" w:type="dxa"/>
            <w:vAlign w:val="bottom"/>
            <w:tcBorders>
              <w:bottom w:val="single" w:sz="8" w:color="959595"/>
            </w:tcBorders>
          </w:tcPr>
          <w:p>
            <w:pPr>
              <w:jc w:val="right"/>
              <w:ind w:right="352"/>
              <w:spacing w:after="0"/>
              <w:rPr>
                <w:sz w:val="20"/>
                <w:szCs w:val="20"/>
                <w:color w:val="auto"/>
              </w:rPr>
            </w:pPr>
            <w:r>
              <w:rPr>
                <w:rFonts w:ascii="Arial" w:cs="Arial" w:eastAsia="Arial" w:hAnsi="Arial"/>
                <w:sz w:val="14"/>
                <w:szCs w:val="14"/>
                <w:color w:val="auto"/>
              </w:rPr>
              <w:t>13,551</w:t>
            </w:r>
          </w:p>
        </w:tc>
        <w:tc>
          <w:tcPr>
            <w:tcW w:w="1040" w:type="dxa"/>
            <w:vAlign w:val="bottom"/>
            <w:tcBorders>
              <w:bottom w:val="single" w:sz="8" w:color="959595"/>
            </w:tcBorders>
          </w:tcPr>
          <w:p>
            <w:pPr>
              <w:jc w:val="right"/>
              <w:ind w:right="31"/>
              <w:spacing w:after="0"/>
              <w:rPr>
                <w:sz w:val="20"/>
                <w:szCs w:val="20"/>
                <w:color w:val="auto"/>
              </w:rPr>
            </w:pPr>
            <w:r>
              <w:rPr>
                <w:rFonts w:ascii="Arial" w:cs="Arial" w:eastAsia="Arial" w:hAnsi="Arial"/>
                <w:sz w:val="14"/>
                <w:szCs w:val="14"/>
                <w:color w:val="auto"/>
              </w:rPr>
              <w:t>4,755,157</w:t>
            </w:r>
          </w:p>
        </w:tc>
      </w:tr>
      <w:tr>
        <w:trPr>
          <w:trHeight w:val="264"/>
        </w:trPr>
        <w:tc>
          <w:tcPr>
            <w:tcW w:w="504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012E6C"/>
              </w:rPr>
              <w:t>Orlando P. Carvalho</w:t>
            </w:r>
          </w:p>
        </w:tc>
        <w:tc>
          <w:tcPr>
            <w:tcW w:w="2060" w:type="dxa"/>
            <w:vAlign w:val="bottom"/>
            <w:tcBorders>
              <w:bottom w:val="single" w:sz="8" w:color="959595"/>
            </w:tcBorders>
          </w:tcPr>
          <w:p>
            <w:pPr>
              <w:jc w:val="right"/>
              <w:ind w:right="512"/>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959595"/>
            </w:tcBorders>
            <w:gridSpan w:val="2"/>
          </w:tcPr>
          <w:p>
            <w:pPr>
              <w:jc w:val="right"/>
              <w:ind w:right="340"/>
              <w:spacing w:after="0"/>
              <w:rPr>
                <w:sz w:val="20"/>
                <w:szCs w:val="20"/>
                <w:color w:val="auto"/>
              </w:rPr>
            </w:pPr>
            <w:r>
              <w:rPr>
                <w:rFonts w:ascii="Arial" w:cs="Arial" w:eastAsia="Arial" w:hAnsi="Arial"/>
                <w:sz w:val="14"/>
                <w:szCs w:val="14"/>
                <w:color w:val="auto"/>
              </w:rPr>
              <w:t>—</w:t>
            </w:r>
          </w:p>
        </w:tc>
        <w:tc>
          <w:tcPr>
            <w:tcW w:w="2020" w:type="dxa"/>
            <w:vAlign w:val="bottom"/>
            <w:tcBorders>
              <w:bottom w:val="single" w:sz="8" w:color="959595"/>
            </w:tcBorders>
          </w:tcPr>
          <w:p>
            <w:pPr>
              <w:jc w:val="right"/>
              <w:ind w:right="352"/>
              <w:spacing w:after="0"/>
              <w:rPr>
                <w:sz w:val="20"/>
                <w:szCs w:val="20"/>
                <w:color w:val="auto"/>
              </w:rPr>
            </w:pPr>
            <w:r>
              <w:rPr>
                <w:rFonts w:ascii="Arial" w:cs="Arial" w:eastAsia="Arial" w:hAnsi="Arial"/>
                <w:sz w:val="14"/>
                <w:szCs w:val="14"/>
                <w:color w:val="auto"/>
              </w:rPr>
              <w:t>16,210</w:t>
            </w:r>
          </w:p>
        </w:tc>
        <w:tc>
          <w:tcPr>
            <w:tcW w:w="1040" w:type="dxa"/>
            <w:vAlign w:val="bottom"/>
            <w:tcBorders>
              <w:bottom w:val="single" w:sz="8" w:color="959595"/>
            </w:tcBorders>
          </w:tcPr>
          <w:p>
            <w:pPr>
              <w:jc w:val="right"/>
              <w:ind w:right="31"/>
              <w:spacing w:after="0"/>
              <w:rPr>
                <w:sz w:val="20"/>
                <w:szCs w:val="20"/>
                <w:color w:val="auto"/>
              </w:rPr>
            </w:pPr>
            <w:r>
              <w:rPr>
                <w:rFonts w:ascii="Arial" w:cs="Arial" w:eastAsia="Arial" w:hAnsi="Arial"/>
                <w:sz w:val="14"/>
                <w:szCs w:val="14"/>
                <w:color w:val="auto"/>
              </w:rPr>
              <w:t>5,689,582</w:t>
            </w:r>
          </w:p>
        </w:tc>
      </w:tr>
      <w:tr>
        <w:trPr>
          <w:trHeight w:val="264"/>
        </w:trPr>
        <w:tc>
          <w:tcPr>
            <w:tcW w:w="504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012E6C"/>
              </w:rPr>
              <w:t>Richard H. Edwards</w:t>
            </w:r>
          </w:p>
        </w:tc>
        <w:tc>
          <w:tcPr>
            <w:tcW w:w="2060" w:type="dxa"/>
            <w:vAlign w:val="bottom"/>
            <w:tcBorders>
              <w:bottom w:val="single" w:sz="8" w:color="959595"/>
            </w:tcBorders>
          </w:tcPr>
          <w:p>
            <w:pPr>
              <w:jc w:val="right"/>
              <w:ind w:right="512"/>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959595"/>
            </w:tcBorders>
            <w:gridSpan w:val="2"/>
          </w:tcPr>
          <w:p>
            <w:pPr>
              <w:jc w:val="right"/>
              <w:ind w:right="340"/>
              <w:spacing w:after="0"/>
              <w:rPr>
                <w:sz w:val="20"/>
                <w:szCs w:val="20"/>
                <w:color w:val="auto"/>
              </w:rPr>
            </w:pPr>
            <w:r>
              <w:rPr>
                <w:rFonts w:ascii="Arial" w:cs="Arial" w:eastAsia="Arial" w:hAnsi="Arial"/>
                <w:sz w:val="14"/>
                <w:szCs w:val="14"/>
                <w:color w:val="auto"/>
              </w:rPr>
              <w:t>—</w:t>
            </w:r>
          </w:p>
        </w:tc>
        <w:tc>
          <w:tcPr>
            <w:tcW w:w="2020" w:type="dxa"/>
            <w:vAlign w:val="bottom"/>
            <w:tcBorders>
              <w:bottom w:val="single" w:sz="8" w:color="959595"/>
            </w:tcBorders>
          </w:tcPr>
          <w:p>
            <w:pPr>
              <w:jc w:val="right"/>
              <w:ind w:right="352"/>
              <w:spacing w:after="0"/>
              <w:rPr>
                <w:sz w:val="20"/>
                <w:szCs w:val="20"/>
                <w:color w:val="auto"/>
              </w:rPr>
            </w:pPr>
            <w:r>
              <w:rPr>
                <w:rFonts w:ascii="Arial" w:cs="Arial" w:eastAsia="Arial" w:hAnsi="Arial"/>
                <w:sz w:val="14"/>
                <w:szCs w:val="14"/>
                <w:color w:val="auto"/>
              </w:rPr>
              <w:t>13,524</w:t>
            </w:r>
          </w:p>
        </w:tc>
        <w:tc>
          <w:tcPr>
            <w:tcW w:w="1040" w:type="dxa"/>
            <w:vAlign w:val="bottom"/>
            <w:tcBorders>
              <w:bottom w:val="single" w:sz="8" w:color="959595"/>
            </w:tcBorders>
          </w:tcPr>
          <w:p>
            <w:pPr>
              <w:jc w:val="right"/>
              <w:ind w:right="31"/>
              <w:spacing w:after="0"/>
              <w:rPr>
                <w:sz w:val="20"/>
                <w:szCs w:val="20"/>
                <w:color w:val="auto"/>
              </w:rPr>
            </w:pPr>
            <w:r>
              <w:rPr>
                <w:rFonts w:ascii="Arial" w:cs="Arial" w:eastAsia="Arial" w:hAnsi="Arial"/>
                <w:sz w:val="14"/>
                <w:szCs w:val="14"/>
                <w:color w:val="auto"/>
              </w:rPr>
              <w:t>4,745,561</w:t>
            </w:r>
          </w:p>
        </w:tc>
      </w:tr>
      <w:tr>
        <w:trPr>
          <w:trHeight w:val="263"/>
        </w:trPr>
        <w:tc>
          <w:tcPr>
            <w:tcW w:w="5040" w:type="dxa"/>
            <w:vAlign w:val="bottom"/>
          </w:tcPr>
          <w:p>
            <w:pPr>
              <w:ind w:left="40"/>
              <w:spacing w:after="0"/>
              <w:rPr>
                <w:sz w:val="20"/>
                <w:szCs w:val="20"/>
                <w:color w:val="auto"/>
              </w:rPr>
            </w:pPr>
            <w:r>
              <w:rPr>
                <w:rFonts w:ascii="Arial" w:cs="Arial" w:eastAsia="Arial" w:hAnsi="Arial"/>
                <w:sz w:val="14"/>
                <w:szCs w:val="14"/>
                <w:b w:val="1"/>
                <w:bCs w:val="1"/>
                <w:color w:val="012E6C"/>
              </w:rPr>
              <w:t>Frank A. St. John</w:t>
            </w:r>
          </w:p>
        </w:tc>
        <w:tc>
          <w:tcPr>
            <w:tcW w:w="2060" w:type="dxa"/>
            <w:vAlign w:val="bottom"/>
          </w:tcPr>
          <w:p>
            <w:pPr>
              <w:jc w:val="right"/>
              <w:ind w:right="512"/>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020" w:type="dxa"/>
            <w:vAlign w:val="bottom"/>
          </w:tcPr>
          <w:p>
            <w:pPr>
              <w:jc w:val="right"/>
              <w:ind w:right="352"/>
              <w:spacing w:after="0"/>
              <w:rPr>
                <w:sz w:val="20"/>
                <w:szCs w:val="20"/>
                <w:color w:val="auto"/>
              </w:rPr>
            </w:pPr>
            <w:r>
              <w:rPr>
                <w:rFonts w:ascii="Arial" w:cs="Arial" w:eastAsia="Arial" w:hAnsi="Arial"/>
                <w:sz w:val="14"/>
                <w:szCs w:val="14"/>
                <w:color w:val="auto"/>
              </w:rPr>
              <w:t>2,778</w:t>
            </w:r>
          </w:p>
        </w:tc>
        <w:tc>
          <w:tcPr>
            <w:tcW w:w="1040" w:type="dxa"/>
            <w:vAlign w:val="bottom"/>
          </w:tcPr>
          <w:p>
            <w:pPr>
              <w:jc w:val="right"/>
              <w:ind w:right="31"/>
              <w:spacing w:after="0"/>
              <w:rPr>
                <w:sz w:val="20"/>
                <w:szCs w:val="20"/>
                <w:color w:val="auto"/>
              </w:rPr>
            </w:pPr>
            <w:r>
              <w:rPr>
                <w:rFonts w:ascii="Arial" w:cs="Arial" w:eastAsia="Arial" w:hAnsi="Arial"/>
                <w:sz w:val="14"/>
                <w:szCs w:val="14"/>
                <w:color w:val="auto"/>
              </w:rPr>
              <w:t>976,245</w:t>
            </w:r>
          </w:p>
        </w:tc>
      </w:tr>
    </w:tbl>
    <w:p>
      <w:pPr>
        <w:spacing w:after="0" w:line="2" w:lineRule="exact"/>
        <w:rPr>
          <w:sz w:val="20"/>
          <w:szCs w:val="20"/>
          <w:color w:val="auto"/>
        </w:rPr>
      </w:pPr>
    </w:p>
    <w:p>
      <w:pPr>
        <w:jc w:val="both"/>
        <w:ind w:left="340" w:right="160" w:hanging="332"/>
        <w:spacing w:after="0" w:line="218" w:lineRule="auto"/>
        <w:tabs>
          <w:tab w:leader="none" w:pos="340" w:val="left"/>
        </w:tabs>
        <w:numPr>
          <w:ilvl w:val="0"/>
          <w:numId w:val="84"/>
        </w:numPr>
        <w:rPr>
          <w:rFonts w:ascii="Arial" w:cs="Arial" w:eastAsia="Arial" w:hAnsi="Arial"/>
          <w:sz w:val="24"/>
          <w:szCs w:val="24"/>
          <w:color w:val="auto"/>
          <w:vertAlign w:val="superscript"/>
        </w:rPr>
      </w:pPr>
      <w:r>
        <w:rPr>
          <w:rFonts w:ascii="Arial" w:cs="Arial" w:eastAsia="Arial" w:hAnsi="Arial"/>
          <w:sz w:val="14"/>
          <w:szCs w:val="14"/>
          <w:color w:val="auto"/>
        </w:rPr>
        <w:t>Vesting on January 29, 2018 of RSUs and PSUs granted on January 29, 2015 following the three-year vesting period, accelerated vesting on February 22, 2018 of a portion of RSUs granted on January 26, 2017 and on December 7, 2018 of a portion of RSUs granted on February 22, 2018 equal to the value of the tax withholding obligation due upon retirement-eligibility of the NEO. Represents aggregate number of shares vested prior to disposition of shares to the Corporation to satisfy tax withholding obligation.</w:t>
      </w:r>
    </w:p>
    <w:p>
      <w:pPr>
        <w:spacing w:after="0" w:line="37" w:lineRule="exact"/>
        <w:rPr>
          <w:rFonts w:ascii="Arial" w:cs="Arial" w:eastAsia="Arial" w:hAnsi="Arial"/>
          <w:sz w:val="24"/>
          <w:szCs w:val="24"/>
          <w:color w:val="auto"/>
          <w:vertAlign w:val="superscript"/>
        </w:rPr>
      </w:pPr>
    </w:p>
    <w:p>
      <w:pPr>
        <w:ind w:left="340" w:right="520" w:hanging="332"/>
        <w:spacing w:after="0" w:line="203" w:lineRule="auto"/>
        <w:tabs>
          <w:tab w:leader="none" w:pos="340" w:val="left"/>
        </w:tabs>
        <w:numPr>
          <w:ilvl w:val="0"/>
          <w:numId w:val="84"/>
        </w:numPr>
        <w:rPr>
          <w:rFonts w:ascii="Arial" w:cs="Arial" w:eastAsia="Arial" w:hAnsi="Arial"/>
          <w:sz w:val="24"/>
          <w:szCs w:val="24"/>
          <w:color w:val="auto"/>
          <w:vertAlign w:val="superscript"/>
        </w:rPr>
      </w:pPr>
      <w:r>
        <w:rPr>
          <w:rFonts w:ascii="Arial" w:cs="Arial" w:eastAsia="Arial" w:hAnsi="Arial"/>
          <w:sz w:val="14"/>
          <w:szCs w:val="14"/>
          <w:color w:val="auto"/>
        </w:rPr>
        <w:t>Value realized was calculated based on the number of shares acquired on vesting multiplied by the per share closing price of our common stock on the date of vesting (January 29, 2018, $351.42, February 22, 2018, $355.41 and December 7, 2018, $285.40).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-603250</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rPr>
          <w:sz w:val="20"/>
          <w:szCs w:val="20"/>
          <w:color w:val="auto"/>
        </w:rPr>
      </w:pPr>
      <w:r>
        <w:rPr>
          <w:rFonts w:ascii="Arial" w:cs="Arial" w:eastAsia="Arial" w:hAnsi="Arial"/>
          <w:sz w:val="29"/>
          <w:szCs w:val="29"/>
          <w:b w:val="1"/>
          <w:bCs w:val="1"/>
          <w:color w:val="012E6C"/>
        </w:rPr>
        <w:t>2018 Pension Benefits</w:t>
      </w:r>
    </w:p>
    <w:p>
      <w:pPr>
        <w:spacing w:after="0" w:line="250"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During 2018, the NEOs participated in the Lockheed Martin Corporation Salaried Employee Retirement Program (LMRP), which is a combination of several prior plans (collectively, the “Prior Plan”) for salaried employees with some protected benefits.</w:t>
      </w:r>
    </w:p>
    <w:p>
      <w:pPr>
        <w:spacing w:after="0" w:line="14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calculation of retirement benefits under the LMRP is determined by a formula that takes into account the participant’s years of credited service and average compensation for the highest three years of the last ten years of employment ending with 2015. Average compensation includes the NEO’s base salary and annual incentive bonuses. NEOs must have either five years of service or be actively employed by the Corporation at age 65 to vest in the LMRP. Normal retirement age is 65; however, benefits are payable as early as age 55 at a reduced amount or without reduction at age 60. Benefits are payable as a monthly annuity for the lifetime of the employee, as a joint and survivor annuity, as a life annuity with a five- or ten-year guarantee, or as a level income annuity.</w:t>
      </w:r>
    </w:p>
    <w:p>
      <w:pPr>
        <w:spacing w:after="0" w:line="17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calculation of retirement benefits under the Prior Plan is based on a number of formulas, some of which take into account the participant’s years of credited service and pay over the career of the NEO. Certain other formulas in the Prior Plan are based upon the final average compensation and credited service of the employee. Pay under certain formulas in the Prior Plan currently includes salary, commissions, overtime, shift differential, lump sum pay in lieu of a salary increase, annual incentive bonuses awarded that year, and pre-tax employee contributions. A portion of the pension benefits for Mr. Tanner was earned under the Prior Plan.</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All of the NEOs were vested and (with the exception of Mr. St. John) are eligible for early retirement as of December 31, 2018 under the LMRP.</w:t>
      </w:r>
    </w:p>
    <w:p>
      <w:pPr>
        <w:spacing w:after="0" w:line="237"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During 2018, the NEOs also participated in the Lockheed Martin Corporation Supplemental Retirement Plan (Supplemental Pension), which is a restorative plan and provides benefits in excess of the benefit payable under IRS rules through the LMRP, our tax-qualified plan (see the footnote to column (d) to the “2018 Pension Benefits” table on page 60).</w:t>
      </w:r>
    </w:p>
    <w:p>
      <w:pPr>
        <w:sectPr>
          <w:pgSz w:w="11900" w:h="16838" w:orient="portrait"/>
          <w:cols w:equalWidth="0" w:num="1">
            <w:col w:w="11420"/>
          </w:cols>
          <w:pgMar w:left="240" w:top="292" w:right="23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ind w:left="40"/>
        <w:spacing w:after="0"/>
        <w:tabs>
          <w:tab w:leader="none" w:pos="9420" w:val="left"/>
          <w:tab w:leader="none" w:pos="1122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2019 Proxy Statement</w:t>
      </w:r>
      <w:r>
        <w:rPr>
          <w:sz w:val="20"/>
          <w:szCs w:val="20"/>
          <w:color w:val="auto"/>
        </w:rPr>
        <w:tab/>
      </w:r>
      <w:r>
        <w:rPr>
          <w:rFonts w:ascii="Arial" w:cs="Arial" w:eastAsia="Arial" w:hAnsi="Arial"/>
          <w:sz w:val="14"/>
          <w:szCs w:val="14"/>
          <w:b w:val="1"/>
          <w:bCs w:val="1"/>
          <w:color w:val="808080"/>
        </w:rPr>
        <w:t>59</w:t>
      </w:r>
    </w:p>
    <w:p>
      <w:pPr>
        <w:sectPr>
          <w:pgSz w:w="11900" w:h="16838" w:orient="portrait"/>
          <w:cols w:equalWidth="0" w:num="1">
            <w:col w:w="11420"/>
          </w:cols>
          <w:pgMar w:left="240" w:top="292" w:right="23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5"/>
          <w:szCs w:val="15"/>
          <w:color w:val="003478"/>
        </w:rPr>
        <w:t>Executive Compensation</w:t>
      </w:r>
    </w:p>
    <w:p>
      <w:pPr>
        <w:spacing w:after="0" w:line="36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July 2014, the Corporation announced that the LMRP will be frozen in two steps. Increases in compensation are no longer taken into account effective January 1, 2016. Increases in service will no longer be taken into account effective January 1, 2020. This change in plan structure also carries over to the Supplemental Pension benefit accruals available to the NEOs. Retirement benefits earned thereafter will be paid through defined contribution plans. As part of the transition to paying retirement benefits from defined contribution plans, beginning in 2016 eligible salaried employees (including the NEOs) receive a 2% Corporation contribution to the Lockheed Martin Corporation Salaried Savings Plan. The NEOs continue to receive the 2% Corporation contribution in the NCAP after reaching the Internal Revenue Code limitation for this contribution in the qualified plan. This contribution will increase to 6% beginning in 2020. Employees (none of which are NEOs) hired on or after January 1, 2006 do not participate in the LMRP and already receive the 6% contribution.</w:t>
      </w:r>
    </w:p>
    <w:p>
      <w:pPr>
        <w:spacing w:after="0" w:line="271" w:lineRule="exact"/>
        <w:rPr>
          <w:sz w:val="20"/>
          <w:szCs w:val="20"/>
          <w:color w:val="auto"/>
        </w:rPr>
      </w:pPr>
    </w:p>
    <w:p>
      <w:pPr>
        <w:spacing w:after="0"/>
        <w:rPr>
          <w:sz w:val="20"/>
          <w:szCs w:val="20"/>
          <w:color w:val="auto"/>
        </w:rPr>
      </w:pPr>
      <w:r>
        <w:rPr>
          <w:rFonts w:ascii="Arial" w:cs="Arial" w:eastAsia="Arial" w:hAnsi="Arial"/>
          <w:sz w:val="29"/>
          <w:szCs w:val="29"/>
          <w:b w:val="1"/>
          <w:bCs w:val="1"/>
          <w:color w:val="012E6C"/>
        </w:rPr>
        <w:t>2018 Pension Benefits Table</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60" w:type="dxa"/>
            <w:vAlign w:val="bottom"/>
            <w:shd w:val="clear" w:color="auto" w:fill="ECECEC"/>
          </w:tcPr>
          <w:p>
            <w:pPr>
              <w:spacing w:after="0"/>
              <w:rPr>
                <w:sz w:val="13"/>
                <w:szCs w:val="13"/>
                <w:color w:val="auto"/>
              </w:rPr>
            </w:pPr>
          </w:p>
        </w:tc>
        <w:tc>
          <w:tcPr>
            <w:tcW w:w="5700" w:type="dxa"/>
            <w:vAlign w:val="bottom"/>
            <w:shd w:val="clear" w:color="auto" w:fill="ECECEC"/>
          </w:tcPr>
          <w:p>
            <w:pPr>
              <w:spacing w:after="0"/>
              <w:rPr>
                <w:sz w:val="13"/>
                <w:szCs w:val="13"/>
                <w:color w:val="auto"/>
              </w:rPr>
            </w:pPr>
          </w:p>
        </w:tc>
        <w:tc>
          <w:tcPr>
            <w:tcW w:w="1380" w:type="dxa"/>
            <w:vAlign w:val="bottom"/>
            <w:vMerge w:val="restart"/>
            <w:shd w:val="clear" w:color="auto" w:fill="ECECEC"/>
          </w:tcPr>
          <w:p>
            <w:pPr>
              <w:jc w:val="right"/>
              <w:ind w:right="150"/>
              <w:spacing w:after="0"/>
              <w:rPr>
                <w:sz w:val="20"/>
                <w:szCs w:val="20"/>
                <w:color w:val="auto"/>
              </w:rPr>
            </w:pPr>
            <w:r>
              <w:rPr>
                <w:rFonts w:ascii="Arial" w:cs="Arial" w:eastAsia="Arial" w:hAnsi="Arial"/>
                <w:sz w:val="13"/>
                <w:szCs w:val="13"/>
                <w:color w:val="auto"/>
              </w:rPr>
              <w:t>Number of Years</w:t>
            </w:r>
          </w:p>
        </w:tc>
        <w:tc>
          <w:tcPr>
            <w:tcW w:w="1380" w:type="dxa"/>
            <w:vAlign w:val="bottom"/>
            <w:shd w:val="clear" w:color="auto" w:fill="ECECEC"/>
          </w:tcPr>
          <w:p>
            <w:pPr>
              <w:jc w:val="right"/>
              <w:ind w:right="170"/>
              <w:spacing w:after="0"/>
              <w:rPr>
                <w:sz w:val="20"/>
                <w:szCs w:val="20"/>
                <w:color w:val="auto"/>
              </w:rPr>
            </w:pPr>
            <w:r>
              <w:rPr>
                <w:rFonts w:ascii="Arial" w:cs="Arial" w:eastAsia="Arial" w:hAnsi="Arial"/>
                <w:sz w:val="13"/>
                <w:szCs w:val="13"/>
                <w:color w:val="auto"/>
              </w:rPr>
              <w:t>Present Value of</w:t>
            </w:r>
          </w:p>
        </w:tc>
        <w:tc>
          <w:tcPr>
            <w:tcW w:w="1000" w:type="dxa"/>
            <w:vAlign w:val="bottom"/>
            <w:shd w:val="clear" w:color="auto" w:fill="ECECEC"/>
          </w:tcPr>
          <w:p>
            <w:pPr>
              <w:jc w:val="right"/>
              <w:ind w:right="30"/>
              <w:spacing w:after="0"/>
              <w:rPr>
                <w:sz w:val="20"/>
                <w:szCs w:val="20"/>
                <w:color w:val="auto"/>
              </w:rPr>
            </w:pPr>
            <w:r>
              <w:rPr>
                <w:rFonts w:ascii="Arial" w:cs="Arial" w:eastAsia="Arial" w:hAnsi="Arial"/>
                <w:sz w:val="13"/>
                <w:szCs w:val="13"/>
                <w:color w:val="auto"/>
              </w:rPr>
              <w:t>Payments</w:t>
            </w:r>
          </w:p>
        </w:tc>
        <w:tc>
          <w:tcPr>
            <w:tcW w:w="0" w:type="dxa"/>
            <w:vAlign w:val="bottom"/>
          </w:tcPr>
          <w:p>
            <w:pPr>
              <w:spacing w:after="0"/>
              <w:rPr>
                <w:sz w:val="1"/>
                <w:szCs w:val="1"/>
                <w:color w:val="auto"/>
              </w:rPr>
            </w:pPr>
          </w:p>
        </w:tc>
      </w:tr>
      <w:tr>
        <w:trPr>
          <w:trHeight w:val="135"/>
        </w:trPr>
        <w:tc>
          <w:tcPr>
            <w:tcW w:w="1960" w:type="dxa"/>
            <w:vAlign w:val="bottom"/>
            <w:shd w:val="clear" w:color="auto" w:fill="ECECEC"/>
          </w:tcPr>
          <w:p>
            <w:pPr>
              <w:spacing w:after="0"/>
              <w:rPr>
                <w:sz w:val="11"/>
                <w:szCs w:val="11"/>
                <w:color w:val="auto"/>
              </w:rPr>
            </w:pPr>
          </w:p>
        </w:tc>
        <w:tc>
          <w:tcPr>
            <w:tcW w:w="5700" w:type="dxa"/>
            <w:vAlign w:val="bottom"/>
            <w:shd w:val="clear" w:color="auto" w:fill="ECECEC"/>
          </w:tcPr>
          <w:p>
            <w:pPr>
              <w:spacing w:after="0"/>
              <w:rPr>
                <w:sz w:val="11"/>
                <w:szCs w:val="11"/>
                <w:color w:val="auto"/>
              </w:rPr>
            </w:pPr>
          </w:p>
        </w:tc>
        <w:tc>
          <w:tcPr>
            <w:tcW w:w="1380" w:type="dxa"/>
            <w:vAlign w:val="bottom"/>
            <w:vMerge w:val="continue"/>
            <w:shd w:val="clear" w:color="auto" w:fill="ECECEC"/>
          </w:tcPr>
          <w:p>
            <w:pPr>
              <w:spacing w:after="0"/>
              <w:rPr>
                <w:sz w:val="11"/>
                <w:szCs w:val="11"/>
                <w:color w:val="auto"/>
              </w:rPr>
            </w:pPr>
          </w:p>
        </w:tc>
        <w:tc>
          <w:tcPr>
            <w:tcW w:w="1380" w:type="dxa"/>
            <w:vAlign w:val="bottom"/>
            <w:shd w:val="clear" w:color="auto" w:fill="ECECEC"/>
          </w:tcPr>
          <w:p>
            <w:pPr>
              <w:jc w:val="right"/>
              <w:ind w:right="170"/>
              <w:spacing w:after="0" w:line="135" w:lineRule="exact"/>
              <w:rPr>
                <w:sz w:val="20"/>
                <w:szCs w:val="20"/>
                <w:color w:val="auto"/>
              </w:rPr>
            </w:pPr>
            <w:r>
              <w:rPr>
                <w:rFonts w:ascii="Arial" w:cs="Arial" w:eastAsia="Arial" w:hAnsi="Arial"/>
                <w:sz w:val="13"/>
                <w:szCs w:val="13"/>
                <w:color w:val="auto"/>
              </w:rPr>
              <w:t>Accumulated</w:t>
            </w:r>
          </w:p>
        </w:tc>
        <w:tc>
          <w:tcPr>
            <w:tcW w:w="1000" w:type="dxa"/>
            <w:vAlign w:val="bottom"/>
            <w:shd w:val="clear" w:color="auto" w:fill="ECECEC"/>
          </w:tcPr>
          <w:p>
            <w:pPr>
              <w:jc w:val="right"/>
              <w:ind w:right="30"/>
              <w:spacing w:after="0" w:line="135" w:lineRule="exact"/>
              <w:rPr>
                <w:sz w:val="20"/>
                <w:szCs w:val="20"/>
                <w:color w:val="auto"/>
              </w:rPr>
            </w:pPr>
            <w:r>
              <w:rPr>
                <w:rFonts w:ascii="Arial" w:cs="Arial" w:eastAsia="Arial" w:hAnsi="Arial"/>
                <w:sz w:val="13"/>
                <w:szCs w:val="13"/>
                <w:color w:val="auto"/>
              </w:rPr>
              <w:t>During Last</w:t>
            </w:r>
          </w:p>
        </w:tc>
        <w:tc>
          <w:tcPr>
            <w:tcW w:w="0" w:type="dxa"/>
            <w:vAlign w:val="bottom"/>
          </w:tcPr>
          <w:p>
            <w:pPr>
              <w:spacing w:after="0"/>
              <w:rPr>
                <w:sz w:val="1"/>
                <w:szCs w:val="1"/>
                <w:color w:val="auto"/>
              </w:rPr>
            </w:pPr>
          </w:p>
        </w:tc>
      </w:tr>
      <w:tr>
        <w:trPr>
          <w:trHeight w:val="170"/>
        </w:trPr>
        <w:tc>
          <w:tcPr>
            <w:tcW w:w="1960" w:type="dxa"/>
            <w:vAlign w:val="bottom"/>
            <w:shd w:val="clear" w:color="auto" w:fill="ECECEC"/>
          </w:tcPr>
          <w:p>
            <w:pPr>
              <w:spacing w:after="0"/>
              <w:rPr>
                <w:sz w:val="14"/>
                <w:szCs w:val="14"/>
                <w:color w:val="auto"/>
              </w:rPr>
            </w:pPr>
          </w:p>
        </w:tc>
        <w:tc>
          <w:tcPr>
            <w:tcW w:w="5700" w:type="dxa"/>
            <w:vAlign w:val="bottom"/>
            <w:shd w:val="clear" w:color="auto" w:fill="ECECEC"/>
          </w:tcPr>
          <w:p>
            <w:pPr>
              <w:spacing w:after="0"/>
              <w:rPr>
                <w:sz w:val="14"/>
                <w:szCs w:val="14"/>
                <w:color w:val="auto"/>
              </w:rPr>
            </w:pPr>
          </w:p>
        </w:tc>
        <w:tc>
          <w:tcPr>
            <w:tcW w:w="1380" w:type="dxa"/>
            <w:vAlign w:val="bottom"/>
            <w:shd w:val="clear" w:color="auto" w:fill="ECECEC"/>
          </w:tcPr>
          <w:p>
            <w:pPr>
              <w:jc w:val="right"/>
              <w:ind w:right="150"/>
              <w:spacing w:after="0"/>
              <w:rPr>
                <w:sz w:val="20"/>
                <w:szCs w:val="20"/>
                <w:color w:val="auto"/>
              </w:rPr>
            </w:pPr>
            <w:r>
              <w:rPr>
                <w:rFonts w:ascii="Arial" w:cs="Arial" w:eastAsia="Arial" w:hAnsi="Arial"/>
                <w:sz w:val="13"/>
                <w:szCs w:val="13"/>
                <w:color w:val="auto"/>
              </w:rPr>
              <w:t>Credited Service</w:t>
            </w:r>
          </w:p>
        </w:tc>
        <w:tc>
          <w:tcPr>
            <w:tcW w:w="1380" w:type="dxa"/>
            <w:vAlign w:val="bottom"/>
            <w:shd w:val="clear" w:color="auto" w:fill="ECECEC"/>
          </w:tcPr>
          <w:p>
            <w:pPr>
              <w:jc w:val="right"/>
              <w:ind w:right="170"/>
              <w:spacing w:after="0"/>
              <w:rPr>
                <w:sz w:val="20"/>
                <w:szCs w:val="20"/>
                <w:color w:val="auto"/>
              </w:rPr>
            </w:pPr>
            <w:r>
              <w:rPr>
                <w:rFonts w:ascii="Arial" w:cs="Arial" w:eastAsia="Arial" w:hAnsi="Arial"/>
                <w:sz w:val="13"/>
                <w:szCs w:val="13"/>
                <w:color w:val="auto"/>
              </w:rPr>
              <w:t>Benefit</w:t>
            </w:r>
          </w:p>
        </w:tc>
        <w:tc>
          <w:tcPr>
            <w:tcW w:w="1000" w:type="dxa"/>
            <w:vAlign w:val="bottom"/>
            <w:shd w:val="clear" w:color="auto" w:fill="ECECEC"/>
          </w:tcPr>
          <w:p>
            <w:pPr>
              <w:jc w:val="right"/>
              <w:ind w:right="30"/>
              <w:spacing w:after="0"/>
              <w:rPr>
                <w:sz w:val="20"/>
                <w:szCs w:val="20"/>
                <w:color w:val="auto"/>
              </w:rPr>
            </w:pPr>
            <w:r>
              <w:rPr>
                <w:rFonts w:ascii="Arial" w:cs="Arial" w:eastAsia="Arial" w:hAnsi="Arial"/>
                <w:sz w:val="13"/>
                <w:szCs w:val="13"/>
                <w:color w:val="auto"/>
              </w:rPr>
              <w:t>Fiscal Year</w:t>
            </w:r>
          </w:p>
        </w:tc>
        <w:tc>
          <w:tcPr>
            <w:tcW w:w="0" w:type="dxa"/>
            <w:vAlign w:val="bottom"/>
          </w:tcPr>
          <w:p>
            <w:pPr>
              <w:spacing w:after="0"/>
              <w:rPr>
                <w:sz w:val="1"/>
                <w:szCs w:val="1"/>
                <w:color w:val="auto"/>
              </w:rPr>
            </w:pPr>
          </w:p>
        </w:tc>
      </w:tr>
      <w:tr>
        <w:trPr>
          <w:trHeight w:val="224"/>
        </w:trPr>
        <w:tc>
          <w:tcPr>
            <w:tcW w:w="1960" w:type="dxa"/>
            <w:vAlign w:val="bottom"/>
            <w:tcBorders>
              <w:bottom w:val="single" w:sz="8" w:color="959595"/>
            </w:tcBorders>
            <w:shd w:val="clear" w:color="auto" w:fill="ECECEC"/>
          </w:tcPr>
          <w:p>
            <w:pPr>
              <w:ind w:left="40"/>
              <w:spacing w:after="0"/>
              <w:rPr>
                <w:sz w:val="20"/>
                <w:szCs w:val="20"/>
                <w:color w:val="auto"/>
              </w:rPr>
            </w:pPr>
            <w:r>
              <w:rPr>
                <w:rFonts w:ascii="Arial" w:cs="Arial" w:eastAsia="Arial" w:hAnsi="Arial"/>
                <w:sz w:val="13"/>
                <w:szCs w:val="13"/>
                <w:color w:val="auto"/>
              </w:rPr>
              <w:t>Name</w:t>
            </w:r>
          </w:p>
        </w:tc>
        <w:tc>
          <w:tcPr>
            <w:tcW w:w="5700" w:type="dxa"/>
            <w:vAlign w:val="bottom"/>
            <w:tcBorders>
              <w:bottom w:val="single" w:sz="8" w:color="959595"/>
            </w:tcBorders>
            <w:shd w:val="clear" w:color="auto" w:fill="ECECEC"/>
          </w:tcPr>
          <w:p>
            <w:pPr>
              <w:ind w:left="20"/>
              <w:spacing w:after="0"/>
              <w:rPr>
                <w:sz w:val="20"/>
                <w:szCs w:val="20"/>
                <w:color w:val="auto"/>
              </w:rPr>
            </w:pPr>
            <w:r>
              <w:rPr>
                <w:rFonts w:ascii="Arial" w:cs="Arial" w:eastAsia="Arial" w:hAnsi="Arial"/>
                <w:sz w:val="13"/>
                <w:szCs w:val="13"/>
                <w:color w:val="auto"/>
              </w:rPr>
              <w:t>Plan Name</w:t>
            </w:r>
          </w:p>
        </w:tc>
        <w:tc>
          <w:tcPr>
            <w:tcW w:w="1380" w:type="dxa"/>
            <w:vAlign w:val="bottom"/>
            <w:tcBorders>
              <w:bottom w:val="single" w:sz="8" w:color="959595"/>
            </w:tcBorders>
            <w:shd w:val="clear" w:color="auto" w:fill="ECECEC"/>
          </w:tcPr>
          <w:p>
            <w:pPr>
              <w:jc w:val="right"/>
              <w:ind w:right="150"/>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959595"/>
            </w:tcBorders>
            <w:shd w:val="clear" w:color="auto" w:fill="ECECEC"/>
          </w:tcPr>
          <w:p>
            <w:pPr>
              <w:jc w:val="right"/>
              <w:ind w:right="17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959595"/>
            </w:tcBorders>
            <w:shd w:val="clear" w:color="auto" w:fill="ECECEC"/>
          </w:tcPr>
          <w:p>
            <w:pPr>
              <w:jc w:val="right"/>
              <w:ind w:right="3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0"/>
        </w:trPr>
        <w:tc>
          <w:tcPr>
            <w:tcW w:w="1960" w:type="dxa"/>
            <w:vAlign w:val="bottom"/>
            <w:tcBorders>
              <w:bottom w:val="single" w:sz="8" w:color="959595"/>
            </w:tcBorders>
            <w:shd w:val="clear" w:color="auto" w:fill="ECECEC"/>
          </w:tcPr>
          <w:p>
            <w:pPr>
              <w:ind w:left="40"/>
              <w:spacing w:after="0"/>
              <w:rPr>
                <w:sz w:val="20"/>
                <w:szCs w:val="20"/>
                <w:color w:val="auto"/>
              </w:rPr>
            </w:pPr>
            <w:r>
              <w:rPr>
                <w:rFonts w:ascii="Arial" w:cs="Arial" w:eastAsia="Arial" w:hAnsi="Arial"/>
                <w:sz w:val="13"/>
                <w:szCs w:val="13"/>
                <w:color w:val="auto"/>
              </w:rPr>
              <w:t>(a)</w:t>
            </w:r>
          </w:p>
        </w:tc>
        <w:tc>
          <w:tcPr>
            <w:tcW w:w="5700" w:type="dxa"/>
            <w:vAlign w:val="bottom"/>
            <w:tcBorders>
              <w:bottom w:val="single" w:sz="8" w:color="959595"/>
            </w:tcBorders>
            <w:shd w:val="clear" w:color="auto" w:fill="ECECEC"/>
          </w:tcPr>
          <w:p>
            <w:pPr>
              <w:ind w:left="20"/>
              <w:spacing w:after="0"/>
              <w:rPr>
                <w:sz w:val="20"/>
                <w:szCs w:val="20"/>
                <w:color w:val="auto"/>
              </w:rPr>
            </w:pPr>
            <w:r>
              <w:rPr>
                <w:rFonts w:ascii="Arial" w:cs="Arial" w:eastAsia="Arial" w:hAnsi="Arial"/>
                <w:sz w:val="13"/>
                <w:szCs w:val="13"/>
                <w:color w:val="auto"/>
              </w:rPr>
              <w:t>(b)</w:t>
            </w:r>
          </w:p>
        </w:tc>
        <w:tc>
          <w:tcPr>
            <w:tcW w:w="1380" w:type="dxa"/>
            <w:vAlign w:val="bottom"/>
            <w:tcBorders>
              <w:bottom w:val="single" w:sz="8" w:color="959595"/>
            </w:tcBorders>
            <w:shd w:val="clear" w:color="auto" w:fill="ECECEC"/>
          </w:tcPr>
          <w:p>
            <w:pPr>
              <w:jc w:val="right"/>
              <w:ind w:right="150"/>
              <w:spacing w:after="0"/>
              <w:rPr>
                <w:sz w:val="20"/>
                <w:szCs w:val="20"/>
                <w:color w:val="auto"/>
              </w:rPr>
            </w:pPr>
            <w:r>
              <w:rPr>
                <w:rFonts w:ascii="Arial" w:cs="Arial" w:eastAsia="Arial" w:hAnsi="Arial"/>
                <w:sz w:val="13"/>
                <w:szCs w:val="13"/>
                <w:color w:val="auto"/>
              </w:rPr>
              <w:t>(c)</w:t>
            </w:r>
          </w:p>
        </w:tc>
        <w:tc>
          <w:tcPr>
            <w:tcW w:w="1380" w:type="dxa"/>
            <w:vAlign w:val="bottom"/>
            <w:tcBorders>
              <w:bottom w:val="single" w:sz="8" w:color="959595"/>
            </w:tcBorders>
            <w:shd w:val="clear" w:color="auto" w:fill="ECECEC"/>
          </w:tcPr>
          <w:p>
            <w:pPr>
              <w:jc w:val="right"/>
              <w:ind w:right="170"/>
              <w:spacing w:after="0"/>
              <w:rPr>
                <w:sz w:val="20"/>
                <w:szCs w:val="20"/>
                <w:color w:val="auto"/>
              </w:rPr>
            </w:pPr>
            <w:r>
              <w:rPr>
                <w:rFonts w:ascii="Arial" w:cs="Arial" w:eastAsia="Arial" w:hAnsi="Arial"/>
                <w:sz w:val="13"/>
                <w:szCs w:val="13"/>
                <w:color w:val="auto"/>
              </w:rPr>
              <w:t>(d)</w:t>
            </w:r>
          </w:p>
        </w:tc>
        <w:tc>
          <w:tcPr>
            <w:tcW w:w="1000" w:type="dxa"/>
            <w:vAlign w:val="bottom"/>
            <w:tcBorders>
              <w:bottom w:val="single" w:sz="8" w:color="959595"/>
            </w:tcBorders>
            <w:shd w:val="clear" w:color="auto" w:fill="ECECEC"/>
          </w:tcPr>
          <w:p>
            <w:pPr>
              <w:jc w:val="right"/>
              <w:ind w:right="30"/>
              <w:spacing w:after="0"/>
              <w:rPr>
                <w:sz w:val="20"/>
                <w:szCs w:val="20"/>
                <w:color w:val="auto"/>
              </w:rPr>
            </w:pPr>
            <w:r>
              <w:rPr>
                <w:rFonts w:ascii="Arial" w:cs="Arial" w:eastAsia="Arial" w:hAnsi="Arial"/>
                <w:sz w:val="13"/>
                <w:szCs w:val="13"/>
                <w:color w:val="auto"/>
              </w:rPr>
              <w:t>(e)</w:t>
            </w:r>
          </w:p>
        </w:tc>
        <w:tc>
          <w:tcPr>
            <w:tcW w:w="0" w:type="dxa"/>
            <w:vAlign w:val="bottom"/>
          </w:tcPr>
          <w:p>
            <w:pPr>
              <w:spacing w:after="0"/>
              <w:rPr>
                <w:sz w:val="1"/>
                <w:szCs w:val="1"/>
                <w:color w:val="auto"/>
              </w:rPr>
            </w:pPr>
          </w:p>
        </w:tc>
      </w:tr>
      <w:tr>
        <w:trPr>
          <w:trHeight w:val="215"/>
        </w:trPr>
        <w:tc>
          <w:tcPr>
            <w:tcW w:w="1960" w:type="dxa"/>
            <w:vAlign w:val="bottom"/>
          </w:tcPr>
          <w:p>
            <w:pPr>
              <w:ind w:left="40"/>
              <w:spacing w:after="0"/>
              <w:rPr>
                <w:sz w:val="20"/>
                <w:szCs w:val="20"/>
                <w:color w:val="auto"/>
              </w:rPr>
            </w:pPr>
            <w:r>
              <w:rPr>
                <w:rFonts w:ascii="Arial" w:cs="Arial" w:eastAsia="Arial" w:hAnsi="Arial"/>
                <w:sz w:val="14"/>
                <w:szCs w:val="14"/>
                <w:b w:val="1"/>
                <w:bCs w:val="1"/>
                <w:color w:val="012E6C"/>
              </w:rPr>
              <w:t>Marillyn A. Hewson</w:t>
            </w:r>
          </w:p>
        </w:tc>
        <w:tc>
          <w:tcPr>
            <w:tcW w:w="5700" w:type="dxa"/>
            <w:vAlign w:val="bottom"/>
            <w:tcBorders>
              <w:bottom w:val="single" w:sz="8" w:color="959595"/>
            </w:tcBorders>
          </w:tcPr>
          <w:p>
            <w:pPr>
              <w:ind w:left="20"/>
              <w:spacing w:after="0"/>
              <w:rPr>
                <w:sz w:val="20"/>
                <w:szCs w:val="20"/>
                <w:color w:val="auto"/>
              </w:rPr>
            </w:pPr>
            <w:r>
              <w:rPr>
                <w:rFonts w:ascii="Arial" w:cs="Arial" w:eastAsia="Arial" w:hAnsi="Arial"/>
                <w:sz w:val="14"/>
                <w:szCs w:val="14"/>
                <w:color w:val="auto"/>
              </w:rPr>
              <w:t>Lockheed Martin Corporation Salaried Employee Retirement Program</w:t>
            </w:r>
          </w:p>
        </w:tc>
        <w:tc>
          <w:tcPr>
            <w:tcW w:w="1380" w:type="dxa"/>
            <w:vAlign w:val="bottom"/>
            <w:tcBorders>
              <w:bottom w:val="single" w:sz="8" w:color="959595"/>
            </w:tcBorders>
          </w:tcPr>
          <w:p>
            <w:pPr>
              <w:jc w:val="right"/>
              <w:ind w:right="150"/>
              <w:spacing w:after="0"/>
              <w:rPr>
                <w:sz w:val="20"/>
                <w:szCs w:val="20"/>
                <w:color w:val="auto"/>
              </w:rPr>
            </w:pPr>
            <w:r>
              <w:rPr>
                <w:rFonts w:ascii="Arial" w:cs="Arial" w:eastAsia="Arial" w:hAnsi="Arial"/>
                <w:sz w:val="14"/>
                <w:szCs w:val="14"/>
                <w:color w:val="auto"/>
              </w:rPr>
              <w:t>36.1</w:t>
            </w:r>
          </w:p>
        </w:tc>
        <w:tc>
          <w:tcPr>
            <w:tcW w:w="1380" w:type="dxa"/>
            <w:vAlign w:val="bottom"/>
            <w:tcBorders>
              <w:bottom w:val="single" w:sz="8" w:color="959595"/>
            </w:tcBorders>
          </w:tcPr>
          <w:p>
            <w:pPr>
              <w:jc w:val="right"/>
              <w:ind w:right="170"/>
              <w:spacing w:after="0"/>
              <w:rPr>
                <w:sz w:val="20"/>
                <w:szCs w:val="20"/>
                <w:color w:val="auto"/>
              </w:rPr>
            </w:pPr>
            <w:r>
              <w:rPr>
                <w:rFonts w:ascii="Arial" w:cs="Arial" w:eastAsia="Arial" w:hAnsi="Arial"/>
                <w:sz w:val="14"/>
                <w:szCs w:val="14"/>
                <w:color w:val="auto"/>
              </w:rPr>
              <w:t>1,886,420</w:t>
            </w:r>
          </w:p>
        </w:tc>
        <w:tc>
          <w:tcPr>
            <w:tcW w:w="1000" w:type="dxa"/>
            <w:vAlign w:val="bottom"/>
            <w:tcBorders>
              <w:bottom w:val="single" w:sz="8" w:color="959595"/>
            </w:tcBorders>
          </w:tcPr>
          <w:p>
            <w:pPr>
              <w:jc w:val="right"/>
              <w:ind w:right="3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47"/>
        </w:trPr>
        <w:tc>
          <w:tcPr>
            <w:tcW w:w="1960" w:type="dxa"/>
            <w:vAlign w:val="bottom"/>
            <w:tcBorders>
              <w:bottom w:val="single" w:sz="8" w:color="959595"/>
            </w:tcBorders>
          </w:tcPr>
          <w:p>
            <w:pPr>
              <w:spacing w:after="0"/>
              <w:rPr>
                <w:sz w:val="21"/>
                <w:szCs w:val="21"/>
                <w:color w:val="auto"/>
              </w:rPr>
            </w:pPr>
          </w:p>
        </w:tc>
        <w:tc>
          <w:tcPr>
            <w:tcW w:w="5700" w:type="dxa"/>
            <w:vAlign w:val="bottom"/>
            <w:tcBorders>
              <w:bottom w:val="single" w:sz="8" w:color="959595"/>
            </w:tcBorders>
          </w:tcPr>
          <w:p>
            <w:pPr>
              <w:ind w:left="20"/>
              <w:spacing w:after="0"/>
              <w:rPr>
                <w:sz w:val="20"/>
                <w:szCs w:val="20"/>
                <w:color w:val="auto"/>
              </w:rPr>
            </w:pPr>
            <w:r>
              <w:rPr>
                <w:rFonts w:ascii="Arial" w:cs="Arial" w:eastAsia="Arial" w:hAnsi="Arial"/>
                <w:sz w:val="14"/>
                <w:szCs w:val="14"/>
                <w:color w:val="auto"/>
              </w:rPr>
              <w:t>Lockheed Martin Corporation Supplemental Retirement Plan</w:t>
            </w:r>
          </w:p>
        </w:tc>
        <w:tc>
          <w:tcPr>
            <w:tcW w:w="1380" w:type="dxa"/>
            <w:vAlign w:val="bottom"/>
            <w:tcBorders>
              <w:bottom w:val="single" w:sz="8" w:color="959595"/>
            </w:tcBorders>
          </w:tcPr>
          <w:p>
            <w:pPr>
              <w:jc w:val="right"/>
              <w:ind w:right="15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959595"/>
            </w:tcBorders>
          </w:tcPr>
          <w:p>
            <w:pPr>
              <w:jc w:val="right"/>
              <w:ind w:right="170"/>
              <w:spacing w:after="0"/>
              <w:rPr>
                <w:sz w:val="20"/>
                <w:szCs w:val="20"/>
                <w:color w:val="auto"/>
              </w:rPr>
            </w:pPr>
            <w:r>
              <w:rPr>
                <w:rFonts w:ascii="Arial" w:cs="Arial" w:eastAsia="Arial" w:hAnsi="Arial"/>
                <w:sz w:val="14"/>
                <w:szCs w:val="14"/>
                <w:color w:val="auto"/>
              </w:rPr>
              <w:t>45,937,913</w:t>
            </w:r>
          </w:p>
        </w:tc>
        <w:tc>
          <w:tcPr>
            <w:tcW w:w="1000" w:type="dxa"/>
            <w:vAlign w:val="bottom"/>
            <w:tcBorders>
              <w:bottom w:val="single" w:sz="8" w:color="959595"/>
            </w:tcBorders>
          </w:tcPr>
          <w:p>
            <w:pPr>
              <w:jc w:val="right"/>
              <w:ind w:right="3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13"/>
        </w:trPr>
        <w:tc>
          <w:tcPr>
            <w:tcW w:w="1960" w:type="dxa"/>
            <w:vAlign w:val="bottom"/>
          </w:tcPr>
          <w:p>
            <w:pPr>
              <w:ind w:left="40"/>
              <w:spacing w:after="0"/>
              <w:rPr>
                <w:sz w:val="20"/>
                <w:szCs w:val="20"/>
                <w:color w:val="auto"/>
              </w:rPr>
            </w:pPr>
            <w:r>
              <w:rPr>
                <w:rFonts w:ascii="Arial" w:cs="Arial" w:eastAsia="Arial" w:hAnsi="Arial"/>
                <w:sz w:val="14"/>
                <w:szCs w:val="14"/>
                <w:b w:val="1"/>
                <w:bCs w:val="1"/>
                <w:color w:val="012E6C"/>
              </w:rPr>
              <w:t>Bruce L. Tanner</w:t>
            </w:r>
          </w:p>
        </w:tc>
        <w:tc>
          <w:tcPr>
            <w:tcW w:w="5700" w:type="dxa"/>
            <w:vAlign w:val="bottom"/>
            <w:tcBorders>
              <w:bottom w:val="single" w:sz="8" w:color="959595"/>
            </w:tcBorders>
          </w:tcPr>
          <w:p>
            <w:pPr>
              <w:ind w:left="20"/>
              <w:spacing w:after="0"/>
              <w:rPr>
                <w:sz w:val="20"/>
                <w:szCs w:val="20"/>
                <w:color w:val="auto"/>
              </w:rPr>
            </w:pPr>
            <w:r>
              <w:rPr>
                <w:rFonts w:ascii="Arial" w:cs="Arial" w:eastAsia="Arial" w:hAnsi="Arial"/>
                <w:sz w:val="14"/>
                <w:szCs w:val="14"/>
                <w:color w:val="auto"/>
              </w:rPr>
              <w:t>Lockheed Martin Corporation Salaried Employee Retirement Program</w:t>
            </w:r>
          </w:p>
        </w:tc>
        <w:tc>
          <w:tcPr>
            <w:tcW w:w="1380" w:type="dxa"/>
            <w:vAlign w:val="bottom"/>
            <w:tcBorders>
              <w:bottom w:val="single" w:sz="8" w:color="959595"/>
            </w:tcBorders>
          </w:tcPr>
          <w:p>
            <w:pPr>
              <w:jc w:val="right"/>
              <w:ind w:right="150"/>
              <w:spacing w:after="0"/>
              <w:rPr>
                <w:sz w:val="20"/>
                <w:szCs w:val="20"/>
                <w:color w:val="auto"/>
              </w:rPr>
            </w:pPr>
            <w:r>
              <w:rPr>
                <w:rFonts w:ascii="Arial" w:cs="Arial" w:eastAsia="Arial" w:hAnsi="Arial"/>
                <w:sz w:val="14"/>
                <w:szCs w:val="14"/>
                <w:color w:val="auto"/>
              </w:rPr>
              <w:t>36.1</w:t>
            </w:r>
          </w:p>
        </w:tc>
        <w:tc>
          <w:tcPr>
            <w:tcW w:w="1380" w:type="dxa"/>
            <w:vAlign w:val="bottom"/>
            <w:tcBorders>
              <w:bottom w:val="single" w:sz="8" w:color="959595"/>
            </w:tcBorders>
          </w:tcPr>
          <w:p>
            <w:pPr>
              <w:jc w:val="right"/>
              <w:ind w:right="170"/>
              <w:spacing w:after="0"/>
              <w:rPr>
                <w:sz w:val="20"/>
                <w:szCs w:val="20"/>
                <w:color w:val="auto"/>
              </w:rPr>
            </w:pPr>
            <w:r>
              <w:rPr>
                <w:rFonts w:ascii="Arial" w:cs="Arial" w:eastAsia="Arial" w:hAnsi="Arial"/>
                <w:sz w:val="14"/>
                <w:szCs w:val="14"/>
                <w:color w:val="auto"/>
              </w:rPr>
              <w:t>1,896,207</w:t>
            </w:r>
          </w:p>
        </w:tc>
        <w:tc>
          <w:tcPr>
            <w:tcW w:w="1000" w:type="dxa"/>
            <w:vAlign w:val="bottom"/>
            <w:tcBorders>
              <w:bottom w:val="single" w:sz="8" w:color="959595"/>
            </w:tcBorders>
          </w:tcPr>
          <w:p>
            <w:pPr>
              <w:jc w:val="right"/>
              <w:ind w:right="3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47"/>
        </w:trPr>
        <w:tc>
          <w:tcPr>
            <w:tcW w:w="1960" w:type="dxa"/>
            <w:vAlign w:val="bottom"/>
            <w:tcBorders>
              <w:bottom w:val="single" w:sz="8" w:color="959595"/>
            </w:tcBorders>
          </w:tcPr>
          <w:p>
            <w:pPr>
              <w:spacing w:after="0"/>
              <w:rPr>
                <w:sz w:val="21"/>
                <w:szCs w:val="21"/>
                <w:color w:val="auto"/>
              </w:rPr>
            </w:pPr>
          </w:p>
        </w:tc>
        <w:tc>
          <w:tcPr>
            <w:tcW w:w="5700" w:type="dxa"/>
            <w:vAlign w:val="bottom"/>
            <w:tcBorders>
              <w:bottom w:val="single" w:sz="8" w:color="959595"/>
            </w:tcBorders>
          </w:tcPr>
          <w:p>
            <w:pPr>
              <w:ind w:left="20"/>
              <w:spacing w:after="0"/>
              <w:rPr>
                <w:sz w:val="20"/>
                <w:szCs w:val="20"/>
                <w:color w:val="auto"/>
              </w:rPr>
            </w:pPr>
            <w:r>
              <w:rPr>
                <w:rFonts w:ascii="Arial" w:cs="Arial" w:eastAsia="Arial" w:hAnsi="Arial"/>
                <w:sz w:val="14"/>
                <w:szCs w:val="14"/>
                <w:color w:val="auto"/>
              </w:rPr>
              <w:t>Lockheed Martin Corporation Supplemental Retirement Plan</w:t>
            </w:r>
          </w:p>
        </w:tc>
        <w:tc>
          <w:tcPr>
            <w:tcW w:w="1380" w:type="dxa"/>
            <w:vAlign w:val="bottom"/>
            <w:tcBorders>
              <w:bottom w:val="single" w:sz="8" w:color="959595"/>
            </w:tcBorders>
          </w:tcPr>
          <w:p>
            <w:pPr>
              <w:jc w:val="right"/>
              <w:ind w:right="15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959595"/>
            </w:tcBorders>
          </w:tcPr>
          <w:p>
            <w:pPr>
              <w:jc w:val="right"/>
              <w:ind w:right="170"/>
              <w:spacing w:after="0"/>
              <w:rPr>
                <w:sz w:val="20"/>
                <w:szCs w:val="20"/>
                <w:color w:val="auto"/>
              </w:rPr>
            </w:pPr>
            <w:r>
              <w:rPr>
                <w:rFonts w:ascii="Arial" w:cs="Arial" w:eastAsia="Arial" w:hAnsi="Arial"/>
                <w:sz w:val="14"/>
                <w:szCs w:val="14"/>
                <w:color w:val="auto"/>
              </w:rPr>
              <w:t>17,530,853</w:t>
            </w:r>
          </w:p>
        </w:tc>
        <w:tc>
          <w:tcPr>
            <w:tcW w:w="1000" w:type="dxa"/>
            <w:vAlign w:val="bottom"/>
            <w:tcBorders>
              <w:bottom w:val="single" w:sz="8" w:color="959595"/>
            </w:tcBorders>
          </w:tcPr>
          <w:p>
            <w:pPr>
              <w:jc w:val="right"/>
              <w:ind w:right="3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13"/>
        </w:trPr>
        <w:tc>
          <w:tcPr>
            <w:tcW w:w="1960" w:type="dxa"/>
            <w:vAlign w:val="bottom"/>
          </w:tcPr>
          <w:p>
            <w:pPr>
              <w:ind w:left="40"/>
              <w:spacing w:after="0"/>
              <w:rPr>
                <w:sz w:val="20"/>
                <w:szCs w:val="20"/>
                <w:color w:val="auto"/>
              </w:rPr>
            </w:pPr>
            <w:r>
              <w:rPr>
                <w:rFonts w:ascii="Arial" w:cs="Arial" w:eastAsia="Arial" w:hAnsi="Arial"/>
                <w:sz w:val="14"/>
                <w:szCs w:val="14"/>
                <w:b w:val="1"/>
                <w:bCs w:val="1"/>
                <w:color w:val="012E6C"/>
              </w:rPr>
              <w:t>Richard F. Ambrose</w:t>
            </w:r>
          </w:p>
        </w:tc>
        <w:tc>
          <w:tcPr>
            <w:tcW w:w="5700" w:type="dxa"/>
            <w:vAlign w:val="bottom"/>
            <w:tcBorders>
              <w:bottom w:val="single" w:sz="8" w:color="959595"/>
            </w:tcBorders>
          </w:tcPr>
          <w:p>
            <w:pPr>
              <w:ind w:left="20"/>
              <w:spacing w:after="0"/>
              <w:rPr>
                <w:sz w:val="20"/>
                <w:szCs w:val="20"/>
                <w:color w:val="auto"/>
              </w:rPr>
            </w:pPr>
            <w:r>
              <w:rPr>
                <w:rFonts w:ascii="Arial" w:cs="Arial" w:eastAsia="Arial" w:hAnsi="Arial"/>
                <w:sz w:val="14"/>
                <w:szCs w:val="14"/>
                <w:color w:val="auto"/>
              </w:rPr>
              <w:t>Lockheed Martin Corporation Salaried Employee Retirement Program</w:t>
            </w:r>
          </w:p>
        </w:tc>
        <w:tc>
          <w:tcPr>
            <w:tcW w:w="1380" w:type="dxa"/>
            <w:vAlign w:val="bottom"/>
            <w:tcBorders>
              <w:bottom w:val="single" w:sz="8" w:color="959595"/>
            </w:tcBorders>
          </w:tcPr>
          <w:p>
            <w:pPr>
              <w:jc w:val="right"/>
              <w:ind w:right="150"/>
              <w:spacing w:after="0"/>
              <w:rPr>
                <w:sz w:val="20"/>
                <w:szCs w:val="20"/>
                <w:color w:val="auto"/>
              </w:rPr>
            </w:pPr>
            <w:r>
              <w:rPr>
                <w:rFonts w:ascii="Arial" w:cs="Arial" w:eastAsia="Arial" w:hAnsi="Arial"/>
                <w:sz w:val="14"/>
                <w:szCs w:val="14"/>
                <w:color w:val="auto"/>
              </w:rPr>
              <w:t>18.5</w:t>
            </w:r>
          </w:p>
        </w:tc>
        <w:tc>
          <w:tcPr>
            <w:tcW w:w="1380" w:type="dxa"/>
            <w:vAlign w:val="bottom"/>
            <w:tcBorders>
              <w:bottom w:val="single" w:sz="8" w:color="959595"/>
            </w:tcBorders>
          </w:tcPr>
          <w:p>
            <w:pPr>
              <w:jc w:val="right"/>
              <w:ind w:right="170"/>
              <w:spacing w:after="0"/>
              <w:rPr>
                <w:sz w:val="20"/>
                <w:szCs w:val="20"/>
                <w:color w:val="auto"/>
              </w:rPr>
            </w:pPr>
            <w:r>
              <w:rPr>
                <w:rFonts w:ascii="Arial" w:cs="Arial" w:eastAsia="Arial" w:hAnsi="Arial"/>
                <w:sz w:val="14"/>
                <w:szCs w:val="14"/>
                <w:color w:val="auto"/>
              </w:rPr>
              <w:t>996,575</w:t>
            </w:r>
          </w:p>
        </w:tc>
        <w:tc>
          <w:tcPr>
            <w:tcW w:w="1000" w:type="dxa"/>
            <w:vAlign w:val="bottom"/>
            <w:tcBorders>
              <w:bottom w:val="single" w:sz="8" w:color="959595"/>
            </w:tcBorders>
          </w:tcPr>
          <w:p>
            <w:pPr>
              <w:jc w:val="right"/>
              <w:ind w:right="3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47"/>
        </w:trPr>
        <w:tc>
          <w:tcPr>
            <w:tcW w:w="1960" w:type="dxa"/>
            <w:vAlign w:val="bottom"/>
            <w:tcBorders>
              <w:bottom w:val="single" w:sz="8" w:color="959595"/>
            </w:tcBorders>
          </w:tcPr>
          <w:p>
            <w:pPr>
              <w:spacing w:after="0"/>
              <w:rPr>
                <w:sz w:val="21"/>
                <w:szCs w:val="21"/>
                <w:color w:val="auto"/>
              </w:rPr>
            </w:pPr>
          </w:p>
        </w:tc>
        <w:tc>
          <w:tcPr>
            <w:tcW w:w="5700" w:type="dxa"/>
            <w:vAlign w:val="bottom"/>
            <w:tcBorders>
              <w:bottom w:val="single" w:sz="8" w:color="959595"/>
            </w:tcBorders>
          </w:tcPr>
          <w:p>
            <w:pPr>
              <w:ind w:left="20"/>
              <w:spacing w:after="0"/>
              <w:rPr>
                <w:sz w:val="20"/>
                <w:szCs w:val="20"/>
                <w:color w:val="auto"/>
              </w:rPr>
            </w:pPr>
            <w:r>
              <w:rPr>
                <w:rFonts w:ascii="Arial" w:cs="Arial" w:eastAsia="Arial" w:hAnsi="Arial"/>
                <w:sz w:val="14"/>
                <w:szCs w:val="14"/>
                <w:color w:val="auto"/>
              </w:rPr>
              <w:t>Lockheed Martin Corporation Supplemental Retirement Plan</w:t>
            </w:r>
          </w:p>
        </w:tc>
        <w:tc>
          <w:tcPr>
            <w:tcW w:w="1380" w:type="dxa"/>
            <w:vAlign w:val="bottom"/>
            <w:tcBorders>
              <w:bottom w:val="single" w:sz="8" w:color="959595"/>
            </w:tcBorders>
          </w:tcPr>
          <w:p>
            <w:pPr>
              <w:jc w:val="right"/>
              <w:ind w:right="15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959595"/>
            </w:tcBorders>
          </w:tcPr>
          <w:p>
            <w:pPr>
              <w:jc w:val="right"/>
              <w:ind w:right="170"/>
              <w:spacing w:after="0"/>
              <w:rPr>
                <w:sz w:val="20"/>
                <w:szCs w:val="20"/>
                <w:color w:val="auto"/>
              </w:rPr>
            </w:pPr>
            <w:r>
              <w:rPr>
                <w:rFonts w:ascii="Arial" w:cs="Arial" w:eastAsia="Arial" w:hAnsi="Arial"/>
                <w:sz w:val="14"/>
                <w:szCs w:val="14"/>
                <w:color w:val="auto"/>
              </w:rPr>
              <w:t>6,380,665</w:t>
            </w:r>
          </w:p>
        </w:tc>
        <w:tc>
          <w:tcPr>
            <w:tcW w:w="1000" w:type="dxa"/>
            <w:vAlign w:val="bottom"/>
            <w:tcBorders>
              <w:bottom w:val="single" w:sz="8" w:color="959595"/>
            </w:tcBorders>
          </w:tcPr>
          <w:p>
            <w:pPr>
              <w:jc w:val="right"/>
              <w:ind w:right="3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13"/>
        </w:trPr>
        <w:tc>
          <w:tcPr>
            <w:tcW w:w="1960" w:type="dxa"/>
            <w:vAlign w:val="bottom"/>
          </w:tcPr>
          <w:p>
            <w:pPr>
              <w:ind w:left="40"/>
              <w:spacing w:after="0"/>
              <w:rPr>
                <w:sz w:val="20"/>
                <w:szCs w:val="20"/>
                <w:color w:val="auto"/>
              </w:rPr>
            </w:pPr>
            <w:r>
              <w:rPr>
                <w:rFonts w:ascii="Arial" w:cs="Arial" w:eastAsia="Arial" w:hAnsi="Arial"/>
                <w:sz w:val="14"/>
                <w:szCs w:val="14"/>
                <w:b w:val="1"/>
                <w:bCs w:val="1"/>
                <w:color w:val="012E6C"/>
              </w:rPr>
              <w:t>Dale P. Bennett</w:t>
            </w:r>
          </w:p>
        </w:tc>
        <w:tc>
          <w:tcPr>
            <w:tcW w:w="5700" w:type="dxa"/>
            <w:vAlign w:val="bottom"/>
            <w:tcBorders>
              <w:bottom w:val="single" w:sz="8" w:color="959595"/>
            </w:tcBorders>
          </w:tcPr>
          <w:p>
            <w:pPr>
              <w:ind w:left="20"/>
              <w:spacing w:after="0"/>
              <w:rPr>
                <w:sz w:val="20"/>
                <w:szCs w:val="20"/>
                <w:color w:val="auto"/>
              </w:rPr>
            </w:pPr>
            <w:r>
              <w:rPr>
                <w:rFonts w:ascii="Arial" w:cs="Arial" w:eastAsia="Arial" w:hAnsi="Arial"/>
                <w:sz w:val="14"/>
                <w:szCs w:val="14"/>
                <w:color w:val="auto"/>
              </w:rPr>
              <w:t>Lockheed Martin Corporation Salaried Employee Retirement Program</w:t>
            </w:r>
          </w:p>
        </w:tc>
        <w:tc>
          <w:tcPr>
            <w:tcW w:w="1380" w:type="dxa"/>
            <w:vAlign w:val="bottom"/>
            <w:tcBorders>
              <w:bottom w:val="single" w:sz="8" w:color="959595"/>
            </w:tcBorders>
          </w:tcPr>
          <w:p>
            <w:pPr>
              <w:jc w:val="right"/>
              <w:ind w:right="150"/>
              <w:spacing w:after="0"/>
              <w:rPr>
                <w:sz w:val="20"/>
                <w:szCs w:val="20"/>
                <w:color w:val="auto"/>
              </w:rPr>
            </w:pPr>
            <w:r>
              <w:rPr>
                <w:rFonts w:ascii="Arial" w:cs="Arial" w:eastAsia="Arial" w:hAnsi="Arial"/>
                <w:sz w:val="14"/>
                <w:szCs w:val="14"/>
                <w:color w:val="auto"/>
              </w:rPr>
              <w:t>37.6</w:t>
            </w:r>
          </w:p>
        </w:tc>
        <w:tc>
          <w:tcPr>
            <w:tcW w:w="1380" w:type="dxa"/>
            <w:vAlign w:val="bottom"/>
            <w:tcBorders>
              <w:bottom w:val="single" w:sz="8" w:color="959595"/>
            </w:tcBorders>
          </w:tcPr>
          <w:p>
            <w:pPr>
              <w:jc w:val="right"/>
              <w:ind w:right="170"/>
              <w:spacing w:after="0"/>
              <w:rPr>
                <w:sz w:val="20"/>
                <w:szCs w:val="20"/>
                <w:color w:val="auto"/>
              </w:rPr>
            </w:pPr>
            <w:r>
              <w:rPr>
                <w:rFonts w:ascii="Arial" w:cs="Arial" w:eastAsia="Arial" w:hAnsi="Arial"/>
                <w:sz w:val="14"/>
                <w:szCs w:val="14"/>
                <w:color w:val="auto"/>
              </w:rPr>
              <w:t>1,947,746</w:t>
            </w:r>
          </w:p>
        </w:tc>
        <w:tc>
          <w:tcPr>
            <w:tcW w:w="1000" w:type="dxa"/>
            <w:vAlign w:val="bottom"/>
            <w:tcBorders>
              <w:bottom w:val="single" w:sz="8" w:color="959595"/>
            </w:tcBorders>
          </w:tcPr>
          <w:p>
            <w:pPr>
              <w:jc w:val="right"/>
              <w:ind w:right="3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47"/>
        </w:trPr>
        <w:tc>
          <w:tcPr>
            <w:tcW w:w="1960" w:type="dxa"/>
            <w:vAlign w:val="bottom"/>
            <w:tcBorders>
              <w:bottom w:val="single" w:sz="8" w:color="959595"/>
            </w:tcBorders>
          </w:tcPr>
          <w:p>
            <w:pPr>
              <w:spacing w:after="0"/>
              <w:rPr>
                <w:sz w:val="21"/>
                <w:szCs w:val="21"/>
                <w:color w:val="auto"/>
              </w:rPr>
            </w:pPr>
          </w:p>
        </w:tc>
        <w:tc>
          <w:tcPr>
            <w:tcW w:w="5700" w:type="dxa"/>
            <w:vAlign w:val="bottom"/>
            <w:tcBorders>
              <w:bottom w:val="single" w:sz="8" w:color="959595"/>
            </w:tcBorders>
          </w:tcPr>
          <w:p>
            <w:pPr>
              <w:ind w:left="20"/>
              <w:spacing w:after="0"/>
              <w:rPr>
                <w:sz w:val="20"/>
                <w:szCs w:val="20"/>
                <w:color w:val="auto"/>
              </w:rPr>
            </w:pPr>
            <w:r>
              <w:rPr>
                <w:rFonts w:ascii="Arial" w:cs="Arial" w:eastAsia="Arial" w:hAnsi="Arial"/>
                <w:sz w:val="14"/>
                <w:szCs w:val="14"/>
                <w:color w:val="auto"/>
              </w:rPr>
              <w:t>Lockheed Martin Corporation Supplemental Retirement Plan</w:t>
            </w:r>
          </w:p>
        </w:tc>
        <w:tc>
          <w:tcPr>
            <w:tcW w:w="1380" w:type="dxa"/>
            <w:vAlign w:val="bottom"/>
            <w:tcBorders>
              <w:bottom w:val="single" w:sz="8" w:color="959595"/>
            </w:tcBorders>
          </w:tcPr>
          <w:p>
            <w:pPr>
              <w:jc w:val="right"/>
              <w:ind w:right="15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959595"/>
            </w:tcBorders>
          </w:tcPr>
          <w:p>
            <w:pPr>
              <w:jc w:val="right"/>
              <w:ind w:right="170"/>
              <w:spacing w:after="0"/>
              <w:rPr>
                <w:sz w:val="20"/>
                <w:szCs w:val="20"/>
                <w:color w:val="auto"/>
              </w:rPr>
            </w:pPr>
            <w:r>
              <w:rPr>
                <w:rFonts w:ascii="Arial" w:cs="Arial" w:eastAsia="Arial" w:hAnsi="Arial"/>
                <w:sz w:val="14"/>
                <w:szCs w:val="14"/>
                <w:color w:val="auto"/>
              </w:rPr>
              <w:t>11,917,347</w:t>
            </w:r>
          </w:p>
        </w:tc>
        <w:tc>
          <w:tcPr>
            <w:tcW w:w="1000" w:type="dxa"/>
            <w:vAlign w:val="bottom"/>
            <w:tcBorders>
              <w:bottom w:val="single" w:sz="8" w:color="959595"/>
            </w:tcBorders>
          </w:tcPr>
          <w:p>
            <w:pPr>
              <w:jc w:val="right"/>
              <w:ind w:right="3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13"/>
        </w:trPr>
        <w:tc>
          <w:tcPr>
            <w:tcW w:w="1960" w:type="dxa"/>
            <w:vAlign w:val="bottom"/>
          </w:tcPr>
          <w:p>
            <w:pPr>
              <w:ind w:left="40"/>
              <w:spacing w:after="0"/>
              <w:rPr>
                <w:sz w:val="20"/>
                <w:szCs w:val="20"/>
                <w:color w:val="auto"/>
              </w:rPr>
            </w:pPr>
            <w:r>
              <w:rPr>
                <w:rFonts w:ascii="Arial" w:cs="Arial" w:eastAsia="Arial" w:hAnsi="Arial"/>
                <w:sz w:val="14"/>
                <w:szCs w:val="14"/>
                <w:b w:val="1"/>
                <w:bCs w:val="1"/>
                <w:color w:val="012E6C"/>
              </w:rPr>
              <w:t>Orlando P. Carvalho</w:t>
            </w:r>
          </w:p>
        </w:tc>
        <w:tc>
          <w:tcPr>
            <w:tcW w:w="5700" w:type="dxa"/>
            <w:vAlign w:val="bottom"/>
            <w:tcBorders>
              <w:bottom w:val="single" w:sz="8" w:color="959595"/>
            </w:tcBorders>
          </w:tcPr>
          <w:p>
            <w:pPr>
              <w:ind w:left="20"/>
              <w:spacing w:after="0"/>
              <w:rPr>
                <w:sz w:val="20"/>
                <w:szCs w:val="20"/>
                <w:color w:val="auto"/>
              </w:rPr>
            </w:pPr>
            <w:r>
              <w:rPr>
                <w:rFonts w:ascii="Arial" w:cs="Arial" w:eastAsia="Arial" w:hAnsi="Arial"/>
                <w:sz w:val="14"/>
                <w:szCs w:val="14"/>
                <w:color w:val="auto"/>
              </w:rPr>
              <w:t>Lockheed Martin Corporation Salaried Employee Retirement Program</w:t>
            </w:r>
          </w:p>
        </w:tc>
        <w:tc>
          <w:tcPr>
            <w:tcW w:w="1380" w:type="dxa"/>
            <w:vAlign w:val="bottom"/>
            <w:tcBorders>
              <w:bottom w:val="single" w:sz="8" w:color="959595"/>
            </w:tcBorders>
          </w:tcPr>
          <w:p>
            <w:pPr>
              <w:jc w:val="right"/>
              <w:ind w:right="150"/>
              <w:spacing w:after="0"/>
              <w:rPr>
                <w:sz w:val="20"/>
                <w:szCs w:val="20"/>
                <w:color w:val="auto"/>
              </w:rPr>
            </w:pPr>
            <w:r>
              <w:rPr>
                <w:rFonts w:ascii="Arial" w:cs="Arial" w:eastAsia="Arial" w:hAnsi="Arial"/>
                <w:sz w:val="14"/>
                <w:szCs w:val="14"/>
                <w:color w:val="auto"/>
              </w:rPr>
              <w:t>38.5</w:t>
            </w:r>
          </w:p>
        </w:tc>
        <w:tc>
          <w:tcPr>
            <w:tcW w:w="1380" w:type="dxa"/>
            <w:vAlign w:val="bottom"/>
            <w:tcBorders>
              <w:bottom w:val="single" w:sz="8" w:color="959595"/>
            </w:tcBorders>
          </w:tcPr>
          <w:p>
            <w:pPr>
              <w:jc w:val="right"/>
              <w:ind w:right="170"/>
              <w:spacing w:after="0"/>
              <w:rPr>
                <w:sz w:val="20"/>
                <w:szCs w:val="20"/>
                <w:color w:val="auto"/>
              </w:rPr>
            </w:pPr>
            <w:r>
              <w:rPr>
                <w:rFonts w:ascii="Arial" w:cs="Arial" w:eastAsia="Arial" w:hAnsi="Arial"/>
                <w:sz w:val="14"/>
                <w:szCs w:val="14"/>
                <w:color w:val="auto"/>
              </w:rPr>
              <w:t>2,080,760</w:t>
            </w:r>
          </w:p>
        </w:tc>
        <w:tc>
          <w:tcPr>
            <w:tcW w:w="1000" w:type="dxa"/>
            <w:vAlign w:val="bottom"/>
            <w:tcBorders>
              <w:bottom w:val="single" w:sz="8" w:color="959595"/>
            </w:tcBorders>
          </w:tcPr>
          <w:p>
            <w:pPr>
              <w:jc w:val="right"/>
              <w:ind w:right="3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47"/>
        </w:trPr>
        <w:tc>
          <w:tcPr>
            <w:tcW w:w="1960" w:type="dxa"/>
            <w:vAlign w:val="bottom"/>
            <w:tcBorders>
              <w:bottom w:val="single" w:sz="8" w:color="959595"/>
            </w:tcBorders>
          </w:tcPr>
          <w:p>
            <w:pPr>
              <w:spacing w:after="0"/>
              <w:rPr>
                <w:sz w:val="21"/>
                <w:szCs w:val="21"/>
                <w:color w:val="auto"/>
              </w:rPr>
            </w:pPr>
          </w:p>
        </w:tc>
        <w:tc>
          <w:tcPr>
            <w:tcW w:w="5700" w:type="dxa"/>
            <w:vAlign w:val="bottom"/>
            <w:tcBorders>
              <w:bottom w:val="single" w:sz="8" w:color="959595"/>
            </w:tcBorders>
          </w:tcPr>
          <w:p>
            <w:pPr>
              <w:ind w:left="20"/>
              <w:spacing w:after="0"/>
              <w:rPr>
                <w:sz w:val="20"/>
                <w:szCs w:val="20"/>
                <w:color w:val="auto"/>
              </w:rPr>
            </w:pPr>
            <w:r>
              <w:rPr>
                <w:rFonts w:ascii="Arial" w:cs="Arial" w:eastAsia="Arial" w:hAnsi="Arial"/>
                <w:sz w:val="14"/>
                <w:szCs w:val="14"/>
                <w:color w:val="auto"/>
              </w:rPr>
              <w:t>Lockheed Martin Corporation Supplemental Retirement Plan</w:t>
            </w:r>
          </w:p>
        </w:tc>
        <w:tc>
          <w:tcPr>
            <w:tcW w:w="1380" w:type="dxa"/>
            <w:vAlign w:val="bottom"/>
            <w:tcBorders>
              <w:bottom w:val="single" w:sz="8" w:color="959595"/>
            </w:tcBorders>
          </w:tcPr>
          <w:p>
            <w:pPr>
              <w:jc w:val="right"/>
              <w:ind w:right="15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959595"/>
            </w:tcBorders>
          </w:tcPr>
          <w:p>
            <w:pPr>
              <w:jc w:val="right"/>
              <w:ind w:right="170"/>
              <w:spacing w:after="0"/>
              <w:rPr>
                <w:sz w:val="20"/>
                <w:szCs w:val="20"/>
                <w:color w:val="auto"/>
              </w:rPr>
            </w:pPr>
            <w:r>
              <w:rPr>
                <w:rFonts w:ascii="Arial" w:cs="Arial" w:eastAsia="Arial" w:hAnsi="Arial"/>
                <w:sz w:val="14"/>
                <w:szCs w:val="14"/>
                <w:color w:val="auto"/>
              </w:rPr>
              <w:t>14,491,199</w:t>
            </w:r>
          </w:p>
        </w:tc>
        <w:tc>
          <w:tcPr>
            <w:tcW w:w="1000" w:type="dxa"/>
            <w:vAlign w:val="bottom"/>
            <w:tcBorders>
              <w:bottom w:val="single" w:sz="8" w:color="959595"/>
            </w:tcBorders>
          </w:tcPr>
          <w:p>
            <w:pPr>
              <w:jc w:val="right"/>
              <w:ind w:right="3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13"/>
        </w:trPr>
        <w:tc>
          <w:tcPr>
            <w:tcW w:w="1960" w:type="dxa"/>
            <w:vAlign w:val="bottom"/>
          </w:tcPr>
          <w:p>
            <w:pPr>
              <w:ind w:left="40"/>
              <w:spacing w:after="0"/>
              <w:rPr>
                <w:sz w:val="20"/>
                <w:szCs w:val="20"/>
                <w:color w:val="auto"/>
              </w:rPr>
            </w:pPr>
            <w:r>
              <w:rPr>
                <w:rFonts w:ascii="Arial" w:cs="Arial" w:eastAsia="Arial" w:hAnsi="Arial"/>
                <w:sz w:val="14"/>
                <w:szCs w:val="14"/>
                <w:b w:val="1"/>
                <w:bCs w:val="1"/>
                <w:color w:val="012E6C"/>
              </w:rPr>
              <w:t>Richard H. Edwards</w:t>
            </w:r>
          </w:p>
        </w:tc>
        <w:tc>
          <w:tcPr>
            <w:tcW w:w="5700" w:type="dxa"/>
            <w:vAlign w:val="bottom"/>
            <w:tcBorders>
              <w:bottom w:val="single" w:sz="8" w:color="959595"/>
            </w:tcBorders>
          </w:tcPr>
          <w:p>
            <w:pPr>
              <w:ind w:left="20"/>
              <w:spacing w:after="0"/>
              <w:rPr>
                <w:sz w:val="20"/>
                <w:szCs w:val="20"/>
                <w:color w:val="auto"/>
              </w:rPr>
            </w:pPr>
            <w:r>
              <w:rPr>
                <w:rFonts w:ascii="Arial" w:cs="Arial" w:eastAsia="Arial" w:hAnsi="Arial"/>
                <w:sz w:val="14"/>
                <w:szCs w:val="14"/>
                <w:color w:val="auto"/>
              </w:rPr>
              <w:t>Lockheed Martin Corporation Salaried Employee Retirement Program</w:t>
            </w:r>
          </w:p>
        </w:tc>
        <w:tc>
          <w:tcPr>
            <w:tcW w:w="1380" w:type="dxa"/>
            <w:vAlign w:val="bottom"/>
            <w:tcBorders>
              <w:bottom w:val="single" w:sz="8" w:color="959595"/>
            </w:tcBorders>
          </w:tcPr>
          <w:p>
            <w:pPr>
              <w:jc w:val="right"/>
              <w:ind w:right="150"/>
              <w:spacing w:after="0"/>
              <w:rPr>
                <w:sz w:val="20"/>
                <w:szCs w:val="20"/>
                <w:color w:val="auto"/>
              </w:rPr>
            </w:pPr>
            <w:r>
              <w:rPr>
                <w:rFonts w:ascii="Arial" w:cs="Arial" w:eastAsia="Arial" w:hAnsi="Arial"/>
                <w:sz w:val="14"/>
                <w:szCs w:val="14"/>
                <w:color w:val="auto"/>
              </w:rPr>
              <w:t>35.3</w:t>
            </w:r>
          </w:p>
        </w:tc>
        <w:tc>
          <w:tcPr>
            <w:tcW w:w="1380" w:type="dxa"/>
            <w:vAlign w:val="bottom"/>
            <w:tcBorders>
              <w:bottom w:val="single" w:sz="8" w:color="959595"/>
            </w:tcBorders>
          </w:tcPr>
          <w:p>
            <w:pPr>
              <w:jc w:val="right"/>
              <w:ind w:right="170"/>
              <w:spacing w:after="0"/>
              <w:rPr>
                <w:sz w:val="20"/>
                <w:szCs w:val="20"/>
                <w:color w:val="auto"/>
              </w:rPr>
            </w:pPr>
            <w:r>
              <w:rPr>
                <w:rFonts w:ascii="Arial" w:cs="Arial" w:eastAsia="Arial" w:hAnsi="Arial"/>
                <w:sz w:val="14"/>
                <w:szCs w:val="14"/>
                <w:color w:val="auto"/>
              </w:rPr>
              <w:t>1,824,443</w:t>
            </w:r>
          </w:p>
        </w:tc>
        <w:tc>
          <w:tcPr>
            <w:tcW w:w="1000" w:type="dxa"/>
            <w:vAlign w:val="bottom"/>
            <w:tcBorders>
              <w:bottom w:val="single" w:sz="8" w:color="959595"/>
            </w:tcBorders>
          </w:tcPr>
          <w:p>
            <w:pPr>
              <w:jc w:val="right"/>
              <w:ind w:right="3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47"/>
        </w:trPr>
        <w:tc>
          <w:tcPr>
            <w:tcW w:w="1960" w:type="dxa"/>
            <w:vAlign w:val="bottom"/>
            <w:tcBorders>
              <w:bottom w:val="single" w:sz="8" w:color="959595"/>
            </w:tcBorders>
          </w:tcPr>
          <w:p>
            <w:pPr>
              <w:spacing w:after="0"/>
              <w:rPr>
                <w:sz w:val="21"/>
                <w:szCs w:val="21"/>
                <w:color w:val="auto"/>
              </w:rPr>
            </w:pPr>
          </w:p>
        </w:tc>
        <w:tc>
          <w:tcPr>
            <w:tcW w:w="5700" w:type="dxa"/>
            <w:vAlign w:val="bottom"/>
            <w:tcBorders>
              <w:bottom w:val="single" w:sz="8" w:color="959595"/>
            </w:tcBorders>
          </w:tcPr>
          <w:p>
            <w:pPr>
              <w:ind w:left="20"/>
              <w:spacing w:after="0"/>
              <w:rPr>
                <w:sz w:val="20"/>
                <w:szCs w:val="20"/>
                <w:color w:val="auto"/>
              </w:rPr>
            </w:pPr>
            <w:r>
              <w:rPr>
                <w:rFonts w:ascii="Arial" w:cs="Arial" w:eastAsia="Arial" w:hAnsi="Arial"/>
                <w:sz w:val="14"/>
                <w:szCs w:val="14"/>
                <w:color w:val="auto"/>
              </w:rPr>
              <w:t>Lockheed Martin Corporation Supplemental Retirement Plan</w:t>
            </w:r>
          </w:p>
        </w:tc>
        <w:tc>
          <w:tcPr>
            <w:tcW w:w="1380" w:type="dxa"/>
            <w:vAlign w:val="bottom"/>
            <w:tcBorders>
              <w:bottom w:val="single" w:sz="8" w:color="959595"/>
            </w:tcBorders>
          </w:tcPr>
          <w:p>
            <w:pPr>
              <w:jc w:val="right"/>
              <w:ind w:right="15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959595"/>
            </w:tcBorders>
          </w:tcPr>
          <w:p>
            <w:pPr>
              <w:jc w:val="right"/>
              <w:ind w:right="170"/>
              <w:spacing w:after="0"/>
              <w:rPr>
                <w:sz w:val="20"/>
                <w:szCs w:val="20"/>
                <w:color w:val="auto"/>
              </w:rPr>
            </w:pPr>
            <w:r>
              <w:rPr>
                <w:rFonts w:ascii="Arial" w:cs="Arial" w:eastAsia="Arial" w:hAnsi="Arial"/>
                <w:sz w:val="14"/>
                <w:szCs w:val="14"/>
                <w:color w:val="auto"/>
              </w:rPr>
              <w:t>11,140,055</w:t>
            </w:r>
          </w:p>
        </w:tc>
        <w:tc>
          <w:tcPr>
            <w:tcW w:w="1000" w:type="dxa"/>
            <w:vAlign w:val="bottom"/>
            <w:tcBorders>
              <w:bottom w:val="single" w:sz="8" w:color="959595"/>
            </w:tcBorders>
          </w:tcPr>
          <w:p>
            <w:pPr>
              <w:jc w:val="right"/>
              <w:ind w:right="3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13"/>
        </w:trPr>
        <w:tc>
          <w:tcPr>
            <w:tcW w:w="1960" w:type="dxa"/>
            <w:vAlign w:val="bottom"/>
          </w:tcPr>
          <w:p>
            <w:pPr>
              <w:ind w:left="40"/>
              <w:spacing w:after="0"/>
              <w:rPr>
                <w:sz w:val="20"/>
                <w:szCs w:val="20"/>
                <w:color w:val="auto"/>
              </w:rPr>
            </w:pPr>
            <w:r>
              <w:rPr>
                <w:rFonts w:ascii="Arial" w:cs="Arial" w:eastAsia="Arial" w:hAnsi="Arial"/>
                <w:sz w:val="14"/>
                <w:szCs w:val="14"/>
                <w:b w:val="1"/>
                <w:bCs w:val="1"/>
                <w:color w:val="012E6C"/>
              </w:rPr>
              <w:t>Frank A. St. John</w:t>
            </w:r>
          </w:p>
        </w:tc>
        <w:tc>
          <w:tcPr>
            <w:tcW w:w="5700" w:type="dxa"/>
            <w:vAlign w:val="bottom"/>
            <w:tcBorders>
              <w:bottom w:val="single" w:sz="8" w:color="959595"/>
            </w:tcBorders>
          </w:tcPr>
          <w:p>
            <w:pPr>
              <w:ind w:left="20"/>
              <w:spacing w:after="0"/>
              <w:rPr>
                <w:sz w:val="20"/>
                <w:szCs w:val="20"/>
                <w:color w:val="auto"/>
              </w:rPr>
            </w:pPr>
            <w:r>
              <w:rPr>
                <w:rFonts w:ascii="Arial" w:cs="Arial" w:eastAsia="Arial" w:hAnsi="Arial"/>
                <w:sz w:val="14"/>
                <w:szCs w:val="14"/>
                <w:color w:val="auto"/>
              </w:rPr>
              <w:t>Lockheed Martin Corporation Salaried Employee Retirement Program</w:t>
            </w:r>
          </w:p>
        </w:tc>
        <w:tc>
          <w:tcPr>
            <w:tcW w:w="1380" w:type="dxa"/>
            <w:vAlign w:val="bottom"/>
            <w:tcBorders>
              <w:bottom w:val="single" w:sz="8" w:color="959595"/>
            </w:tcBorders>
          </w:tcPr>
          <w:p>
            <w:pPr>
              <w:jc w:val="right"/>
              <w:ind w:right="150"/>
              <w:spacing w:after="0"/>
              <w:rPr>
                <w:sz w:val="20"/>
                <w:szCs w:val="20"/>
                <w:color w:val="auto"/>
              </w:rPr>
            </w:pPr>
            <w:r>
              <w:rPr>
                <w:rFonts w:ascii="Arial" w:cs="Arial" w:eastAsia="Arial" w:hAnsi="Arial"/>
                <w:sz w:val="14"/>
                <w:szCs w:val="14"/>
                <w:color w:val="auto"/>
              </w:rPr>
              <w:t>31.6</w:t>
            </w:r>
          </w:p>
        </w:tc>
        <w:tc>
          <w:tcPr>
            <w:tcW w:w="1380" w:type="dxa"/>
            <w:vAlign w:val="bottom"/>
            <w:tcBorders>
              <w:bottom w:val="single" w:sz="8" w:color="959595"/>
            </w:tcBorders>
          </w:tcPr>
          <w:p>
            <w:pPr>
              <w:jc w:val="right"/>
              <w:ind w:right="170"/>
              <w:spacing w:after="0"/>
              <w:rPr>
                <w:sz w:val="20"/>
                <w:szCs w:val="20"/>
                <w:color w:val="auto"/>
              </w:rPr>
            </w:pPr>
            <w:r>
              <w:rPr>
                <w:rFonts w:ascii="Arial" w:cs="Arial" w:eastAsia="Arial" w:hAnsi="Arial"/>
                <w:sz w:val="14"/>
                <w:szCs w:val="14"/>
                <w:color w:val="auto"/>
              </w:rPr>
              <w:t>1,225,884</w:t>
            </w:r>
          </w:p>
        </w:tc>
        <w:tc>
          <w:tcPr>
            <w:tcW w:w="1000" w:type="dxa"/>
            <w:vAlign w:val="bottom"/>
            <w:tcBorders>
              <w:bottom w:val="single" w:sz="8" w:color="959595"/>
            </w:tcBorders>
          </w:tcPr>
          <w:p>
            <w:pPr>
              <w:jc w:val="right"/>
              <w:ind w:right="3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47"/>
        </w:trPr>
        <w:tc>
          <w:tcPr>
            <w:tcW w:w="1960" w:type="dxa"/>
            <w:vAlign w:val="bottom"/>
            <w:tcBorders>
              <w:bottom w:val="single" w:sz="8" w:color="959595"/>
            </w:tcBorders>
          </w:tcPr>
          <w:p>
            <w:pPr>
              <w:spacing w:after="0"/>
              <w:rPr>
                <w:sz w:val="21"/>
                <w:szCs w:val="21"/>
                <w:color w:val="auto"/>
              </w:rPr>
            </w:pPr>
          </w:p>
        </w:tc>
        <w:tc>
          <w:tcPr>
            <w:tcW w:w="5700" w:type="dxa"/>
            <w:vAlign w:val="bottom"/>
            <w:tcBorders>
              <w:bottom w:val="single" w:sz="8" w:color="959595"/>
            </w:tcBorders>
          </w:tcPr>
          <w:p>
            <w:pPr>
              <w:ind w:left="20"/>
              <w:spacing w:after="0"/>
              <w:rPr>
                <w:sz w:val="20"/>
                <w:szCs w:val="20"/>
                <w:color w:val="auto"/>
              </w:rPr>
            </w:pPr>
            <w:r>
              <w:rPr>
                <w:rFonts w:ascii="Arial" w:cs="Arial" w:eastAsia="Arial" w:hAnsi="Arial"/>
                <w:sz w:val="14"/>
                <w:szCs w:val="14"/>
                <w:color w:val="auto"/>
              </w:rPr>
              <w:t>Lockheed Martin Corporation Supplemental Retirement Plan</w:t>
            </w:r>
          </w:p>
        </w:tc>
        <w:tc>
          <w:tcPr>
            <w:tcW w:w="1380" w:type="dxa"/>
            <w:vAlign w:val="bottom"/>
            <w:tcBorders>
              <w:bottom w:val="single" w:sz="8" w:color="959595"/>
            </w:tcBorders>
          </w:tcPr>
          <w:p>
            <w:pPr>
              <w:jc w:val="right"/>
              <w:ind w:right="15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959595"/>
            </w:tcBorders>
          </w:tcPr>
          <w:p>
            <w:pPr>
              <w:jc w:val="right"/>
              <w:ind w:right="170"/>
              <w:spacing w:after="0"/>
              <w:rPr>
                <w:sz w:val="20"/>
                <w:szCs w:val="20"/>
                <w:color w:val="auto"/>
              </w:rPr>
            </w:pPr>
            <w:r>
              <w:rPr>
                <w:rFonts w:ascii="Arial" w:cs="Arial" w:eastAsia="Arial" w:hAnsi="Arial"/>
                <w:sz w:val="14"/>
                <w:szCs w:val="14"/>
                <w:color w:val="auto"/>
              </w:rPr>
              <w:t>2,903,320</w:t>
            </w:r>
          </w:p>
        </w:tc>
        <w:tc>
          <w:tcPr>
            <w:tcW w:w="1000" w:type="dxa"/>
            <w:vAlign w:val="bottom"/>
            <w:tcBorders>
              <w:bottom w:val="single" w:sz="8" w:color="959595"/>
            </w:tcBorders>
          </w:tcPr>
          <w:p>
            <w:pPr>
              <w:jc w:val="right"/>
              <w:ind w:right="3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25"/>
          <w:szCs w:val="25"/>
          <w:color w:val="475C90"/>
        </w:rPr>
        <w:t>Plan Name (Column (b))</w:t>
      </w:r>
    </w:p>
    <w:p>
      <w:pPr>
        <w:spacing w:after="0" w:line="242"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Lockheed Martin Corporation Supplemental Retirement Plan (Supplemental Pension) uses the same formula for benefits as the tax-qualified plan uses for calculating the NEO’s benefit. Although all service recognized under the tax-qualified plan is recognized under the Supplemental Pension, a benefit would be earned under the Supplemental Pension only in years when the NEO’s total accrued benefit would exceed the benefit accrued under the tax-qualified plan. The Supplemental Pension benefits are payable in the same form as benefits are paid under the LMRP, except lump sum payments are available under the Supplemental Pension.</w:t>
      </w:r>
    </w:p>
    <w:p>
      <w:pPr>
        <w:spacing w:after="0" w:line="157" w:lineRule="exact"/>
        <w:rPr>
          <w:sz w:val="20"/>
          <w:szCs w:val="20"/>
          <w:color w:val="auto"/>
        </w:rPr>
      </w:pPr>
    </w:p>
    <w:p>
      <w:pPr>
        <w:spacing w:after="0"/>
        <w:rPr>
          <w:sz w:val="20"/>
          <w:szCs w:val="20"/>
          <w:color w:val="auto"/>
        </w:rPr>
      </w:pPr>
      <w:r>
        <w:rPr>
          <w:rFonts w:ascii="Arial" w:cs="Arial" w:eastAsia="Arial" w:hAnsi="Arial"/>
          <w:sz w:val="25"/>
          <w:szCs w:val="25"/>
          <w:color w:val="475C90"/>
        </w:rPr>
        <w:t>Present Value of Accumulated Benefit (Column (d))</w:t>
      </w:r>
    </w:p>
    <w:p>
      <w:pPr>
        <w:spacing w:after="0" w:line="242"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The amounts in column (d) were computed using the same assumptions we used to account for pension liabilities in our financial statements and as described in Note 11 to our financial statements contained in our 2018 Annual Report, except that the amounts were calculated based on benefits commencing at age 60 (or current age if greater). We used these ages rather than the plan’s normal retirement age of 65 because an employee may commence receiving pension benefits at age 60 without any reduction for early commencement. A portion of Mr. Tanner’s benefit was earned under the Prior Plan that applies a reduction for early commencement at age 60. The amounts shown for Mr. Tanner reflect the reduction for early commencement of the benefit. Amounts paid under our plans use assumptions contained in the plans and may be different than those used for financial statement reporting purposes. Only the benefit payable under the Supplemental Pension is payable in the form of a lump sum. If a NEO elected a lump sum payment, the amount of the lump sum would be based on plan assumptions and not the assumptions used for financial statement reporting purposes. As a result, the actual lump sum payment would be an amount different than what is reported in this table. The age of the NEO at retirement would also impact the size of the lump sum payment. The amount using plan assumptions is shown on the “Potential Payments Upon Termination or Change in Control”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451485</wp:posOffset>
            </wp:positionV>
            <wp:extent cx="1440815" cy="3257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440815" cy="325755"/>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808080"/>
        </w:rPr>
        <w:t>60</w:t>
      </w:r>
    </w:p>
    <w:p>
      <w:pPr>
        <w:sectPr>
          <w:pgSz w:w="11900" w:h="16838" w:orient="portrait"/>
          <w:cols w:equalWidth="0" w:num="1">
            <w:col w:w="11420"/>
          </w:cols>
          <w:pgMar w:left="240" w:top="292" w:right="239" w:bottom="1440" w:gutter="0" w:footer="0" w:header="0"/>
          <w:type w:val="continuous"/>
        </w:sectPr>
      </w:pPr>
    </w:p>
    <w:bookmarkStart w:id="63" w:name="page64"/>
    <w:bookmarkEnd w:id="63"/>
    <w:p>
      <w:pPr>
        <w:jc w:val="right"/>
        <w:spacing w:after="0"/>
        <w:rPr>
          <w:sz w:val="20"/>
          <w:szCs w:val="20"/>
          <w:color w:val="auto"/>
        </w:rPr>
      </w:pPr>
      <w:r>
        <w:rPr>
          <w:rFonts w:ascii="Arial" w:cs="Arial" w:eastAsia="Arial" w:hAnsi="Arial"/>
          <w:sz w:val="15"/>
          <w:szCs w:val="15"/>
          <w:color w:val="003478"/>
        </w:rPr>
        <w:t>Executive Compensation</w:t>
      </w:r>
    </w:p>
    <w:p>
      <w:pPr>
        <w:spacing w:after="0" w:line="334" w:lineRule="exact"/>
        <w:rPr>
          <w:sz w:val="20"/>
          <w:szCs w:val="20"/>
          <w:color w:val="auto"/>
        </w:rPr>
      </w:pPr>
    </w:p>
    <w:p>
      <w:pPr>
        <w:spacing w:after="0"/>
        <w:rPr>
          <w:sz w:val="20"/>
          <w:szCs w:val="20"/>
          <w:color w:val="auto"/>
        </w:rPr>
      </w:pPr>
      <w:r>
        <w:rPr>
          <w:rFonts w:ascii="Arial" w:cs="Arial" w:eastAsia="Arial" w:hAnsi="Arial"/>
          <w:sz w:val="29"/>
          <w:szCs w:val="29"/>
          <w:b w:val="1"/>
          <w:bCs w:val="1"/>
          <w:color w:val="012E6C"/>
        </w:rPr>
        <w:t>2018 Nonqualified Deferred Compensation</w:t>
      </w:r>
    </w:p>
    <w:p>
      <w:pPr>
        <w:spacing w:after="0" w:line="250"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Participants in our tax-qualified 401(k) plan may defer up to 40% of base salary on a pre-tax, Roth or after-tax basis. In addition, we make a matching contribution equal to 50% of up to the first 8% of base salary contributed by the participant. Employee and Corporation matching contributions in excess of the Internal Revenue Code limitations may be contributed to the NQSSP on a pre-tax basis at the election of the NEO. We also make Corporation contributions in excess of the Internal Revenue Code limitations to the NCAP equal to 2% of the NEO’s base salary. Employee contributions, matching and Corporation contributions to the plans are nonforfeitable at all times. NQSSP and NCAP contributions are credited with earnings or losses, as appropriate, based on the investment option or options in which the account has been invested, as elected by the participant. Each of the NQSSP and NCAP investment options is available under our tax-qualified 401(k) plan for salaried employees. The NQSSP and NCAP provide for payment following termination of employment in a lump sum or up to 25 annual installments at the participant’s election. All amounts accumulated and unpaid under the NQSSP and NCAP must be paid in a lump sum within 15 calendar days following a change in control.</w:t>
      </w:r>
    </w:p>
    <w:p>
      <w:pPr>
        <w:spacing w:after="0" w:line="18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Deferred Management Incentive Compensation Plan (DMICP) provides the opportunity to defer, until termination of employment or beyond, the receipt of all or a portion of annual incentive bonuses and LTIP awards. NEOs may elect any of the investment funds available in the NQSSP (with the exception of the Company Stock Fund) or two investment alternatives available only under the DMICP for crediting earnings (losses). Under the DMICP Stock Investment Option, earnings (losses) on deferred amounts will accrue at a rate that tracks the performance of our common stock, including reinvestment of dividends. Under the DMICP Interest Investment Option, earnings accrue at a rate equivalent to the then published rate for computing the present value of future benefits under Cost Accounting Standards 415, Deferred Compensation (CAS 415 rate). The Interest Investment Option was closed to new deferrals and transfers from other investment options effective July 1, 2009, however, as was the case in 2018, minimal above-market amounts may be reported for prior year deferrals. Amounts credited to the Stock Investment Option may not be reallocated to other options. In addition, Stock Investment Option deferrals will be paid in shares of our common stock upon distribution. The DMICP provides for payment in January or July following termination of employment in a lump sum or up to 25 annual installments at the NEO’s election. All amounts accumulated under the DMICP must be paid in a lump sum within 15 days following a change in control.</w:t>
      </w:r>
    </w:p>
    <w:p>
      <w:pPr>
        <w:spacing w:after="0" w:line="200" w:lineRule="exact"/>
        <w:rPr>
          <w:sz w:val="20"/>
          <w:szCs w:val="20"/>
          <w:color w:val="auto"/>
        </w:rPr>
      </w:pPr>
    </w:p>
    <w:p>
      <w:pPr>
        <w:spacing w:after="0" w:line="271" w:lineRule="exact"/>
        <w:rPr>
          <w:sz w:val="20"/>
          <w:szCs w:val="20"/>
          <w:color w:val="auto"/>
        </w:rPr>
      </w:pPr>
    </w:p>
    <w:p>
      <w:pPr>
        <w:ind w:left="40"/>
        <w:spacing w:after="0"/>
        <w:tabs>
          <w:tab w:leader="none" w:pos="9420" w:val="left"/>
          <w:tab w:leader="none" w:pos="1122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2019 Proxy Statement</w:t>
      </w:r>
      <w:r>
        <w:rPr>
          <w:sz w:val="20"/>
          <w:szCs w:val="20"/>
          <w:color w:val="auto"/>
        </w:rPr>
        <w:tab/>
      </w:r>
      <w:r>
        <w:rPr>
          <w:rFonts w:ascii="Arial" w:cs="Arial" w:eastAsia="Arial" w:hAnsi="Arial"/>
          <w:sz w:val="14"/>
          <w:szCs w:val="14"/>
          <w:b w:val="1"/>
          <w:bCs w:val="1"/>
          <w:color w:val="808080"/>
        </w:rPr>
        <w:t>61</w:t>
      </w:r>
    </w:p>
    <w:p>
      <w:pPr>
        <w:sectPr>
          <w:pgSz w:w="11900" w:h="16838" w:orient="portrait"/>
          <w:cols w:equalWidth="0" w:num="1">
            <w:col w:w="11420"/>
          </w:cols>
          <w:pgMar w:left="240" w:top="292" w:right="239" w:bottom="1440" w:gutter="0" w:footer="0" w:header="0"/>
        </w:sectPr>
      </w:pPr>
    </w:p>
    <w:bookmarkStart w:id="64" w:name="page65"/>
    <w:bookmarkEnd w:id="64"/>
    <w:p>
      <w:pPr>
        <w:spacing w:after="0"/>
        <w:rPr>
          <w:sz w:val="20"/>
          <w:szCs w:val="20"/>
          <w:color w:val="auto"/>
        </w:rPr>
      </w:pPr>
      <w:r>
        <w:rPr>
          <w:rFonts w:ascii="Arial" w:cs="Arial" w:eastAsia="Arial" w:hAnsi="Arial"/>
          <w:sz w:val="15"/>
          <w:szCs w:val="15"/>
          <w:color w:val="003478"/>
        </w:rPr>
        <w:t>Executive Compensation</w:t>
      </w:r>
    </w:p>
    <w:p>
      <w:pPr>
        <w:spacing w:after="0" w:line="363"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This table reports compensation earned by the NEOs and deferred under NQSSP, NCAP and DMICP. The NQSSP is a nonqualified 401(k) plan with a match on a portion of the salary deferral. The NCAP is a nonqualified defined contribution excess plan with Corporation contributions. The DMICP is a nonqualified deferred compensation plan through which participants may defer two types of compensation:</w:t>
      </w:r>
    </w:p>
    <w:p>
      <w:pPr>
        <w:spacing w:after="0" w:line="166" w:lineRule="exact"/>
        <w:rPr>
          <w:sz w:val="20"/>
          <w:szCs w:val="20"/>
          <w:color w:val="auto"/>
        </w:rPr>
      </w:pPr>
    </w:p>
    <w:p>
      <w:pPr>
        <w:ind w:left="260" w:hanging="130"/>
        <w:spacing w:after="0"/>
        <w:tabs>
          <w:tab w:leader="none" w:pos="260" w:val="left"/>
        </w:tabs>
        <w:numPr>
          <w:ilvl w:val="0"/>
          <w:numId w:val="85"/>
        </w:numPr>
        <w:rPr>
          <w:rFonts w:ascii="Arial" w:cs="Arial" w:eastAsia="Arial" w:hAnsi="Arial"/>
          <w:sz w:val="17"/>
          <w:szCs w:val="17"/>
          <w:color w:val="012E6C"/>
        </w:rPr>
      </w:pPr>
      <w:r>
        <w:rPr>
          <w:rFonts w:ascii="Arial" w:cs="Arial" w:eastAsia="Arial" w:hAnsi="Arial"/>
          <w:sz w:val="17"/>
          <w:szCs w:val="17"/>
          <w:color w:val="auto"/>
        </w:rPr>
        <w:t>Annual incentive bonus (DMICP (Bonus)).</w:t>
      </w:r>
    </w:p>
    <w:p>
      <w:pPr>
        <w:spacing w:after="0" w:line="236" w:lineRule="exact"/>
        <w:rPr>
          <w:rFonts w:ascii="Arial" w:cs="Arial" w:eastAsia="Arial" w:hAnsi="Arial"/>
          <w:sz w:val="17"/>
          <w:szCs w:val="17"/>
          <w:color w:val="012E6C"/>
        </w:rPr>
      </w:pPr>
    </w:p>
    <w:p>
      <w:pPr>
        <w:ind w:left="260" w:hanging="130"/>
        <w:spacing w:after="0"/>
        <w:tabs>
          <w:tab w:leader="none" w:pos="260" w:val="left"/>
        </w:tabs>
        <w:numPr>
          <w:ilvl w:val="0"/>
          <w:numId w:val="85"/>
        </w:numPr>
        <w:rPr>
          <w:rFonts w:ascii="Arial" w:cs="Arial" w:eastAsia="Arial" w:hAnsi="Arial"/>
          <w:sz w:val="17"/>
          <w:szCs w:val="17"/>
          <w:color w:val="012E6C"/>
        </w:rPr>
      </w:pPr>
      <w:r>
        <w:rPr>
          <w:rFonts w:ascii="Arial" w:cs="Arial" w:eastAsia="Arial" w:hAnsi="Arial"/>
          <w:sz w:val="17"/>
          <w:szCs w:val="17"/>
          <w:color w:val="auto"/>
        </w:rPr>
        <w:t>Amounts payable under our LTIP program (DMICP (LTIP)).</w:t>
      </w:r>
    </w:p>
    <w:p>
      <w:pPr>
        <w:spacing w:after="0" w:line="207" w:lineRule="exact"/>
        <w:rPr>
          <w:sz w:val="20"/>
          <w:szCs w:val="20"/>
          <w:color w:val="auto"/>
        </w:rPr>
      </w:pPr>
    </w:p>
    <w:p>
      <w:pPr>
        <w:spacing w:after="0"/>
        <w:rPr>
          <w:sz w:val="20"/>
          <w:szCs w:val="20"/>
          <w:color w:val="auto"/>
        </w:rPr>
      </w:pPr>
      <w:r>
        <w:rPr>
          <w:rFonts w:ascii="Arial" w:cs="Arial" w:eastAsia="Arial" w:hAnsi="Arial"/>
          <w:sz w:val="29"/>
          <w:szCs w:val="29"/>
          <w:b w:val="1"/>
          <w:bCs w:val="1"/>
          <w:color w:val="012E6C"/>
        </w:rPr>
        <w:t>2018 Nonqualified Deferred Compensation Table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720" w:type="dxa"/>
            <w:vAlign w:val="bottom"/>
            <w:shd w:val="clear" w:color="auto" w:fill="ECECEC"/>
          </w:tcPr>
          <w:p>
            <w:pPr>
              <w:spacing w:after="0"/>
              <w:rPr>
                <w:sz w:val="13"/>
                <w:szCs w:val="13"/>
                <w:color w:val="auto"/>
              </w:rPr>
            </w:pPr>
          </w:p>
        </w:tc>
        <w:tc>
          <w:tcPr>
            <w:tcW w:w="1140" w:type="dxa"/>
            <w:vAlign w:val="bottom"/>
            <w:shd w:val="clear" w:color="auto" w:fill="ECECEC"/>
          </w:tcPr>
          <w:p>
            <w:pPr>
              <w:spacing w:after="0"/>
              <w:rPr>
                <w:sz w:val="13"/>
                <w:szCs w:val="13"/>
                <w:color w:val="auto"/>
              </w:rPr>
            </w:pPr>
          </w:p>
        </w:tc>
        <w:tc>
          <w:tcPr>
            <w:tcW w:w="1240" w:type="dxa"/>
            <w:vAlign w:val="bottom"/>
            <w:shd w:val="clear" w:color="auto" w:fill="ECECEC"/>
          </w:tcPr>
          <w:p>
            <w:pPr>
              <w:jc w:val="right"/>
              <w:ind w:right="129"/>
              <w:spacing w:after="0"/>
              <w:rPr>
                <w:sz w:val="20"/>
                <w:szCs w:val="20"/>
                <w:color w:val="auto"/>
              </w:rPr>
            </w:pPr>
            <w:r>
              <w:rPr>
                <w:rFonts w:ascii="Arial" w:cs="Arial" w:eastAsia="Arial" w:hAnsi="Arial"/>
                <w:sz w:val="13"/>
                <w:szCs w:val="13"/>
                <w:color w:val="auto"/>
              </w:rPr>
              <w:t>Executive</w:t>
            </w:r>
          </w:p>
        </w:tc>
        <w:tc>
          <w:tcPr>
            <w:tcW w:w="1160" w:type="dxa"/>
            <w:vAlign w:val="bottom"/>
            <w:shd w:val="clear" w:color="auto" w:fill="ECECEC"/>
          </w:tcPr>
          <w:p>
            <w:pPr>
              <w:jc w:val="right"/>
              <w:ind w:right="149"/>
              <w:spacing w:after="0"/>
              <w:rPr>
                <w:sz w:val="20"/>
                <w:szCs w:val="20"/>
                <w:color w:val="auto"/>
              </w:rPr>
            </w:pPr>
            <w:r>
              <w:rPr>
                <w:rFonts w:ascii="Arial" w:cs="Arial" w:eastAsia="Arial" w:hAnsi="Arial"/>
                <w:sz w:val="13"/>
                <w:szCs w:val="13"/>
                <w:color w:val="auto"/>
              </w:rPr>
              <w:t>Registrant</w:t>
            </w:r>
          </w:p>
        </w:tc>
        <w:tc>
          <w:tcPr>
            <w:tcW w:w="1140" w:type="dxa"/>
            <w:vAlign w:val="bottom"/>
            <w:shd w:val="clear" w:color="auto" w:fill="ECECEC"/>
          </w:tcPr>
          <w:p>
            <w:pPr>
              <w:jc w:val="right"/>
              <w:ind w:right="149"/>
              <w:spacing w:after="0"/>
              <w:rPr>
                <w:sz w:val="20"/>
                <w:szCs w:val="20"/>
                <w:color w:val="auto"/>
              </w:rPr>
            </w:pPr>
            <w:r>
              <w:rPr>
                <w:rFonts w:ascii="Arial" w:cs="Arial" w:eastAsia="Arial" w:hAnsi="Arial"/>
                <w:sz w:val="13"/>
                <w:szCs w:val="13"/>
                <w:color w:val="auto"/>
              </w:rPr>
              <w:t>Aggregate</w:t>
            </w:r>
          </w:p>
        </w:tc>
        <w:tc>
          <w:tcPr>
            <w:tcW w:w="1020" w:type="dxa"/>
            <w:vAlign w:val="bottom"/>
            <w:shd w:val="clear" w:color="auto" w:fill="ECECEC"/>
          </w:tcPr>
          <w:p>
            <w:pPr>
              <w:jc w:val="right"/>
              <w:ind w:right="29"/>
              <w:spacing w:after="0"/>
              <w:rPr>
                <w:sz w:val="20"/>
                <w:szCs w:val="20"/>
                <w:color w:val="auto"/>
              </w:rPr>
            </w:pPr>
            <w:r>
              <w:rPr>
                <w:rFonts w:ascii="Arial" w:cs="Arial" w:eastAsia="Arial" w:hAnsi="Arial"/>
                <w:sz w:val="13"/>
                <w:szCs w:val="13"/>
                <w:color w:val="auto"/>
              </w:rPr>
              <w:t>Aggregate</w:t>
            </w:r>
          </w:p>
        </w:tc>
      </w:tr>
      <w:tr>
        <w:trPr>
          <w:trHeight w:val="135"/>
        </w:trPr>
        <w:tc>
          <w:tcPr>
            <w:tcW w:w="5720" w:type="dxa"/>
            <w:vAlign w:val="bottom"/>
            <w:shd w:val="clear" w:color="auto" w:fill="ECECEC"/>
          </w:tcPr>
          <w:p>
            <w:pPr>
              <w:spacing w:after="0"/>
              <w:rPr>
                <w:sz w:val="11"/>
                <w:szCs w:val="11"/>
                <w:color w:val="auto"/>
              </w:rPr>
            </w:pPr>
          </w:p>
        </w:tc>
        <w:tc>
          <w:tcPr>
            <w:tcW w:w="1140" w:type="dxa"/>
            <w:vAlign w:val="bottom"/>
            <w:shd w:val="clear" w:color="auto" w:fill="ECECEC"/>
          </w:tcPr>
          <w:p>
            <w:pPr>
              <w:spacing w:after="0"/>
              <w:rPr>
                <w:sz w:val="11"/>
                <w:szCs w:val="11"/>
                <w:color w:val="auto"/>
              </w:rPr>
            </w:pPr>
          </w:p>
        </w:tc>
        <w:tc>
          <w:tcPr>
            <w:tcW w:w="1240" w:type="dxa"/>
            <w:vAlign w:val="bottom"/>
            <w:shd w:val="clear" w:color="auto" w:fill="ECECEC"/>
          </w:tcPr>
          <w:p>
            <w:pPr>
              <w:jc w:val="right"/>
              <w:ind w:right="129"/>
              <w:spacing w:after="0" w:line="135" w:lineRule="exact"/>
              <w:rPr>
                <w:sz w:val="20"/>
                <w:szCs w:val="20"/>
                <w:color w:val="auto"/>
              </w:rPr>
            </w:pPr>
            <w:r>
              <w:rPr>
                <w:rFonts w:ascii="Arial" w:cs="Arial" w:eastAsia="Arial" w:hAnsi="Arial"/>
                <w:sz w:val="13"/>
                <w:szCs w:val="13"/>
                <w:color w:val="auto"/>
              </w:rPr>
              <w:t>Contributions</w:t>
            </w:r>
          </w:p>
        </w:tc>
        <w:tc>
          <w:tcPr>
            <w:tcW w:w="1160" w:type="dxa"/>
            <w:vAlign w:val="bottom"/>
            <w:shd w:val="clear" w:color="auto" w:fill="ECECEC"/>
          </w:tcPr>
          <w:p>
            <w:pPr>
              <w:jc w:val="right"/>
              <w:ind w:right="149"/>
              <w:spacing w:after="0" w:line="135" w:lineRule="exact"/>
              <w:rPr>
                <w:sz w:val="20"/>
                <w:szCs w:val="20"/>
                <w:color w:val="auto"/>
              </w:rPr>
            </w:pPr>
            <w:r>
              <w:rPr>
                <w:rFonts w:ascii="Arial" w:cs="Arial" w:eastAsia="Arial" w:hAnsi="Arial"/>
                <w:sz w:val="13"/>
                <w:szCs w:val="13"/>
                <w:color w:val="auto"/>
              </w:rPr>
              <w:t>Contributions</w:t>
            </w:r>
          </w:p>
        </w:tc>
        <w:tc>
          <w:tcPr>
            <w:tcW w:w="1140" w:type="dxa"/>
            <w:vAlign w:val="bottom"/>
            <w:shd w:val="clear" w:color="auto" w:fill="ECECEC"/>
          </w:tcPr>
          <w:p>
            <w:pPr>
              <w:jc w:val="right"/>
              <w:ind w:right="149"/>
              <w:spacing w:after="0" w:line="135" w:lineRule="exact"/>
              <w:rPr>
                <w:sz w:val="20"/>
                <w:szCs w:val="20"/>
                <w:color w:val="auto"/>
              </w:rPr>
            </w:pPr>
            <w:r>
              <w:rPr>
                <w:rFonts w:ascii="Arial" w:cs="Arial" w:eastAsia="Arial" w:hAnsi="Arial"/>
                <w:sz w:val="13"/>
                <w:szCs w:val="13"/>
                <w:color w:val="auto"/>
              </w:rPr>
              <w:t>Earnings in</w:t>
            </w:r>
          </w:p>
        </w:tc>
        <w:tc>
          <w:tcPr>
            <w:tcW w:w="1020" w:type="dxa"/>
            <w:vAlign w:val="bottom"/>
            <w:shd w:val="clear" w:color="auto" w:fill="ECECEC"/>
          </w:tcPr>
          <w:p>
            <w:pPr>
              <w:jc w:val="right"/>
              <w:ind w:right="29"/>
              <w:spacing w:after="0" w:line="135" w:lineRule="exact"/>
              <w:rPr>
                <w:sz w:val="20"/>
                <w:szCs w:val="20"/>
                <w:color w:val="auto"/>
              </w:rPr>
            </w:pPr>
            <w:r>
              <w:rPr>
                <w:rFonts w:ascii="Arial" w:cs="Arial" w:eastAsia="Arial" w:hAnsi="Arial"/>
                <w:sz w:val="13"/>
                <w:szCs w:val="13"/>
                <w:color w:val="auto"/>
              </w:rPr>
              <w:t>Balance at</w:t>
            </w:r>
          </w:p>
        </w:tc>
      </w:tr>
      <w:tr>
        <w:trPr>
          <w:trHeight w:val="170"/>
        </w:trPr>
        <w:tc>
          <w:tcPr>
            <w:tcW w:w="5720" w:type="dxa"/>
            <w:vAlign w:val="bottom"/>
            <w:shd w:val="clear" w:color="auto" w:fill="ECECEC"/>
          </w:tcPr>
          <w:p>
            <w:pPr>
              <w:spacing w:after="0"/>
              <w:rPr>
                <w:sz w:val="14"/>
                <w:szCs w:val="14"/>
                <w:color w:val="auto"/>
              </w:rPr>
            </w:pPr>
          </w:p>
        </w:tc>
        <w:tc>
          <w:tcPr>
            <w:tcW w:w="1140" w:type="dxa"/>
            <w:vAlign w:val="bottom"/>
            <w:shd w:val="clear" w:color="auto" w:fill="ECECEC"/>
          </w:tcPr>
          <w:p>
            <w:pPr>
              <w:spacing w:after="0"/>
              <w:rPr>
                <w:sz w:val="14"/>
                <w:szCs w:val="14"/>
                <w:color w:val="auto"/>
              </w:rPr>
            </w:pPr>
          </w:p>
        </w:tc>
        <w:tc>
          <w:tcPr>
            <w:tcW w:w="1240" w:type="dxa"/>
            <w:vAlign w:val="bottom"/>
            <w:shd w:val="clear" w:color="auto" w:fill="ECECEC"/>
          </w:tcPr>
          <w:p>
            <w:pPr>
              <w:jc w:val="right"/>
              <w:ind w:right="129"/>
              <w:spacing w:after="0"/>
              <w:rPr>
                <w:sz w:val="20"/>
                <w:szCs w:val="20"/>
                <w:color w:val="auto"/>
              </w:rPr>
            </w:pPr>
            <w:r>
              <w:rPr>
                <w:rFonts w:ascii="Arial" w:cs="Arial" w:eastAsia="Arial" w:hAnsi="Arial"/>
                <w:sz w:val="13"/>
                <w:szCs w:val="13"/>
                <w:color w:val="auto"/>
              </w:rPr>
              <w:t>in Last FY</w:t>
            </w:r>
          </w:p>
        </w:tc>
        <w:tc>
          <w:tcPr>
            <w:tcW w:w="1160" w:type="dxa"/>
            <w:vAlign w:val="bottom"/>
            <w:shd w:val="clear" w:color="auto" w:fill="ECECEC"/>
          </w:tcPr>
          <w:p>
            <w:pPr>
              <w:jc w:val="right"/>
              <w:ind w:right="149"/>
              <w:spacing w:after="0"/>
              <w:rPr>
                <w:sz w:val="20"/>
                <w:szCs w:val="20"/>
                <w:color w:val="auto"/>
              </w:rPr>
            </w:pPr>
            <w:r>
              <w:rPr>
                <w:rFonts w:ascii="Arial" w:cs="Arial" w:eastAsia="Arial" w:hAnsi="Arial"/>
                <w:sz w:val="13"/>
                <w:szCs w:val="13"/>
                <w:color w:val="auto"/>
              </w:rPr>
              <w:t>in Last FY</w:t>
            </w:r>
          </w:p>
        </w:tc>
        <w:tc>
          <w:tcPr>
            <w:tcW w:w="1140" w:type="dxa"/>
            <w:vAlign w:val="bottom"/>
            <w:shd w:val="clear" w:color="auto" w:fill="ECECEC"/>
          </w:tcPr>
          <w:p>
            <w:pPr>
              <w:jc w:val="right"/>
              <w:ind w:right="149"/>
              <w:spacing w:after="0"/>
              <w:rPr>
                <w:sz w:val="20"/>
                <w:szCs w:val="20"/>
                <w:color w:val="auto"/>
              </w:rPr>
            </w:pPr>
            <w:r>
              <w:rPr>
                <w:rFonts w:ascii="Arial" w:cs="Arial" w:eastAsia="Arial" w:hAnsi="Arial"/>
                <w:sz w:val="13"/>
                <w:szCs w:val="13"/>
                <w:color w:val="auto"/>
              </w:rPr>
              <w:t>Last FY</w:t>
            </w:r>
          </w:p>
        </w:tc>
        <w:tc>
          <w:tcPr>
            <w:tcW w:w="1020" w:type="dxa"/>
            <w:vAlign w:val="bottom"/>
            <w:shd w:val="clear" w:color="auto" w:fill="ECECEC"/>
          </w:tcPr>
          <w:p>
            <w:pPr>
              <w:jc w:val="right"/>
              <w:ind w:right="29"/>
              <w:spacing w:after="0"/>
              <w:rPr>
                <w:sz w:val="20"/>
                <w:szCs w:val="20"/>
                <w:color w:val="auto"/>
              </w:rPr>
            </w:pPr>
            <w:r>
              <w:rPr>
                <w:rFonts w:ascii="Arial" w:cs="Arial" w:eastAsia="Arial" w:hAnsi="Arial"/>
                <w:sz w:val="13"/>
                <w:szCs w:val="13"/>
                <w:color w:val="auto"/>
              </w:rPr>
              <w:t>Last FYE</w:t>
            </w:r>
          </w:p>
        </w:tc>
      </w:tr>
      <w:tr>
        <w:trPr>
          <w:trHeight w:val="278"/>
        </w:trPr>
        <w:tc>
          <w:tcPr>
            <w:tcW w:w="5720" w:type="dxa"/>
            <w:vAlign w:val="bottom"/>
            <w:tcBorders>
              <w:bottom w:val="single" w:sz="8" w:color="959595"/>
            </w:tcBorders>
            <w:shd w:val="clear" w:color="auto" w:fill="ECECEC"/>
          </w:tcPr>
          <w:p>
            <w:pPr>
              <w:ind w:left="40"/>
              <w:spacing w:after="0"/>
              <w:rPr>
                <w:sz w:val="20"/>
                <w:szCs w:val="20"/>
                <w:color w:val="auto"/>
              </w:rPr>
            </w:pPr>
            <w:r>
              <w:rPr>
                <w:rFonts w:ascii="Arial" w:cs="Arial" w:eastAsia="Arial" w:hAnsi="Arial"/>
                <w:sz w:val="13"/>
                <w:szCs w:val="13"/>
                <w:color w:val="auto"/>
              </w:rPr>
              <w:t>Name</w:t>
            </w:r>
          </w:p>
        </w:tc>
        <w:tc>
          <w:tcPr>
            <w:tcW w:w="1140" w:type="dxa"/>
            <w:vAlign w:val="bottom"/>
            <w:tcBorders>
              <w:bottom w:val="single" w:sz="8" w:color="959595"/>
            </w:tcBorders>
            <w:shd w:val="clear" w:color="auto" w:fill="ECECEC"/>
          </w:tcPr>
          <w:p>
            <w:pPr>
              <w:spacing w:after="0"/>
              <w:rPr>
                <w:sz w:val="24"/>
                <w:szCs w:val="24"/>
                <w:color w:val="auto"/>
              </w:rPr>
            </w:pPr>
          </w:p>
        </w:tc>
        <w:tc>
          <w:tcPr>
            <w:tcW w:w="1240" w:type="dxa"/>
            <w:vAlign w:val="bottom"/>
            <w:tcBorders>
              <w:bottom w:val="single" w:sz="8" w:color="959595"/>
            </w:tcBorders>
            <w:shd w:val="clear" w:color="auto" w:fill="ECECEC"/>
          </w:tcPr>
          <w:p>
            <w:pPr>
              <w:jc w:val="right"/>
              <w:ind w:right="129"/>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959595"/>
            </w:tcBorders>
            <w:shd w:val="clear" w:color="auto" w:fill="ECECEC"/>
          </w:tcPr>
          <w:p>
            <w:pPr>
              <w:jc w:val="right"/>
              <w:ind w:right="149"/>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959595"/>
            </w:tcBorders>
            <w:shd w:val="clear" w:color="auto" w:fill="ECECEC"/>
          </w:tcPr>
          <w:p>
            <w:pPr>
              <w:jc w:val="right"/>
              <w:ind w:right="149"/>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959595"/>
            </w:tcBorders>
            <w:shd w:val="clear" w:color="auto" w:fill="ECECEC"/>
          </w:tcPr>
          <w:p>
            <w:pPr>
              <w:jc w:val="right"/>
              <w:ind w:right="29"/>
              <w:spacing w:after="0"/>
              <w:rPr>
                <w:sz w:val="20"/>
                <w:szCs w:val="20"/>
                <w:color w:val="auto"/>
              </w:rPr>
            </w:pPr>
            <w:r>
              <w:rPr>
                <w:rFonts w:ascii="Arial" w:cs="Arial" w:eastAsia="Arial" w:hAnsi="Arial"/>
                <w:sz w:val="13"/>
                <w:szCs w:val="13"/>
                <w:color w:val="auto"/>
              </w:rPr>
              <w:t>($)</w:t>
            </w:r>
          </w:p>
        </w:tc>
      </w:tr>
      <w:tr>
        <w:trPr>
          <w:trHeight w:val="264"/>
        </w:trPr>
        <w:tc>
          <w:tcPr>
            <w:tcW w:w="5720" w:type="dxa"/>
            <w:vAlign w:val="bottom"/>
            <w:tcBorders>
              <w:bottom w:val="single" w:sz="8" w:color="959595"/>
            </w:tcBorders>
            <w:shd w:val="clear" w:color="auto" w:fill="ECECEC"/>
          </w:tcPr>
          <w:p>
            <w:pPr>
              <w:ind w:left="40"/>
              <w:spacing w:after="0"/>
              <w:rPr>
                <w:sz w:val="20"/>
                <w:szCs w:val="20"/>
                <w:color w:val="auto"/>
              </w:rPr>
            </w:pPr>
            <w:r>
              <w:rPr>
                <w:rFonts w:ascii="Arial" w:cs="Arial" w:eastAsia="Arial" w:hAnsi="Arial"/>
                <w:sz w:val="13"/>
                <w:szCs w:val="13"/>
                <w:color w:val="auto"/>
              </w:rPr>
              <w:t>(a)</w:t>
            </w:r>
          </w:p>
        </w:tc>
        <w:tc>
          <w:tcPr>
            <w:tcW w:w="1140" w:type="dxa"/>
            <w:vAlign w:val="bottom"/>
            <w:tcBorders>
              <w:bottom w:val="single" w:sz="8" w:color="959595"/>
            </w:tcBorders>
            <w:shd w:val="clear" w:color="auto" w:fill="ECECEC"/>
          </w:tcPr>
          <w:p>
            <w:pPr>
              <w:spacing w:after="0"/>
              <w:rPr>
                <w:sz w:val="22"/>
                <w:szCs w:val="22"/>
                <w:color w:val="auto"/>
              </w:rPr>
            </w:pPr>
          </w:p>
        </w:tc>
        <w:tc>
          <w:tcPr>
            <w:tcW w:w="1240" w:type="dxa"/>
            <w:vAlign w:val="bottom"/>
            <w:tcBorders>
              <w:bottom w:val="single" w:sz="8" w:color="959595"/>
            </w:tcBorders>
            <w:shd w:val="clear" w:color="auto" w:fill="ECECEC"/>
          </w:tcPr>
          <w:p>
            <w:pPr>
              <w:jc w:val="right"/>
              <w:ind w:right="129"/>
              <w:spacing w:after="0"/>
              <w:rPr>
                <w:sz w:val="20"/>
                <w:szCs w:val="20"/>
                <w:color w:val="auto"/>
              </w:rPr>
            </w:pPr>
            <w:r>
              <w:rPr>
                <w:rFonts w:ascii="Arial" w:cs="Arial" w:eastAsia="Arial" w:hAnsi="Arial"/>
                <w:sz w:val="13"/>
                <w:szCs w:val="13"/>
                <w:color w:val="auto"/>
              </w:rPr>
              <w:t>(b)</w:t>
            </w:r>
          </w:p>
        </w:tc>
        <w:tc>
          <w:tcPr>
            <w:tcW w:w="1160" w:type="dxa"/>
            <w:vAlign w:val="bottom"/>
            <w:tcBorders>
              <w:bottom w:val="single" w:sz="8" w:color="959595"/>
            </w:tcBorders>
            <w:shd w:val="clear" w:color="auto" w:fill="ECECEC"/>
          </w:tcPr>
          <w:p>
            <w:pPr>
              <w:jc w:val="right"/>
              <w:ind w:right="149"/>
              <w:spacing w:after="0"/>
              <w:rPr>
                <w:sz w:val="20"/>
                <w:szCs w:val="20"/>
                <w:color w:val="auto"/>
              </w:rPr>
            </w:pPr>
            <w:r>
              <w:rPr>
                <w:rFonts w:ascii="Arial" w:cs="Arial" w:eastAsia="Arial" w:hAnsi="Arial"/>
                <w:sz w:val="13"/>
                <w:szCs w:val="13"/>
                <w:color w:val="auto"/>
              </w:rPr>
              <w:t>(c)</w:t>
            </w:r>
          </w:p>
        </w:tc>
        <w:tc>
          <w:tcPr>
            <w:tcW w:w="1140" w:type="dxa"/>
            <w:vAlign w:val="bottom"/>
            <w:tcBorders>
              <w:bottom w:val="single" w:sz="8" w:color="959595"/>
            </w:tcBorders>
            <w:shd w:val="clear" w:color="auto" w:fill="ECECEC"/>
          </w:tcPr>
          <w:p>
            <w:pPr>
              <w:jc w:val="right"/>
              <w:ind w:right="149"/>
              <w:spacing w:after="0"/>
              <w:rPr>
                <w:sz w:val="20"/>
                <w:szCs w:val="20"/>
                <w:color w:val="auto"/>
              </w:rPr>
            </w:pPr>
            <w:r>
              <w:rPr>
                <w:rFonts w:ascii="Arial" w:cs="Arial" w:eastAsia="Arial" w:hAnsi="Arial"/>
                <w:sz w:val="13"/>
                <w:szCs w:val="13"/>
                <w:color w:val="auto"/>
              </w:rPr>
              <w:t>(d)</w:t>
            </w:r>
          </w:p>
        </w:tc>
        <w:tc>
          <w:tcPr>
            <w:tcW w:w="1020" w:type="dxa"/>
            <w:vAlign w:val="bottom"/>
            <w:tcBorders>
              <w:bottom w:val="single" w:sz="8" w:color="959595"/>
            </w:tcBorders>
            <w:shd w:val="clear" w:color="auto" w:fill="ECECEC"/>
          </w:tcPr>
          <w:p>
            <w:pPr>
              <w:jc w:val="right"/>
              <w:ind w:right="29"/>
              <w:spacing w:after="0"/>
              <w:rPr>
                <w:sz w:val="20"/>
                <w:szCs w:val="20"/>
                <w:color w:val="auto"/>
              </w:rPr>
            </w:pPr>
            <w:r>
              <w:rPr>
                <w:rFonts w:ascii="Arial" w:cs="Arial" w:eastAsia="Arial" w:hAnsi="Arial"/>
                <w:sz w:val="13"/>
                <w:szCs w:val="13"/>
                <w:color w:val="auto"/>
              </w:rPr>
              <w:t>(f)</w:t>
            </w:r>
          </w:p>
        </w:tc>
      </w:tr>
      <w:tr>
        <w:trPr>
          <w:trHeight w:val="215"/>
        </w:trPr>
        <w:tc>
          <w:tcPr>
            <w:tcW w:w="5720" w:type="dxa"/>
            <w:vAlign w:val="bottom"/>
          </w:tcPr>
          <w:p>
            <w:pPr>
              <w:ind w:left="40"/>
              <w:spacing w:after="0"/>
              <w:rPr>
                <w:sz w:val="20"/>
                <w:szCs w:val="20"/>
                <w:color w:val="auto"/>
              </w:rPr>
            </w:pPr>
            <w:r>
              <w:rPr>
                <w:rFonts w:ascii="Arial" w:cs="Arial" w:eastAsia="Arial" w:hAnsi="Arial"/>
                <w:sz w:val="14"/>
                <w:szCs w:val="14"/>
                <w:b w:val="1"/>
                <w:bCs w:val="1"/>
                <w:color w:val="012E6C"/>
              </w:rPr>
              <w:t>Marillyn A. Hewson</w:t>
            </w:r>
          </w:p>
        </w:tc>
        <w:tc>
          <w:tcPr>
            <w:tcW w:w="11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NQSSP</w:t>
            </w:r>
          </w:p>
        </w:tc>
        <w:tc>
          <w:tcPr>
            <w:tcW w:w="124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328,769</w:t>
            </w:r>
          </w:p>
        </w:tc>
        <w:tc>
          <w:tcPr>
            <w:tcW w:w="116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color w:val="auto"/>
              </w:rPr>
              <w:t>65,754</w:t>
            </w:r>
          </w:p>
        </w:tc>
        <w:tc>
          <w:tcPr>
            <w:tcW w:w="114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color w:val="auto"/>
              </w:rPr>
              <w:t>(568,021)</w:t>
            </w:r>
          </w:p>
        </w:tc>
        <w:tc>
          <w:tcPr>
            <w:tcW w:w="102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5,173,122</w:t>
            </w:r>
          </w:p>
        </w:tc>
      </w:tr>
      <w:tr>
        <w:trPr>
          <w:trHeight w:val="247"/>
        </w:trPr>
        <w:tc>
          <w:tcPr>
            <w:tcW w:w="5720" w:type="dxa"/>
            <w:vAlign w:val="bottom"/>
          </w:tcPr>
          <w:p>
            <w:pPr>
              <w:spacing w:after="0"/>
              <w:rPr>
                <w:sz w:val="21"/>
                <w:szCs w:val="21"/>
                <w:color w:val="auto"/>
              </w:rPr>
            </w:pPr>
          </w:p>
        </w:tc>
        <w:tc>
          <w:tcPr>
            <w:tcW w:w="11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NCAP</w:t>
            </w:r>
          </w:p>
        </w:tc>
        <w:tc>
          <w:tcPr>
            <w:tcW w:w="124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color w:val="auto"/>
              </w:rPr>
              <w:t>29,227</w:t>
            </w:r>
          </w:p>
        </w:tc>
        <w:tc>
          <w:tcPr>
            <w:tcW w:w="114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color w:val="auto"/>
              </w:rPr>
              <w:t>(3,462)</w:t>
            </w:r>
          </w:p>
        </w:tc>
        <w:tc>
          <w:tcPr>
            <w:tcW w:w="102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86,603</w:t>
            </w:r>
          </w:p>
        </w:tc>
      </w:tr>
      <w:tr>
        <w:trPr>
          <w:trHeight w:val="250"/>
        </w:trPr>
        <w:tc>
          <w:tcPr>
            <w:tcW w:w="5720" w:type="dxa"/>
            <w:vAlign w:val="bottom"/>
          </w:tcPr>
          <w:p>
            <w:pPr>
              <w:spacing w:after="0"/>
              <w:rPr>
                <w:sz w:val="21"/>
                <w:szCs w:val="21"/>
                <w:color w:val="auto"/>
              </w:rPr>
            </w:pPr>
          </w:p>
        </w:tc>
        <w:tc>
          <w:tcPr>
            <w:tcW w:w="11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DMICP (Bonus)</w:t>
            </w:r>
          </w:p>
        </w:tc>
        <w:tc>
          <w:tcPr>
            <w:tcW w:w="124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color w:val="auto"/>
              </w:rPr>
              <w:t>(1,757,079)</w:t>
            </w:r>
          </w:p>
        </w:tc>
        <w:tc>
          <w:tcPr>
            <w:tcW w:w="102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24,744,734</w:t>
            </w:r>
          </w:p>
        </w:tc>
      </w:tr>
      <w:tr>
        <w:trPr>
          <w:trHeight w:val="250"/>
        </w:trPr>
        <w:tc>
          <w:tcPr>
            <w:tcW w:w="5720" w:type="dxa"/>
            <w:vAlign w:val="bottom"/>
          </w:tcPr>
          <w:p>
            <w:pPr>
              <w:spacing w:after="0"/>
              <w:rPr>
                <w:sz w:val="21"/>
                <w:szCs w:val="21"/>
                <w:color w:val="auto"/>
              </w:rPr>
            </w:pPr>
          </w:p>
        </w:tc>
        <w:tc>
          <w:tcPr>
            <w:tcW w:w="11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DMICP (LTIP)</w:t>
            </w:r>
          </w:p>
        </w:tc>
        <w:tc>
          <w:tcPr>
            <w:tcW w:w="124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color w:val="auto"/>
              </w:rPr>
              <w:t>(1,056,051)</w:t>
            </w:r>
          </w:p>
        </w:tc>
        <w:tc>
          <w:tcPr>
            <w:tcW w:w="102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14,351,423</w:t>
            </w:r>
          </w:p>
        </w:tc>
      </w:tr>
      <w:tr>
        <w:trPr>
          <w:trHeight w:val="253"/>
        </w:trPr>
        <w:tc>
          <w:tcPr>
            <w:tcW w:w="5720" w:type="dxa"/>
            <w:vAlign w:val="bottom"/>
            <w:tcBorders>
              <w:bottom w:val="single" w:sz="8" w:color="959595"/>
            </w:tcBorders>
          </w:tcPr>
          <w:p>
            <w:pPr>
              <w:spacing w:after="0"/>
              <w:rPr>
                <w:sz w:val="22"/>
                <w:szCs w:val="22"/>
                <w:color w:val="auto"/>
              </w:rPr>
            </w:pPr>
          </w:p>
        </w:tc>
        <w:tc>
          <w:tcPr>
            <w:tcW w:w="1140" w:type="dxa"/>
            <w:vAlign w:val="bottom"/>
            <w:tcBorders>
              <w:bottom w:val="single" w:sz="8" w:color="959595"/>
            </w:tcBorders>
          </w:tcPr>
          <w:p>
            <w:pPr>
              <w:jc w:val="right"/>
              <w:spacing w:after="0"/>
              <w:rPr>
                <w:sz w:val="20"/>
                <w:szCs w:val="20"/>
                <w:color w:val="auto"/>
              </w:rPr>
            </w:pPr>
            <w:r>
              <w:rPr>
                <w:rFonts w:ascii="Arial" w:cs="Arial" w:eastAsia="Arial" w:hAnsi="Arial"/>
                <w:sz w:val="14"/>
                <w:szCs w:val="14"/>
                <w:b w:val="1"/>
                <w:bCs w:val="1"/>
                <w:color w:val="auto"/>
              </w:rPr>
              <w:t>TOTAL</w:t>
            </w:r>
          </w:p>
        </w:tc>
        <w:tc>
          <w:tcPr>
            <w:tcW w:w="124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b w:val="1"/>
                <w:bCs w:val="1"/>
                <w:color w:val="auto"/>
              </w:rPr>
              <w:t>328,769</w:t>
            </w:r>
          </w:p>
        </w:tc>
        <w:tc>
          <w:tcPr>
            <w:tcW w:w="116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b w:val="1"/>
                <w:bCs w:val="1"/>
                <w:color w:val="auto"/>
              </w:rPr>
              <w:t>94,981</w:t>
            </w:r>
          </w:p>
        </w:tc>
        <w:tc>
          <w:tcPr>
            <w:tcW w:w="114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b w:val="1"/>
                <w:bCs w:val="1"/>
                <w:color w:val="auto"/>
              </w:rPr>
              <w:t>(3,384,613)</w:t>
            </w:r>
          </w:p>
        </w:tc>
        <w:tc>
          <w:tcPr>
            <w:tcW w:w="102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b w:val="1"/>
                <w:bCs w:val="1"/>
                <w:color w:val="auto"/>
              </w:rPr>
              <w:t>44,355,882</w:t>
            </w:r>
          </w:p>
        </w:tc>
      </w:tr>
      <w:tr>
        <w:trPr>
          <w:trHeight w:val="210"/>
        </w:trPr>
        <w:tc>
          <w:tcPr>
            <w:tcW w:w="5720" w:type="dxa"/>
            <w:vAlign w:val="bottom"/>
          </w:tcPr>
          <w:p>
            <w:pPr>
              <w:ind w:left="40"/>
              <w:spacing w:after="0"/>
              <w:rPr>
                <w:sz w:val="20"/>
                <w:szCs w:val="20"/>
                <w:color w:val="auto"/>
              </w:rPr>
            </w:pPr>
            <w:r>
              <w:rPr>
                <w:rFonts w:ascii="Arial" w:cs="Arial" w:eastAsia="Arial" w:hAnsi="Arial"/>
                <w:sz w:val="14"/>
                <w:szCs w:val="14"/>
                <w:b w:val="1"/>
                <w:bCs w:val="1"/>
                <w:color w:val="012E6C"/>
              </w:rPr>
              <w:t>Bruce L. Tanner</w:t>
            </w:r>
          </w:p>
        </w:tc>
        <w:tc>
          <w:tcPr>
            <w:tcW w:w="11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NQSSP</w:t>
            </w:r>
          </w:p>
        </w:tc>
        <w:tc>
          <w:tcPr>
            <w:tcW w:w="124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243,545</w:t>
            </w:r>
          </w:p>
        </w:tc>
        <w:tc>
          <w:tcPr>
            <w:tcW w:w="116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color w:val="auto"/>
              </w:rPr>
              <w:t>37,469</w:t>
            </w:r>
          </w:p>
        </w:tc>
        <w:tc>
          <w:tcPr>
            <w:tcW w:w="114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color w:val="auto"/>
              </w:rPr>
              <w:t>(432,172)</w:t>
            </w:r>
          </w:p>
        </w:tc>
        <w:tc>
          <w:tcPr>
            <w:tcW w:w="102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5,506,472</w:t>
            </w:r>
          </w:p>
        </w:tc>
      </w:tr>
      <w:tr>
        <w:trPr>
          <w:trHeight w:val="247"/>
        </w:trPr>
        <w:tc>
          <w:tcPr>
            <w:tcW w:w="5720" w:type="dxa"/>
            <w:vAlign w:val="bottom"/>
          </w:tcPr>
          <w:p>
            <w:pPr>
              <w:spacing w:after="0"/>
              <w:rPr>
                <w:sz w:val="21"/>
                <w:szCs w:val="21"/>
                <w:color w:val="auto"/>
              </w:rPr>
            </w:pPr>
          </w:p>
        </w:tc>
        <w:tc>
          <w:tcPr>
            <w:tcW w:w="11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NCAP</w:t>
            </w:r>
          </w:p>
        </w:tc>
        <w:tc>
          <w:tcPr>
            <w:tcW w:w="124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color w:val="auto"/>
              </w:rPr>
              <w:t>14,996</w:t>
            </w:r>
          </w:p>
        </w:tc>
        <w:tc>
          <w:tcPr>
            <w:tcW w:w="114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color w:val="auto"/>
              </w:rPr>
              <w:t>(2,146)</w:t>
            </w:r>
          </w:p>
        </w:tc>
        <w:tc>
          <w:tcPr>
            <w:tcW w:w="102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44,145</w:t>
            </w:r>
          </w:p>
        </w:tc>
      </w:tr>
      <w:tr>
        <w:trPr>
          <w:trHeight w:val="250"/>
        </w:trPr>
        <w:tc>
          <w:tcPr>
            <w:tcW w:w="5720" w:type="dxa"/>
            <w:vAlign w:val="bottom"/>
          </w:tcPr>
          <w:p>
            <w:pPr>
              <w:spacing w:after="0"/>
              <w:rPr>
                <w:sz w:val="21"/>
                <w:szCs w:val="21"/>
                <w:color w:val="auto"/>
              </w:rPr>
            </w:pPr>
          </w:p>
        </w:tc>
        <w:tc>
          <w:tcPr>
            <w:tcW w:w="11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DMICP (Bonus)</w:t>
            </w:r>
          </w:p>
        </w:tc>
        <w:tc>
          <w:tcPr>
            <w:tcW w:w="124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842,696</w:t>
            </w:r>
          </w:p>
        </w:tc>
        <w:tc>
          <w:tcPr>
            <w:tcW w:w="116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color w:val="auto"/>
              </w:rPr>
              <w:t>(394,338)</w:t>
            </w:r>
          </w:p>
        </w:tc>
        <w:tc>
          <w:tcPr>
            <w:tcW w:w="102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3,714,767</w:t>
            </w:r>
          </w:p>
        </w:tc>
      </w:tr>
      <w:tr>
        <w:trPr>
          <w:trHeight w:val="250"/>
        </w:trPr>
        <w:tc>
          <w:tcPr>
            <w:tcW w:w="5720" w:type="dxa"/>
            <w:vAlign w:val="bottom"/>
          </w:tcPr>
          <w:p>
            <w:pPr>
              <w:spacing w:after="0"/>
              <w:rPr>
                <w:sz w:val="21"/>
                <w:szCs w:val="21"/>
                <w:color w:val="auto"/>
              </w:rPr>
            </w:pPr>
          </w:p>
        </w:tc>
        <w:tc>
          <w:tcPr>
            <w:tcW w:w="11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DMICP (LTIP)</w:t>
            </w:r>
          </w:p>
        </w:tc>
        <w:tc>
          <w:tcPr>
            <w:tcW w:w="124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1,112,958</w:t>
            </w:r>
          </w:p>
        </w:tc>
        <w:tc>
          <w:tcPr>
            <w:tcW w:w="116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color w:val="auto"/>
              </w:rPr>
              <w:t>(137,896)</w:t>
            </w:r>
          </w:p>
        </w:tc>
        <w:tc>
          <w:tcPr>
            <w:tcW w:w="102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2,137,582</w:t>
            </w:r>
          </w:p>
        </w:tc>
      </w:tr>
      <w:tr>
        <w:trPr>
          <w:trHeight w:val="253"/>
        </w:trPr>
        <w:tc>
          <w:tcPr>
            <w:tcW w:w="5720" w:type="dxa"/>
            <w:vAlign w:val="bottom"/>
            <w:tcBorders>
              <w:bottom w:val="single" w:sz="8" w:color="959595"/>
            </w:tcBorders>
          </w:tcPr>
          <w:p>
            <w:pPr>
              <w:spacing w:after="0"/>
              <w:rPr>
                <w:sz w:val="22"/>
                <w:szCs w:val="22"/>
                <w:color w:val="auto"/>
              </w:rPr>
            </w:pPr>
          </w:p>
        </w:tc>
        <w:tc>
          <w:tcPr>
            <w:tcW w:w="1140" w:type="dxa"/>
            <w:vAlign w:val="bottom"/>
            <w:tcBorders>
              <w:bottom w:val="single" w:sz="8" w:color="959595"/>
            </w:tcBorders>
          </w:tcPr>
          <w:p>
            <w:pPr>
              <w:jc w:val="right"/>
              <w:spacing w:after="0"/>
              <w:rPr>
                <w:sz w:val="20"/>
                <w:szCs w:val="20"/>
                <w:color w:val="auto"/>
              </w:rPr>
            </w:pPr>
            <w:r>
              <w:rPr>
                <w:rFonts w:ascii="Arial" w:cs="Arial" w:eastAsia="Arial" w:hAnsi="Arial"/>
                <w:sz w:val="14"/>
                <w:szCs w:val="14"/>
                <w:b w:val="1"/>
                <w:bCs w:val="1"/>
                <w:color w:val="auto"/>
              </w:rPr>
              <w:t>TOTAL</w:t>
            </w:r>
          </w:p>
        </w:tc>
        <w:tc>
          <w:tcPr>
            <w:tcW w:w="124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b w:val="1"/>
                <w:bCs w:val="1"/>
                <w:color w:val="auto"/>
              </w:rPr>
              <w:t>2,199,199</w:t>
            </w:r>
          </w:p>
        </w:tc>
        <w:tc>
          <w:tcPr>
            <w:tcW w:w="116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b w:val="1"/>
                <w:bCs w:val="1"/>
                <w:color w:val="auto"/>
              </w:rPr>
              <w:t>52,465</w:t>
            </w:r>
          </w:p>
        </w:tc>
        <w:tc>
          <w:tcPr>
            <w:tcW w:w="114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b w:val="1"/>
                <w:bCs w:val="1"/>
                <w:color w:val="auto"/>
              </w:rPr>
              <w:t>(966,552)</w:t>
            </w:r>
          </w:p>
        </w:tc>
        <w:tc>
          <w:tcPr>
            <w:tcW w:w="102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b w:val="1"/>
                <w:bCs w:val="1"/>
                <w:color w:val="auto"/>
              </w:rPr>
              <w:t>11,402,966</w:t>
            </w:r>
          </w:p>
        </w:tc>
      </w:tr>
      <w:tr>
        <w:trPr>
          <w:trHeight w:val="210"/>
        </w:trPr>
        <w:tc>
          <w:tcPr>
            <w:tcW w:w="5720" w:type="dxa"/>
            <w:vAlign w:val="bottom"/>
          </w:tcPr>
          <w:p>
            <w:pPr>
              <w:ind w:left="40"/>
              <w:spacing w:after="0"/>
              <w:rPr>
                <w:sz w:val="20"/>
                <w:szCs w:val="20"/>
                <w:color w:val="auto"/>
              </w:rPr>
            </w:pPr>
            <w:r>
              <w:rPr>
                <w:rFonts w:ascii="Arial" w:cs="Arial" w:eastAsia="Arial" w:hAnsi="Arial"/>
                <w:sz w:val="14"/>
                <w:szCs w:val="14"/>
                <w:b w:val="1"/>
                <w:bCs w:val="1"/>
                <w:color w:val="012E6C"/>
              </w:rPr>
              <w:t>Richard F. Ambrose</w:t>
            </w:r>
          </w:p>
        </w:tc>
        <w:tc>
          <w:tcPr>
            <w:tcW w:w="11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NQSSP</w:t>
            </w:r>
          </w:p>
        </w:tc>
        <w:tc>
          <w:tcPr>
            <w:tcW w:w="124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134,500</w:t>
            </w:r>
          </w:p>
        </w:tc>
        <w:tc>
          <w:tcPr>
            <w:tcW w:w="116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color w:val="auto"/>
              </w:rPr>
              <w:t>26,900</w:t>
            </w:r>
          </w:p>
        </w:tc>
        <w:tc>
          <w:tcPr>
            <w:tcW w:w="114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color w:val="auto"/>
              </w:rPr>
              <w:t>(196,714)</w:t>
            </w:r>
          </w:p>
        </w:tc>
        <w:tc>
          <w:tcPr>
            <w:tcW w:w="102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1,702,479</w:t>
            </w:r>
          </w:p>
        </w:tc>
      </w:tr>
      <w:tr>
        <w:trPr>
          <w:trHeight w:val="247"/>
        </w:trPr>
        <w:tc>
          <w:tcPr>
            <w:tcW w:w="5720" w:type="dxa"/>
            <w:vAlign w:val="bottom"/>
          </w:tcPr>
          <w:p>
            <w:pPr>
              <w:spacing w:after="0"/>
              <w:rPr>
                <w:sz w:val="21"/>
                <w:szCs w:val="21"/>
                <w:color w:val="auto"/>
              </w:rPr>
            </w:pPr>
          </w:p>
        </w:tc>
        <w:tc>
          <w:tcPr>
            <w:tcW w:w="11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NCAP</w:t>
            </w:r>
          </w:p>
        </w:tc>
        <w:tc>
          <w:tcPr>
            <w:tcW w:w="124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color w:val="auto"/>
              </w:rPr>
              <w:t>11,650</w:t>
            </w:r>
          </w:p>
        </w:tc>
        <w:tc>
          <w:tcPr>
            <w:tcW w:w="114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color w:val="auto"/>
              </w:rPr>
              <w:t>(1,495)</w:t>
            </w:r>
          </w:p>
        </w:tc>
        <w:tc>
          <w:tcPr>
            <w:tcW w:w="102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30,834</w:t>
            </w:r>
          </w:p>
        </w:tc>
      </w:tr>
      <w:tr>
        <w:trPr>
          <w:trHeight w:val="250"/>
        </w:trPr>
        <w:tc>
          <w:tcPr>
            <w:tcW w:w="5720" w:type="dxa"/>
            <w:vAlign w:val="bottom"/>
          </w:tcPr>
          <w:p>
            <w:pPr>
              <w:spacing w:after="0"/>
              <w:rPr>
                <w:sz w:val="21"/>
                <w:szCs w:val="21"/>
                <w:color w:val="auto"/>
              </w:rPr>
            </w:pPr>
          </w:p>
        </w:tc>
        <w:tc>
          <w:tcPr>
            <w:tcW w:w="11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DMICP (Bonus)</w:t>
            </w:r>
          </w:p>
        </w:tc>
        <w:tc>
          <w:tcPr>
            <w:tcW w:w="124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color w:val="auto"/>
              </w:rPr>
              <w:t>(423,755)</w:t>
            </w:r>
          </w:p>
        </w:tc>
        <w:tc>
          <w:tcPr>
            <w:tcW w:w="102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2,462,819</w:t>
            </w:r>
          </w:p>
        </w:tc>
      </w:tr>
      <w:tr>
        <w:trPr>
          <w:trHeight w:val="250"/>
        </w:trPr>
        <w:tc>
          <w:tcPr>
            <w:tcW w:w="5720" w:type="dxa"/>
            <w:vAlign w:val="bottom"/>
          </w:tcPr>
          <w:p>
            <w:pPr>
              <w:spacing w:after="0"/>
              <w:rPr>
                <w:sz w:val="21"/>
                <w:szCs w:val="21"/>
                <w:color w:val="auto"/>
              </w:rPr>
            </w:pPr>
          </w:p>
        </w:tc>
        <w:tc>
          <w:tcPr>
            <w:tcW w:w="11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DMICP (LTIP)</w:t>
            </w:r>
          </w:p>
        </w:tc>
        <w:tc>
          <w:tcPr>
            <w:tcW w:w="124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color w:val="auto"/>
              </w:rPr>
              <w:t>(153,959)</w:t>
            </w:r>
          </w:p>
        </w:tc>
        <w:tc>
          <w:tcPr>
            <w:tcW w:w="102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2,440,863</w:t>
            </w:r>
          </w:p>
        </w:tc>
      </w:tr>
      <w:tr>
        <w:trPr>
          <w:trHeight w:val="253"/>
        </w:trPr>
        <w:tc>
          <w:tcPr>
            <w:tcW w:w="5720" w:type="dxa"/>
            <w:vAlign w:val="bottom"/>
            <w:tcBorders>
              <w:bottom w:val="single" w:sz="8" w:color="959595"/>
            </w:tcBorders>
          </w:tcPr>
          <w:p>
            <w:pPr>
              <w:spacing w:after="0"/>
              <w:rPr>
                <w:sz w:val="22"/>
                <w:szCs w:val="22"/>
                <w:color w:val="auto"/>
              </w:rPr>
            </w:pPr>
          </w:p>
        </w:tc>
        <w:tc>
          <w:tcPr>
            <w:tcW w:w="1140" w:type="dxa"/>
            <w:vAlign w:val="bottom"/>
            <w:tcBorders>
              <w:bottom w:val="single" w:sz="8" w:color="959595"/>
            </w:tcBorders>
          </w:tcPr>
          <w:p>
            <w:pPr>
              <w:jc w:val="right"/>
              <w:spacing w:after="0"/>
              <w:rPr>
                <w:sz w:val="20"/>
                <w:szCs w:val="20"/>
                <w:color w:val="auto"/>
              </w:rPr>
            </w:pPr>
            <w:r>
              <w:rPr>
                <w:rFonts w:ascii="Arial" w:cs="Arial" w:eastAsia="Arial" w:hAnsi="Arial"/>
                <w:sz w:val="14"/>
                <w:szCs w:val="14"/>
                <w:b w:val="1"/>
                <w:bCs w:val="1"/>
                <w:color w:val="auto"/>
              </w:rPr>
              <w:t>TOTAL</w:t>
            </w:r>
          </w:p>
        </w:tc>
        <w:tc>
          <w:tcPr>
            <w:tcW w:w="124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b w:val="1"/>
                <w:bCs w:val="1"/>
                <w:color w:val="auto"/>
              </w:rPr>
              <w:t>134,500</w:t>
            </w:r>
          </w:p>
        </w:tc>
        <w:tc>
          <w:tcPr>
            <w:tcW w:w="116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b w:val="1"/>
                <w:bCs w:val="1"/>
                <w:color w:val="auto"/>
              </w:rPr>
              <w:t>38,550</w:t>
            </w:r>
          </w:p>
        </w:tc>
        <w:tc>
          <w:tcPr>
            <w:tcW w:w="114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b w:val="1"/>
                <w:bCs w:val="1"/>
                <w:color w:val="auto"/>
              </w:rPr>
              <w:t>(775,923)</w:t>
            </w:r>
          </w:p>
        </w:tc>
        <w:tc>
          <w:tcPr>
            <w:tcW w:w="102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b w:val="1"/>
                <w:bCs w:val="1"/>
                <w:color w:val="auto"/>
              </w:rPr>
              <w:t>6,636,995</w:t>
            </w:r>
          </w:p>
        </w:tc>
      </w:tr>
      <w:tr>
        <w:trPr>
          <w:trHeight w:val="210"/>
        </w:trPr>
        <w:tc>
          <w:tcPr>
            <w:tcW w:w="5720" w:type="dxa"/>
            <w:vAlign w:val="bottom"/>
          </w:tcPr>
          <w:p>
            <w:pPr>
              <w:ind w:left="40"/>
              <w:spacing w:after="0"/>
              <w:rPr>
                <w:sz w:val="20"/>
                <w:szCs w:val="20"/>
                <w:color w:val="auto"/>
              </w:rPr>
            </w:pPr>
            <w:r>
              <w:rPr>
                <w:rFonts w:ascii="Arial" w:cs="Arial" w:eastAsia="Arial" w:hAnsi="Arial"/>
                <w:sz w:val="14"/>
                <w:szCs w:val="14"/>
                <w:b w:val="1"/>
                <w:bCs w:val="1"/>
                <w:color w:val="012E6C"/>
              </w:rPr>
              <w:t>Dale P. Bennett</w:t>
            </w:r>
          </w:p>
        </w:tc>
        <w:tc>
          <w:tcPr>
            <w:tcW w:w="11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NQSSP</w:t>
            </w:r>
          </w:p>
        </w:tc>
        <w:tc>
          <w:tcPr>
            <w:tcW w:w="124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196,895</w:t>
            </w:r>
          </w:p>
        </w:tc>
        <w:tc>
          <w:tcPr>
            <w:tcW w:w="116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color w:val="auto"/>
              </w:rPr>
              <w:t>31,503</w:t>
            </w:r>
          </w:p>
        </w:tc>
        <w:tc>
          <w:tcPr>
            <w:tcW w:w="114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color w:val="auto"/>
              </w:rPr>
              <w:t>(180,780)</w:t>
            </w:r>
          </w:p>
        </w:tc>
        <w:tc>
          <w:tcPr>
            <w:tcW w:w="102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2,478,856</w:t>
            </w:r>
          </w:p>
        </w:tc>
      </w:tr>
      <w:tr>
        <w:trPr>
          <w:trHeight w:val="247"/>
        </w:trPr>
        <w:tc>
          <w:tcPr>
            <w:tcW w:w="5720" w:type="dxa"/>
            <w:vAlign w:val="bottom"/>
          </w:tcPr>
          <w:p>
            <w:pPr>
              <w:spacing w:after="0"/>
              <w:rPr>
                <w:sz w:val="21"/>
                <w:szCs w:val="21"/>
                <w:color w:val="auto"/>
              </w:rPr>
            </w:pPr>
          </w:p>
        </w:tc>
        <w:tc>
          <w:tcPr>
            <w:tcW w:w="11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NCAP</w:t>
            </w:r>
          </w:p>
        </w:tc>
        <w:tc>
          <w:tcPr>
            <w:tcW w:w="124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color w:val="auto"/>
              </w:rPr>
              <w:t>12,013</w:t>
            </w:r>
          </w:p>
        </w:tc>
        <w:tc>
          <w:tcPr>
            <w:tcW w:w="114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color w:val="auto"/>
              </w:rPr>
              <w:t>(1,419)</w:t>
            </w:r>
          </w:p>
        </w:tc>
        <w:tc>
          <w:tcPr>
            <w:tcW w:w="102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35,322</w:t>
            </w:r>
          </w:p>
        </w:tc>
      </w:tr>
      <w:tr>
        <w:trPr>
          <w:trHeight w:val="250"/>
        </w:trPr>
        <w:tc>
          <w:tcPr>
            <w:tcW w:w="5720" w:type="dxa"/>
            <w:vAlign w:val="bottom"/>
          </w:tcPr>
          <w:p>
            <w:pPr>
              <w:spacing w:after="0"/>
              <w:rPr>
                <w:sz w:val="21"/>
                <w:szCs w:val="21"/>
                <w:color w:val="auto"/>
              </w:rPr>
            </w:pPr>
          </w:p>
        </w:tc>
        <w:tc>
          <w:tcPr>
            <w:tcW w:w="11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DMICP (Bonus)</w:t>
            </w:r>
          </w:p>
        </w:tc>
        <w:tc>
          <w:tcPr>
            <w:tcW w:w="124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935,935</w:t>
            </w:r>
          </w:p>
        </w:tc>
        <w:tc>
          <w:tcPr>
            <w:tcW w:w="116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color w:val="auto"/>
              </w:rPr>
              <w:t>(754,773)</w:t>
            </w:r>
          </w:p>
        </w:tc>
        <w:tc>
          <w:tcPr>
            <w:tcW w:w="102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6,623,391</w:t>
            </w:r>
          </w:p>
        </w:tc>
      </w:tr>
      <w:tr>
        <w:trPr>
          <w:trHeight w:val="250"/>
        </w:trPr>
        <w:tc>
          <w:tcPr>
            <w:tcW w:w="5720" w:type="dxa"/>
            <w:vAlign w:val="bottom"/>
          </w:tcPr>
          <w:p>
            <w:pPr>
              <w:spacing w:after="0"/>
              <w:rPr>
                <w:sz w:val="21"/>
                <w:szCs w:val="21"/>
                <w:color w:val="auto"/>
              </w:rPr>
            </w:pPr>
          </w:p>
        </w:tc>
        <w:tc>
          <w:tcPr>
            <w:tcW w:w="11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DMICP (LTIP)</w:t>
            </w:r>
          </w:p>
        </w:tc>
        <w:tc>
          <w:tcPr>
            <w:tcW w:w="124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color w:val="auto"/>
              </w:rPr>
              <w:t>(277,800)</w:t>
            </w:r>
          </w:p>
        </w:tc>
        <w:tc>
          <w:tcPr>
            <w:tcW w:w="102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2,491,444</w:t>
            </w:r>
          </w:p>
        </w:tc>
      </w:tr>
      <w:tr>
        <w:trPr>
          <w:trHeight w:val="253"/>
        </w:trPr>
        <w:tc>
          <w:tcPr>
            <w:tcW w:w="5720" w:type="dxa"/>
            <w:vAlign w:val="bottom"/>
            <w:tcBorders>
              <w:bottom w:val="single" w:sz="8" w:color="959595"/>
            </w:tcBorders>
          </w:tcPr>
          <w:p>
            <w:pPr>
              <w:spacing w:after="0"/>
              <w:rPr>
                <w:sz w:val="22"/>
                <w:szCs w:val="22"/>
                <w:color w:val="auto"/>
              </w:rPr>
            </w:pPr>
          </w:p>
        </w:tc>
        <w:tc>
          <w:tcPr>
            <w:tcW w:w="1140" w:type="dxa"/>
            <w:vAlign w:val="bottom"/>
            <w:tcBorders>
              <w:bottom w:val="single" w:sz="8" w:color="959595"/>
            </w:tcBorders>
          </w:tcPr>
          <w:p>
            <w:pPr>
              <w:jc w:val="right"/>
              <w:spacing w:after="0"/>
              <w:rPr>
                <w:sz w:val="20"/>
                <w:szCs w:val="20"/>
                <w:color w:val="auto"/>
              </w:rPr>
            </w:pPr>
            <w:r>
              <w:rPr>
                <w:rFonts w:ascii="Arial" w:cs="Arial" w:eastAsia="Arial" w:hAnsi="Arial"/>
                <w:sz w:val="14"/>
                <w:szCs w:val="14"/>
                <w:b w:val="1"/>
                <w:bCs w:val="1"/>
                <w:color w:val="auto"/>
              </w:rPr>
              <w:t>TOTAL</w:t>
            </w:r>
          </w:p>
        </w:tc>
        <w:tc>
          <w:tcPr>
            <w:tcW w:w="124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b w:val="1"/>
                <w:bCs w:val="1"/>
                <w:color w:val="auto"/>
              </w:rPr>
              <w:t>1,132,830</w:t>
            </w:r>
          </w:p>
        </w:tc>
        <w:tc>
          <w:tcPr>
            <w:tcW w:w="116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b w:val="1"/>
                <w:bCs w:val="1"/>
                <w:color w:val="auto"/>
              </w:rPr>
              <w:t>43,516</w:t>
            </w:r>
          </w:p>
        </w:tc>
        <w:tc>
          <w:tcPr>
            <w:tcW w:w="114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b w:val="1"/>
                <w:bCs w:val="1"/>
                <w:color w:val="auto"/>
              </w:rPr>
              <w:t>(1,214,772)</w:t>
            </w:r>
          </w:p>
        </w:tc>
        <w:tc>
          <w:tcPr>
            <w:tcW w:w="102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b w:val="1"/>
                <w:bCs w:val="1"/>
                <w:color w:val="auto"/>
              </w:rPr>
              <w:t>11,629,013</w:t>
            </w:r>
          </w:p>
        </w:tc>
      </w:tr>
      <w:tr>
        <w:trPr>
          <w:trHeight w:val="210"/>
        </w:trPr>
        <w:tc>
          <w:tcPr>
            <w:tcW w:w="5720" w:type="dxa"/>
            <w:vAlign w:val="bottom"/>
          </w:tcPr>
          <w:p>
            <w:pPr>
              <w:ind w:left="40"/>
              <w:spacing w:after="0"/>
              <w:rPr>
                <w:sz w:val="20"/>
                <w:szCs w:val="20"/>
                <w:color w:val="auto"/>
              </w:rPr>
            </w:pPr>
            <w:r>
              <w:rPr>
                <w:rFonts w:ascii="Arial" w:cs="Arial" w:eastAsia="Arial" w:hAnsi="Arial"/>
                <w:sz w:val="14"/>
                <w:szCs w:val="14"/>
                <w:b w:val="1"/>
                <w:bCs w:val="1"/>
                <w:color w:val="012E6C"/>
              </w:rPr>
              <w:t>Orlando P. Carvalho</w:t>
            </w:r>
          </w:p>
        </w:tc>
        <w:tc>
          <w:tcPr>
            <w:tcW w:w="11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NQSSP</w:t>
            </w:r>
          </w:p>
        </w:tc>
        <w:tc>
          <w:tcPr>
            <w:tcW w:w="124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86,581</w:t>
            </w:r>
          </w:p>
        </w:tc>
        <w:tc>
          <w:tcPr>
            <w:tcW w:w="116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color w:val="auto"/>
              </w:rPr>
              <w:t>28,841</w:t>
            </w:r>
          </w:p>
        </w:tc>
        <w:tc>
          <w:tcPr>
            <w:tcW w:w="114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color w:val="auto"/>
              </w:rPr>
              <w:t>(17,622)</w:t>
            </w:r>
          </w:p>
        </w:tc>
        <w:tc>
          <w:tcPr>
            <w:tcW w:w="102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216,997</w:t>
            </w:r>
          </w:p>
        </w:tc>
      </w:tr>
      <w:tr>
        <w:trPr>
          <w:trHeight w:val="247"/>
        </w:trPr>
        <w:tc>
          <w:tcPr>
            <w:tcW w:w="5720" w:type="dxa"/>
            <w:vAlign w:val="bottom"/>
          </w:tcPr>
          <w:p>
            <w:pPr>
              <w:spacing w:after="0"/>
              <w:rPr>
                <w:sz w:val="21"/>
                <w:szCs w:val="21"/>
                <w:color w:val="auto"/>
              </w:rPr>
            </w:pPr>
          </w:p>
        </w:tc>
        <w:tc>
          <w:tcPr>
            <w:tcW w:w="11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NCAP</w:t>
            </w:r>
          </w:p>
        </w:tc>
        <w:tc>
          <w:tcPr>
            <w:tcW w:w="124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color w:val="auto"/>
              </w:rPr>
              <w:t>12,013</w:t>
            </w:r>
          </w:p>
        </w:tc>
        <w:tc>
          <w:tcPr>
            <w:tcW w:w="114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color w:val="auto"/>
              </w:rPr>
              <w:t>(1,715)</w:t>
            </w:r>
          </w:p>
        </w:tc>
        <w:tc>
          <w:tcPr>
            <w:tcW w:w="102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35,308</w:t>
            </w:r>
          </w:p>
        </w:tc>
      </w:tr>
      <w:tr>
        <w:trPr>
          <w:trHeight w:val="250"/>
        </w:trPr>
        <w:tc>
          <w:tcPr>
            <w:tcW w:w="5720" w:type="dxa"/>
            <w:vAlign w:val="bottom"/>
          </w:tcPr>
          <w:p>
            <w:pPr>
              <w:spacing w:after="0"/>
              <w:rPr>
                <w:sz w:val="21"/>
                <w:szCs w:val="21"/>
                <w:color w:val="auto"/>
              </w:rPr>
            </w:pPr>
          </w:p>
        </w:tc>
        <w:tc>
          <w:tcPr>
            <w:tcW w:w="11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DMICP (Bonus)</w:t>
            </w:r>
          </w:p>
        </w:tc>
        <w:tc>
          <w:tcPr>
            <w:tcW w:w="124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color w:val="auto"/>
              </w:rPr>
              <w:t>(51,389)</w:t>
            </w:r>
          </w:p>
        </w:tc>
        <w:tc>
          <w:tcPr>
            <w:tcW w:w="102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273,942</w:t>
            </w:r>
          </w:p>
        </w:tc>
      </w:tr>
      <w:tr>
        <w:trPr>
          <w:trHeight w:val="250"/>
        </w:trPr>
        <w:tc>
          <w:tcPr>
            <w:tcW w:w="5720" w:type="dxa"/>
            <w:vAlign w:val="bottom"/>
          </w:tcPr>
          <w:p>
            <w:pPr>
              <w:spacing w:after="0"/>
              <w:rPr>
                <w:sz w:val="21"/>
                <w:szCs w:val="21"/>
                <w:color w:val="auto"/>
              </w:rPr>
            </w:pPr>
          </w:p>
        </w:tc>
        <w:tc>
          <w:tcPr>
            <w:tcW w:w="11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DMICP (LTIP)</w:t>
            </w:r>
          </w:p>
        </w:tc>
        <w:tc>
          <w:tcPr>
            <w:tcW w:w="124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w:t>
            </w:r>
          </w:p>
        </w:tc>
      </w:tr>
      <w:tr>
        <w:trPr>
          <w:trHeight w:val="253"/>
        </w:trPr>
        <w:tc>
          <w:tcPr>
            <w:tcW w:w="5720" w:type="dxa"/>
            <w:vAlign w:val="bottom"/>
            <w:tcBorders>
              <w:bottom w:val="single" w:sz="8" w:color="959595"/>
            </w:tcBorders>
          </w:tcPr>
          <w:p>
            <w:pPr>
              <w:spacing w:after="0"/>
              <w:rPr>
                <w:sz w:val="22"/>
                <w:szCs w:val="22"/>
                <w:color w:val="auto"/>
              </w:rPr>
            </w:pPr>
          </w:p>
        </w:tc>
        <w:tc>
          <w:tcPr>
            <w:tcW w:w="1140" w:type="dxa"/>
            <w:vAlign w:val="bottom"/>
            <w:tcBorders>
              <w:bottom w:val="single" w:sz="8" w:color="959595"/>
            </w:tcBorders>
          </w:tcPr>
          <w:p>
            <w:pPr>
              <w:jc w:val="right"/>
              <w:spacing w:after="0"/>
              <w:rPr>
                <w:sz w:val="20"/>
                <w:szCs w:val="20"/>
                <w:color w:val="auto"/>
              </w:rPr>
            </w:pPr>
            <w:r>
              <w:rPr>
                <w:rFonts w:ascii="Arial" w:cs="Arial" w:eastAsia="Arial" w:hAnsi="Arial"/>
                <w:sz w:val="14"/>
                <w:szCs w:val="14"/>
                <w:b w:val="1"/>
                <w:bCs w:val="1"/>
                <w:color w:val="auto"/>
              </w:rPr>
              <w:t>TOTAL</w:t>
            </w:r>
          </w:p>
        </w:tc>
        <w:tc>
          <w:tcPr>
            <w:tcW w:w="124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b w:val="1"/>
                <w:bCs w:val="1"/>
                <w:color w:val="auto"/>
              </w:rPr>
              <w:t>86,581</w:t>
            </w:r>
          </w:p>
        </w:tc>
        <w:tc>
          <w:tcPr>
            <w:tcW w:w="116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b w:val="1"/>
                <w:bCs w:val="1"/>
                <w:color w:val="auto"/>
              </w:rPr>
              <w:t>40,854</w:t>
            </w:r>
          </w:p>
        </w:tc>
        <w:tc>
          <w:tcPr>
            <w:tcW w:w="114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b w:val="1"/>
                <w:bCs w:val="1"/>
                <w:color w:val="auto"/>
              </w:rPr>
              <w:t>(70,726)</w:t>
            </w:r>
          </w:p>
        </w:tc>
        <w:tc>
          <w:tcPr>
            <w:tcW w:w="102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b w:val="1"/>
                <w:bCs w:val="1"/>
                <w:color w:val="auto"/>
              </w:rPr>
              <w:t>526,247</w:t>
            </w:r>
          </w:p>
        </w:tc>
      </w:tr>
      <w:tr>
        <w:trPr>
          <w:trHeight w:val="210"/>
        </w:trPr>
        <w:tc>
          <w:tcPr>
            <w:tcW w:w="5720" w:type="dxa"/>
            <w:vAlign w:val="bottom"/>
          </w:tcPr>
          <w:p>
            <w:pPr>
              <w:ind w:left="40"/>
              <w:spacing w:after="0"/>
              <w:rPr>
                <w:sz w:val="20"/>
                <w:szCs w:val="20"/>
                <w:color w:val="auto"/>
              </w:rPr>
            </w:pPr>
            <w:r>
              <w:rPr>
                <w:rFonts w:ascii="Arial" w:cs="Arial" w:eastAsia="Arial" w:hAnsi="Arial"/>
                <w:sz w:val="14"/>
                <w:szCs w:val="14"/>
                <w:b w:val="1"/>
                <w:bCs w:val="1"/>
                <w:color w:val="012E6C"/>
              </w:rPr>
              <w:t>Richard H. Edwards</w:t>
            </w:r>
          </w:p>
        </w:tc>
        <w:tc>
          <w:tcPr>
            <w:tcW w:w="11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NQSSP</w:t>
            </w:r>
          </w:p>
        </w:tc>
        <w:tc>
          <w:tcPr>
            <w:tcW w:w="124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68,664</w:t>
            </w:r>
          </w:p>
        </w:tc>
        <w:tc>
          <w:tcPr>
            <w:tcW w:w="116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color w:val="auto"/>
              </w:rPr>
              <w:t>27,465</w:t>
            </w:r>
          </w:p>
        </w:tc>
        <w:tc>
          <w:tcPr>
            <w:tcW w:w="114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color w:val="auto"/>
              </w:rPr>
              <w:t>(80,470)</w:t>
            </w:r>
          </w:p>
        </w:tc>
        <w:tc>
          <w:tcPr>
            <w:tcW w:w="102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811,749</w:t>
            </w:r>
          </w:p>
        </w:tc>
      </w:tr>
      <w:tr>
        <w:trPr>
          <w:trHeight w:val="247"/>
        </w:trPr>
        <w:tc>
          <w:tcPr>
            <w:tcW w:w="5720" w:type="dxa"/>
            <w:vAlign w:val="bottom"/>
          </w:tcPr>
          <w:p>
            <w:pPr>
              <w:spacing w:after="0"/>
              <w:rPr>
                <w:sz w:val="21"/>
                <w:szCs w:val="21"/>
                <w:color w:val="auto"/>
              </w:rPr>
            </w:pPr>
          </w:p>
        </w:tc>
        <w:tc>
          <w:tcPr>
            <w:tcW w:w="11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NCAP</w:t>
            </w:r>
          </w:p>
        </w:tc>
        <w:tc>
          <w:tcPr>
            <w:tcW w:w="124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color w:val="auto"/>
              </w:rPr>
              <w:t>11,933</w:t>
            </w:r>
          </w:p>
        </w:tc>
        <w:tc>
          <w:tcPr>
            <w:tcW w:w="114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color w:val="auto"/>
              </w:rPr>
              <w:t>(1,238)</w:t>
            </w:r>
          </w:p>
        </w:tc>
        <w:tc>
          <w:tcPr>
            <w:tcW w:w="102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30,887</w:t>
            </w:r>
          </w:p>
        </w:tc>
      </w:tr>
      <w:tr>
        <w:trPr>
          <w:trHeight w:val="250"/>
        </w:trPr>
        <w:tc>
          <w:tcPr>
            <w:tcW w:w="5720" w:type="dxa"/>
            <w:vAlign w:val="bottom"/>
          </w:tcPr>
          <w:p>
            <w:pPr>
              <w:spacing w:after="0"/>
              <w:rPr>
                <w:sz w:val="21"/>
                <w:szCs w:val="21"/>
                <w:color w:val="auto"/>
              </w:rPr>
            </w:pPr>
          </w:p>
        </w:tc>
        <w:tc>
          <w:tcPr>
            <w:tcW w:w="11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DMICP (Bonus)</w:t>
            </w:r>
          </w:p>
        </w:tc>
        <w:tc>
          <w:tcPr>
            <w:tcW w:w="124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w:t>
            </w:r>
          </w:p>
        </w:tc>
      </w:tr>
      <w:tr>
        <w:trPr>
          <w:trHeight w:val="250"/>
        </w:trPr>
        <w:tc>
          <w:tcPr>
            <w:tcW w:w="5720" w:type="dxa"/>
            <w:vAlign w:val="bottom"/>
          </w:tcPr>
          <w:p>
            <w:pPr>
              <w:spacing w:after="0"/>
              <w:rPr>
                <w:sz w:val="21"/>
                <w:szCs w:val="21"/>
                <w:color w:val="auto"/>
              </w:rPr>
            </w:pPr>
          </w:p>
        </w:tc>
        <w:tc>
          <w:tcPr>
            <w:tcW w:w="11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DMICP (LTIP)</w:t>
            </w:r>
          </w:p>
        </w:tc>
        <w:tc>
          <w:tcPr>
            <w:tcW w:w="124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w:t>
            </w:r>
          </w:p>
        </w:tc>
      </w:tr>
      <w:tr>
        <w:trPr>
          <w:trHeight w:val="253"/>
        </w:trPr>
        <w:tc>
          <w:tcPr>
            <w:tcW w:w="5720" w:type="dxa"/>
            <w:vAlign w:val="bottom"/>
            <w:tcBorders>
              <w:bottom w:val="single" w:sz="8" w:color="959595"/>
            </w:tcBorders>
          </w:tcPr>
          <w:p>
            <w:pPr>
              <w:spacing w:after="0"/>
              <w:rPr>
                <w:sz w:val="22"/>
                <w:szCs w:val="22"/>
                <w:color w:val="auto"/>
              </w:rPr>
            </w:pPr>
          </w:p>
        </w:tc>
        <w:tc>
          <w:tcPr>
            <w:tcW w:w="1140" w:type="dxa"/>
            <w:vAlign w:val="bottom"/>
            <w:tcBorders>
              <w:bottom w:val="single" w:sz="8" w:color="959595"/>
            </w:tcBorders>
          </w:tcPr>
          <w:p>
            <w:pPr>
              <w:jc w:val="right"/>
              <w:spacing w:after="0"/>
              <w:rPr>
                <w:sz w:val="20"/>
                <w:szCs w:val="20"/>
                <w:color w:val="auto"/>
              </w:rPr>
            </w:pPr>
            <w:r>
              <w:rPr>
                <w:rFonts w:ascii="Arial" w:cs="Arial" w:eastAsia="Arial" w:hAnsi="Arial"/>
                <w:sz w:val="14"/>
                <w:szCs w:val="14"/>
                <w:b w:val="1"/>
                <w:bCs w:val="1"/>
                <w:color w:val="auto"/>
              </w:rPr>
              <w:t>TOTAL</w:t>
            </w:r>
          </w:p>
        </w:tc>
        <w:tc>
          <w:tcPr>
            <w:tcW w:w="124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b w:val="1"/>
                <w:bCs w:val="1"/>
                <w:color w:val="auto"/>
              </w:rPr>
              <w:t>68,664</w:t>
            </w:r>
          </w:p>
        </w:tc>
        <w:tc>
          <w:tcPr>
            <w:tcW w:w="116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b w:val="1"/>
                <w:bCs w:val="1"/>
                <w:color w:val="auto"/>
              </w:rPr>
              <w:t>39,398</w:t>
            </w:r>
          </w:p>
        </w:tc>
        <w:tc>
          <w:tcPr>
            <w:tcW w:w="114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b w:val="1"/>
                <w:bCs w:val="1"/>
                <w:color w:val="auto"/>
              </w:rPr>
              <w:t>(81,708)</w:t>
            </w:r>
          </w:p>
        </w:tc>
        <w:tc>
          <w:tcPr>
            <w:tcW w:w="102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b w:val="1"/>
                <w:bCs w:val="1"/>
                <w:color w:val="auto"/>
              </w:rPr>
              <w:t>842,636</w:t>
            </w:r>
          </w:p>
        </w:tc>
      </w:tr>
      <w:tr>
        <w:trPr>
          <w:trHeight w:val="210"/>
        </w:trPr>
        <w:tc>
          <w:tcPr>
            <w:tcW w:w="5720" w:type="dxa"/>
            <w:vAlign w:val="bottom"/>
          </w:tcPr>
          <w:p>
            <w:pPr>
              <w:ind w:left="40"/>
              <w:spacing w:after="0"/>
              <w:rPr>
                <w:sz w:val="20"/>
                <w:szCs w:val="20"/>
                <w:color w:val="auto"/>
              </w:rPr>
            </w:pPr>
            <w:r>
              <w:rPr>
                <w:rFonts w:ascii="Arial" w:cs="Arial" w:eastAsia="Arial" w:hAnsi="Arial"/>
                <w:sz w:val="14"/>
                <w:szCs w:val="14"/>
                <w:b w:val="1"/>
                <w:bCs w:val="1"/>
                <w:color w:val="012E6C"/>
              </w:rPr>
              <w:t>Frank A. St. John</w:t>
            </w:r>
          </w:p>
        </w:tc>
        <w:tc>
          <w:tcPr>
            <w:tcW w:w="11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NQSSP</w:t>
            </w:r>
          </w:p>
        </w:tc>
        <w:tc>
          <w:tcPr>
            <w:tcW w:w="124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159,677</w:t>
            </w:r>
          </w:p>
        </w:tc>
        <w:tc>
          <w:tcPr>
            <w:tcW w:w="116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color w:val="auto"/>
              </w:rPr>
              <w:t>30,415</w:t>
            </w:r>
          </w:p>
        </w:tc>
        <w:tc>
          <w:tcPr>
            <w:tcW w:w="114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color w:val="auto"/>
              </w:rPr>
              <w:t>(32,792)</w:t>
            </w:r>
          </w:p>
        </w:tc>
        <w:tc>
          <w:tcPr>
            <w:tcW w:w="102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539,550</w:t>
            </w:r>
          </w:p>
        </w:tc>
      </w:tr>
      <w:tr>
        <w:trPr>
          <w:trHeight w:val="247"/>
        </w:trPr>
        <w:tc>
          <w:tcPr>
            <w:tcW w:w="5720" w:type="dxa"/>
            <w:vAlign w:val="bottom"/>
          </w:tcPr>
          <w:p>
            <w:pPr>
              <w:spacing w:after="0"/>
              <w:rPr>
                <w:sz w:val="21"/>
                <w:szCs w:val="21"/>
                <w:color w:val="auto"/>
              </w:rPr>
            </w:pPr>
          </w:p>
        </w:tc>
        <w:tc>
          <w:tcPr>
            <w:tcW w:w="11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NCAP</w:t>
            </w:r>
          </w:p>
        </w:tc>
        <w:tc>
          <w:tcPr>
            <w:tcW w:w="124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color w:val="auto"/>
              </w:rPr>
              <w:t>11,469</w:t>
            </w:r>
          </w:p>
        </w:tc>
        <w:tc>
          <w:tcPr>
            <w:tcW w:w="114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color w:val="auto"/>
              </w:rPr>
              <w:t>(1,130)</w:t>
            </w:r>
          </w:p>
        </w:tc>
        <w:tc>
          <w:tcPr>
            <w:tcW w:w="102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19,068</w:t>
            </w:r>
          </w:p>
        </w:tc>
      </w:tr>
      <w:tr>
        <w:trPr>
          <w:trHeight w:val="250"/>
        </w:trPr>
        <w:tc>
          <w:tcPr>
            <w:tcW w:w="5720" w:type="dxa"/>
            <w:vAlign w:val="bottom"/>
          </w:tcPr>
          <w:p>
            <w:pPr>
              <w:spacing w:after="0"/>
              <w:rPr>
                <w:sz w:val="21"/>
                <w:szCs w:val="21"/>
                <w:color w:val="auto"/>
              </w:rPr>
            </w:pPr>
          </w:p>
        </w:tc>
        <w:tc>
          <w:tcPr>
            <w:tcW w:w="11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DMICP (Bonus)</w:t>
            </w:r>
          </w:p>
        </w:tc>
        <w:tc>
          <w:tcPr>
            <w:tcW w:w="124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387,197</w:t>
            </w:r>
          </w:p>
        </w:tc>
        <w:tc>
          <w:tcPr>
            <w:tcW w:w="116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color w:val="auto"/>
              </w:rPr>
              <w:t>(108,812)</w:t>
            </w:r>
          </w:p>
        </w:tc>
        <w:tc>
          <w:tcPr>
            <w:tcW w:w="102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1,777,270</w:t>
            </w:r>
          </w:p>
        </w:tc>
      </w:tr>
      <w:tr>
        <w:trPr>
          <w:trHeight w:val="250"/>
        </w:trPr>
        <w:tc>
          <w:tcPr>
            <w:tcW w:w="5720" w:type="dxa"/>
            <w:vAlign w:val="bottom"/>
          </w:tcPr>
          <w:p>
            <w:pPr>
              <w:spacing w:after="0"/>
              <w:rPr>
                <w:sz w:val="21"/>
                <w:szCs w:val="21"/>
                <w:color w:val="auto"/>
              </w:rPr>
            </w:pPr>
          </w:p>
        </w:tc>
        <w:tc>
          <w:tcPr>
            <w:tcW w:w="11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DMICP (LTIP)</w:t>
            </w:r>
          </w:p>
        </w:tc>
        <w:tc>
          <w:tcPr>
            <w:tcW w:w="124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460,333</w:t>
            </w:r>
          </w:p>
        </w:tc>
        <w:tc>
          <w:tcPr>
            <w:tcW w:w="116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color w:val="auto"/>
              </w:rPr>
              <w:t>(114,234)</w:t>
            </w:r>
          </w:p>
        </w:tc>
        <w:tc>
          <w:tcPr>
            <w:tcW w:w="102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1,664,558</w:t>
            </w:r>
          </w:p>
        </w:tc>
      </w:tr>
      <w:tr>
        <w:trPr>
          <w:trHeight w:val="253"/>
        </w:trPr>
        <w:tc>
          <w:tcPr>
            <w:tcW w:w="5720" w:type="dxa"/>
            <w:vAlign w:val="bottom"/>
            <w:tcBorders>
              <w:bottom w:val="single" w:sz="8" w:color="959595"/>
            </w:tcBorders>
          </w:tcPr>
          <w:p>
            <w:pPr>
              <w:spacing w:after="0"/>
              <w:rPr>
                <w:sz w:val="22"/>
                <w:szCs w:val="22"/>
                <w:color w:val="auto"/>
              </w:rPr>
            </w:pPr>
          </w:p>
        </w:tc>
        <w:tc>
          <w:tcPr>
            <w:tcW w:w="1140" w:type="dxa"/>
            <w:vAlign w:val="bottom"/>
            <w:tcBorders>
              <w:bottom w:val="single" w:sz="8" w:color="959595"/>
            </w:tcBorders>
          </w:tcPr>
          <w:p>
            <w:pPr>
              <w:jc w:val="right"/>
              <w:spacing w:after="0"/>
              <w:rPr>
                <w:sz w:val="20"/>
                <w:szCs w:val="20"/>
                <w:color w:val="auto"/>
              </w:rPr>
            </w:pPr>
            <w:r>
              <w:rPr>
                <w:rFonts w:ascii="Arial" w:cs="Arial" w:eastAsia="Arial" w:hAnsi="Arial"/>
                <w:sz w:val="14"/>
                <w:szCs w:val="14"/>
                <w:b w:val="1"/>
                <w:bCs w:val="1"/>
                <w:color w:val="auto"/>
              </w:rPr>
              <w:t>TOTAL</w:t>
            </w:r>
          </w:p>
        </w:tc>
        <w:tc>
          <w:tcPr>
            <w:tcW w:w="124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b w:val="1"/>
                <w:bCs w:val="1"/>
                <w:color w:val="auto"/>
              </w:rPr>
              <w:t>1,007,207</w:t>
            </w:r>
          </w:p>
        </w:tc>
        <w:tc>
          <w:tcPr>
            <w:tcW w:w="116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b w:val="1"/>
                <w:bCs w:val="1"/>
                <w:color w:val="auto"/>
              </w:rPr>
              <w:t>41,884</w:t>
            </w:r>
          </w:p>
        </w:tc>
        <w:tc>
          <w:tcPr>
            <w:tcW w:w="114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b w:val="1"/>
                <w:bCs w:val="1"/>
                <w:color w:val="auto"/>
              </w:rPr>
              <w:t>(256,968)</w:t>
            </w:r>
          </w:p>
        </w:tc>
        <w:tc>
          <w:tcPr>
            <w:tcW w:w="102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b w:val="1"/>
                <w:bCs w:val="1"/>
                <w:color w:val="auto"/>
              </w:rPr>
              <w:t>4,000,446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394335</wp:posOffset>
            </wp:positionV>
            <wp:extent cx="1440815" cy="3257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440815" cy="325755"/>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808080"/>
        </w:rPr>
        <w:t>62</w:t>
      </w:r>
    </w:p>
    <w:p>
      <w:pPr>
        <w:sectPr>
          <w:pgSz w:w="11900" w:h="16838" w:orient="portrait"/>
          <w:cols w:equalWidth="0" w:num="1">
            <w:col w:w="11420"/>
          </w:cols>
          <w:pgMar w:left="240" w:top="292" w:right="239" w:bottom="1440" w:gutter="0" w:footer="0" w:header="0"/>
          <w:type w:val="continuous"/>
        </w:sectPr>
      </w:pPr>
    </w:p>
    <w:bookmarkStart w:id="65" w:name="page66"/>
    <w:bookmarkEnd w:id="65"/>
    <w:p>
      <w:pPr>
        <w:jc w:val="right"/>
        <w:spacing w:after="0"/>
        <w:rPr>
          <w:sz w:val="20"/>
          <w:szCs w:val="20"/>
          <w:color w:val="auto"/>
        </w:rPr>
      </w:pPr>
      <w:r>
        <w:rPr>
          <w:rFonts w:ascii="Arial" w:cs="Arial" w:eastAsia="Arial" w:hAnsi="Arial"/>
          <w:sz w:val="15"/>
          <w:szCs w:val="15"/>
          <w:color w:val="003478"/>
        </w:rPr>
        <w:t>Executive Compensation</w:t>
      </w:r>
    </w:p>
    <w:p>
      <w:pPr>
        <w:spacing w:after="0" w:line="347" w:lineRule="exact"/>
        <w:rPr>
          <w:sz w:val="20"/>
          <w:szCs w:val="20"/>
          <w:color w:val="auto"/>
        </w:rPr>
      </w:pPr>
    </w:p>
    <w:p>
      <w:pPr>
        <w:spacing w:after="0"/>
        <w:rPr>
          <w:sz w:val="20"/>
          <w:szCs w:val="20"/>
          <w:color w:val="auto"/>
        </w:rPr>
      </w:pPr>
      <w:r>
        <w:rPr>
          <w:rFonts w:ascii="Arial" w:cs="Arial" w:eastAsia="Arial" w:hAnsi="Arial"/>
          <w:sz w:val="25"/>
          <w:szCs w:val="25"/>
          <w:color w:val="475C90"/>
        </w:rPr>
        <w:t>Executive Contributions in Last Fiscal Year (Column (b))</w:t>
      </w:r>
    </w:p>
    <w:p>
      <w:pPr>
        <w:spacing w:after="0" w:line="242"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Includes salary deferrals to NQSSP in 2018, annual incentive bonus paid in 2018 for 2017 performance deferred to DMICP, and LTIP paid in 2018 for the 2015-2017 performance period deferred to the DMICP.</w:t>
      </w:r>
    </w:p>
    <w:p>
      <w:pPr>
        <w:spacing w:after="0" w:line="131" w:lineRule="exact"/>
        <w:rPr>
          <w:sz w:val="20"/>
          <w:szCs w:val="20"/>
          <w:color w:val="auto"/>
        </w:rPr>
      </w:pPr>
    </w:p>
    <w:p>
      <w:pPr>
        <w:spacing w:after="0"/>
        <w:rPr>
          <w:sz w:val="20"/>
          <w:szCs w:val="20"/>
          <w:color w:val="auto"/>
        </w:rPr>
      </w:pPr>
      <w:r>
        <w:rPr>
          <w:rFonts w:ascii="Arial" w:cs="Arial" w:eastAsia="Arial" w:hAnsi="Arial"/>
          <w:sz w:val="25"/>
          <w:szCs w:val="25"/>
          <w:color w:val="475C90"/>
        </w:rPr>
        <w:t>Registrant Contributions in Last Fiscal Year (Column (c))</w:t>
      </w:r>
    </w:p>
    <w:p>
      <w:pPr>
        <w:spacing w:after="0" w:line="242"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Includes Corporation matching contributions to NQSSP made in 2018 and Corporation contributions made to NCAP in 2018. The NQSSP match and NCAP Corporation contributions are also included in column (i) of the “Summary Compensation Table.”</w:t>
      </w:r>
    </w:p>
    <w:p>
      <w:pPr>
        <w:spacing w:after="0" w:line="131" w:lineRule="exact"/>
        <w:rPr>
          <w:sz w:val="20"/>
          <w:szCs w:val="20"/>
          <w:color w:val="auto"/>
        </w:rPr>
      </w:pPr>
    </w:p>
    <w:p>
      <w:pPr>
        <w:spacing w:after="0"/>
        <w:rPr>
          <w:sz w:val="20"/>
          <w:szCs w:val="20"/>
          <w:color w:val="auto"/>
        </w:rPr>
      </w:pPr>
      <w:r>
        <w:rPr>
          <w:rFonts w:ascii="Arial" w:cs="Arial" w:eastAsia="Arial" w:hAnsi="Arial"/>
          <w:sz w:val="25"/>
          <w:szCs w:val="25"/>
          <w:color w:val="475C90"/>
        </w:rPr>
        <w:t>Aggregate Balance at Last Fiscal Year End (Column (f))</w:t>
      </w:r>
    </w:p>
    <w:p>
      <w:pPr>
        <w:spacing w:after="0" w:line="242"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following table lists the amounts reported as executive or registrant contributions in columns (b) and (c) of the “2018 Nonqualified Deferred Compensation” table that are also reported as compensation in the “Summary Compensation Table” for 2018. These contributions consist of NEO and Corporation matching contributions made to the NQSSP and Corporation contributions made to the NCAP for service in 2018. Contributions with respect to 2018 performance deferred in 2019 (annual incentive bonus and LTIP) are not included as these amounts are not credited until 2019, and are not included in column (f). The following table also lists the amounts reported in column (f) as part of the Aggregate Balance at Last FYE (2018) that is reported as compensation for prior years in the “Summary Compensation Table” for years beginning with 2006. Column (f) includes earnings in excess of 120% of the applicable federal rate (above-market earnings) on deferrals made prior to July 1, 2009 reported for 2018 in column (h) of the Summary Compensation Table as follows: Ms. Hewson $68; Mr. Tanner: $6; Mr. Ambrose $22; and Mr. Bennett $1.</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000" w:type="dxa"/>
            <w:vAlign w:val="bottom"/>
            <w:tcBorders>
              <w:bottom w:val="single" w:sz="8" w:color="ECECEC"/>
            </w:tcBorders>
            <w:shd w:val="clear" w:color="auto" w:fill="ECECEC"/>
          </w:tcPr>
          <w:p>
            <w:pPr>
              <w:spacing w:after="0"/>
              <w:rPr>
                <w:sz w:val="22"/>
                <w:szCs w:val="22"/>
                <w:color w:val="auto"/>
              </w:rPr>
            </w:pPr>
          </w:p>
        </w:tc>
        <w:tc>
          <w:tcPr>
            <w:tcW w:w="1620" w:type="dxa"/>
            <w:vAlign w:val="bottom"/>
            <w:tcBorders>
              <w:bottom w:val="single" w:sz="8" w:color="ECECEC"/>
            </w:tcBorders>
            <w:shd w:val="clear" w:color="auto" w:fill="ECECEC"/>
          </w:tcPr>
          <w:p>
            <w:pPr>
              <w:spacing w:after="0"/>
              <w:rPr>
                <w:sz w:val="22"/>
                <w:szCs w:val="22"/>
                <w:color w:val="auto"/>
              </w:rPr>
            </w:pPr>
          </w:p>
        </w:tc>
        <w:tc>
          <w:tcPr>
            <w:tcW w:w="340" w:type="dxa"/>
            <w:vAlign w:val="bottom"/>
            <w:tcBorders>
              <w:bottom w:val="single" w:sz="8" w:color="ECECEC"/>
            </w:tcBorders>
            <w:shd w:val="clear" w:color="auto" w:fill="ECECEC"/>
          </w:tcPr>
          <w:p>
            <w:pPr>
              <w:spacing w:after="0"/>
              <w:rPr>
                <w:sz w:val="22"/>
                <w:szCs w:val="22"/>
                <w:color w:val="auto"/>
              </w:rPr>
            </w:pPr>
          </w:p>
        </w:tc>
        <w:tc>
          <w:tcPr>
            <w:tcW w:w="5460" w:type="dxa"/>
            <w:vAlign w:val="bottom"/>
            <w:tcBorders>
              <w:bottom w:val="single" w:sz="8" w:color="959595"/>
            </w:tcBorders>
            <w:gridSpan w:val="2"/>
            <w:shd w:val="clear" w:color="auto" w:fill="ECECEC"/>
          </w:tcPr>
          <w:p>
            <w:pPr>
              <w:jc w:val="right"/>
              <w:ind w:right="1691"/>
              <w:spacing w:after="0"/>
              <w:rPr>
                <w:sz w:val="20"/>
                <w:szCs w:val="20"/>
                <w:color w:val="auto"/>
              </w:rPr>
            </w:pPr>
            <w:r>
              <w:rPr>
                <w:rFonts w:ascii="Arial" w:cs="Arial" w:eastAsia="Arial" w:hAnsi="Arial"/>
                <w:sz w:val="13"/>
                <w:szCs w:val="13"/>
                <w:color w:val="auto"/>
              </w:rPr>
              <w:t>Of Amount Reported in Column (f)</w:t>
            </w:r>
          </w:p>
        </w:tc>
        <w:tc>
          <w:tcPr>
            <w:tcW w:w="0" w:type="dxa"/>
            <w:vAlign w:val="bottom"/>
          </w:tcPr>
          <w:p>
            <w:pPr>
              <w:spacing w:after="0"/>
              <w:rPr>
                <w:sz w:val="1"/>
                <w:szCs w:val="1"/>
                <w:color w:val="auto"/>
              </w:rPr>
            </w:pPr>
          </w:p>
        </w:tc>
      </w:tr>
      <w:tr>
        <w:trPr>
          <w:trHeight w:val="140"/>
        </w:trPr>
        <w:tc>
          <w:tcPr>
            <w:tcW w:w="4000" w:type="dxa"/>
            <w:vAlign w:val="bottom"/>
            <w:shd w:val="clear" w:color="auto" w:fill="ECECEC"/>
          </w:tcPr>
          <w:p>
            <w:pPr>
              <w:spacing w:after="0"/>
              <w:rPr>
                <w:sz w:val="12"/>
                <w:szCs w:val="12"/>
                <w:color w:val="auto"/>
              </w:rPr>
            </w:pPr>
          </w:p>
        </w:tc>
        <w:tc>
          <w:tcPr>
            <w:tcW w:w="1620" w:type="dxa"/>
            <w:vAlign w:val="bottom"/>
            <w:vMerge w:val="restart"/>
            <w:shd w:val="clear" w:color="auto" w:fill="ECECEC"/>
          </w:tcPr>
          <w:p>
            <w:pPr>
              <w:jc w:val="right"/>
              <w:spacing w:after="0"/>
              <w:rPr>
                <w:sz w:val="20"/>
                <w:szCs w:val="20"/>
                <w:color w:val="auto"/>
              </w:rPr>
            </w:pPr>
            <w:r>
              <w:rPr>
                <w:rFonts w:ascii="Arial" w:cs="Arial" w:eastAsia="Arial" w:hAnsi="Arial"/>
                <w:sz w:val="13"/>
                <w:szCs w:val="13"/>
                <w:color w:val="auto"/>
              </w:rPr>
              <w:t>Aggregate Balance</w:t>
            </w:r>
          </w:p>
        </w:tc>
        <w:tc>
          <w:tcPr>
            <w:tcW w:w="340" w:type="dxa"/>
            <w:vAlign w:val="bottom"/>
            <w:shd w:val="clear" w:color="auto" w:fill="ECECEC"/>
          </w:tcPr>
          <w:p>
            <w:pPr>
              <w:spacing w:after="0"/>
              <w:rPr>
                <w:sz w:val="12"/>
                <w:szCs w:val="12"/>
                <w:color w:val="auto"/>
              </w:rPr>
            </w:pPr>
          </w:p>
        </w:tc>
        <w:tc>
          <w:tcPr>
            <w:tcW w:w="3240" w:type="dxa"/>
            <w:vAlign w:val="bottom"/>
            <w:shd w:val="clear" w:color="auto" w:fill="ECECEC"/>
          </w:tcPr>
          <w:p>
            <w:pPr>
              <w:jc w:val="right"/>
              <w:ind w:right="312"/>
              <w:spacing w:after="0" w:line="140" w:lineRule="exact"/>
              <w:rPr>
                <w:sz w:val="20"/>
                <w:szCs w:val="20"/>
                <w:color w:val="auto"/>
              </w:rPr>
            </w:pPr>
            <w:r>
              <w:rPr>
                <w:rFonts w:ascii="Arial" w:cs="Arial" w:eastAsia="Arial" w:hAnsi="Arial"/>
                <w:sz w:val="13"/>
                <w:szCs w:val="13"/>
                <w:color w:val="auto"/>
              </w:rPr>
              <w:t>NEO and Corporation Contributions to</w:t>
            </w:r>
          </w:p>
        </w:tc>
        <w:tc>
          <w:tcPr>
            <w:tcW w:w="2220" w:type="dxa"/>
            <w:vAlign w:val="bottom"/>
            <w:vMerge w:val="restart"/>
            <w:shd w:val="clear" w:color="auto" w:fill="ECECEC"/>
          </w:tcPr>
          <w:p>
            <w:pPr>
              <w:jc w:val="right"/>
              <w:ind w:right="31"/>
              <w:spacing w:after="0"/>
              <w:rPr>
                <w:sz w:val="20"/>
                <w:szCs w:val="20"/>
                <w:color w:val="auto"/>
              </w:rPr>
            </w:pPr>
            <w:r>
              <w:rPr>
                <w:rFonts w:ascii="Arial" w:cs="Arial" w:eastAsia="Arial" w:hAnsi="Arial"/>
                <w:sz w:val="13"/>
                <w:szCs w:val="13"/>
                <w:color w:val="auto"/>
              </w:rPr>
              <w:t>Amount Reported in “Summary</w:t>
            </w:r>
          </w:p>
        </w:tc>
        <w:tc>
          <w:tcPr>
            <w:tcW w:w="0" w:type="dxa"/>
            <w:vAlign w:val="bottom"/>
          </w:tcPr>
          <w:p>
            <w:pPr>
              <w:spacing w:after="0"/>
              <w:rPr>
                <w:sz w:val="1"/>
                <w:szCs w:val="1"/>
                <w:color w:val="auto"/>
              </w:rPr>
            </w:pPr>
          </w:p>
        </w:tc>
      </w:tr>
      <w:tr>
        <w:trPr>
          <w:trHeight w:val="135"/>
        </w:trPr>
        <w:tc>
          <w:tcPr>
            <w:tcW w:w="4000" w:type="dxa"/>
            <w:vAlign w:val="bottom"/>
            <w:shd w:val="clear" w:color="auto" w:fill="ECECEC"/>
          </w:tcPr>
          <w:p>
            <w:pPr>
              <w:spacing w:after="0"/>
              <w:rPr>
                <w:sz w:val="11"/>
                <w:szCs w:val="11"/>
                <w:color w:val="auto"/>
              </w:rPr>
            </w:pPr>
          </w:p>
        </w:tc>
        <w:tc>
          <w:tcPr>
            <w:tcW w:w="1620" w:type="dxa"/>
            <w:vAlign w:val="bottom"/>
            <w:vMerge w:val="continue"/>
            <w:shd w:val="clear" w:color="auto" w:fill="ECECEC"/>
          </w:tcPr>
          <w:p>
            <w:pPr>
              <w:spacing w:after="0"/>
              <w:rPr>
                <w:sz w:val="11"/>
                <w:szCs w:val="11"/>
                <w:color w:val="auto"/>
              </w:rPr>
            </w:pPr>
          </w:p>
        </w:tc>
        <w:tc>
          <w:tcPr>
            <w:tcW w:w="340" w:type="dxa"/>
            <w:vAlign w:val="bottom"/>
            <w:shd w:val="clear" w:color="auto" w:fill="ECECEC"/>
          </w:tcPr>
          <w:p>
            <w:pPr>
              <w:spacing w:after="0"/>
              <w:rPr>
                <w:sz w:val="11"/>
                <w:szCs w:val="11"/>
                <w:color w:val="auto"/>
              </w:rPr>
            </w:pPr>
          </w:p>
        </w:tc>
        <w:tc>
          <w:tcPr>
            <w:tcW w:w="3240" w:type="dxa"/>
            <w:vAlign w:val="bottom"/>
            <w:shd w:val="clear" w:color="auto" w:fill="ECECEC"/>
          </w:tcPr>
          <w:p>
            <w:pPr>
              <w:jc w:val="right"/>
              <w:ind w:right="312"/>
              <w:spacing w:after="0" w:line="135" w:lineRule="exact"/>
              <w:rPr>
                <w:sz w:val="20"/>
                <w:szCs w:val="20"/>
                <w:color w:val="auto"/>
              </w:rPr>
            </w:pPr>
            <w:r>
              <w:rPr>
                <w:rFonts w:ascii="Arial" w:cs="Arial" w:eastAsia="Arial" w:hAnsi="Arial"/>
                <w:sz w:val="13"/>
                <w:szCs w:val="13"/>
                <w:color w:val="auto"/>
              </w:rPr>
              <w:t>NQSSP and Corporation Contributions to</w:t>
            </w:r>
          </w:p>
        </w:tc>
        <w:tc>
          <w:tcPr>
            <w:tcW w:w="2220" w:type="dxa"/>
            <w:vAlign w:val="bottom"/>
            <w:vMerge w:val="continue"/>
            <w:shd w:val="clear" w:color="auto" w:fill="ECECE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0" w:type="dxa"/>
            <w:vAlign w:val="bottom"/>
            <w:shd w:val="clear" w:color="auto" w:fill="ECECEC"/>
          </w:tcPr>
          <w:p>
            <w:pPr>
              <w:spacing w:after="0"/>
              <w:rPr>
                <w:sz w:val="11"/>
                <w:szCs w:val="11"/>
                <w:color w:val="auto"/>
              </w:rPr>
            </w:pPr>
          </w:p>
        </w:tc>
        <w:tc>
          <w:tcPr>
            <w:tcW w:w="1620" w:type="dxa"/>
            <w:vAlign w:val="bottom"/>
            <w:shd w:val="clear" w:color="auto" w:fill="ECECEC"/>
          </w:tcPr>
          <w:p>
            <w:pPr>
              <w:jc w:val="right"/>
              <w:spacing w:after="0" w:line="135" w:lineRule="exact"/>
              <w:rPr>
                <w:sz w:val="20"/>
                <w:szCs w:val="20"/>
                <w:color w:val="auto"/>
              </w:rPr>
            </w:pPr>
            <w:r>
              <w:rPr>
                <w:rFonts w:ascii="Arial" w:cs="Arial" w:eastAsia="Arial" w:hAnsi="Arial"/>
                <w:sz w:val="13"/>
                <w:szCs w:val="13"/>
                <w:color w:val="auto"/>
              </w:rPr>
              <w:t>at December 31,</w:t>
            </w:r>
          </w:p>
        </w:tc>
        <w:tc>
          <w:tcPr>
            <w:tcW w:w="340" w:type="dxa"/>
            <w:vAlign w:val="bottom"/>
            <w:shd w:val="clear" w:color="auto" w:fill="ECECEC"/>
          </w:tcPr>
          <w:p>
            <w:pPr>
              <w:spacing w:after="0"/>
              <w:rPr>
                <w:sz w:val="11"/>
                <w:szCs w:val="11"/>
                <w:color w:val="auto"/>
              </w:rPr>
            </w:pPr>
          </w:p>
        </w:tc>
        <w:tc>
          <w:tcPr>
            <w:tcW w:w="3240" w:type="dxa"/>
            <w:vAlign w:val="bottom"/>
            <w:shd w:val="clear" w:color="auto" w:fill="ECECEC"/>
          </w:tcPr>
          <w:p>
            <w:pPr>
              <w:jc w:val="right"/>
              <w:ind w:right="312"/>
              <w:spacing w:after="0" w:line="135" w:lineRule="exact"/>
              <w:rPr>
                <w:sz w:val="20"/>
                <w:szCs w:val="20"/>
                <w:color w:val="auto"/>
              </w:rPr>
            </w:pPr>
            <w:r>
              <w:rPr>
                <w:rFonts w:ascii="Arial" w:cs="Arial" w:eastAsia="Arial" w:hAnsi="Arial"/>
                <w:sz w:val="13"/>
                <w:szCs w:val="13"/>
                <w:color w:val="auto"/>
              </w:rPr>
              <w:t>NCAP Reported in “Summary</w:t>
            </w:r>
          </w:p>
        </w:tc>
        <w:tc>
          <w:tcPr>
            <w:tcW w:w="2220" w:type="dxa"/>
            <w:vAlign w:val="bottom"/>
            <w:shd w:val="clear" w:color="auto" w:fill="ECECEC"/>
          </w:tcPr>
          <w:p>
            <w:pPr>
              <w:jc w:val="right"/>
              <w:ind w:right="31"/>
              <w:spacing w:after="0" w:line="135" w:lineRule="exact"/>
              <w:rPr>
                <w:sz w:val="20"/>
                <w:szCs w:val="20"/>
                <w:color w:val="auto"/>
              </w:rPr>
            </w:pPr>
            <w:r>
              <w:rPr>
                <w:rFonts w:ascii="Arial" w:cs="Arial" w:eastAsia="Arial" w:hAnsi="Arial"/>
                <w:sz w:val="13"/>
                <w:szCs w:val="13"/>
                <w:color w:val="auto"/>
              </w:rPr>
              <w:t>Compensation Table” for Prior</w:t>
            </w:r>
          </w:p>
        </w:tc>
        <w:tc>
          <w:tcPr>
            <w:tcW w:w="0" w:type="dxa"/>
            <w:vAlign w:val="bottom"/>
          </w:tcPr>
          <w:p>
            <w:pPr>
              <w:spacing w:after="0"/>
              <w:rPr>
                <w:sz w:val="1"/>
                <w:szCs w:val="1"/>
                <w:color w:val="auto"/>
              </w:rPr>
            </w:pPr>
          </w:p>
        </w:tc>
      </w:tr>
      <w:tr>
        <w:trPr>
          <w:trHeight w:val="170"/>
        </w:trPr>
        <w:tc>
          <w:tcPr>
            <w:tcW w:w="4000" w:type="dxa"/>
            <w:vAlign w:val="bottom"/>
            <w:shd w:val="clear" w:color="auto" w:fill="ECECEC"/>
          </w:tcPr>
          <w:p>
            <w:pPr>
              <w:spacing w:after="0"/>
              <w:rPr>
                <w:sz w:val="14"/>
                <w:szCs w:val="14"/>
                <w:color w:val="auto"/>
              </w:rPr>
            </w:pPr>
          </w:p>
        </w:tc>
        <w:tc>
          <w:tcPr>
            <w:tcW w:w="1620" w:type="dxa"/>
            <w:vAlign w:val="bottom"/>
            <w:shd w:val="clear" w:color="auto" w:fill="ECECEC"/>
          </w:tcPr>
          <w:p>
            <w:pPr>
              <w:jc w:val="right"/>
              <w:spacing w:after="0"/>
              <w:rPr>
                <w:sz w:val="20"/>
                <w:szCs w:val="20"/>
                <w:color w:val="auto"/>
              </w:rPr>
            </w:pPr>
            <w:r>
              <w:rPr>
                <w:rFonts w:ascii="Arial" w:cs="Arial" w:eastAsia="Arial" w:hAnsi="Arial"/>
                <w:sz w:val="13"/>
                <w:szCs w:val="13"/>
                <w:color w:val="auto"/>
              </w:rPr>
              <w:t>2018 in Column (f)</w:t>
            </w:r>
          </w:p>
        </w:tc>
        <w:tc>
          <w:tcPr>
            <w:tcW w:w="340" w:type="dxa"/>
            <w:vAlign w:val="bottom"/>
            <w:shd w:val="clear" w:color="auto" w:fill="ECECEC"/>
          </w:tcPr>
          <w:p>
            <w:pPr>
              <w:spacing w:after="0"/>
              <w:rPr>
                <w:sz w:val="14"/>
                <w:szCs w:val="14"/>
                <w:color w:val="auto"/>
              </w:rPr>
            </w:pPr>
          </w:p>
        </w:tc>
        <w:tc>
          <w:tcPr>
            <w:tcW w:w="3240" w:type="dxa"/>
            <w:vAlign w:val="bottom"/>
            <w:shd w:val="clear" w:color="auto" w:fill="ECECEC"/>
          </w:tcPr>
          <w:p>
            <w:pPr>
              <w:jc w:val="right"/>
              <w:ind w:right="312"/>
              <w:spacing w:after="0"/>
              <w:rPr>
                <w:sz w:val="20"/>
                <w:szCs w:val="20"/>
                <w:color w:val="auto"/>
              </w:rPr>
            </w:pPr>
            <w:r>
              <w:rPr>
                <w:rFonts w:ascii="Arial" w:cs="Arial" w:eastAsia="Arial" w:hAnsi="Arial"/>
                <w:sz w:val="13"/>
                <w:szCs w:val="13"/>
                <w:color w:val="auto"/>
              </w:rPr>
              <w:t>Compensation Table” for 2018</w:t>
            </w:r>
          </w:p>
        </w:tc>
        <w:tc>
          <w:tcPr>
            <w:tcW w:w="2220" w:type="dxa"/>
            <w:vAlign w:val="bottom"/>
            <w:shd w:val="clear" w:color="auto" w:fill="ECECEC"/>
          </w:tcPr>
          <w:p>
            <w:pPr>
              <w:jc w:val="right"/>
              <w:ind w:right="31"/>
              <w:spacing w:after="0"/>
              <w:rPr>
                <w:sz w:val="20"/>
                <w:szCs w:val="20"/>
                <w:color w:val="auto"/>
              </w:rPr>
            </w:pPr>
            <w:r>
              <w:rPr>
                <w:rFonts w:ascii="Arial" w:cs="Arial" w:eastAsia="Arial" w:hAnsi="Arial"/>
                <w:sz w:val="13"/>
                <w:szCs w:val="13"/>
                <w:color w:val="auto"/>
              </w:rPr>
              <w:t>Years (Beginning with 2006)</w:t>
            </w:r>
          </w:p>
        </w:tc>
        <w:tc>
          <w:tcPr>
            <w:tcW w:w="0" w:type="dxa"/>
            <w:vAlign w:val="bottom"/>
          </w:tcPr>
          <w:p>
            <w:pPr>
              <w:spacing w:after="0"/>
              <w:rPr>
                <w:sz w:val="1"/>
                <w:szCs w:val="1"/>
                <w:color w:val="auto"/>
              </w:rPr>
            </w:pPr>
          </w:p>
        </w:tc>
      </w:tr>
      <w:tr>
        <w:trPr>
          <w:trHeight w:val="278"/>
        </w:trPr>
        <w:tc>
          <w:tcPr>
            <w:tcW w:w="4000" w:type="dxa"/>
            <w:vAlign w:val="bottom"/>
            <w:tcBorders>
              <w:bottom w:val="single" w:sz="8" w:color="959595"/>
            </w:tcBorders>
            <w:shd w:val="clear" w:color="auto" w:fill="ECECEC"/>
          </w:tcPr>
          <w:p>
            <w:pPr>
              <w:ind w:left="40"/>
              <w:spacing w:after="0"/>
              <w:rPr>
                <w:sz w:val="20"/>
                <w:szCs w:val="20"/>
                <w:color w:val="auto"/>
              </w:rPr>
            </w:pPr>
            <w:r>
              <w:rPr>
                <w:rFonts w:ascii="Arial" w:cs="Arial" w:eastAsia="Arial" w:hAnsi="Arial"/>
                <w:sz w:val="13"/>
                <w:szCs w:val="13"/>
                <w:color w:val="auto"/>
              </w:rPr>
              <w:t>Name</w:t>
            </w:r>
          </w:p>
        </w:tc>
        <w:tc>
          <w:tcPr>
            <w:tcW w:w="1620" w:type="dxa"/>
            <w:vAlign w:val="bottom"/>
            <w:tcBorders>
              <w:bottom w:val="single" w:sz="8" w:color="959595"/>
            </w:tcBorders>
            <w:shd w:val="clear" w:color="auto" w:fill="ECECEC"/>
          </w:tcPr>
          <w:p>
            <w:pPr>
              <w:jc w:val="right"/>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959595"/>
            </w:tcBorders>
            <w:shd w:val="clear" w:color="auto" w:fill="ECECEC"/>
          </w:tcPr>
          <w:p>
            <w:pPr>
              <w:spacing w:after="0"/>
              <w:rPr>
                <w:sz w:val="24"/>
                <w:szCs w:val="24"/>
                <w:color w:val="auto"/>
              </w:rPr>
            </w:pPr>
          </w:p>
        </w:tc>
        <w:tc>
          <w:tcPr>
            <w:tcW w:w="3240" w:type="dxa"/>
            <w:vAlign w:val="bottom"/>
            <w:tcBorders>
              <w:bottom w:val="single" w:sz="8" w:color="959595"/>
            </w:tcBorders>
            <w:shd w:val="clear" w:color="auto" w:fill="ECECEC"/>
          </w:tcPr>
          <w:p>
            <w:pPr>
              <w:jc w:val="right"/>
              <w:ind w:right="312"/>
              <w:spacing w:after="0"/>
              <w:rPr>
                <w:sz w:val="20"/>
                <w:szCs w:val="20"/>
                <w:color w:val="auto"/>
              </w:rPr>
            </w:pPr>
            <w:r>
              <w:rPr>
                <w:rFonts w:ascii="Arial" w:cs="Arial" w:eastAsia="Arial" w:hAnsi="Arial"/>
                <w:sz w:val="13"/>
                <w:szCs w:val="13"/>
                <w:color w:val="auto"/>
              </w:rPr>
              <w:t>($)</w:t>
            </w:r>
          </w:p>
        </w:tc>
        <w:tc>
          <w:tcPr>
            <w:tcW w:w="2220" w:type="dxa"/>
            <w:vAlign w:val="bottom"/>
            <w:tcBorders>
              <w:bottom w:val="single" w:sz="8" w:color="959595"/>
            </w:tcBorders>
            <w:shd w:val="clear" w:color="auto" w:fill="ECECEC"/>
          </w:tcPr>
          <w:p>
            <w:pPr>
              <w:jc w:val="right"/>
              <w:ind w:right="31"/>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9"/>
        </w:trPr>
        <w:tc>
          <w:tcPr>
            <w:tcW w:w="400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012E6C"/>
              </w:rPr>
              <w:t>Ms. Hewson</w:t>
            </w:r>
          </w:p>
        </w:tc>
        <w:tc>
          <w:tcPr>
            <w:tcW w:w="1960" w:type="dxa"/>
            <w:vAlign w:val="bottom"/>
            <w:tcBorders>
              <w:bottom w:val="single" w:sz="8" w:color="959595"/>
            </w:tcBorders>
            <w:gridSpan w:val="2"/>
          </w:tcPr>
          <w:p>
            <w:pPr>
              <w:jc w:val="right"/>
              <w:ind w:right="340"/>
              <w:spacing w:after="0"/>
              <w:rPr>
                <w:sz w:val="20"/>
                <w:szCs w:val="20"/>
                <w:color w:val="auto"/>
              </w:rPr>
            </w:pPr>
            <w:r>
              <w:rPr>
                <w:rFonts w:ascii="Arial" w:cs="Arial" w:eastAsia="Arial" w:hAnsi="Arial"/>
                <w:sz w:val="14"/>
                <w:szCs w:val="14"/>
                <w:color w:val="auto"/>
              </w:rPr>
              <w:t>44,355,882</w:t>
            </w:r>
          </w:p>
        </w:tc>
        <w:tc>
          <w:tcPr>
            <w:tcW w:w="3240" w:type="dxa"/>
            <w:vAlign w:val="bottom"/>
            <w:tcBorders>
              <w:bottom w:val="single" w:sz="8" w:color="959595"/>
            </w:tcBorders>
          </w:tcPr>
          <w:p>
            <w:pPr>
              <w:jc w:val="right"/>
              <w:ind w:right="312"/>
              <w:spacing w:after="0"/>
              <w:rPr>
                <w:sz w:val="20"/>
                <w:szCs w:val="20"/>
                <w:color w:val="auto"/>
              </w:rPr>
            </w:pPr>
            <w:r>
              <w:rPr>
                <w:rFonts w:ascii="Arial" w:cs="Arial" w:eastAsia="Arial" w:hAnsi="Arial"/>
                <w:sz w:val="14"/>
                <w:szCs w:val="14"/>
                <w:color w:val="auto"/>
              </w:rPr>
              <w:t>423,750</w:t>
            </w:r>
          </w:p>
        </w:tc>
        <w:tc>
          <w:tcPr>
            <w:tcW w:w="2220" w:type="dxa"/>
            <w:vAlign w:val="bottom"/>
            <w:tcBorders>
              <w:bottom w:val="single" w:sz="8" w:color="959595"/>
            </w:tcBorders>
          </w:tcPr>
          <w:p>
            <w:pPr>
              <w:jc w:val="right"/>
              <w:ind w:right="31"/>
              <w:spacing w:after="0"/>
              <w:rPr>
                <w:sz w:val="20"/>
                <w:szCs w:val="20"/>
                <w:color w:val="auto"/>
              </w:rPr>
            </w:pPr>
            <w:r>
              <w:rPr>
                <w:rFonts w:ascii="Arial" w:cs="Arial" w:eastAsia="Arial" w:hAnsi="Arial"/>
                <w:sz w:val="14"/>
                <w:szCs w:val="14"/>
                <w:color w:val="auto"/>
              </w:rPr>
              <w:t>22,149,734</w:t>
            </w:r>
          </w:p>
        </w:tc>
        <w:tc>
          <w:tcPr>
            <w:tcW w:w="0" w:type="dxa"/>
            <w:vAlign w:val="bottom"/>
          </w:tcPr>
          <w:p>
            <w:pPr>
              <w:spacing w:after="0"/>
              <w:rPr>
                <w:sz w:val="1"/>
                <w:szCs w:val="1"/>
                <w:color w:val="auto"/>
              </w:rPr>
            </w:pPr>
          </w:p>
        </w:tc>
      </w:tr>
      <w:tr>
        <w:trPr>
          <w:trHeight w:val="264"/>
        </w:trPr>
        <w:tc>
          <w:tcPr>
            <w:tcW w:w="400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012E6C"/>
              </w:rPr>
              <w:t>Mr. Tanner</w:t>
            </w:r>
          </w:p>
        </w:tc>
        <w:tc>
          <w:tcPr>
            <w:tcW w:w="1960" w:type="dxa"/>
            <w:vAlign w:val="bottom"/>
            <w:tcBorders>
              <w:bottom w:val="single" w:sz="8" w:color="959595"/>
            </w:tcBorders>
            <w:gridSpan w:val="2"/>
          </w:tcPr>
          <w:p>
            <w:pPr>
              <w:jc w:val="right"/>
              <w:ind w:right="340"/>
              <w:spacing w:after="0"/>
              <w:rPr>
                <w:sz w:val="20"/>
                <w:szCs w:val="20"/>
                <w:color w:val="auto"/>
              </w:rPr>
            </w:pPr>
            <w:r>
              <w:rPr>
                <w:rFonts w:ascii="Arial" w:cs="Arial" w:eastAsia="Arial" w:hAnsi="Arial"/>
                <w:sz w:val="14"/>
                <w:szCs w:val="14"/>
                <w:color w:val="auto"/>
              </w:rPr>
              <w:t>11,402,966</w:t>
            </w:r>
          </w:p>
        </w:tc>
        <w:tc>
          <w:tcPr>
            <w:tcW w:w="3240" w:type="dxa"/>
            <w:vAlign w:val="bottom"/>
            <w:tcBorders>
              <w:bottom w:val="single" w:sz="8" w:color="959595"/>
            </w:tcBorders>
          </w:tcPr>
          <w:p>
            <w:pPr>
              <w:jc w:val="right"/>
              <w:ind w:right="312"/>
              <w:spacing w:after="0"/>
              <w:rPr>
                <w:sz w:val="20"/>
                <w:szCs w:val="20"/>
                <w:color w:val="auto"/>
              </w:rPr>
            </w:pPr>
            <w:r>
              <w:rPr>
                <w:rFonts w:ascii="Arial" w:cs="Arial" w:eastAsia="Arial" w:hAnsi="Arial"/>
                <w:sz w:val="14"/>
                <w:szCs w:val="14"/>
                <w:color w:val="auto"/>
              </w:rPr>
              <w:t>296,010</w:t>
            </w:r>
          </w:p>
        </w:tc>
        <w:tc>
          <w:tcPr>
            <w:tcW w:w="2220" w:type="dxa"/>
            <w:vAlign w:val="bottom"/>
            <w:tcBorders>
              <w:bottom w:val="single" w:sz="8" w:color="959595"/>
            </w:tcBorders>
          </w:tcPr>
          <w:p>
            <w:pPr>
              <w:jc w:val="right"/>
              <w:ind w:right="31"/>
              <w:spacing w:after="0"/>
              <w:rPr>
                <w:sz w:val="20"/>
                <w:szCs w:val="20"/>
                <w:color w:val="auto"/>
              </w:rPr>
            </w:pPr>
            <w:r>
              <w:rPr>
                <w:rFonts w:ascii="Arial" w:cs="Arial" w:eastAsia="Arial" w:hAnsi="Arial"/>
                <w:sz w:val="14"/>
                <w:szCs w:val="14"/>
                <w:color w:val="auto"/>
              </w:rPr>
              <w:t>7,716,652</w:t>
            </w:r>
          </w:p>
        </w:tc>
        <w:tc>
          <w:tcPr>
            <w:tcW w:w="0" w:type="dxa"/>
            <w:vAlign w:val="bottom"/>
          </w:tcPr>
          <w:p>
            <w:pPr>
              <w:spacing w:after="0"/>
              <w:rPr>
                <w:sz w:val="1"/>
                <w:szCs w:val="1"/>
                <w:color w:val="auto"/>
              </w:rPr>
            </w:pPr>
          </w:p>
        </w:tc>
      </w:tr>
      <w:tr>
        <w:trPr>
          <w:trHeight w:val="264"/>
        </w:trPr>
        <w:tc>
          <w:tcPr>
            <w:tcW w:w="400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012E6C"/>
              </w:rPr>
              <w:t>Mr. Ambrose</w:t>
            </w:r>
          </w:p>
        </w:tc>
        <w:tc>
          <w:tcPr>
            <w:tcW w:w="1960" w:type="dxa"/>
            <w:vAlign w:val="bottom"/>
            <w:tcBorders>
              <w:bottom w:val="single" w:sz="8" w:color="959595"/>
            </w:tcBorders>
            <w:gridSpan w:val="2"/>
          </w:tcPr>
          <w:p>
            <w:pPr>
              <w:jc w:val="right"/>
              <w:ind w:right="340"/>
              <w:spacing w:after="0"/>
              <w:rPr>
                <w:sz w:val="20"/>
                <w:szCs w:val="20"/>
                <w:color w:val="auto"/>
              </w:rPr>
            </w:pPr>
            <w:r>
              <w:rPr>
                <w:rFonts w:ascii="Arial" w:cs="Arial" w:eastAsia="Arial" w:hAnsi="Arial"/>
                <w:sz w:val="14"/>
                <w:szCs w:val="14"/>
                <w:color w:val="auto"/>
              </w:rPr>
              <w:t>6,636,995</w:t>
            </w:r>
          </w:p>
        </w:tc>
        <w:tc>
          <w:tcPr>
            <w:tcW w:w="3240" w:type="dxa"/>
            <w:vAlign w:val="bottom"/>
            <w:tcBorders>
              <w:bottom w:val="single" w:sz="8" w:color="959595"/>
            </w:tcBorders>
          </w:tcPr>
          <w:p>
            <w:pPr>
              <w:jc w:val="right"/>
              <w:ind w:right="312"/>
              <w:spacing w:after="0"/>
              <w:rPr>
                <w:sz w:val="20"/>
                <w:szCs w:val="20"/>
                <w:color w:val="auto"/>
              </w:rPr>
            </w:pPr>
            <w:r>
              <w:rPr>
                <w:rFonts w:ascii="Arial" w:cs="Arial" w:eastAsia="Arial" w:hAnsi="Arial"/>
                <w:sz w:val="14"/>
                <w:szCs w:val="14"/>
                <w:color w:val="auto"/>
              </w:rPr>
              <w:t>173,050</w:t>
            </w:r>
          </w:p>
        </w:tc>
        <w:tc>
          <w:tcPr>
            <w:tcW w:w="2220" w:type="dxa"/>
            <w:vAlign w:val="bottom"/>
            <w:tcBorders>
              <w:bottom w:val="single" w:sz="8" w:color="959595"/>
            </w:tcBorders>
          </w:tcPr>
          <w:p>
            <w:pPr>
              <w:jc w:val="right"/>
              <w:ind w:right="31"/>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64"/>
        </w:trPr>
        <w:tc>
          <w:tcPr>
            <w:tcW w:w="400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012E6C"/>
              </w:rPr>
              <w:t>Mr. Bennett</w:t>
            </w:r>
          </w:p>
        </w:tc>
        <w:tc>
          <w:tcPr>
            <w:tcW w:w="1960" w:type="dxa"/>
            <w:vAlign w:val="bottom"/>
            <w:tcBorders>
              <w:bottom w:val="single" w:sz="8" w:color="959595"/>
            </w:tcBorders>
            <w:gridSpan w:val="2"/>
          </w:tcPr>
          <w:p>
            <w:pPr>
              <w:jc w:val="right"/>
              <w:ind w:right="340"/>
              <w:spacing w:after="0"/>
              <w:rPr>
                <w:sz w:val="20"/>
                <w:szCs w:val="20"/>
                <w:color w:val="auto"/>
              </w:rPr>
            </w:pPr>
            <w:r>
              <w:rPr>
                <w:rFonts w:ascii="Arial" w:cs="Arial" w:eastAsia="Arial" w:hAnsi="Arial"/>
                <w:sz w:val="14"/>
                <w:szCs w:val="14"/>
                <w:color w:val="auto"/>
              </w:rPr>
              <w:t>11,629,013</w:t>
            </w:r>
          </w:p>
        </w:tc>
        <w:tc>
          <w:tcPr>
            <w:tcW w:w="3240" w:type="dxa"/>
            <w:vAlign w:val="bottom"/>
            <w:tcBorders>
              <w:bottom w:val="single" w:sz="8" w:color="959595"/>
            </w:tcBorders>
          </w:tcPr>
          <w:p>
            <w:pPr>
              <w:jc w:val="right"/>
              <w:ind w:right="312"/>
              <w:spacing w:after="0"/>
              <w:rPr>
                <w:sz w:val="20"/>
                <w:szCs w:val="20"/>
                <w:color w:val="auto"/>
              </w:rPr>
            </w:pPr>
            <w:r>
              <w:rPr>
                <w:rFonts w:ascii="Arial" w:cs="Arial" w:eastAsia="Arial" w:hAnsi="Arial"/>
                <w:sz w:val="14"/>
                <w:szCs w:val="14"/>
                <w:color w:val="auto"/>
              </w:rPr>
              <w:t>240,411</w:t>
            </w:r>
          </w:p>
        </w:tc>
        <w:tc>
          <w:tcPr>
            <w:tcW w:w="2220" w:type="dxa"/>
            <w:vAlign w:val="bottom"/>
            <w:tcBorders>
              <w:bottom w:val="single" w:sz="8" w:color="959595"/>
            </w:tcBorders>
          </w:tcPr>
          <w:p>
            <w:pPr>
              <w:jc w:val="right"/>
              <w:ind w:right="31"/>
              <w:spacing w:after="0"/>
              <w:rPr>
                <w:sz w:val="20"/>
                <w:szCs w:val="20"/>
                <w:color w:val="auto"/>
              </w:rPr>
            </w:pPr>
            <w:r>
              <w:rPr>
                <w:rFonts w:ascii="Arial" w:cs="Arial" w:eastAsia="Arial" w:hAnsi="Arial"/>
                <w:sz w:val="14"/>
                <w:szCs w:val="14"/>
                <w:color w:val="auto"/>
              </w:rPr>
              <w:t>4,038,385</w:t>
            </w:r>
          </w:p>
        </w:tc>
        <w:tc>
          <w:tcPr>
            <w:tcW w:w="0" w:type="dxa"/>
            <w:vAlign w:val="bottom"/>
          </w:tcPr>
          <w:p>
            <w:pPr>
              <w:spacing w:after="0"/>
              <w:rPr>
                <w:sz w:val="1"/>
                <w:szCs w:val="1"/>
                <w:color w:val="auto"/>
              </w:rPr>
            </w:pPr>
          </w:p>
        </w:tc>
      </w:tr>
      <w:tr>
        <w:trPr>
          <w:trHeight w:val="264"/>
        </w:trPr>
        <w:tc>
          <w:tcPr>
            <w:tcW w:w="400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012E6C"/>
              </w:rPr>
              <w:t>Mr. Carvalho</w:t>
            </w:r>
          </w:p>
        </w:tc>
        <w:tc>
          <w:tcPr>
            <w:tcW w:w="1960" w:type="dxa"/>
            <w:vAlign w:val="bottom"/>
            <w:tcBorders>
              <w:bottom w:val="single" w:sz="8" w:color="959595"/>
            </w:tcBorders>
            <w:gridSpan w:val="2"/>
          </w:tcPr>
          <w:p>
            <w:pPr>
              <w:jc w:val="right"/>
              <w:ind w:right="340"/>
              <w:spacing w:after="0"/>
              <w:rPr>
                <w:sz w:val="20"/>
                <w:szCs w:val="20"/>
                <w:color w:val="auto"/>
              </w:rPr>
            </w:pPr>
            <w:r>
              <w:rPr>
                <w:rFonts w:ascii="Arial" w:cs="Arial" w:eastAsia="Arial" w:hAnsi="Arial"/>
                <w:sz w:val="14"/>
                <w:szCs w:val="14"/>
                <w:color w:val="auto"/>
              </w:rPr>
              <w:t>526,247</w:t>
            </w:r>
          </w:p>
        </w:tc>
        <w:tc>
          <w:tcPr>
            <w:tcW w:w="3240" w:type="dxa"/>
            <w:vAlign w:val="bottom"/>
            <w:tcBorders>
              <w:bottom w:val="single" w:sz="8" w:color="959595"/>
            </w:tcBorders>
          </w:tcPr>
          <w:p>
            <w:pPr>
              <w:jc w:val="right"/>
              <w:ind w:right="312"/>
              <w:spacing w:after="0"/>
              <w:rPr>
                <w:sz w:val="20"/>
                <w:szCs w:val="20"/>
                <w:color w:val="auto"/>
              </w:rPr>
            </w:pPr>
            <w:r>
              <w:rPr>
                <w:rFonts w:ascii="Arial" w:cs="Arial" w:eastAsia="Arial" w:hAnsi="Arial"/>
                <w:sz w:val="14"/>
                <w:szCs w:val="14"/>
                <w:color w:val="auto"/>
              </w:rPr>
              <w:t>127,435</w:t>
            </w:r>
          </w:p>
        </w:tc>
        <w:tc>
          <w:tcPr>
            <w:tcW w:w="2220" w:type="dxa"/>
            <w:vAlign w:val="bottom"/>
            <w:tcBorders>
              <w:bottom w:val="single" w:sz="8" w:color="959595"/>
            </w:tcBorders>
          </w:tcPr>
          <w:p>
            <w:pPr>
              <w:jc w:val="right"/>
              <w:ind w:right="31"/>
              <w:spacing w:after="0"/>
              <w:rPr>
                <w:sz w:val="20"/>
                <w:szCs w:val="20"/>
                <w:color w:val="auto"/>
              </w:rPr>
            </w:pPr>
            <w:r>
              <w:rPr>
                <w:rFonts w:ascii="Arial" w:cs="Arial" w:eastAsia="Arial" w:hAnsi="Arial"/>
                <w:sz w:val="14"/>
                <w:szCs w:val="14"/>
                <w:color w:val="auto"/>
              </w:rPr>
              <w:t>135,087</w:t>
            </w:r>
          </w:p>
        </w:tc>
        <w:tc>
          <w:tcPr>
            <w:tcW w:w="0" w:type="dxa"/>
            <w:vAlign w:val="bottom"/>
          </w:tcPr>
          <w:p>
            <w:pPr>
              <w:spacing w:after="0"/>
              <w:rPr>
                <w:sz w:val="1"/>
                <w:szCs w:val="1"/>
                <w:color w:val="auto"/>
              </w:rPr>
            </w:pPr>
          </w:p>
        </w:tc>
      </w:tr>
      <w:tr>
        <w:trPr>
          <w:trHeight w:val="264"/>
        </w:trPr>
        <w:tc>
          <w:tcPr>
            <w:tcW w:w="400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012E6C"/>
              </w:rPr>
              <w:t>Mr. Edwards</w:t>
            </w:r>
          </w:p>
        </w:tc>
        <w:tc>
          <w:tcPr>
            <w:tcW w:w="1960" w:type="dxa"/>
            <w:vAlign w:val="bottom"/>
            <w:tcBorders>
              <w:bottom w:val="single" w:sz="8" w:color="959595"/>
            </w:tcBorders>
            <w:gridSpan w:val="2"/>
          </w:tcPr>
          <w:p>
            <w:pPr>
              <w:jc w:val="right"/>
              <w:ind w:right="340"/>
              <w:spacing w:after="0"/>
              <w:rPr>
                <w:sz w:val="20"/>
                <w:szCs w:val="20"/>
                <w:color w:val="auto"/>
              </w:rPr>
            </w:pPr>
            <w:r>
              <w:rPr>
                <w:rFonts w:ascii="Arial" w:cs="Arial" w:eastAsia="Arial" w:hAnsi="Arial"/>
                <w:sz w:val="14"/>
                <w:szCs w:val="14"/>
                <w:color w:val="auto"/>
              </w:rPr>
              <w:t>842,636</w:t>
            </w:r>
          </w:p>
        </w:tc>
        <w:tc>
          <w:tcPr>
            <w:tcW w:w="3240" w:type="dxa"/>
            <w:vAlign w:val="bottom"/>
            <w:tcBorders>
              <w:bottom w:val="single" w:sz="8" w:color="959595"/>
            </w:tcBorders>
          </w:tcPr>
          <w:p>
            <w:pPr>
              <w:jc w:val="right"/>
              <w:ind w:right="312"/>
              <w:spacing w:after="0"/>
              <w:rPr>
                <w:sz w:val="20"/>
                <w:szCs w:val="20"/>
                <w:color w:val="auto"/>
              </w:rPr>
            </w:pPr>
            <w:r>
              <w:rPr>
                <w:rFonts w:ascii="Arial" w:cs="Arial" w:eastAsia="Arial" w:hAnsi="Arial"/>
                <w:sz w:val="14"/>
                <w:szCs w:val="14"/>
                <w:color w:val="auto"/>
              </w:rPr>
              <w:t>108,061</w:t>
            </w:r>
          </w:p>
        </w:tc>
        <w:tc>
          <w:tcPr>
            <w:tcW w:w="2220" w:type="dxa"/>
            <w:vAlign w:val="bottom"/>
            <w:tcBorders>
              <w:bottom w:val="single" w:sz="8" w:color="959595"/>
            </w:tcBorders>
          </w:tcPr>
          <w:p>
            <w:pPr>
              <w:jc w:val="right"/>
              <w:ind w:right="31"/>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64"/>
        </w:trPr>
        <w:tc>
          <w:tcPr>
            <w:tcW w:w="400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012E6C"/>
              </w:rPr>
              <w:t>Mr. St. John</w:t>
            </w:r>
          </w:p>
        </w:tc>
        <w:tc>
          <w:tcPr>
            <w:tcW w:w="1960" w:type="dxa"/>
            <w:vAlign w:val="bottom"/>
            <w:tcBorders>
              <w:bottom w:val="single" w:sz="8" w:color="959595"/>
            </w:tcBorders>
            <w:gridSpan w:val="2"/>
          </w:tcPr>
          <w:p>
            <w:pPr>
              <w:jc w:val="right"/>
              <w:ind w:right="340"/>
              <w:spacing w:after="0"/>
              <w:rPr>
                <w:sz w:val="20"/>
                <w:szCs w:val="20"/>
                <w:color w:val="auto"/>
              </w:rPr>
            </w:pPr>
            <w:r>
              <w:rPr>
                <w:rFonts w:ascii="Arial" w:cs="Arial" w:eastAsia="Arial" w:hAnsi="Arial"/>
                <w:sz w:val="14"/>
                <w:szCs w:val="14"/>
                <w:color w:val="auto"/>
              </w:rPr>
              <w:t>4,000,446</w:t>
            </w:r>
          </w:p>
        </w:tc>
        <w:tc>
          <w:tcPr>
            <w:tcW w:w="3240" w:type="dxa"/>
            <w:vAlign w:val="bottom"/>
            <w:tcBorders>
              <w:bottom w:val="single" w:sz="8" w:color="959595"/>
            </w:tcBorders>
          </w:tcPr>
          <w:p>
            <w:pPr>
              <w:jc w:val="right"/>
              <w:ind w:right="312"/>
              <w:spacing w:after="0"/>
              <w:rPr>
                <w:sz w:val="20"/>
                <w:szCs w:val="20"/>
                <w:color w:val="auto"/>
              </w:rPr>
            </w:pPr>
            <w:r>
              <w:rPr>
                <w:rFonts w:ascii="Arial" w:cs="Arial" w:eastAsia="Arial" w:hAnsi="Arial"/>
                <w:sz w:val="14"/>
                <w:szCs w:val="14"/>
                <w:color w:val="auto"/>
              </w:rPr>
              <w:t>201,561</w:t>
            </w:r>
          </w:p>
        </w:tc>
        <w:tc>
          <w:tcPr>
            <w:tcW w:w="2220" w:type="dxa"/>
            <w:vAlign w:val="bottom"/>
            <w:tcBorders>
              <w:bottom w:val="single" w:sz="8" w:color="959595"/>
            </w:tcBorders>
          </w:tcPr>
          <w:p>
            <w:pPr>
              <w:jc w:val="right"/>
              <w:ind w:right="31"/>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ind w:left="40"/>
        <w:spacing w:after="0"/>
        <w:tabs>
          <w:tab w:leader="none" w:pos="9420" w:val="left"/>
          <w:tab w:leader="none" w:pos="1122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2019 Proxy Statement</w:t>
      </w:r>
      <w:r>
        <w:rPr>
          <w:sz w:val="20"/>
          <w:szCs w:val="20"/>
          <w:color w:val="auto"/>
        </w:rPr>
        <w:tab/>
      </w:r>
      <w:r>
        <w:rPr>
          <w:rFonts w:ascii="Arial" w:cs="Arial" w:eastAsia="Arial" w:hAnsi="Arial"/>
          <w:sz w:val="14"/>
          <w:szCs w:val="14"/>
          <w:b w:val="1"/>
          <w:bCs w:val="1"/>
          <w:color w:val="808080"/>
        </w:rPr>
        <w:t>63</w:t>
      </w:r>
    </w:p>
    <w:p>
      <w:pPr>
        <w:sectPr>
          <w:pgSz w:w="11900" w:h="16838" w:orient="portrait"/>
          <w:cols w:equalWidth="0" w:num="1">
            <w:col w:w="11420"/>
          </w:cols>
          <w:pgMar w:left="240" w:top="292" w:right="239" w:bottom="1440" w:gutter="0" w:footer="0" w:header="0"/>
        </w:sectPr>
      </w:pPr>
    </w:p>
    <w:bookmarkStart w:id="66" w:name="page67"/>
    <w:bookmarkEnd w:id="66"/>
    <w:p>
      <w:pPr>
        <w:spacing w:after="0"/>
        <w:rPr>
          <w:sz w:val="20"/>
          <w:szCs w:val="20"/>
          <w:color w:val="auto"/>
        </w:rPr>
      </w:pPr>
      <w:r>
        <w:rPr>
          <w:rFonts w:ascii="Arial" w:cs="Arial" w:eastAsia="Arial" w:hAnsi="Arial"/>
          <w:sz w:val="15"/>
          <w:szCs w:val="15"/>
          <w:color w:val="003478"/>
        </w:rPr>
        <w:t>Executive Compensation</w:t>
      </w:r>
    </w:p>
    <w:p>
      <w:pPr>
        <w:spacing w:after="0" w:line="334" w:lineRule="exact"/>
        <w:rPr>
          <w:sz w:val="20"/>
          <w:szCs w:val="20"/>
          <w:color w:val="auto"/>
        </w:rPr>
      </w:pPr>
    </w:p>
    <w:p>
      <w:pPr>
        <w:spacing w:after="0"/>
        <w:rPr>
          <w:sz w:val="20"/>
          <w:szCs w:val="20"/>
          <w:color w:val="auto"/>
        </w:rPr>
      </w:pPr>
      <w:r>
        <w:rPr>
          <w:rFonts w:ascii="Arial" w:cs="Arial" w:eastAsia="Arial" w:hAnsi="Arial"/>
          <w:sz w:val="29"/>
          <w:szCs w:val="29"/>
          <w:b w:val="1"/>
          <w:bCs w:val="1"/>
          <w:color w:val="012E6C"/>
        </w:rPr>
        <w:t>Potential Payments Upon Termination or Change in Control</w:t>
      </w:r>
    </w:p>
    <w:p>
      <w:pPr>
        <w:spacing w:after="0" w:line="250"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The table below summarizes the benefits that become payable to a NEO at, following, or in connection with retirement, change in control, death, disability, layoff, divestitures, termination or resignation under the terms of our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2466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9" w:lineRule="exact"/>
        <w:rPr>
          <w:sz w:val="20"/>
          <w:szCs w:val="20"/>
          <w:color w:val="auto"/>
        </w:rPr>
      </w:pPr>
    </w:p>
    <w:p>
      <w:pPr>
        <w:ind w:left="40"/>
        <w:spacing w:after="0"/>
        <w:rPr>
          <w:sz w:val="20"/>
          <w:szCs w:val="20"/>
          <w:color w:val="auto"/>
        </w:rPr>
      </w:pPr>
      <w:r>
        <w:rPr>
          <w:rFonts w:ascii="Arial" w:cs="Arial" w:eastAsia="Arial" w:hAnsi="Arial"/>
          <w:sz w:val="16"/>
          <w:szCs w:val="16"/>
          <w:color w:val="003478"/>
        </w:rPr>
        <w:t>Summary of Payment Triggers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3" w:lineRule="exact"/>
        <w:rPr>
          <w:sz w:val="20"/>
          <w:szCs w:val="20"/>
          <w:color w:val="auto"/>
        </w:rPr>
      </w:pPr>
    </w:p>
    <w:p>
      <w:pPr>
        <w:ind w:left="40"/>
        <w:spacing w:after="0"/>
        <w:rPr>
          <w:sz w:val="20"/>
          <w:szCs w:val="20"/>
          <w:color w:val="auto"/>
        </w:rPr>
      </w:pPr>
      <w:r>
        <w:rPr>
          <w:rFonts w:ascii="Arial" w:cs="Arial" w:eastAsia="Arial" w:hAnsi="Arial"/>
          <w:sz w:val="17"/>
          <w:szCs w:val="17"/>
          <w:color w:val="012E6C"/>
        </w:rPr>
        <w:t>Pension-Qualified</w:t>
      </w:r>
      <w:r>
        <w:rPr>
          <w:rFonts w:ascii="Arial" w:cs="Arial" w:eastAsia="Arial" w:hAnsi="Arial"/>
          <w:sz w:val="14"/>
          <w:szCs w:val="14"/>
          <w:color w:val="012E6C"/>
        </w:rPr>
        <w:t>(1)</w:t>
      </w:r>
    </w:p>
    <w:p>
      <w:pPr>
        <w:spacing w:after="0" w:line="208" w:lineRule="exact"/>
        <w:rPr>
          <w:sz w:val="20"/>
          <w:szCs w:val="20"/>
          <w:color w:val="auto"/>
        </w:rPr>
      </w:pPr>
    </w:p>
    <w:p>
      <w:pPr>
        <w:ind w:left="40" w:right="740"/>
        <w:spacing w:after="0" w:line="277" w:lineRule="auto"/>
        <w:rPr>
          <w:sz w:val="20"/>
          <w:szCs w:val="20"/>
          <w:color w:val="auto"/>
        </w:rPr>
      </w:pPr>
      <w:r>
        <w:rPr>
          <w:rFonts w:ascii="Arial" w:cs="Arial" w:eastAsia="Arial" w:hAnsi="Arial"/>
          <w:sz w:val="17"/>
          <w:szCs w:val="17"/>
          <w:b w:val="1"/>
          <w:bCs w:val="1"/>
          <w:color w:val="012E6C"/>
        </w:rPr>
        <w:t xml:space="preserve">Retirement </w:t>
      </w:r>
      <w:r>
        <w:rPr>
          <w:rFonts w:ascii="Arial" w:cs="Arial" w:eastAsia="Arial" w:hAnsi="Arial"/>
          <w:sz w:val="17"/>
          <w:szCs w:val="17"/>
          <w:color w:val="000000"/>
        </w:rPr>
        <w:t>– Annuity payable on a reduced basis at age 55; annuity payable on a non-reduced basis at age 60; steeper reduction for early</w:t>
      </w:r>
      <w:r>
        <w:rPr>
          <w:rFonts w:ascii="Arial" w:cs="Arial" w:eastAsia="Arial" w:hAnsi="Arial"/>
          <w:sz w:val="17"/>
          <w:szCs w:val="17"/>
          <w:b w:val="1"/>
          <w:bCs w:val="1"/>
          <w:color w:val="012E6C"/>
        </w:rPr>
        <w:t xml:space="preserve"> </w:t>
      </w:r>
      <w:r>
        <w:rPr>
          <w:rFonts w:ascii="Arial" w:cs="Arial" w:eastAsia="Arial" w:hAnsi="Arial"/>
          <w:sz w:val="17"/>
          <w:szCs w:val="17"/>
          <w:color w:val="000000"/>
        </w:rPr>
        <w:t>commencement at age 55 for terminations prior to age 55 than for terminations after age 55.</w:t>
      </w:r>
    </w:p>
    <w:p>
      <w:pPr>
        <w:spacing w:after="0" w:line="14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012E6C"/>
        </w:rPr>
        <w:t xml:space="preserve">Change in Control – </w:t>
      </w:r>
      <w:r>
        <w:rPr>
          <w:rFonts w:ascii="Arial" w:cs="Arial" w:eastAsia="Arial" w:hAnsi="Arial"/>
          <w:sz w:val="17"/>
          <w:szCs w:val="17"/>
          <w:color w:val="000000"/>
        </w:rPr>
        <w:t>No acceleration.</w:t>
      </w:r>
    </w:p>
    <w:p>
      <w:pPr>
        <w:spacing w:after="0" w:line="210" w:lineRule="exact"/>
        <w:rPr>
          <w:sz w:val="20"/>
          <w:szCs w:val="20"/>
          <w:color w:val="auto"/>
        </w:rPr>
      </w:pPr>
    </w:p>
    <w:p>
      <w:pPr>
        <w:ind w:left="40"/>
        <w:spacing w:after="0" w:line="255" w:lineRule="auto"/>
        <w:rPr>
          <w:sz w:val="20"/>
          <w:szCs w:val="20"/>
          <w:color w:val="auto"/>
        </w:rPr>
      </w:pPr>
      <w:r>
        <w:rPr>
          <w:rFonts w:ascii="Arial" w:cs="Arial" w:eastAsia="Arial" w:hAnsi="Arial"/>
          <w:sz w:val="17"/>
          <w:szCs w:val="17"/>
          <w:b w:val="1"/>
          <w:bCs w:val="1"/>
          <w:color w:val="012E6C"/>
        </w:rPr>
        <w:t xml:space="preserve">Death/Disability/Layoff </w:t>
      </w:r>
      <w:r>
        <w:rPr>
          <w:rFonts w:ascii="Arial" w:cs="Arial" w:eastAsia="Arial" w:hAnsi="Arial"/>
          <w:sz w:val="17"/>
          <w:szCs w:val="17"/>
          <w:color w:val="000000"/>
        </w:rPr>
        <w:t>– Spousal annuity benefit as required by law in event of death unless waived by spouse. For either (i) disability between age</w:t>
      </w:r>
      <w:r>
        <w:rPr>
          <w:rFonts w:ascii="Arial" w:cs="Arial" w:eastAsia="Arial" w:hAnsi="Arial"/>
          <w:sz w:val="17"/>
          <w:szCs w:val="17"/>
          <w:b w:val="1"/>
          <w:bCs w:val="1"/>
          <w:color w:val="012E6C"/>
        </w:rPr>
        <w:t xml:space="preserve"> </w:t>
      </w:r>
      <w:r>
        <w:rPr>
          <w:rFonts w:ascii="Arial" w:cs="Arial" w:eastAsia="Arial" w:hAnsi="Arial"/>
          <w:sz w:val="17"/>
          <w:szCs w:val="17"/>
          <w:color w:val="000000"/>
        </w:rPr>
        <w:t>53 and 55 with eight years of service or (ii) layoff between age 53 and 55 with eight years of service or before age 55 with 25 years of service, participant is eligible for the more favorable actuarial reductions for participants terminating after age 55.</w:t>
      </w:r>
    </w:p>
    <w:p>
      <w:pPr>
        <w:spacing w:after="0" w:line="16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012E6C"/>
        </w:rPr>
        <w:t xml:space="preserve">Divestiture </w:t>
      </w:r>
      <w:r>
        <w:rPr>
          <w:rFonts w:ascii="Arial" w:cs="Arial" w:eastAsia="Arial" w:hAnsi="Arial"/>
          <w:sz w:val="17"/>
          <w:szCs w:val="17"/>
          <w:color w:val="000000"/>
        </w:rPr>
        <w:t>– No provisions; absent a negotiated transfer of liability to buyer, treated as retirement or termination.</w:t>
      </w:r>
    </w:p>
    <w:p>
      <w:pPr>
        <w:spacing w:after="0" w:line="210" w:lineRule="exact"/>
        <w:rPr>
          <w:sz w:val="20"/>
          <w:szCs w:val="20"/>
          <w:color w:val="auto"/>
        </w:rPr>
      </w:pPr>
    </w:p>
    <w:p>
      <w:pPr>
        <w:ind w:left="40" w:right="60"/>
        <w:spacing w:after="0" w:line="277" w:lineRule="auto"/>
        <w:rPr>
          <w:sz w:val="20"/>
          <w:szCs w:val="20"/>
          <w:color w:val="auto"/>
        </w:rPr>
      </w:pPr>
      <w:r>
        <w:rPr>
          <w:rFonts w:ascii="Arial" w:cs="Arial" w:eastAsia="Arial" w:hAnsi="Arial"/>
          <w:sz w:val="17"/>
          <w:szCs w:val="17"/>
          <w:b w:val="1"/>
          <w:bCs w:val="1"/>
          <w:color w:val="012E6C"/>
        </w:rPr>
        <w:t xml:space="preserve">Termination/Resignation </w:t>
      </w:r>
      <w:r>
        <w:rPr>
          <w:rFonts w:ascii="Arial" w:cs="Arial" w:eastAsia="Arial" w:hAnsi="Arial"/>
          <w:sz w:val="17"/>
          <w:szCs w:val="17"/>
          <w:color w:val="000000"/>
        </w:rPr>
        <w:t>– Annuity payable on a reduced basis at age 55; annuity payable on a non-reduced basis at age 60; steeper reduction for</w:t>
      </w:r>
      <w:r>
        <w:rPr>
          <w:rFonts w:ascii="Arial" w:cs="Arial" w:eastAsia="Arial" w:hAnsi="Arial"/>
          <w:sz w:val="17"/>
          <w:szCs w:val="17"/>
          <w:b w:val="1"/>
          <w:bCs w:val="1"/>
          <w:color w:val="012E6C"/>
        </w:rPr>
        <w:t xml:space="preserve"> </w:t>
      </w:r>
      <w:r>
        <w:rPr>
          <w:rFonts w:ascii="Arial" w:cs="Arial" w:eastAsia="Arial" w:hAnsi="Arial"/>
          <w:sz w:val="17"/>
          <w:szCs w:val="17"/>
          <w:color w:val="000000"/>
        </w:rPr>
        <w:t>early commencement at age 55 for terminations prior to age 55 than for terminations after age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4" w:lineRule="exact"/>
        <w:rPr>
          <w:sz w:val="20"/>
          <w:szCs w:val="20"/>
          <w:color w:val="auto"/>
        </w:rPr>
      </w:pPr>
    </w:p>
    <w:p>
      <w:pPr>
        <w:ind w:left="40"/>
        <w:spacing w:after="0"/>
        <w:rPr>
          <w:sz w:val="20"/>
          <w:szCs w:val="20"/>
          <w:color w:val="auto"/>
        </w:rPr>
      </w:pPr>
      <w:r>
        <w:rPr>
          <w:rFonts w:ascii="Arial" w:cs="Arial" w:eastAsia="Arial" w:hAnsi="Arial"/>
          <w:sz w:val="17"/>
          <w:szCs w:val="17"/>
          <w:color w:val="012E6C"/>
        </w:rPr>
        <w:t>Supplemental Pension</w:t>
      </w:r>
      <w:r>
        <w:rPr>
          <w:rFonts w:ascii="Arial" w:cs="Arial" w:eastAsia="Arial" w:hAnsi="Arial"/>
          <w:sz w:val="14"/>
          <w:szCs w:val="14"/>
          <w:color w:val="012E6C"/>
        </w:rPr>
        <w:t>(1)</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012E6C"/>
        </w:rPr>
        <w:t xml:space="preserve">Retirement </w:t>
      </w:r>
      <w:r>
        <w:rPr>
          <w:rFonts w:ascii="Arial" w:cs="Arial" w:eastAsia="Arial" w:hAnsi="Arial"/>
          <w:sz w:val="17"/>
          <w:szCs w:val="17"/>
          <w:color w:val="000000"/>
        </w:rPr>
        <w:t>– Annuity or lump sum at later of age 55 or termination, same early reductions applied as for Pension-Qualified.</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012E6C"/>
        </w:rPr>
        <w:t xml:space="preserve">Change in Control </w:t>
      </w:r>
      <w:r>
        <w:rPr>
          <w:rFonts w:ascii="Arial" w:cs="Arial" w:eastAsia="Arial" w:hAnsi="Arial"/>
          <w:sz w:val="17"/>
          <w:szCs w:val="17"/>
          <w:color w:val="000000"/>
        </w:rPr>
        <w:t>– Lump sum.</w:t>
      </w:r>
    </w:p>
    <w:p>
      <w:pPr>
        <w:spacing w:after="0" w:line="210" w:lineRule="exact"/>
        <w:rPr>
          <w:sz w:val="20"/>
          <w:szCs w:val="20"/>
          <w:color w:val="auto"/>
        </w:rPr>
      </w:pPr>
    </w:p>
    <w:p>
      <w:pPr>
        <w:ind w:left="40" w:right="100"/>
        <w:spacing w:after="0" w:line="277" w:lineRule="auto"/>
        <w:rPr>
          <w:sz w:val="20"/>
          <w:szCs w:val="20"/>
          <w:color w:val="auto"/>
        </w:rPr>
      </w:pPr>
      <w:r>
        <w:rPr>
          <w:rFonts w:ascii="Arial" w:cs="Arial" w:eastAsia="Arial" w:hAnsi="Arial"/>
          <w:sz w:val="17"/>
          <w:szCs w:val="17"/>
          <w:b w:val="1"/>
          <w:bCs w:val="1"/>
          <w:color w:val="012E6C"/>
        </w:rPr>
        <w:t xml:space="preserve">Death/Disability/Layoff </w:t>
      </w:r>
      <w:r>
        <w:rPr>
          <w:rFonts w:ascii="Arial" w:cs="Arial" w:eastAsia="Arial" w:hAnsi="Arial"/>
          <w:sz w:val="17"/>
          <w:szCs w:val="17"/>
          <w:color w:val="000000"/>
        </w:rPr>
        <w:t>– Annuity or lump sum at later of age 55 or termination, same provisions as Pension-Qualified for spousal waiver, disability,</w:t>
      </w:r>
      <w:r>
        <w:rPr>
          <w:rFonts w:ascii="Arial" w:cs="Arial" w:eastAsia="Arial" w:hAnsi="Arial"/>
          <w:sz w:val="17"/>
          <w:szCs w:val="17"/>
          <w:b w:val="1"/>
          <w:bCs w:val="1"/>
          <w:color w:val="012E6C"/>
        </w:rPr>
        <w:t xml:space="preserve"> </w:t>
      </w:r>
      <w:r>
        <w:rPr>
          <w:rFonts w:ascii="Arial" w:cs="Arial" w:eastAsia="Arial" w:hAnsi="Arial"/>
          <w:sz w:val="17"/>
          <w:szCs w:val="17"/>
          <w:color w:val="000000"/>
        </w:rPr>
        <w:t>and layoff.</w:t>
      </w:r>
    </w:p>
    <w:p>
      <w:pPr>
        <w:spacing w:after="0" w:line="14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012E6C"/>
        </w:rPr>
        <w:t xml:space="preserve">Divestiture </w:t>
      </w:r>
      <w:r>
        <w:rPr>
          <w:rFonts w:ascii="Arial" w:cs="Arial" w:eastAsia="Arial" w:hAnsi="Arial"/>
          <w:sz w:val="17"/>
          <w:szCs w:val="17"/>
          <w:color w:val="000000"/>
        </w:rPr>
        <w:t>– No provisions; absent a negotiated transfer of liability to buyer, treated as retirement or termination.</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012E6C"/>
        </w:rPr>
        <w:t xml:space="preserve">Termination/Resignation </w:t>
      </w:r>
      <w:r>
        <w:rPr>
          <w:rFonts w:ascii="Arial" w:cs="Arial" w:eastAsia="Arial" w:hAnsi="Arial"/>
          <w:sz w:val="17"/>
          <w:szCs w:val="17"/>
          <w:color w:val="000000"/>
        </w:rPr>
        <w:t>– Annuity or lump sum, same early reductions applied as for Pension-Qualified.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1" w:lineRule="exact"/>
        <w:rPr>
          <w:sz w:val="20"/>
          <w:szCs w:val="20"/>
          <w:color w:val="auto"/>
        </w:rPr>
      </w:pPr>
    </w:p>
    <w:p>
      <w:pPr>
        <w:ind w:left="40"/>
        <w:spacing w:after="0"/>
        <w:rPr>
          <w:sz w:val="20"/>
          <w:szCs w:val="20"/>
          <w:color w:val="auto"/>
        </w:rPr>
      </w:pPr>
      <w:r>
        <w:rPr>
          <w:rFonts w:ascii="Arial" w:cs="Arial" w:eastAsia="Arial" w:hAnsi="Arial"/>
          <w:sz w:val="17"/>
          <w:szCs w:val="17"/>
          <w:color w:val="012E6C"/>
        </w:rPr>
        <w:t>LTIP (2017-2019 and 2018-2020)</w:t>
      </w:r>
    </w:p>
    <w:p>
      <w:pPr>
        <w:spacing w:after="0" w:line="208" w:lineRule="exact"/>
        <w:rPr>
          <w:sz w:val="20"/>
          <w:szCs w:val="20"/>
          <w:color w:val="auto"/>
        </w:rPr>
      </w:pPr>
    </w:p>
    <w:p>
      <w:pPr>
        <w:ind w:left="40" w:right="300"/>
        <w:spacing w:after="0" w:line="277" w:lineRule="auto"/>
        <w:rPr>
          <w:sz w:val="20"/>
          <w:szCs w:val="20"/>
          <w:color w:val="auto"/>
        </w:rPr>
      </w:pPr>
      <w:r>
        <w:rPr>
          <w:rFonts w:ascii="Arial" w:cs="Arial" w:eastAsia="Arial" w:hAnsi="Arial"/>
          <w:sz w:val="17"/>
          <w:szCs w:val="17"/>
          <w:b w:val="1"/>
          <w:bCs w:val="1"/>
          <w:color w:val="012E6C"/>
        </w:rPr>
        <w:t xml:space="preserve">Retirement/Death/Disability/Layoff </w:t>
      </w:r>
      <w:r>
        <w:rPr>
          <w:rFonts w:ascii="Arial" w:cs="Arial" w:eastAsia="Arial" w:hAnsi="Arial"/>
          <w:sz w:val="17"/>
          <w:szCs w:val="17"/>
          <w:color w:val="000000"/>
        </w:rPr>
        <w:t>– Prorated payment at the end of the three-year performance period for retirement, death, disability or layoff</w:t>
      </w:r>
      <w:r>
        <w:rPr>
          <w:rFonts w:ascii="Arial" w:cs="Arial" w:eastAsia="Arial" w:hAnsi="Arial"/>
          <w:sz w:val="17"/>
          <w:szCs w:val="17"/>
          <w:b w:val="1"/>
          <w:bCs w:val="1"/>
          <w:color w:val="012E6C"/>
        </w:rPr>
        <w:t xml:space="preserve"> </w:t>
      </w:r>
      <w:r>
        <w:rPr>
          <w:rFonts w:ascii="Arial" w:cs="Arial" w:eastAsia="Arial" w:hAnsi="Arial"/>
          <w:sz w:val="17"/>
          <w:szCs w:val="17"/>
          <w:color w:val="000000"/>
        </w:rPr>
        <w:t>during that period, subject to six-month minimum service from date of grant for retirement and layoff.</w:t>
      </w:r>
    </w:p>
    <w:p>
      <w:pPr>
        <w:spacing w:after="0" w:line="143" w:lineRule="exact"/>
        <w:rPr>
          <w:sz w:val="20"/>
          <w:szCs w:val="20"/>
          <w:color w:val="auto"/>
        </w:rPr>
      </w:pPr>
    </w:p>
    <w:p>
      <w:pPr>
        <w:ind w:left="40" w:right="40"/>
        <w:spacing w:after="0" w:line="255" w:lineRule="auto"/>
        <w:rPr>
          <w:sz w:val="20"/>
          <w:szCs w:val="20"/>
          <w:color w:val="auto"/>
        </w:rPr>
      </w:pPr>
      <w:r>
        <w:rPr>
          <w:rFonts w:ascii="Arial" w:cs="Arial" w:eastAsia="Arial" w:hAnsi="Arial"/>
          <w:sz w:val="17"/>
          <w:szCs w:val="17"/>
          <w:b w:val="1"/>
          <w:bCs w:val="1"/>
          <w:color w:val="012E6C"/>
        </w:rPr>
        <w:t xml:space="preserve">Change in Control </w:t>
      </w:r>
      <w:r>
        <w:rPr>
          <w:rFonts w:ascii="Arial" w:cs="Arial" w:eastAsia="Arial" w:hAnsi="Arial"/>
          <w:sz w:val="17"/>
          <w:szCs w:val="17"/>
          <w:color w:val="000000"/>
        </w:rPr>
        <w:t>– Immediate payment at target for change in control event occurring during performance cycle if not assumed by successor;</w:t>
      </w:r>
      <w:r>
        <w:rPr>
          <w:rFonts w:ascii="Arial" w:cs="Arial" w:eastAsia="Arial" w:hAnsi="Arial"/>
          <w:sz w:val="17"/>
          <w:szCs w:val="17"/>
          <w:b w:val="1"/>
          <w:bCs w:val="1"/>
          <w:color w:val="012E6C"/>
        </w:rPr>
        <w:t xml:space="preserve"> </w:t>
      </w:r>
      <w:r>
        <w:rPr>
          <w:rFonts w:ascii="Arial" w:cs="Arial" w:eastAsia="Arial" w:hAnsi="Arial"/>
          <w:sz w:val="17"/>
          <w:szCs w:val="17"/>
          <w:color w:val="000000"/>
        </w:rPr>
        <w:t>immediate payment at target following involuntary termination without cause or voluntary termination with good reason within 24 months of change in control during performance cycle if award is assumed by successor.</w:t>
      </w:r>
    </w:p>
    <w:p>
      <w:pPr>
        <w:spacing w:after="0" w:line="16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012E6C"/>
        </w:rPr>
        <w:t>Divestiture</w:t>
      </w:r>
      <w:r>
        <w:rPr>
          <w:rFonts w:ascii="Arial" w:cs="Arial" w:eastAsia="Arial" w:hAnsi="Arial"/>
          <w:sz w:val="14"/>
          <w:szCs w:val="14"/>
          <w:b w:val="1"/>
          <w:bCs w:val="1"/>
          <w:color w:val="012E6C"/>
        </w:rPr>
        <w:t>(2)</w:t>
      </w:r>
      <w:r>
        <w:rPr>
          <w:rFonts w:ascii="Arial" w:cs="Arial" w:eastAsia="Arial" w:hAnsi="Arial"/>
          <w:sz w:val="17"/>
          <w:szCs w:val="17"/>
          <w:b w:val="1"/>
          <w:bCs w:val="1"/>
          <w:color w:val="012E6C"/>
        </w:rPr>
        <w:t xml:space="preserve"> </w:t>
      </w:r>
      <w:r>
        <w:rPr>
          <w:rFonts w:ascii="Arial" w:cs="Arial" w:eastAsia="Arial" w:hAnsi="Arial"/>
          <w:sz w:val="17"/>
          <w:szCs w:val="17"/>
          <w:color w:val="000000"/>
        </w:rPr>
        <w:t>– Prorated payment at the end of the three-year performance period for divestiture during that period.</w:t>
      </w:r>
    </w:p>
    <w:p>
      <w:pPr>
        <w:spacing w:after="0" w:line="210" w:lineRule="exact"/>
        <w:rPr>
          <w:sz w:val="20"/>
          <w:szCs w:val="20"/>
          <w:color w:val="auto"/>
        </w:rPr>
      </w:pPr>
    </w:p>
    <w:p>
      <w:pPr>
        <w:ind w:left="40"/>
        <w:spacing w:after="0" w:line="255" w:lineRule="auto"/>
        <w:rPr>
          <w:sz w:val="20"/>
          <w:szCs w:val="20"/>
          <w:color w:val="auto"/>
        </w:rPr>
      </w:pPr>
      <w:r>
        <w:rPr>
          <w:rFonts w:ascii="Arial" w:cs="Arial" w:eastAsia="Arial" w:hAnsi="Arial"/>
          <w:sz w:val="17"/>
          <w:szCs w:val="17"/>
          <w:b w:val="1"/>
          <w:bCs w:val="1"/>
          <w:color w:val="012E6C"/>
        </w:rPr>
        <w:t xml:space="preserve">Termination/Resignation </w:t>
      </w:r>
      <w:r>
        <w:rPr>
          <w:rFonts w:ascii="Arial" w:cs="Arial" w:eastAsia="Arial" w:hAnsi="Arial"/>
          <w:sz w:val="17"/>
          <w:szCs w:val="17"/>
          <w:color w:val="000000"/>
        </w:rPr>
        <w:t>– Forfeited if termination occurs prior to becoming retirement-eligible or anytime if termination is due to misconduct;</w:t>
      </w:r>
      <w:r>
        <w:rPr>
          <w:rFonts w:ascii="Arial" w:cs="Arial" w:eastAsia="Arial" w:hAnsi="Arial"/>
          <w:sz w:val="17"/>
          <w:szCs w:val="17"/>
          <w:b w:val="1"/>
          <w:bCs w:val="1"/>
          <w:color w:val="012E6C"/>
        </w:rPr>
        <w:t xml:space="preserve"> </w:t>
      </w:r>
      <w:r>
        <w:rPr>
          <w:rFonts w:ascii="Arial" w:cs="Arial" w:eastAsia="Arial" w:hAnsi="Arial"/>
          <w:sz w:val="17"/>
          <w:szCs w:val="17"/>
          <w:color w:val="000000"/>
        </w:rPr>
        <w:t>termination on or after the six-month anniversary of the grant date and either (i) age 55 and ten years of service or (ii) age 65 is treated as retirement-eligible.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2466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438150</wp:posOffset>
            </wp:positionV>
            <wp:extent cx="1440815" cy="3257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44081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808080"/>
        </w:rPr>
        <w:t>64</w:t>
      </w:r>
    </w:p>
    <w:p>
      <w:pPr>
        <w:sectPr>
          <w:pgSz w:w="11900" w:h="16838" w:orient="portrait"/>
          <w:cols w:equalWidth="0" w:num="1">
            <w:col w:w="11300"/>
          </w:cols>
          <w:pgMar w:left="240" w:top="292" w:right="359" w:bottom="1440" w:gutter="0" w:footer="0" w:header="0"/>
        </w:sectPr>
      </w:pPr>
    </w:p>
    <w:bookmarkStart w:id="67" w:name="page68"/>
    <w:bookmarkEnd w:id="67"/>
    <w:p>
      <w:pPr>
        <w:jc w:val="right"/>
        <w:spacing w:after="0"/>
        <w:rPr>
          <w:sz w:val="20"/>
          <w:szCs w:val="20"/>
          <w:color w:val="auto"/>
        </w:rPr>
      </w:pPr>
      <w:r>
        <w:rPr>
          <w:rFonts w:ascii="Arial" w:cs="Arial" w:eastAsia="Arial" w:hAnsi="Arial"/>
          <w:sz w:val="15"/>
          <w:szCs w:val="15"/>
          <w:color w:val="003478"/>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291465</wp:posOffset>
            </wp:positionV>
            <wp:extent cx="72466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color w:val="012E6C"/>
        </w:rPr>
        <w:t>RSUs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012E6C"/>
        </w:rPr>
        <w:t xml:space="preserve">Retirement </w:t>
      </w:r>
      <w:r>
        <w:rPr>
          <w:rFonts w:ascii="Arial" w:cs="Arial" w:eastAsia="Arial" w:hAnsi="Arial"/>
          <w:sz w:val="17"/>
          <w:szCs w:val="17"/>
          <w:color w:val="000000"/>
        </w:rPr>
        <w:t>– Continued vesting of RSUs and dividend equivalents subject to six-month minimum service from date of grant.</w:t>
      </w:r>
    </w:p>
    <w:p>
      <w:pPr>
        <w:spacing w:after="0" w:line="210" w:lineRule="exact"/>
        <w:rPr>
          <w:sz w:val="20"/>
          <w:szCs w:val="20"/>
          <w:color w:val="auto"/>
        </w:rPr>
      </w:pPr>
    </w:p>
    <w:p>
      <w:pPr>
        <w:ind w:right="460"/>
        <w:spacing w:after="0" w:line="277" w:lineRule="auto"/>
        <w:rPr>
          <w:sz w:val="20"/>
          <w:szCs w:val="20"/>
          <w:color w:val="auto"/>
        </w:rPr>
      </w:pPr>
      <w:r>
        <w:rPr>
          <w:rFonts w:ascii="Arial" w:cs="Arial" w:eastAsia="Arial" w:hAnsi="Arial"/>
          <w:sz w:val="17"/>
          <w:szCs w:val="17"/>
          <w:b w:val="1"/>
          <w:bCs w:val="1"/>
          <w:color w:val="012E6C"/>
        </w:rPr>
        <w:t xml:space="preserve">Change in Control </w:t>
      </w:r>
      <w:r>
        <w:rPr>
          <w:rFonts w:ascii="Arial" w:cs="Arial" w:eastAsia="Arial" w:hAnsi="Arial"/>
          <w:sz w:val="17"/>
          <w:szCs w:val="17"/>
          <w:color w:val="000000"/>
        </w:rPr>
        <w:t>– Immediate vesting of RSUs and dividend equivalents if not assumed by successor. Immediate vesting following involuntary</w:t>
      </w:r>
      <w:r>
        <w:rPr>
          <w:rFonts w:ascii="Arial" w:cs="Arial" w:eastAsia="Arial" w:hAnsi="Arial"/>
          <w:sz w:val="17"/>
          <w:szCs w:val="17"/>
          <w:b w:val="1"/>
          <w:bCs w:val="1"/>
          <w:color w:val="012E6C"/>
        </w:rPr>
        <w:t xml:space="preserve"> </w:t>
      </w:r>
      <w:r>
        <w:rPr>
          <w:rFonts w:ascii="Arial" w:cs="Arial" w:eastAsia="Arial" w:hAnsi="Arial"/>
          <w:sz w:val="17"/>
          <w:szCs w:val="17"/>
          <w:color w:val="000000"/>
        </w:rPr>
        <w:t>termination without cause or voluntary termination with good reason within 24 months of change in control if assumed by successor.</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012E6C"/>
        </w:rPr>
        <w:t xml:space="preserve">Death/Disability/Layoff </w:t>
      </w:r>
      <w:r>
        <w:rPr>
          <w:rFonts w:ascii="Arial" w:cs="Arial" w:eastAsia="Arial" w:hAnsi="Arial"/>
          <w:sz w:val="17"/>
          <w:szCs w:val="17"/>
          <w:color w:val="000000"/>
        </w:rPr>
        <w:t>– Continued vesting of RSUs and dividend equivalents after layoff, subject to six-month minimum service from date of grant.</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Immediate vesting following death or disability.</w:t>
      </w:r>
    </w:p>
    <w:p>
      <w:pPr>
        <w:spacing w:after="0" w:line="186" w:lineRule="exact"/>
        <w:rPr>
          <w:sz w:val="20"/>
          <w:szCs w:val="20"/>
          <w:color w:val="auto"/>
        </w:rPr>
      </w:pPr>
    </w:p>
    <w:p>
      <w:pPr>
        <w:ind w:right="340"/>
        <w:spacing w:after="0" w:line="277" w:lineRule="auto"/>
        <w:rPr>
          <w:sz w:val="20"/>
          <w:szCs w:val="20"/>
          <w:color w:val="auto"/>
        </w:rPr>
      </w:pPr>
      <w:r>
        <w:rPr>
          <w:rFonts w:ascii="Arial" w:cs="Arial" w:eastAsia="Arial" w:hAnsi="Arial"/>
          <w:sz w:val="17"/>
          <w:szCs w:val="17"/>
          <w:b w:val="1"/>
          <w:bCs w:val="1"/>
          <w:color w:val="012E6C"/>
        </w:rPr>
        <w:t>Divestiture</w:t>
      </w:r>
      <w:r>
        <w:rPr>
          <w:rFonts w:ascii="Arial" w:cs="Arial" w:eastAsia="Arial" w:hAnsi="Arial"/>
          <w:sz w:val="14"/>
          <w:szCs w:val="14"/>
          <w:b w:val="1"/>
          <w:bCs w:val="1"/>
          <w:color w:val="012E6C"/>
        </w:rPr>
        <w:t>(2)</w:t>
      </w:r>
      <w:r>
        <w:rPr>
          <w:rFonts w:ascii="Arial" w:cs="Arial" w:eastAsia="Arial" w:hAnsi="Arial"/>
          <w:sz w:val="17"/>
          <w:szCs w:val="17"/>
          <w:b w:val="1"/>
          <w:bCs w:val="1"/>
          <w:color w:val="012E6C"/>
        </w:rPr>
        <w:t xml:space="preserve"> </w:t>
      </w:r>
      <w:r>
        <w:rPr>
          <w:rFonts w:ascii="Arial" w:cs="Arial" w:eastAsia="Arial" w:hAnsi="Arial"/>
          <w:sz w:val="17"/>
          <w:szCs w:val="17"/>
          <w:color w:val="000000"/>
        </w:rPr>
        <w:t>– Unless assumed by the successor, RSUs and dividend equivalents will vest on a pro-rata basis based on the days into the vesting</w:t>
      </w:r>
      <w:r>
        <w:rPr>
          <w:rFonts w:ascii="Arial" w:cs="Arial" w:eastAsia="Arial" w:hAnsi="Arial"/>
          <w:sz w:val="17"/>
          <w:szCs w:val="17"/>
          <w:b w:val="1"/>
          <w:bCs w:val="1"/>
          <w:color w:val="012E6C"/>
        </w:rPr>
        <w:t xml:space="preserve"> </w:t>
      </w:r>
      <w:r>
        <w:rPr>
          <w:rFonts w:ascii="Arial" w:cs="Arial" w:eastAsia="Arial" w:hAnsi="Arial"/>
          <w:sz w:val="17"/>
          <w:szCs w:val="17"/>
          <w:color w:val="000000"/>
        </w:rPr>
        <w:t>period at closing unless the employee is retirement-eligible in which case the RSU grant will continue to vest until the vesting date.</w:t>
      </w:r>
    </w:p>
    <w:p>
      <w:pPr>
        <w:spacing w:after="0" w:line="143" w:lineRule="exact"/>
        <w:rPr>
          <w:sz w:val="20"/>
          <w:szCs w:val="20"/>
          <w:color w:val="auto"/>
        </w:rPr>
      </w:pPr>
    </w:p>
    <w:p>
      <w:pPr>
        <w:jc w:val="both"/>
        <w:ind w:right="200"/>
        <w:spacing w:after="0" w:line="255" w:lineRule="auto"/>
        <w:rPr>
          <w:sz w:val="20"/>
          <w:szCs w:val="20"/>
          <w:color w:val="auto"/>
        </w:rPr>
      </w:pPr>
      <w:r>
        <w:rPr>
          <w:rFonts w:ascii="Arial" w:cs="Arial" w:eastAsia="Arial" w:hAnsi="Arial"/>
          <w:sz w:val="17"/>
          <w:szCs w:val="17"/>
          <w:b w:val="1"/>
          <w:bCs w:val="1"/>
          <w:color w:val="012E6C"/>
        </w:rPr>
        <w:t xml:space="preserve">Termination/Resignation </w:t>
      </w:r>
      <w:r>
        <w:rPr>
          <w:rFonts w:ascii="Arial" w:cs="Arial" w:eastAsia="Arial" w:hAnsi="Arial"/>
          <w:sz w:val="17"/>
          <w:szCs w:val="17"/>
          <w:color w:val="000000"/>
        </w:rPr>
        <w:t>– Forfeit unvested RSUs and dividend equivalents if termination occurs prior to becoming retirement-eligible or anytime if</w:t>
      </w:r>
      <w:r>
        <w:rPr>
          <w:rFonts w:ascii="Arial" w:cs="Arial" w:eastAsia="Arial" w:hAnsi="Arial"/>
          <w:sz w:val="17"/>
          <w:szCs w:val="17"/>
          <w:b w:val="1"/>
          <w:bCs w:val="1"/>
          <w:color w:val="012E6C"/>
        </w:rPr>
        <w:t xml:space="preserve"> </w:t>
      </w:r>
      <w:r>
        <w:rPr>
          <w:rFonts w:ascii="Arial" w:cs="Arial" w:eastAsia="Arial" w:hAnsi="Arial"/>
          <w:sz w:val="17"/>
          <w:szCs w:val="17"/>
          <w:color w:val="000000"/>
        </w:rPr>
        <w:t>termination is due to misconduct. Termination on or after the six-month anniversary of the grant date and either (i) age 55 and ten years of service or (ii) age 65 is treated as retirement-eligible.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69215</wp:posOffset>
            </wp:positionV>
            <wp:extent cx="72466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color w:val="012E6C"/>
        </w:rPr>
        <w:t>PSUs (2017-2019 and 2018-2020)</w:t>
      </w:r>
    </w:p>
    <w:p>
      <w:pPr>
        <w:spacing w:after="0" w:line="208" w:lineRule="exact"/>
        <w:rPr>
          <w:sz w:val="20"/>
          <w:szCs w:val="20"/>
          <w:color w:val="auto"/>
        </w:rPr>
      </w:pPr>
    </w:p>
    <w:p>
      <w:pPr>
        <w:ind w:right="560"/>
        <w:spacing w:after="0" w:line="277" w:lineRule="auto"/>
        <w:rPr>
          <w:sz w:val="20"/>
          <w:szCs w:val="20"/>
          <w:color w:val="auto"/>
        </w:rPr>
      </w:pPr>
      <w:r>
        <w:rPr>
          <w:rFonts w:ascii="Arial" w:cs="Arial" w:eastAsia="Arial" w:hAnsi="Arial"/>
          <w:sz w:val="17"/>
          <w:szCs w:val="17"/>
          <w:b w:val="1"/>
          <w:bCs w:val="1"/>
          <w:color w:val="012E6C"/>
        </w:rPr>
        <w:t xml:space="preserve">Retirement/Death/Disability/Layoff </w:t>
      </w:r>
      <w:r>
        <w:rPr>
          <w:rFonts w:ascii="Arial" w:cs="Arial" w:eastAsia="Arial" w:hAnsi="Arial"/>
          <w:sz w:val="17"/>
          <w:szCs w:val="17"/>
          <w:color w:val="000000"/>
        </w:rPr>
        <w:t>– Prorated payment of PSUs and dividend equivalents at the end of the three-year performance period for</w:t>
      </w:r>
      <w:r>
        <w:rPr>
          <w:rFonts w:ascii="Arial" w:cs="Arial" w:eastAsia="Arial" w:hAnsi="Arial"/>
          <w:sz w:val="17"/>
          <w:szCs w:val="17"/>
          <w:b w:val="1"/>
          <w:bCs w:val="1"/>
          <w:color w:val="012E6C"/>
        </w:rPr>
        <w:t xml:space="preserve"> </w:t>
      </w:r>
      <w:r>
        <w:rPr>
          <w:rFonts w:ascii="Arial" w:cs="Arial" w:eastAsia="Arial" w:hAnsi="Arial"/>
          <w:sz w:val="17"/>
          <w:szCs w:val="17"/>
          <w:color w:val="000000"/>
        </w:rPr>
        <w:t>retirement, death, disability or layoff during that period subject to six-month minimum service from date of grant for retirement and layoff.</w:t>
      </w:r>
    </w:p>
    <w:p>
      <w:pPr>
        <w:spacing w:after="0" w:line="143" w:lineRule="exact"/>
        <w:rPr>
          <w:sz w:val="20"/>
          <w:szCs w:val="20"/>
          <w:color w:val="auto"/>
        </w:rPr>
      </w:pPr>
    </w:p>
    <w:p>
      <w:pPr>
        <w:ind w:right="220"/>
        <w:spacing w:after="0" w:line="255" w:lineRule="auto"/>
        <w:rPr>
          <w:sz w:val="20"/>
          <w:szCs w:val="20"/>
          <w:color w:val="auto"/>
        </w:rPr>
      </w:pPr>
      <w:r>
        <w:rPr>
          <w:rFonts w:ascii="Arial" w:cs="Arial" w:eastAsia="Arial" w:hAnsi="Arial"/>
          <w:sz w:val="17"/>
          <w:szCs w:val="17"/>
          <w:b w:val="1"/>
          <w:bCs w:val="1"/>
          <w:color w:val="012E6C"/>
        </w:rPr>
        <w:t xml:space="preserve">Change in Control </w:t>
      </w:r>
      <w:r>
        <w:rPr>
          <w:rFonts w:ascii="Arial" w:cs="Arial" w:eastAsia="Arial" w:hAnsi="Arial"/>
          <w:sz w:val="17"/>
          <w:szCs w:val="17"/>
          <w:color w:val="000000"/>
        </w:rPr>
        <w:t>– Immediate vesting of PSUs and dividend equivalents at target if award is not assumed by successor. Immediate payment at</w:t>
      </w:r>
      <w:r>
        <w:rPr>
          <w:rFonts w:ascii="Arial" w:cs="Arial" w:eastAsia="Arial" w:hAnsi="Arial"/>
          <w:sz w:val="17"/>
          <w:szCs w:val="17"/>
          <w:b w:val="1"/>
          <w:bCs w:val="1"/>
          <w:color w:val="012E6C"/>
        </w:rPr>
        <w:t xml:space="preserve"> </w:t>
      </w:r>
      <w:r>
        <w:rPr>
          <w:rFonts w:ascii="Arial" w:cs="Arial" w:eastAsia="Arial" w:hAnsi="Arial"/>
          <w:sz w:val="17"/>
          <w:szCs w:val="17"/>
          <w:color w:val="000000"/>
        </w:rPr>
        <w:t>target following involuntary termination without cause or voluntary termination with good reason within 24 months of change in control if assumed by successor.</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012E6C"/>
        </w:rPr>
        <w:t>Divestiture</w:t>
      </w:r>
      <w:r>
        <w:rPr>
          <w:rFonts w:ascii="Arial" w:cs="Arial" w:eastAsia="Arial" w:hAnsi="Arial"/>
          <w:sz w:val="14"/>
          <w:szCs w:val="14"/>
          <w:b w:val="1"/>
          <w:bCs w:val="1"/>
          <w:color w:val="012E6C"/>
        </w:rPr>
        <w:t>(2)</w:t>
      </w:r>
      <w:r>
        <w:rPr>
          <w:rFonts w:ascii="Arial" w:cs="Arial" w:eastAsia="Arial" w:hAnsi="Arial"/>
          <w:sz w:val="17"/>
          <w:szCs w:val="17"/>
          <w:b w:val="1"/>
          <w:bCs w:val="1"/>
          <w:color w:val="012E6C"/>
        </w:rPr>
        <w:t xml:space="preserve"> </w:t>
      </w:r>
      <w:r>
        <w:rPr>
          <w:rFonts w:ascii="Arial" w:cs="Arial" w:eastAsia="Arial" w:hAnsi="Arial"/>
          <w:sz w:val="17"/>
          <w:szCs w:val="17"/>
          <w:color w:val="000000"/>
        </w:rPr>
        <w:t>– Prorated payment of PSUs and dividend equivalents at the end of the three-year performance period for divestiture during that period.</w:t>
      </w:r>
    </w:p>
    <w:p>
      <w:pPr>
        <w:spacing w:after="0" w:line="210" w:lineRule="exact"/>
        <w:rPr>
          <w:sz w:val="20"/>
          <w:szCs w:val="20"/>
          <w:color w:val="auto"/>
        </w:rPr>
      </w:pPr>
    </w:p>
    <w:p>
      <w:pPr>
        <w:ind w:right="180"/>
        <w:spacing w:after="0" w:line="255" w:lineRule="auto"/>
        <w:rPr>
          <w:sz w:val="20"/>
          <w:szCs w:val="20"/>
          <w:color w:val="auto"/>
        </w:rPr>
      </w:pPr>
      <w:r>
        <w:rPr>
          <w:rFonts w:ascii="Arial" w:cs="Arial" w:eastAsia="Arial" w:hAnsi="Arial"/>
          <w:sz w:val="17"/>
          <w:szCs w:val="17"/>
          <w:b w:val="1"/>
          <w:bCs w:val="1"/>
          <w:color w:val="012E6C"/>
        </w:rPr>
        <w:t xml:space="preserve">Termination/Resignation </w:t>
      </w:r>
      <w:r>
        <w:rPr>
          <w:rFonts w:ascii="Arial" w:cs="Arial" w:eastAsia="Arial" w:hAnsi="Arial"/>
          <w:sz w:val="17"/>
          <w:szCs w:val="17"/>
          <w:color w:val="000000"/>
        </w:rPr>
        <w:t>– Forfeit PSUs and dividend equivalents if termination occurs prior to becoming retirement-eligible or anytime of</w:t>
      </w:r>
      <w:r>
        <w:rPr>
          <w:rFonts w:ascii="Arial" w:cs="Arial" w:eastAsia="Arial" w:hAnsi="Arial"/>
          <w:sz w:val="17"/>
          <w:szCs w:val="17"/>
          <w:b w:val="1"/>
          <w:bCs w:val="1"/>
          <w:color w:val="012E6C"/>
        </w:rPr>
        <w:t xml:space="preserve"> </w:t>
      </w:r>
      <w:r>
        <w:rPr>
          <w:rFonts w:ascii="Arial" w:cs="Arial" w:eastAsia="Arial" w:hAnsi="Arial"/>
          <w:sz w:val="17"/>
          <w:szCs w:val="17"/>
          <w:color w:val="000000"/>
        </w:rPr>
        <w:t>termination is due to misconduct; termination on or after the six-month anniversary of the grant date and either (i) age 55 and ten years of service, or (ii) age 65 is treated as retirement-eligible.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69215</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color w:val="012E6C"/>
        </w:rPr>
        <w:t>Executive Severance Plan</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012E6C"/>
        </w:rPr>
        <w:t xml:space="preserve">Retirement </w:t>
      </w:r>
      <w:r>
        <w:rPr>
          <w:rFonts w:ascii="Arial" w:cs="Arial" w:eastAsia="Arial" w:hAnsi="Arial"/>
          <w:sz w:val="17"/>
          <w:szCs w:val="17"/>
          <w:color w:val="000000"/>
        </w:rPr>
        <w:t>– No payment.</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012E6C"/>
        </w:rPr>
        <w:t xml:space="preserve">Change in Control </w:t>
      </w:r>
      <w:r>
        <w:rPr>
          <w:rFonts w:ascii="Arial" w:cs="Arial" w:eastAsia="Arial" w:hAnsi="Arial"/>
          <w:sz w:val="17"/>
          <w:szCs w:val="17"/>
          <w:color w:val="000000"/>
        </w:rPr>
        <w:t>– No payment unless terminated.</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012E6C"/>
        </w:rPr>
        <w:t xml:space="preserve">Death/Disability </w:t>
      </w:r>
      <w:r>
        <w:rPr>
          <w:rFonts w:ascii="Arial" w:cs="Arial" w:eastAsia="Arial" w:hAnsi="Arial"/>
          <w:sz w:val="17"/>
          <w:szCs w:val="17"/>
          <w:color w:val="000000"/>
        </w:rPr>
        <w:t>– No payment.</w:t>
      </w:r>
    </w:p>
    <w:p>
      <w:pPr>
        <w:spacing w:after="0" w:line="210" w:lineRule="exact"/>
        <w:rPr>
          <w:sz w:val="20"/>
          <w:szCs w:val="20"/>
          <w:color w:val="auto"/>
        </w:rPr>
      </w:pPr>
    </w:p>
    <w:p>
      <w:pPr>
        <w:ind w:right="160"/>
        <w:spacing w:after="0" w:line="277" w:lineRule="auto"/>
        <w:rPr>
          <w:sz w:val="20"/>
          <w:szCs w:val="20"/>
          <w:color w:val="auto"/>
        </w:rPr>
      </w:pPr>
      <w:r>
        <w:rPr>
          <w:rFonts w:ascii="Arial" w:cs="Arial" w:eastAsia="Arial" w:hAnsi="Arial"/>
          <w:sz w:val="17"/>
          <w:szCs w:val="17"/>
          <w:b w:val="1"/>
          <w:bCs w:val="1"/>
          <w:color w:val="012E6C"/>
        </w:rPr>
        <w:t xml:space="preserve">Layoff </w:t>
      </w:r>
      <w:r>
        <w:rPr>
          <w:rFonts w:ascii="Arial" w:cs="Arial" w:eastAsia="Arial" w:hAnsi="Arial"/>
          <w:sz w:val="17"/>
          <w:szCs w:val="17"/>
          <w:color w:val="000000"/>
        </w:rPr>
        <w:t>– Payment of a lump sum amount equal to a multiple of salary, annual bonus equivalent, and health care continuation coverage cost plus</w:t>
      </w:r>
      <w:r>
        <w:rPr>
          <w:rFonts w:ascii="Arial" w:cs="Arial" w:eastAsia="Arial" w:hAnsi="Arial"/>
          <w:sz w:val="17"/>
          <w:szCs w:val="17"/>
          <w:b w:val="1"/>
          <w:bCs w:val="1"/>
          <w:color w:val="012E6C"/>
        </w:rPr>
        <w:t xml:space="preserve"> </w:t>
      </w:r>
      <w:r>
        <w:rPr>
          <w:rFonts w:ascii="Arial" w:cs="Arial" w:eastAsia="Arial" w:hAnsi="Arial"/>
          <w:sz w:val="17"/>
          <w:szCs w:val="17"/>
          <w:color w:val="000000"/>
        </w:rPr>
        <w:t>outplacement services and relocation assistance. The multiple of salary and annual bonus equivalent for the CEO is 2.99; for all other NEOs it is 1.0.</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012E6C"/>
        </w:rPr>
        <w:t xml:space="preserve">Divestiture </w:t>
      </w:r>
      <w:r>
        <w:rPr>
          <w:rFonts w:ascii="Arial" w:cs="Arial" w:eastAsia="Arial" w:hAnsi="Arial"/>
          <w:sz w:val="17"/>
          <w:szCs w:val="17"/>
          <w:color w:val="000000"/>
        </w:rPr>
        <w:t>– No payment.</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012E6C"/>
        </w:rPr>
        <w:t xml:space="preserve">Termination/Resignation </w:t>
      </w:r>
      <w:r>
        <w:rPr>
          <w:rFonts w:ascii="Arial" w:cs="Arial" w:eastAsia="Arial" w:hAnsi="Arial"/>
          <w:sz w:val="17"/>
          <w:szCs w:val="17"/>
          <w:color w:val="000000"/>
        </w:rPr>
        <w:t>– No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100965</wp:posOffset>
            </wp:positionV>
            <wp:extent cx="72466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spacing w:after="0"/>
        <w:tabs>
          <w:tab w:leader="none" w:pos="9380" w:val="left"/>
          <w:tab w:leader="none" w:pos="1118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2019 Proxy Statement</w:t>
      </w:r>
      <w:r>
        <w:rPr>
          <w:sz w:val="20"/>
          <w:szCs w:val="20"/>
          <w:color w:val="auto"/>
        </w:rPr>
        <w:tab/>
      </w:r>
      <w:r>
        <w:rPr>
          <w:rFonts w:ascii="Arial" w:cs="Arial" w:eastAsia="Arial" w:hAnsi="Arial"/>
          <w:sz w:val="14"/>
          <w:szCs w:val="14"/>
          <w:b w:val="1"/>
          <w:bCs w:val="1"/>
          <w:color w:val="808080"/>
        </w:rPr>
        <w:t>65</w:t>
      </w:r>
    </w:p>
    <w:p>
      <w:pPr>
        <w:sectPr>
          <w:pgSz w:w="11900" w:h="16838" w:orient="portrait"/>
          <w:cols w:equalWidth="0" w:num="1">
            <w:col w:w="11380"/>
          </w:cols>
          <w:pgMar w:left="280" w:top="292" w:right="239" w:bottom="1440" w:gutter="0" w:footer="0" w:header="0"/>
        </w:sectPr>
      </w:pPr>
    </w:p>
    <w:bookmarkStart w:id="68" w:name="page69"/>
    <w:bookmarkEnd w:id="68"/>
    <w:p>
      <w:pPr>
        <w:spacing w:after="0"/>
        <w:rPr>
          <w:sz w:val="20"/>
          <w:szCs w:val="20"/>
          <w:color w:val="auto"/>
        </w:rPr>
      </w:pPr>
      <w:r>
        <w:rPr>
          <w:rFonts w:ascii="Arial" w:cs="Arial" w:eastAsia="Arial" w:hAnsi="Arial"/>
          <w:sz w:val="15"/>
          <w:szCs w:val="15"/>
          <w:color w:val="003478"/>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ind w:left="40"/>
        <w:spacing w:after="0"/>
        <w:rPr>
          <w:sz w:val="20"/>
          <w:szCs w:val="20"/>
          <w:color w:val="auto"/>
        </w:rPr>
      </w:pPr>
      <w:r>
        <w:rPr>
          <w:rFonts w:ascii="Arial" w:cs="Arial" w:eastAsia="Arial" w:hAnsi="Arial"/>
          <w:sz w:val="17"/>
          <w:szCs w:val="17"/>
          <w:color w:val="012E6C"/>
        </w:rPr>
        <w:t>Annual Incentive Bonus</w:t>
      </w:r>
      <w:r>
        <w:rPr>
          <w:rFonts w:ascii="Arial" w:cs="Arial" w:eastAsia="Arial" w:hAnsi="Arial"/>
          <w:sz w:val="14"/>
          <w:szCs w:val="14"/>
          <w:color w:val="012E6C"/>
        </w:rPr>
        <w:t>(3)</w:t>
      </w:r>
    </w:p>
    <w:p>
      <w:pPr>
        <w:spacing w:after="0" w:line="208" w:lineRule="exact"/>
        <w:rPr>
          <w:sz w:val="20"/>
          <w:szCs w:val="20"/>
          <w:color w:val="auto"/>
        </w:rPr>
      </w:pPr>
    </w:p>
    <w:p>
      <w:pPr>
        <w:ind w:left="40" w:right="220"/>
        <w:spacing w:after="0" w:line="277" w:lineRule="auto"/>
        <w:rPr>
          <w:sz w:val="20"/>
          <w:szCs w:val="20"/>
          <w:color w:val="auto"/>
        </w:rPr>
      </w:pPr>
      <w:r>
        <w:rPr>
          <w:rFonts w:ascii="Arial" w:cs="Arial" w:eastAsia="Arial" w:hAnsi="Arial"/>
          <w:sz w:val="17"/>
          <w:szCs w:val="17"/>
          <w:b w:val="1"/>
          <w:bCs w:val="1"/>
          <w:color w:val="012E6C"/>
        </w:rPr>
        <w:t xml:space="preserve">Retirement </w:t>
      </w:r>
      <w:r>
        <w:rPr>
          <w:rFonts w:ascii="Arial" w:cs="Arial" w:eastAsia="Arial" w:hAnsi="Arial"/>
          <w:sz w:val="17"/>
          <w:szCs w:val="17"/>
          <w:color w:val="000000"/>
        </w:rPr>
        <w:t>– Payment may be prorated based on year-end performance results for retirement during the year with six months of participation in the</w:t>
      </w:r>
      <w:r>
        <w:rPr>
          <w:rFonts w:ascii="Arial" w:cs="Arial" w:eastAsia="Arial" w:hAnsi="Arial"/>
          <w:sz w:val="17"/>
          <w:szCs w:val="17"/>
          <w:b w:val="1"/>
          <w:bCs w:val="1"/>
          <w:color w:val="012E6C"/>
        </w:rPr>
        <w:t xml:space="preserve"> </w:t>
      </w:r>
      <w:r>
        <w:rPr>
          <w:rFonts w:ascii="Arial" w:cs="Arial" w:eastAsia="Arial" w:hAnsi="Arial"/>
          <w:sz w:val="17"/>
          <w:szCs w:val="17"/>
          <w:color w:val="000000"/>
        </w:rPr>
        <w:t>year.</w:t>
      </w:r>
    </w:p>
    <w:p>
      <w:pPr>
        <w:spacing w:after="0" w:line="14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012E6C"/>
        </w:rPr>
        <w:t xml:space="preserve">Change in Control </w:t>
      </w:r>
      <w:r>
        <w:rPr>
          <w:rFonts w:ascii="Arial" w:cs="Arial" w:eastAsia="Arial" w:hAnsi="Arial"/>
          <w:sz w:val="17"/>
          <w:szCs w:val="17"/>
          <w:color w:val="000000"/>
        </w:rPr>
        <w:t>– No provision.</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012E6C"/>
        </w:rPr>
        <w:t xml:space="preserve">Death/Disability </w:t>
      </w:r>
      <w:r>
        <w:rPr>
          <w:rFonts w:ascii="Arial" w:cs="Arial" w:eastAsia="Arial" w:hAnsi="Arial"/>
          <w:sz w:val="17"/>
          <w:szCs w:val="17"/>
          <w:color w:val="000000"/>
        </w:rPr>
        <w:t>– Payment may be prorated at target for death, disability or layoff during the year with three months of participation in the year.</w:t>
      </w:r>
    </w:p>
    <w:p>
      <w:pPr>
        <w:spacing w:after="0" w:line="210" w:lineRule="exact"/>
        <w:rPr>
          <w:sz w:val="20"/>
          <w:szCs w:val="20"/>
          <w:color w:val="auto"/>
        </w:rPr>
      </w:pPr>
    </w:p>
    <w:p>
      <w:pPr>
        <w:ind w:left="40" w:right="500"/>
        <w:spacing w:after="0" w:line="277" w:lineRule="auto"/>
        <w:rPr>
          <w:sz w:val="20"/>
          <w:szCs w:val="20"/>
          <w:color w:val="auto"/>
        </w:rPr>
      </w:pPr>
      <w:r>
        <w:rPr>
          <w:rFonts w:ascii="Arial" w:cs="Arial" w:eastAsia="Arial" w:hAnsi="Arial"/>
          <w:sz w:val="17"/>
          <w:szCs w:val="17"/>
          <w:b w:val="1"/>
          <w:bCs w:val="1"/>
          <w:color w:val="012E6C"/>
        </w:rPr>
        <w:t xml:space="preserve">Layoff </w:t>
      </w:r>
      <w:r>
        <w:rPr>
          <w:rFonts w:ascii="Arial" w:cs="Arial" w:eastAsia="Arial" w:hAnsi="Arial"/>
          <w:sz w:val="17"/>
          <w:szCs w:val="17"/>
          <w:color w:val="000000"/>
        </w:rPr>
        <w:t>– No payment if layoff occurs at any time during the year, including on the last day of the year, and payment is made under the Executive</w:t>
      </w:r>
      <w:r>
        <w:rPr>
          <w:rFonts w:ascii="Arial" w:cs="Arial" w:eastAsia="Arial" w:hAnsi="Arial"/>
          <w:sz w:val="17"/>
          <w:szCs w:val="17"/>
          <w:b w:val="1"/>
          <w:bCs w:val="1"/>
          <w:color w:val="012E6C"/>
        </w:rPr>
        <w:t xml:space="preserve"> </w:t>
      </w:r>
      <w:r>
        <w:rPr>
          <w:rFonts w:ascii="Arial" w:cs="Arial" w:eastAsia="Arial" w:hAnsi="Arial"/>
          <w:sz w:val="17"/>
          <w:szCs w:val="17"/>
          <w:color w:val="000000"/>
        </w:rPr>
        <w:t>Severance Plan. Otherwise, payment may be prorated with six months of participation in the year.</w:t>
      </w:r>
    </w:p>
    <w:p>
      <w:pPr>
        <w:spacing w:after="0" w:line="14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012E6C"/>
        </w:rPr>
        <w:t xml:space="preserve">Divestiture </w:t>
      </w:r>
      <w:r>
        <w:rPr>
          <w:rFonts w:ascii="Arial" w:cs="Arial" w:eastAsia="Arial" w:hAnsi="Arial"/>
          <w:sz w:val="17"/>
          <w:szCs w:val="17"/>
          <w:color w:val="000000"/>
        </w:rPr>
        <w:t>– No provision.</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012E6C"/>
        </w:rPr>
        <w:t xml:space="preserve">Termination/Resignation </w:t>
      </w:r>
      <w:r>
        <w:rPr>
          <w:rFonts w:ascii="Arial" w:cs="Arial" w:eastAsia="Arial" w:hAnsi="Arial"/>
          <w:sz w:val="17"/>
          <w:szCs w:val="17"/>
          <w:color w:val="000000"/>
        </w:rPr>
        <w:t>– No payment will be made for termination/resignation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466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1" w:lineRule="exact"/>
        <w:rPr>
          <w:sz w:val="20"/>
          <w:szCs w:val="20"/>
          <w:color w:val="auto"/>
        </w:rPr>
      </w:pPr>
    </w:p>
    <w:p>
      <w:pPr>
        <w:ind w:left="40"/>
        <w:spacing w:after="0"/>
        <w:rPr>
          <w:sz w:val="20"/>
          <w:szCs w:val="20"/>
          <w:color w:val="auto"/>
        </w:rPr>
      </w:pPr>
      <w:r>
        <w:rPr>
          <w:rFonts w:ascii="Arial" w:cs="Arial" w:eastAsia="Arial" w:hAnsi="Arial"/>
          <w:sz w:val="17"/>
          <w:szCs w:val="17"/>
          <w:color w:val="012E6C"/>
        </w:rPr>
        <w:t>DMICP</w:t>
      </w:r>
      <w:r>
        <w:rPr>
          <w:rFonts w:ascii="Arial" w:cs="Arial" w:eastAsia="Arial" w:hAnsi="Arial"/>
          <w:sz w:val="14"/>
          <w:szCs w:val="14"/>
          <w:color w:val="012E6C"/>
        </w:rPr>
        <w:t>(4)</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012E6C"/>
        </w:rPr>
        <w:t xml:space="preserve">Retirement </w:t>
      </w:r>
      <w:r>
        <w:rPr>
          <w:rFonts w:ascii="Arial" w:cs="Arial" w:eastAsia="Arial" w:hAnsi="Arial"/>
          <w:sz w:val="17"/>
          <w:szCs w:val="17"/>
          <w:color w:val="000000"/>
        </w:rPr>
        <w:t>– Lump sum or installment payment in accordance with NEO elections.</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012E6C"/>
        </w:rPr>
        <w:t xml:space="preserve">Change in Control – </w:t>
      </w:r>
      <w:r>
        <w:rPr>
          <w:rFonts w:ascii="Arial" w:cs="Arial" w:eastAsia="Arial" w:hAnsi="Arial"/>
          <w:sz w:val="17"/>
          <w:szCs w:val="17"/>
          <w:color w:val="000000"/>
        </w:rPr>
        <w:t>Immediate lump sum payment.</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012E6C"/>
        </w:rPr>
        <w:t xml:space="preserve">Death/Disability/Layoff </w:t>
      </w:r>
      <w:r>
        <w:rPr>
          <w:rFonts w:ascii="Arial" w:cs="Arial" w:eastAsia="Arial" w:hAnsi="Arial"/>
          <w:sz w:val="17"/>
          <w:szCs w:val="17"/>
          <w:color w:val="000000"/>
        </w:rPr>
        <w:t>– Lump sum or installment payments in accordance with NEO elections, except lump sum only for layoff prior to age 55.</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012E6C"/>
        </w:rPr>
        <w:t xml:space="preserve">Divestiture </w:t>
      </w:r>
      <w:r>
        <w:rPr>
          <w:rFonts w:ascii="Arial" w:cs="Arial" w:eastAsia="Arial" w:hAnsi="Arial"/>
          <w:sz w:val="17"/>
          <w:szCs w:val="17"/>
          <w:color w:val="000000"/>
        </w:rPr>
        <w:t>– Follows termination provisions.</w:t>
      </w:r>
    </w:p>
    <w:p>
      <w:pPr>
        <w:spacing w:after="0" w:line="210" w:lineRule="exact"/>
        <w:rPr>
          <w:sz w:val="20"/>
          <w:szCs w:val="20"/>
          <w:color w:val="auto"/>
        </w:rPr>
      </w:pPr>
    </w:p>
    <w:p>
      <w:pPr>
        <w:ind w:left="40" w:right="560"/>
        <w:spacing w:after="0" w:line="277" w:lineRule="auto"/>
        <w:rPr>
          <w:sz w:val="20"/>
          <w:szCs w:val="20"/>
          <w:color w:val="auto"/>
        </w:rPr>
      </w:pPr>
      <w:r>
        <w:rPr>
          <w:rFonts w:ascii="Arial" w:cs="Arial" w:eastAsia="Arial" w:hAnsi="Arial"/>
          <w:sz w:val="17"/>
          <w:szCs w:val="17"/>
          <w:b w:val="1"/>
          <w:bCs w:val="1"/>
          <w:color w:val="012E6C"/>
        </w:rPr>
        <w:t xml:space="preserve">Termination/Resignation </w:t>
      </w:r>
      <w:r>
        <w:rPr>
          <w:rFonts w:ascii="Arial" w:cs="Arial" w:eastAsia="Arial" w:hAnsi="Arial"/>
          <w:sz w:val="17"/>
          <w:szCs w:val="17"/>
          <w:color w:val="000000"/>
        </w:rPr>
        <w:t>– Lump sum if termination is prior to age 55; after age 55, lump sum or installment payment in accordance with NEO</w:t>
      </w:r>
      <w:r>
        <w:rPr>
          <w:rFonts w:ascii="Arial" w:cs="Arial" w:eastAsia="Arial" w:hAnsi="Arial"/>
          <w:sz w:val="17"/>
          <w:szCs w:val="17"/>
          <w:b w:val="1"/>
          <w:bCs w:val="1"/>
          <w:color w:val="012E6C"/>
        </w:rPr>
        <w:t xml:space="preserve"> </w:t>
      </w:r>
      <w:r>
        <w:rPr>
          <w:rFonts w:ascii="Arial" w:cs="Arial" w:eastAsia="Arial" w:hAnsi="Arial"/>
          <w:sz w:val="17"/>
          <w:szCs w:val="17"/>
          <w:color w:val="000000"/>
        </w:rPr>
        <w:t>elections.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4" w:lineRule="exact"/>
        <w:rPr>
          <w:sz w:val="20"/>
          <w:szCs w:val="20"/>
          <w:color w:val="auto"/>
        </w:rPr>
      </w:pPr>
    </w:p>
    <w:p>
      <w:pPr>
        <w:ind w:left="40"/>
        <w:spacing w:after="0"/>
        <w:rPr>
          <w:sz w:val="20"/>
          <w:szCs w:val="20"/>
          <w:color w:val="auto"/>
        </w:rPr>
      </w:pPr>
      <w:r>
        <w:rPr>
          <w:rFonts w:ascii="Arial" w:cs="Arial" w:eastAsia="Arial" w:hAnsi="Arial"/>
          <w:sz w:val="17"/>
          <w:szCs w:val="17"/>
          <w:color w:val="012E6C"/>
        </w:rPr>
        <w:t>NQSSP/NCAP</w:t>
      </w:r>
      <w:r>
        <w:rPr>
          <w:rFonts w:ascii="Arial" w:cs="Arial" w:eastAsia="Arial" w:hAnsi="Arial"/>
          <w:sz w:val="14"/>
          <w:szCs w:val="14"/>
          <w:color w:val="012E6C"/>
        </w:rPr>
        <w:t>(4)</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012E6C"/>
        </w:rPr>
        <w:t xml:space="preserve">Retirement </w:t>
      </w:r>
      <w:r>
        <w:rPr>
          <w:rFonts w:ascii="Arial" w:cs="Arial" w:eastAsia="Arial" w:hAnsi="Arial"/>
          <w:sz w:val="17"/>
          <w:szCs w:val="17"/>
          <w:color w:val="000000"/>
        </w:rPr>
        <w:t>– Lump sum or installment payments in accordance with NEO elections.</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012E6C"/>
        </w:rPr>
        <w:t xml:space="preserve">Change in Control </w:t>
      </w:r>
      <w:r>
        <w:rPr>
          <w:rFonts w:ascii="Arial" w:cs="Arial" w:eastAsia="Arial" w:hAnsi="Arial"/>
          <w:sz w:val="17"/>
          <w:szCs w:val="17"/>
          <w:color w:val="000000"/>
        </w:rPr>
        <w:t>– Immediate lump sum payment.</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012E6C"/>
        </w:rPr>
        <w:t xml:space="preserve">Death/Disability/Layoff </w:t>
      </w:r>
      <w:r>
        <w:rPr>
          <w:rFonts w:ascii="Arial" w:cs="Arial" w:eastAsia="Arial" w:hAnsi="Arial"/>
          <w:sz w:val="17"/>
          <w:szCs w:val="17"/>
          <w:color w:val="000000"/>
        </w:rPr>
        <w:t>– Lump sum for death; for disability or layoff, lump sum or installment payments in accordance with NEO elections.</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012E6C"/>
        </w:rPr>
        <w:t xml:space="preserve">Divestiture </w:t>
      </w:r>
      <w:r>
        <w:rPr>
          <w:rFonts w:ascii="Arial" w:cs="Arial" w:eastAsia="Arial" w:hAnsi="Arial"/>
          <w:sz w:val="17"/>
          <w:szCs w:val="17"/>
          <w:color w:val="000000"/>
        </w:rPr>
        <w:t>– Follows termination provisions.</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012E6C"/>
        </w:rPr>
        <w:t xml:space="preserve">Termination/Resignation </w:t>
      </w:r>
      <w:r>
        <w:rPr>
          <w:rFonts w:ascii="Arial" w:cs="Arial" w:eastAsia="Arial" w:hAnsi="Arial"/>
          <w:sz w:val="17"/>
          <w:szCs w:val="17"/>
          <w:color w:val="000000"/>
        </w:rPr>
        <w:t>– Lump sum or installment payments in accordance with NEO elections.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466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4" w:lineRule="exact"/>
        <w:rPr>
          <w:sz w:val="20"/>
          <w:szCs w:val="20"/>
          <w:color w:val="auto"/>
        </w:rPr>
      </w:pPr>
    </w:p>
    <w:p>
      <w:pPr>
        <w:ind w:left="340" w:hanging="332"/>
        <w:spacing w:after="0"/>
        <w:tabs>
          <w:tab w:leader="none" w:pos="340" w:val="left"/>
        </w:tabs>
        <w:numPr>
          <w:ilvl w:val="0"/>
          <w:numId w:val="86"/>
        </w:numPr>
        <w:rPr>
          <w:rFonts w:ascii="Arial" w:cs="Arial" w:eastAsia="Arial" w:hAnsi="Arial"/>
          <w:sz w:val="24"/>
          <w:szCs w:val="24"/>
          <w:color w:val="auto"/>
          <w:vertAlign w:val="superscript"/>
        </w:rPr>
      </w:pPr>
      <w:r>
        <w:rPr>
          <w:rFonts w:ascii="Arial" w:cs="Arial" w:eastAsia="Arial" w:hAnsi="Arial"/>
          <w:sz w:val="14"/>
          <w:szCs w:val="14"/>
          <w:color w:val="auto"/>
        </w:rPr>
        <w:t>See “2018 Pension Benefits” table for present value of accumulated benefit.</w:t>
      </w:r>
    </w:p>
    <w:p>
      <w:pPr>
        <w:spacing w:after="0" w:line="197" w:lineRule="exact"/>
        <w:rPr>
          <w:rFonts w:ascii="Arial" w:cs="Arial" w:eastAsia="Arial" w:hAnsi="Arial"/>
          <w:sz w:val="24"/>
          <w:szCs w:val="24"/>
          <w:color w:val="auto"/>
          <w:vertAlign w:val="superscript"/>
        </w:rPr>
      </w:pPr>
    </w:p>
    <w:p>
      <w:pPr>
        <w:ind w:left="340" w:hanging="332"/>
        <w:spacing w:after="0" w:line="218" w:lineRule="auto"/>
        <w:tabs>
          <w:tab w:leader="none" w:pos="340" w:val="left"/>
        </w:tabs>
        <w:numPr>
          <w:ilvl w:val="0"/>
          <w:numId w:val="86"/>
        </w:numPr>
        <w:rPr>
          <w:rFonts w:ascii="Arial" w:cs="Arial" w:eastAsia="Arial" w:hAnsi="Arial"/>
          <w:sz w:val="24"/>
          <w:szCs w:val="24"/>
          <w:color w:val="auto"/>
          <w:vertAlign w:val="superscript"/>
        </w:rPr>
      </w:pPr>
      <w:r>
        <w:rPr>
          <w:rFonts w:ascii="Arial" w:cs="Arial" w:eastAsia="Arial" w:hAnsi="Arial"/>
          <w:sz w:val="14"/>
          <w:szCs w:val="14"/>
          <w:color w:val="auto"/>
        </w:rPr>
        <w:t>Divestiture is defined as a transaction which results in the transfer of control of a business operation to any person, corporation, association, partnership, joint venture, or other business entity of which less than 50 percent of the voting stock or other equity interests (in the case of entities other than corporations) is owned or controlled directly or indirectly by us, one or more of our subsidiaries, or by a combination thereof following the transaction.</w:t>
      </w:r>
    </w:p>
    <w:p>
      <w:pPr>
        <w:spacing w:after="0" w:line="117" w:lineRule="exact"/>
        <w:rPr>
          <w:rFonts w:ascii="Arial" w:cs="Arial" w:eastAsia="Arial" w:hAnsi="Arial"/>
          <w:sz w:val="24"/>
          <w:szCs w:val="24"/>
          <w:color w:val="auto"/>
          <w:vertAlign w:val="superscript"/>
        </w:rPr>
      </w:pPr>
    </w:p>
    <w:p>
      <w:pPr>
        <w:ind w:left="340" w:hanging="332"/>
        <w:spacing w:after="0"/>
        <w:tabs>
          <w:tab w:leader="none" w:pos="340" w:val="left"/>
        </w:tabs>
        <w:numPr>
          <w:ilvl w:val="0"/>
          <w:numId w:val="86"/>
        </w:numPr>
        <w:rPr>
          <w:rFonts w:ascii="Arial" w:cs="Arial" w:eastAsia="Arial" w:hAnsi="Arial"/>
          <w:sz w:val="24"/>
          <w:szCs w:val="24"/>
          <w:color w:val="auto"/>
          <w:vertAlign w:val="superscript"/>
        </w:rPr>
      </w:pPr>
      <w:r>
        <w:rPr>
          <w:rFonts w:ascii="Arial" w:cs="Arial" w:eastAsia="Arial" w:hAnsi="Arial"/>
          <w:sz w:val="14"/>
          <w:szCs w:val="14"/>
          <w:color w:val="auto"/>
        </w:rPr>
        <w:t>See “Compensation Discussion and Analysis” for discussion of annual incentive bonus payment calculation.</w:t>
      </w:r>
    </w:p>
    <w:p>
      <w:pPr>
        <w:spacing w:after="0" w:line="127" w:lineRule="exact"/>
        <w:rPr>
          <w:rFonts w:ascii="Arial" w:cs="Arial" w:eastAsia="Arial" w:hAnsi="Arial"/>
          <w:sz w:val="24"/>
          <w:szCs w:val="24"/>
          <w:color w:val="auto"/>
          <w:vertAlign w:val="superscript"/>
        </w:rPr>
      </w:pPr>
    </w:p>
    <w:p>
      <w:pPr>
        <w:ind w:left="340" w:hanging="332"/>
        <w:spacing w:after="0" w:line="229" w:lineRule="auto"/>
        <w:tabs>
          <w:tab w:leader="none" w:pos="340" w:val="left"/>
        </w:tabs>
        <w:numPr>
          <w:ilvl w:val="0"/>
          <w:numId w:val="86"/>
        </w:numPr>
        <w:rPr>
          <w:rFonts w:ascii="Arial" w:cs="Arial" w:eastAsia="Arial" w:hAnsi="Arial"/>
          <w:sz w:val="24"/>
          <w:szCs w:val="24"/>
          <w:color w:val="auto"/>
          <w:vertAlign w:val="superscript"/>
        </w:rPr>
      </w:pPr>
      <w:r>
        <w:rPr>
          <w:rFonts w:ascii="Arial" w:cs="Arial" w:eastAsia="Arial" w:hAnsi="Arial"/>
          <w:sz w:val="14"/>
          <w:szCs w:val="14"/>
          <w:color w:val="auto"/>
        </w:rPr>
        <w:t>See “Aggregate Balance at Last FYE” column in “2018 Nonqualified Deferred Compensation” table for amounts payable.</w:t>
      </w:r>
    </w:p>
    <w:p>
      <w:pPr>
        <w:spacing w:after="0" w:line="19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following table quantifies the payments under our executive compensation programs in RSU, LTIP and PSU awards and the lump sum payable under the Supplemental Pension that would be made assuming a termination event had occurred on December 31, 2018. Payments under other plans do not change as a result of the termination event, and quantification of those payments is found elsewhere in this Proxy Statement; benefits under plans available generally to salaried employees also are not included. The table shows amounts that would actually be paid on or shortly after December 31, 2018 on account of the trigger event. Amounts that are contingent upon future performance, continued vesting or already earned as of December 31, 2018 are described and quantified in the footnotes following the table. Award agreements for the NEOs contain clawback provisions and post-employment restrictive covenants and to receive a supplemental severance benefit, an executive must execute a release of claims and an agreement containing two-year post-employment non-compete and non-solicitation covenants.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380365</wp:posOffset>
            </wp:positionV>
            <wp:extent cx="1440815" cy="3257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440815" cy="325755"/>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808080"/>
        </w:rPr>
        <w:t>66</w:t>
      </w:r>
    </w:p>
    <w:p>
      <w:pPr>
        <w:sectPr>
          <w:pgSz w:w="11900" w:h="16838" w:orient="portrait"/>
          <w:cols w:equalWidth="0" w:num="1">
            <w:col w:w="11420"/>
          </w:cols>
          <w:pgMar w:left="240" w:top="292" w:right="239" w:bottom="1440" w:gutter="0" w:footer="0" w:header="0"/>
          <w:type w:val="continuous"/>
        </w:sectPr>
      </w:pPr>
    </w:p>
    <w:bookmarkStart w:id="69" w:name="page70"/>
    <w:bookmarkEnd w:id="69"/>
    <w:p>
      <w:pPr>
        <w:ind w:left="9720"/>
        <w:spacing w:after="0"/>
        <w:rPr>
          <w:sz w:val="20"/>
          <w:szCs w:val="20"/>
          <w:color w:val="auto"/>
        </w:rPr>
      </w:pPr>
      <w:r>
        <w:rPr>
          <w:rFonts w:ascii="Arial" w:cs="Arial" w:eastAsia="Arial" w:hAnsi="Arial"/>
          <w:sz w:val="15"/>
          <w:szCs w:val="15"/>
          <w:color w:val="003478"/>
        </w:rPr>
        <w:t>Executive Compensation</w:t>
      </w:r>
    </w:p>
    <w:p>
      <w:pPr>
        <w:spacing w:after="0" w:line="334" w:lineRule="exact"/>
        <w:rPr>
          <w:sz w:val="20"/>
          <w:szCs w:val="20"/>
          <w:color w:val="auto"/>
        </w:rPr>
      </w:pPr>
    </w:p>
    <w:p>
      <w:pPr>
        <w:spacing w:after="0"/>
        <w:rPr>
          <w:sz w:val="20"/>
          <w:szCs w:val="20"/>
          <w:color w:val="auto"/>
        </w:rPr>
      </w:pPr>
      <w:r>
        <w:rPr>
          <w:rFonts w:ascii="Arial" w:cs="Arial" w:eastAsia="Arial" w:hAnsi="Arial"/>
          <w:sz w:val="29"/>
          <w:szCs w:val="29"/>
          <w:b w:val="1"/>
          <w:bCs w:val="1"/>
          <w:color w:val="012E6C"/>
        </w:rPr>
        <w:t>Potential Payments Upon Termination or Change in Control Table</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80" w:type="dxa"/>
            <w:vAlign w:val="bottom"/>
            <w:shd w:val="clear" w:color="auto" w:fill="ECECEC"/>
          </w:tcPr>
          <w:p>
            <w:pPr>
              <w:spacing w:after="0"/>
              <w:rPr>
                <w:sz w:val="13"/>
                <w:szCs w:val="13"/>
                <w:color w:val="auto"/>
              </w:rPr>
            </w:pPr>
          </w:p>
        </w:tc>
        <w:tc>
          <w:tcPr>
            <w:tcW w:w="1740" w:type="dxa"/>
            <w:vAlign w:val="bottom"/>
            <w:shd w:val="clear" w:color="auto" w:fill="ECECEC"/>
          </w:tcPr>
          <w:p>
            <w:pPr>
              <w:spacing w:after="0"/>
              <w:rPr>
                <w:sz w:val="13"/>
                <w:szCs w:val="13"/>
                <w:color w:val="auto"/>
              </w:rPr>
            </w:pPr>
          </w:p>
        </w:tc>
        <w:tc>
          <w:tcPr>
            <w:tcW w:w="1220" w:type="dxa"/>
            <w:vAlign w:val="bottom"/>
            <w:vMerge w:val="restart"/>
            <w:shd w:val="clear" w:color="auto" w:fill="ECECEC"/>
          </w:tcPr>
          <w:p>
            <w:pPr>
              <w:jc w:val="right"/>
              <w:ind w:right="148"/>
              <w:spacing w:after="0"/>
              <w:rPr>
                <w:sz w:val="20"/>
                <w:szCs w:val="20"/>
                <w:color w:val="auto"/>
              </w:rPr>
            </w:pPr>
            <w:r>
              <w:rPr>
                <w:rFonts w:ascii="Arial" w:cs="Arial" w:eastAsia="Arial" w:hAnsi="Arial"/>
                <w:sz w:val="13"/>
                <w:szCs w:val="13"/>
                <w:color w:val="auto"/>
              </w:rPr>
              <w:t>Retirement</w:t>
            </w:r>
          </w:p>
        </w:tc>
        <w:tc>
          <w:tcPr>
            <w:tcW w:w="1140" w:type="dxa"/>
            <w:vAlign w:val="bottom"/>
            <w:shd w:val="clear" w:color="auto" w:fill="ECECEC"/>
          </w:tcPr>
          <w:p>
            <w:pPr>
              <w:jc w:val="right"/>
              <w:ind w:right="129"/>
              <w:spacing w:after="0"/>
              <w:rPr>
                <w:sz w:val="20"/>
                <w:szCs w:val="20"/>
                <w:color w:val="auto"/>
              </w:rPr>
            </w:pPr>
            <w:r>
              <w:rPr>
                <w:rFonts w:ascii="Arial" w:cs="Arial" w:eastAsia="Arial" w:hAnsi="Arial"/>
                <w:sz w:val="13"/>
                <w:szCs w:val="13"/>
                <w:color w:val="auto"/>
              </w:rPr>
              <w:t>Change</w:t>
            </w:r>
          </w:p>
        </w:tc>
        <w:tc>
          <w:tcPr>
            <w:tcW w:w="1140" w:type="dxa"/>
            <w:vAlign w:val="bottom"/>
            <w:shd w:val="clear" w:color="auto" w:fill="ECECEC"/>
          </w:tcPr>
          <w:p>
            <w:pPr>
              <w:jc w:val="right"/>
              <w:ind w:right="149"/>
              <w:spacing w:after="0"/>
              <w:rPr>
                <w:sz w:val="20"/>
                <w:szCs w:val="20"/>
                <w:color w:val="auto"/>
              </w:rPr>
            </w:pPr>
            <w:r>
              <w:rPr>
                <w:rFonts w:ascii="Arial" w:cs="Arial" w:eastAsia="Arial" w:hAnsi="Arial"/>
                <w:sz w:val="13"/>
                <w:szCs w:val="13"/>
                <w:color w:val="auto"/>
              </w:rPr>
              <w:t>Death/</w:t>
            </w:r>
          </w:p>
        </w:tc>
        <w:tc>
          <w:tcPr>
            <w:tcW w:w="1140" w:type="dxa"/>
            <w:vAlign w:val="bottom"/>
            <w:vMerge w:val="restart"/>
            <w:shd w:val="clear" w:color="auto" w:fill="ECECEC"/>
          </w:tcPr>
          <w:p>
            <w:pPr>
              <w:jc w:val="right"/>
              <w:ind w:right="148"/>
              <w:spacing w:after="0"/>
              <w:rPr>
                <w:sz w:val="20"/>
                <w:szCs w:val="20"/>
                <w:color w:val="auto"/>
              </w:rPr>
            </w:pPr>
            <w:r>
              <w:rPr>
                <w:rFonts w:ascii="Arial" w:cs="Arial" w:eastAsia="Arial" w:hAnsi="Arial"/>
                <w:sz w:val="13"/>
                <w:szCs w:val="13"/>
                <w:color w:val="auto"/>
              </w:rPr>
              <w:t>Layoff</w:t>
            </w:r>
          </w:p>
        </w:tc>
        <w:tc>
          <w:tcPr>
            <w:tcW w:w="1120" w:type="dxa"/>
            <w:vAlign w:val="bottom"/>
            <w:vMerge w:val="restart"/>
            <w:shd w:val="clear" w:color="auto" w:fill="ECECEC"/>
          </w:tcPr>
          <w:p>
            <w:pPr>
              <w:jc w:val="right"/>
              <w:ind w:right="128"/>
              <w:spacing w:after="0"/>
              <w:rPr>
                <w:sz w:val="20"/>
                <w:szCs w:val="20"/>
                <w:color w:val="auto"/>
              </w:rPr>
            </w:pPr>
            <w:r>
              <w:rPr>
                <w:rFonts w:ascii="Arial" w:cs="Arial" w:eastAsia="Arial" w:hAnsi="Arial"/>
                <w:sz w:val="13"/>
                <w:szCs w:val="13"/>
                <w:color w:val="auto"/>
              </w:rPr>
              <w:t>Divestiture</w:t>
            </w:r>
          </w:p>
        </w:tc>
        <w:tc>
          <w:tcPr>
            <w:tcW w:w="1040" w:type="dxa"/>
            <w:vAlign w:val="bottom"/>
            <w:shd w:val="clear" w:color="auto" w:fill="ECECEC"/>
          </w:tcPr>
          <w:p>
            <w:pPr>
              <w:jc w:val="right"/>
              <w:ind w:right="29"/>
              <w:spacing w:after="0"/>
              <w:rPr>
                <w:sz w:val="20"/>
                <w:szCs w:val="20"/>
                <w:color w:val="auto"/>
              </w:rPr>
            </w:pPr>
            <w:r>
              <w:rPr>
                <w:rFonts w:ascii="Arial" w:cs="Arial" w:eastAsia="Arial" w:hAnsi="Arial"/>
                <w:sz w:val="13"/>
                <w:szCs w:val="13"/>
                <w:color w:val="auto"/>
              </w:rPr>
              <w:t>Termination/</w:t>
            </w:r>
          </w:p>
        </w:tc>
        <w:tc>
          <w:tcPr>
            <w:tcW w:w="0" w:type="dxa"/>
            <w:vAlign w:val="bottom"/>
          </w:tcPr>
          <w:p>
            <w:pPr>
              <w:spacing w:after="0"/>
              <w:rPr>
                <w:sz w:val="1"/>
                <w:szCs w:val="1"/>
                <w:color w:val="auto"/>
              </w:rPr>
            </w:pPr>
          </w:p>
        </w:tc>
      </w:tr>
      <w:tr>
        <w:trPr>
          <w:trHeight w:val="170"/>
        </w:trPr>
        <w:tc>
          <w:tcPr>
            <w:tcW w:w="2880" w:type="dxa"/>
            <w:vAlign w:val="bottom"/>
            <w:shd w:val="clear" w:color="auto" w:fill="ECECEC"/>
          </w:tcPr>
          <w:p>
            <w:pPr>
              <w:spacing w:after="0"/>
              <w:rPr>
                <w:sz w:val="14"/>
                <w:szCs w:val="14"/>
                <w:color w:val="auto"/>
              </w:rPr>
            </w:pPr>
          </w:p>
        </w:tc>
        <w:tc>
          <w:tcPr>
            <w:tcW w:w="1740" w:type="dxa"/>
            <w:vAlign w:val="bottom"/>
            <w:shd w:val="clear" w:color="auto" w:fill="ECECEC"/>
          </w:tcPr>
          <w:p>
            <w:pPr>
              <w:spacing w:after="0"/>
              <w:rPr>
                <w:sz w:val="14"/>
                <w:szCs w:val="14"/>
                <w:color w:val="auto"/>
              </w:rPr>
            </w:pPr>
          </w:p>
        </w:tc>
        <w:tc>
          <w:tcPr>
            <w:tcW w:w="1220" w:type="dxa"/>
            <w:vAlign w:val="bottom"/>
            <w:vMerge w:val="continue"/>
            <w:shd w:val="clear" w:color="auto" w:fill="ECECEC"/>
          </w:tcPr>
          <w:p>
            <w:pPr>
              <w:spacing w:after="0"/>
              <w:rPr>
                <w:sz w:val="14"/>
                <w:szCs w:val="14"/>
                <w:color w:val="auto"/>
              </w:rPr>
            </w:pPr>
          </w:p>
        </w:tc>
        <w:tc>
          <w:tcPr>
            <w:tcW w:w="1140" w:type="dxa"/>
            <w:vAlign w:val="bottom"/>
            <w:shd w:val="clear" w:color="auto" w:fill="ECECEC"/>
          </w:tcPr>
          <w:p>
            <w:pPr>
              <w:jc w:val="right"/>
              <w:ind w:right="129"/>
              <w:spacing w:after="0"/>
              <w:rPr>
                <w:sz w:val="20"/>
                <w:szCs w:val="20"/>
                <w:color w:val="auto"/>
              </w:rPr>
            </w:pPr>
            <w:r>
              <w:rPr>
                <w:rFonts w:ascii="Arial" w:cs="Arial" w:eastAsia="Arial" w:hAnsi="Arial"/>
                <w:sz w:val="13"/>
                <w:szCs w:val="13"/>
                <w:color w:val="auto"/>
              </w:rPr>
              <w:t>In Control</w:t>
            </w:r>
          </w:p>
        </w:tc>
        <w:tc>
          <w:tcPr>
            <w:tcW w:w="1140" w:type="dxa"/>
            <w:vAlign w:val="bottom"/>
            <w:shd w:val="clear" w:color="auto" w:fill="ECECEC"/>
          </w:tcPr>
          <w:p>
            <w:pPr>
              <w:jc w:val="right"/>
              <w:ind w:right="149"/>
              <w:spacing w:after="0"/>
              <w:rPr>
                <w:sz w:val="20"/>
                <w:szCs w:val="20"/>
                <w:color w:val="auto"/>
              </w:rPr>
            </w:pPr>
            <w:r>
              <w:rPr>
                <w:rFonts w:ascii="Arial" w:cs="Arial" w:eastAsia="Arial" w:hAnsi="Arial"/>
                <w:sz w:val="13"/>
                <w:szCs w:val="13"/>
                <w:color w:val="auto"/>
              </w:rPr>
              <w:t>Disability</w:t>
            </w:r>
          </w:p>
        </w:tc>
        <w:tc>
          <w:tcPr>
            <w:tcW w:w="1140" w:type="dxa"/>
            <w:vAlign w:val="bottom"/>
            <w:vMerge w:val="continue"/>
            <w:shd w:val="clear" w:color="auto" w:fill="ECECEC"/>
          </w:tcPr>
          <w:p>
            <w:pPr>
              <w:spacing w:after="0"/>
              <w:rPr>
                <w:sz w:val="14"/>
                <w:szCs w:val="14"/>
                <w:color w:val="auto"/>
              </w:rPr>
            </w:pPr>
          </w:p>
        </w:tc>
        <w:tc>
          <w:tcPr>
            <w:tcW w:w="1120" w:type="dxa"/>
            <w:vAlign w:val="bottom"/>
            <w:vMerge w:val="continue"/>
            <w:shd w:val="clear" w:color="auto" w:fill="ECECEC"/>
          </w:tcPr>
          <w:p>
            <w:pPr>
              <w:spacing w:after="0"/>
              <w:rPr>
                <w:sz w:val="14"/>
                <w:szCs w:val="14"/>
                <w:color w:val="auto"/>
              </w:rPr>
            </w:pPr>
          </w:p>
        </w:tc>
        <w:tc>
          <w:tcPr>
            <w:tcW w:w="1040" w:type="dxa"/>
            <w:vAlign w:val="bottom"/>
            <w:shd w:val="clear" w:color="auto" w:fill="ECECEC"/>
          </w:tcPr>
          <w:p>
            <w:pPr>
              <w:jc w:val="right"/>
              <w:ind w:right="29"/>
              <w:spacing w:after="0"/>
              <w:rPr>
                <w:sz w:val="20"/>
                <w:szCs w:val="20"/>
                <w:color w:val="auto"/>
              </w:rPr>
            </w:pPr>
            <w:r>
              <w:rPr>
                <w:rFonts w:ascii="Arial" w:cs="Arial" w:eastAsia="Arial" w:hAnsi="Arial"/>
                <w:sz w:val="13"/>
                <w:szCs w:val="13"/>
                <w:color w:val="auto"/>
              </w:rPr>
              <w:t>Resignation</w:t>
            </w:r>
          </w:p>
        </w:tc>
        <w:tc>
          <w:tcPr>
            <w:tcW w:w="0" w:type="dxa"/>
            <w:vAlign w:val="bottom"/>
          </w:tcPr>
          <w:p>
            <w:pPr>
              <w:spacing w:after="0"/>
              <w:rPr>
                <w:sz w:val="1"/>
                <w:szCs w:val="1"/>
                <w:color w:val="auto"/>
              </w:rPr>
            </w:pPr>
          </w:p>
        </w:tc>
      </w:tr>
      <w:tr>
        <w:trPr>
          <w:trHeight w:val="278"/>
        </w:trPr>
        <w:tc>
          <w:tcPr>
            <w:tcW w:w="2880" w:type="dxa"/>
            <w:vAlign w:val="bottom"/>
            <w:tcBorders>
              <w:bottom w:val="single" w:sz="8" w:color="959595"/>
            </w:tcBorders>
            <w:shd w:val="clear" w:color="auto" w:fill="ECECEC"/>
          </w:tcPr>
          <w:p>
            <w:pPr>
              <w:ind w:left="40"/>
              <w:spacing w:after="0"/>
              <w:rPr>
                <w:sz w:val="20"/>
                <w:szCs w:val="20"/>
                <w:color w:val="auto"/>
              </w:rPr>
            </w:pPr>
            <w:r>
              <w:rPr>
                <w:rFonts w:ascii="Arial" w:cs="Arial" w:eastAsia="Arial" w:hAnsi="Arial"/>
                <w:sz w:val="13"/>
                <w:szCs w:val="13"/>
                <w:color w:val="auto"/>
              </w:rPr>
              <w:t>Name</w:t>
            </w:r>
          </w:p>
        </w:tc>
        <w:tc>
          <w:tcPr>
            <w:tcW w:w="1740" w:type="dxa"/>
            <w:vAlign w:val="bottom"/>
            <w:tcBorders>
              <w:bottom w:val="single" w:sz="8" w:color="959595"/>
            </w:tcBorders>
            <w:shd w:val="clear" w:color="auto" w:fill="ECECEC"/>
          </w:tcPr>
          <w:p>
            <w:pPr>
              <w:spacing w:after="0"/>
              <w:rPr>
                <w:sz w:val="24"/>
                <w:szCs w:val="24"/>
                <w:color w:val="auto"/>
              </w:rPr>
            </w:pPr>
          </w:p>
        </w:tc>
        <w:tc>
          <w:tcPr>
            <w:tcW w:w="1220" w:type="dxa"/>
            <w:vAlign w:val="bottom"/>
            <w:tcBorders>
              <w:bottom w:val="single" w:sz="8" w:color="959595"/>
            </w:tcBorders>
            <w:shd w:val="clear" w:color="auto" w:fill="ECECEC"/>
          </w:tcPr>
          <w:p>
            <w:pPr>
              <w:jc w:val="right"/>
              <w:ind w:right="148"/>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959595"/>
            </w:tcBorders>
            <w:shd w:val="clear" w:color="auto" w:fill="ECECEC"/>
          </w:tcPr>
          <w:p>
            <w:pPr>
              <w:jc w:val="right"/>
              <w:ind w:right="129"/>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959595"/>
            </w:tcBorders>
            <w:shd w:val="clear" w:color="auto" w:fill="ECECEC"/>
          </w:tcPr>
          <w:p>
            <w:pPr>
              <w:jc w:val="right"/>
              <w:ind w:right="149"/>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959595"/>
            </w:tcBorders>
            <w:shd w:val="clear" w:color="auto" w:fill="ECECEC"/>
          </w:tcPr>
          <w:p>
            <w:pPr>
              <w:jc w:val="right"/>
              <w:ind w:right="148"/>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959595"/>
            </w:tcBorders>
            <w:shd w:val="clear" w:color="auto" w:fill="ECECEC"/>
          </w:tcPr>
          <w:p>
            <w:pPr>
              <w:jc w:val="right"/>
              <w:ind w:right="128"/>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959595"/>
            </w:tcBorders>
            <w:shd w:val="clear" w:color="auto" w:fill="ECECEC"/>
          </w:tcPr>
          <w:p>
            <w:pPr>
              <w:jc w:val="right"/>
              <w:ind w:right="29"/>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5"/>
        </w:trPr>
        <w:tc>
          <w:tcPr>
            <w:tcW w:w="2880" w:type="dxa"/>
            <w:vAlign w:val="bottom"/>
          </w:tcPr>
          <w:p>
            <w:pPr>
              <w:ind w:left="40"/>
              <w:spacing w:after="0"/>
              <w:rPr>
                <w:sz w:val="20"/>
                <w:szCs w:val="20"/>
                <w:color w:val="auto"/>
              </w:rPr>
            </w:pPr>
            <w:r>
              <w:rPr>
                <w:rFonts w:ascii="Arial" w:cs="Arial" w:eastAsia="Arial" w:hAnsi="Arial"/>
                <w:sz w:val="14"/>
                <w:szCs w:val="14"/>
                <w:b w:val="1"/>
                <w:bCs w:val="1"/>
                <w:color w:val="012E6C"/>
              </w:rPr>
              <w:t>Marillyn A. Hewson</w:t>
            </w:r>
          </w:p>
        </w:tc>
        <w:tc>
          <w:tcPr>
            <w:tcW w:w="1740" w:type="dxa"/>
            <w:vAlign w:val="bottom"/>
            <w:tcBorders>
              <w:bottom w:val="single" w:sz="8" w:color="959595"/>
            </w:tcBorders>
          </w:tcPr>
          <w:p>
            <w:pPr>
              <w:ind w:left="20"/>
              <w:spacing w:after="0"/>
              <w:rPr>
                <w:sz w:val="20"/>
                <w:szCs w:val="20"/>
                <w:color w:val="auto"/>
              </w:rPr>
            </w:pPr>
            <w:r>
              <w:rPr>
                <w:rFonts w:ascii="Arial" w:cs="Arial" w:eastAsia="Arial" w:hAnsi="Arial"/>
                <w:sz w:val="14"/>
                <w:szCs w:val="14"/>
                <w:color w:val="auto"/>
              </w:rPr>
              <w:t>Supplemental Pension</w:t>
            </w:r>
          </w:p>
        </w:tc>
        <w:tc>
          <w:tcPr>
            <w:tcW w:w="1220" w:type="dxa"/>
            <w:vAlign w:val="bottom"/>
            <w:tcBorders>
              <w:bottom w:val="single" w:sz="8" w:color="959595"/>
            </w:tcBorders>
          </w:tcPr>
          <w:p>
            <w:pPr>
              <w:jc w:val="right"/>
              <w:ind w:right="148"/>
              <w:spacing w:after="0"/>
              <w:rPr>
                <w:sz w:val="20"/>
                <w:szCs w:val="20"/>
                <w:color w:val="auto"/>
              </w:rPr>
            </w:pPr>
            <w:r>
              <w:rPr>
                <w:rFonts w:ascii="Arial" w:cs="Arial" w:eastAsia="Arial" w:hAnsi="Arial"/>
                <w:sz w:val="14"/>
                <w:szCs w:val="14"/>
                <w:color w:val="auto"/>
              </w:rPr>
              <w:t>47,076,384</w:t>
            </w:r>
          </w:p>
        </w:tc>
        <w:tc>
          <w:tcPr>
            <w:tcW w:w="114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47,076,384</w:t>
            </w:r>
          </w:p>
        </w:tc>
        <w:tc>
          <w:tcPr>
            <w:tcW w:w="114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color w:val="auto"/>
              </w:rPr>
              <w:t>47,076,384</w:t>
            </w:r>
          </w:p>
        </w:tc>
        <w:tc>
          <w:tcPr>
            <w:tcW w:w="1140" w:type="dxa"/>
            <w:vAlign w:val="bottom"/>
            <w:tcBorders>
              <w:bottom w:val="single" w:sz="8" w:color="959595"/>
            </w:tcBorders>
          </w:tcPr>
          <w:p>
            <w:pPr>
              <w:jc w:val="right"/>
              <w:ind w:right="148"/>
              <w:spacing w:after="0"/>
              <w:rPr>
                <w:sz w:val="20"/>
                <w:szCs w:val="20"/>
                <w:color w:val="auto"/>
              </w:rPr>
            </w:pPr>
            <w:r>
              <w:rPr>
                <w:rFonts w:ascii="Arial" w:cs="Arial" w:eastAsia="Arial" w:hAnsi="Arial"/>
                <w:sz w:val="14"/>
                <w:szCs w:val="14"/>
                <w:color w:val="auto"/>
              </w:rPr>
              <w:t>47,076,384</w:t>
            </w:r>
          </w:p>
        </w:tc>
        <w:tc>
          <w:tcPr>
            <w:tcW w:w="1120" w:type="dxa"/>
            <w:vAlign w:val="bottom"/>
            <w:tcBorders>
              <w:bottom w:val="single" w:sz="8" w:color="959595"/>
            </w:tcBorders>
          </w:tcPr>
          <w:p>
            <w:pPr>
              <w:jc w:val="right"/>
              <w:ind w:right="128"/>
              <w:spacing w:after="0"/>
              <w:rPr>
                <w:sz w:val="20"/>
                <w:szCs w:val="20"/>
                <w:color w:val="auto"/>
              </w:rPr>
            </w:pPr>
            <w:r>
              <w:rPr>
                <w:rFonts w:ascii="Arial" w:cs="Arial" w:eastAsia="Arial" w:hAnsi="Arial"/>
                <w:sz w:val="14"/>
                <w:szCs w:val="14"/>
                <w:color w:val="auto"/>
              </w:rPr>
              <w:t>47,076,384</w:t>
            </w:r>
          </w:p>
        </w:tc>
        <w:tc>
          <w:tcPr>
            <w:tcW w:w="104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47,076,384</w:t>
            </w:r>
          </w:p>
        </w:tc>
        <w:tc>
          <w:tcPr>
            <w:tcW w:w="0" w:type="dxa"/>
            <w:vAlign w:val="bottom"/>
          </w:tcPr>
          <w:p>
            <w:pPr>
              <w:spacing w:after="0"/>
              <w:rPr>
                <w:sz w:val="1"/>
                <w:szCs w:val="1"/>
                <w:color w:val="auto"/>
              </w:rPr>
            </w:pPr>
          </w:p>
        </w:tc>
      </w:tr>
      <w:tr>
        <w:trPr>
          <w:trHeight w:val="247"/>
        </w:trPr>
        <w:tc>
          <w:tcPr>
            <w:tcW w:w="2880" w:type="dxa"/>
            <w:vAlign w:val="bottom"/>
          </w:tcPr>
          <w:p>
            <w:pPr>
              <w:spacing w:after="0"/>
              <w:rPr>
                <w:sz w:val="21"/>
                <w:szCs w:val="21"/>
                <w:color w:val="auto"/>
              </w:rPr>
            </w:pPr>
          </w:p>
        </w:tc>
        <w:tc>
          <w:tcPr>
            <w:tcW w:w="1740" w:type="dxa"/>
            <w:vAlign w:val="bottom"/>
            <w:tcBorders>
              <w:bottom w:val="single" w:sz="8" w:color="959595"/>
            </w:tcBorders>
          </w:tcPr>
          <w:p>
            <w:pPr>
              <w:ind w:left="20"/>
              <w:spacing w:after="0"/>
              <w:rPr>
                <w:sz w:val="20"/>
                <w:szCs w:val="20"/>
                <w:color w:val="auto"/>
              </w:rPr>
            </w:pPr>
            <w:r>
              <w:rPr>
                <w:rFonts w:ascii="Arial" w:cs="Arial" w:eastAsia="Arial" w:hAnsi="Arial"/>
                <w:sz w:val="14"/>
                <w:szCs w:val="14"/>
                <w:color w:val="auto"/>
              </w:rPr>
              <w:t>LTIP</w:t>
            </w:r>
          </w:p>
        </w:tc>
        <w:tc>
          <w:tcPr>
            <w:tcW w:w="1220" w:type="dxa"/>
            <w:vAlign w:val="bottom"/>
            <w:tcBorders>
              <w:bottom w:val="single" w:sz="8" w:color="959595"/>
            </w:tcBorders>
          </w:tcPr>
          <w:p>
            <w:pPr>
              <w:jc w:val="right"/>
              <w:ind w:right="148"/>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4,823,000</w:t>
            </w:r>
          </w:p>
        </w:tc>
        <w:tc>
          <w:tcPr>
            <w:tcW w:w="114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959595"/>
            </w:tcBorders>
          </w:tcPr>
          <w:p>
            <w:pPr>
              <w:jc w:val="right"/>
              <w:ind w:right="148"/>
              <w:spacing w:after="0"/>
              <w:rPr>
                <w:sz w:val="20"/>
                <w:szCs w:val="20"/>
                <w:color w:val="auto"/>
              </w:rPr>
            </w:pPr>
            <w:r>
              <w:rPr>
                <w:rFonts w:ascii="Arial" w:cs="Arial" w:eastAsia="Arial" w:hAnsi="Arial"/>
                <w:sz w:val="14"/>
                <w:szCs w:val="14"/>
                <w:color w:val="auto"/>
              </w:rPr>
              <w:t>0</w:t>
            </w:r>
          </w:p>
        </w:tc>
        <w:tc>
          <w:tcPr>
            <w:tcW w:w="1120" w:type="dxa"/>
            <w:vAlign w:val="bottom"/>
            <w:tcBorders>
              <w:bottom w:val="single" w:sz="8" w:color="959595"/>
            </w:tcBorders>
          </w:tcPr>
          <w:p>
            <w:pPr>
              <w:jc w:val="right"/>
              <w:ind w:right="128"/>
              <w:spacing w:after="0"/>
              <w:rPr>
                <w:sz w:val="20"/>
                <w:szCs w:val="20"/>
                <w:color w:val="auto"/>
              </w:rPr>
            </w:pPr>
            <w:r>
              <w:rPr>
                <w:rFonts w:ascii="Arial" w:cs="Arial" w:eastAsia="Arial" w:hAnsi="Arial"/>
                <w:sz w:val="14"/>
                <w:szCs w:val="14"/>
                <w:color w:val="auto"/>
              </w:rPr>
              <w:t>0</w:t>
            </w:r>
          </w:p>
        </w:tc>
        <w:tc>
          <w:tcPr>
            <w:tcW w:w="104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50"/>
        </w:trPr>
        <w:tc>
          <w:tcPr>
            <w:tcW w:w="2880" w:type="dxa"/>
            <w:vAlign w:val="bottom"/>
          </w:tcPr>
          <w:p>
            <w:pPr>
              <w:spacing w:after="0"/>
              <w:rPr>
                <w:sz w:val="21"/>
                <w:szCs w:val="21"/>
                <w:color w:val="auto"/>
              </w:rPr>
            </w:pPr>
          </w:p>
        </w:tc>
        <w:tc>
          <w:tcPr>
            <w:tcW w:w="1740" w:type="dxa"/>
            <w:vAlign w:val="bottom"/>
            <w:tcBorders>
              <w:bottom w:val="single" w:sz="8" w:color="959595"/>
            </w:tcBorders>
          </w:tcPr>
          <w:p>
            <w:pPr>
              <w:ind w:left="20"/>
              <w:spacing w:after="0"/>
              <w:rPr>
                <w:sz w:val="20"/>
                <w:szCs w:val="20"/>
                <w:color w:val="auto"/>
              </w:rPr>
            </w:pPr>
            <w:r>
              <w:rPr>
                <w:rFonts w:ascii="Arial" w:cs="Arial" w:eastAsia="Arial" w:hAnsi="Arial"/>
                <w:sz w:val="14"/>
                <w:szCs w:val="14"/>
                <w:color w:val="auto"/>
              </w:rPr>
              <w:t>RSUs</w:t>
            </w:r>
          </w:p>
        </w:tc>
        <w:tc>
          <w:tcPr>
            <w:tcW w:w="1220" w:type="dxa"/>
            <w:vAlign w:val="bottom"/>
            <w:tcBorders>
              <w:bottom w:val="single" w:sz="8" w:color="959595"/>
            </w:tcBorders>
          </w:tcPr>
          <w:p>
            <w:pPr>
              <w:jc w:val="right"/>
              <w:ind w:right="148"/>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10,947,548</w:t>
            </w:r>
          </w:p>
        </w:tc>
        <w:tc>
          <w:tcPr>
            <w:tcW w:w="114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color w:val="auto"/>
              </w:rPr>
              <w:t>10,947,548</w:t>
            </w:r>
          </w:p>
        </w:tc>
        <w:tc>
          <w:tcPr>
            <w:tcW w:w="1140" w:type="dxa"/>
            <w:vAlign w:val="bottom"/>
            <w:tcBorders>
              <w:bottom w:val="single" w:sz="8" w:color="959595"/>
            </w:tcBorders>
          </w:tcPr>
          <w:p>
            <w:pPr>
              <w:jc w:val="right"/>
              <w:ind w:right="148"/>
              <w:spacing w:after="0"/>
              <w:rPr>
                <w:sz w:val="20"/>
                <w:szCs w:val="20"/>
                <w:color w:val="auto"/>
              </w:rPr>
            </w:pPr>
            <w:r>
              <w:rPr>
                <w:rFonts w:ascii="Arial" w:cs="Arial" w:eastAsia="Arial" w:hAnsi="Arial"/>
                <w:sz w:val="14"/>
                <w:szCs w:val="14"/>
                <w:color w:val="auto"/>
              </w:rPr>
              <w:t>0</w:t>
            </w:r>
          </w:p>
        </w:tc>
        <w:tc>
          <w:tcPr>
            <w:tcW w:w="1120" w:type="dxa"/>
            <w:vAlign w:val="bottom"/>
            <w:tcBorders>
              <w:bottom w:val="single" w:sz="8" w:color="959595"/>
            </w:tcBorders>
          </w:tcPr>
          <w:p>
            <w:pPr>
              <w:jc w:val="right"/>
              <w:ind w:right="128"/>
              <w:spacing w:after="0"/>
              <w:rPr>
                <w:sz w:val="20"/>
                <w:szCs w:val="20"/>
                <w:color w:val="auto"/>
              </w:rPr>
            </w:pPr>
            <w:r>
              <w:rPr>
                <w:rFonts w:ascii="Arial" w:cs="Arial" w:eastAsia="Arial" w:hAnsi="Arial"/>
                <w:sz w:val="14"/>
                <w:szCs w:val="14"/>
                <w:color w:val="auto"/>
              </w:rPr>
              <w:t>0</w:t>
            </w:r>
          </w:p>
        </w:tc>
        <w:tc>
          <w:tcPr>
            <w:tcW w:w="104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50"/>
        </w:trPr>
        <w:tc>
          <w:tcPr>
            <w:tcW w:w="2880" w:type="dxa"/>
            <w:vAlign w:val="bottom"/>
          </w:tcPr>
          <w:p>
            <w:pPr>
              <w:spacing w:after="0"/>
              <w:rPr>
                <w:sz w:val="21"/>
                <w:szCs w:val="21"/>
                <w:color w:val="auto"/>
              </w:rPr>
            </w:pPr>
          </w:p>
        </w:tc>
        <w:tc>
          <w:tcPr>
            <w:tcW w:w="1740" w:type="dxa"/>
            <w:vAlign w:val="bottom"/>
            <w:tcBorders>
              <w:bottom w:val="single" w:sz="8" w:color="959595"/>
            </w:tcBorders>
          </w:tcPr>
          <w:p>
            <w:pPr>
              <w:ind w:left="20"/>
              <w:spacing w:after="0"/>
              <w:rPr>
                <w:sz w:val="20"/>
                <w:szCs w:val="20"/>
                <w:color w:val="auto"/>
              </w:rPr>
            </w:pPr>
            <w:r>
              <w:rPr>
                <w:rFonts w:ascii="Arial" w:cs="Arial" w:eastAsia="Arial" w:hAnsi="Arial"/>
                <w:sz w:val="14"/>
                <w:szCs w:val="14"/>
                <w:color w:val="auto"/>
              </w:rPr>
              <w:t>PSUs</w:t>
            </w:r>
          </w:p>
        </w:tc>
        <w:tc>
          <w:tcPr>
            <w:tcW w:w="1220" w:type="dxa"/>
            <w:vAlign w:val="bottom"/>
            <w:tcBorders>
              <w:bottom w:val="single" w:sz="8" w:color="959595"/>
            </w:tcBorders>
          </w:tcPr>
          <w:p>
            <w:pPr>
              <w:jc w:val="right"/>
              <w:ind w:right="148"/>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18,457,603</w:t>
            </w:r>
          </w:p>
        </w:tc>
        <w:tc>
          <w:tcPr>
            <w:tcW w:w="114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959595"/>
            </w:tcBorders>
          </w:tcPr>
          <w:p>
            <w:pPr>
              <w:jc w:val="right"/>
              <w:ind w:right="148"/>
              <w:spacing w:after="0"/>
              <w:rPr>
                <w:sz w:val="20"/>
                <w:szCs w:val="20"/>
                <w:color w:val="auto"/>
              </w:rPr>
            </w:pPr>
            <w:r>
              <w:rPr>
                <w:rFonts w:ascii="Arial" w:cs="Arial" w:eastAsia="Arial" w:hAnsi="Arial"/>
                <w:sz w:val="14"/>
                <w:szCs w:val="14"/>
                <w:color w:val="auto"/>
              </w:rPr>
              <w:t>0</w:t>
            </w:r>
          </w:p>
        </w:tc>
        <w:tc>
          <w:tcPr>
            <w:tcW w:w="1120" w:type="dxa"/>
            <w:vAlign w:val="bottom"/>
            <w:tcBorders>
              <w:bottom w:val="single" w:sz="8" w:color="959595"/>
            </w:tcBorders>
          </w:tcPr>
          <w:p>
            <w:pPr>
              <w:jc w:val="right"/>
              <w:ind w:right="128"/>
              <w:spacing w:after="0"/>
              <w:rPr>
                <w:sz w:val="20"/>
                <w:szCs w:val="20"/>
                <w:color w:val="auto"/>
              </w:rPr>
            </w:pPr>
            <w:r>
              <w:rPr>
                <w:rFonts w:ascii="Arial" w:cs="Arial" w:eastAsia="Arial" w:hAnsi="Arial"/>
                <w:sz w:val="14"/>
                <w:szCs w:val="14"/>
                <w:color w:val="auto"/>
              </w:rPr>
              <w:t>0</w:t>
            </w:r>
          </w:p>
        </w:tc>
        <w:tc>
          <w:tcPr>
            <w:tcW w:w="104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50"/>
        </w:trPr>
        <w:tc>
          <w:tcPr>
            <w:tcW w:w="2880" w:type="dxa"/>
            <w:vAlign w:val="bottom"/>
          </w:tcPr>
          <w:p>
            <w:pPr>
              <w:spacing w:after="0"/>
              <w:rPr>
                <w:sz w:val="21"/>
                <w:szCs w:val="21"/>
                <w:color w:val="auto"/>
              </w:rPr>
            </w:pPr>
          </w:p>
        </w:tc>
        <w:tc>
          <w:tcPr>
            <w:tcW w:w="1740" w:type="dxa"/>
            <w:vAlign w:val="bottom"/>
            <w:tcBorders>
              <w:bottom w:val="single" w:sz="8" w:color="959595"/>
            </w:tcBorders>
          </w:tcPr>
          <w:p>
            <w:pPr>
              <w:ind w:left="20"/>
              <w:spacing w:after="0"/>
              <w:rPr>
                <w:sz w:val="20"/>
                <w:szCs w:val="20"/>
                <w:color w:val="auto"/>
              </w:rPr>
            </w:pPr>
            <w:r>
              <w:rPr>
                <w:rFonts w:ascii="Arial" w:cs="Arial" w:eastAsia="Arial" w:hAnsi="Arial"/>
                <w:sz w:val="14"/>
                <w:szCs w:val="14"/>
                <w:color w:val="auto"/>
              </w:rPr>
              <w:t>Executive Severance</w:t>
            </w:r>
          </w:p>
        </w:tc>
        <w:tc>
          <w:tcPr>
            <w:tcW w:w="1220" w:type="dxa"/>
            <w:vAlign w:val="bottom"/>
            <w:tcBorders>
              <w:bottom w:val="single" w:sz="8" w:color="959595"/>
            </w:tcBorders>
          </w:tcPr>
          <w:p>
            <w:pPr>
              <w:jc w:val="right"/>
              <w:ind w:right="148"/>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959595"/>
            </w:tcBorders>
          </w:tcPr>
          <w:p>
            <w:pPr>
              <w:jc w:val="right"/>
              <w:ind w:right="148"/>
              <w:spacing w:after="0"/>
              <w:rPr>
                <w:sz w:val="20"/>
                <w:szCs w:val="20"/>
                <w:color w:val="auto"/>
              </w:rPr>
            </w:pPr>
            <w:r>
              <w:rPr>
                <w:rFonts w:ascii="Arial" w:cs="Arial" w:eastAsia="Arial" w:hAnsi="Arial"/>
                <w:sz w:val="14"/>
                <w:szCs w:val="14"/>
                <w:color w:val="auto"/>
              </w:rPr>
              <w:t>16,109,015</w:t>
            </w:r>
          </w:p>
        </w:tc>
        <w:tc>
          <w:tcPr>
            <w:tcW w:w="1120" w:type="dxa"/>
            <w:vAlign w:val="bottom"/>
            <w:tcBorders>
              <w:bottom w:val="single" w:sz="8" w:color="959595"/>
            </w:tcBorders>
          </w:tcPr>
          <w:p>
            <w:pPr>
              <w:jc w:val="right"/>
              <w:ind w:right="128"/>
              <w:spacing w:after="0"/>
              <w:rPr>
                <w:sz w:val="20"/>
                <w:szCs w:val="20"/>
                <w:color w:val="auto"/>
              </w:rPr>
            </w:pPr>
            <w:r>
              <w:rPr>
                <w:rFonts w:ascii="Arial" w:cs="Arial" w:eastAsia="Arial" w:hAnsi="Arial"/>
                <w:sz w:val="14"/>
                <w:szCs w:val="14"/>
                <w:color w:val="auto"/>
              </w:rPr>
              <w:t>0</w:t>
            </w:r>
          </w:p>
        </w:tc>
        <w:tc>
          <w:tcPr>
            <w:tcW w:w="104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53"/>
        </w:trPr>
        <w:tc>
          <w:tcPr>
            <w:tcW w:w="2880" w:type="dxa"/>
            <w:vAlign w:val="bottom"/>
            <w:tcBorders>
              <w:bottom w:val="single" w:sz="8" w:color="959595"/>
            </w:tcBorders>
          </w:tcPr>
          <w:p>
            <w:pPr>
              <w:spacing w:after="0"/>
              <w:rPr>
                <w:sz w:val="22"/>
                <w:szCs w:val="22"/>
                <w:color w:val="auto"/>
              </w:rPr>
            </w:pPr>
          </w:p>
        </w:tc>
        <w:tc>
          <w:tcPr>
            <w:tcW w:w="1740" w:type="dxa"/>
            <w:vAlign w:val="bottom"/>
            <w:tcBorders>
              <w:bottom w:val="single" w:sz="8" w:color="959595"/>
            </w:tcBorders>
          </w:tcPr>
          <w:p>
            <w:pPr>
              <w:ind w:left="20"/>
              <w:spacing w:after="0"/>
              <w:rPr>
                <w:sz w:val="20"/>
                <w:szCs w:val="20"/>
                <w:color w:val="auto"/>
              </w:rPr>
            </w:pPr>
            <w:r>
              <w:rPr>
                <w:rFonts w:ascii="Arial" w:cs="Arial" w:eastAsia="Arial" w:hAnsi="Arial"/>
                <w:sz w:val="14"/>
                <w:szCs w:val="14"/>
                <w:b w:val="1"/>
                <w:bCs w:val="1"/>
                <w:color w:val="auto"/>
              </w:rPr>
              <w:t>TOTAL</w:t>
            </w:r>
          </w:p>
        </w:tc>
        <w:tc>
          <w:tcPr>
            <w:tcW w:w="1220" w:type="dxa"/>
            <w:vAlign w:val="bottom"/>
            <w:tcBorders>
              <w:bottom w:val="single" w:sz="8" w:color="959595"/>
            </w:tcBorders>
          </w:tcPr>
          <w:p>
            <w:pPr>
              <w:jc w:val="right"/>
              <w:ind w:right="148"/>
              <w:spacing w:after="0"/>
              <w:rPr>
                <w:sz w:val="20"/>
                <w:szCs w:val="20"/>
                <w:color w:val="auto"/>
              </w:rPr>
            </w:pPr>
            <w:r>
              <w:rPr>
                <w:rFonts w:ascii="Arial" w:cs="Arial" w:eastAsia="Arial" w:hAnsi="Arial"/>
                <w:sz w:val="14"/>
                <w:szCs w:val="14"/>
                <w:b w:val="1"/>
                <w:bCs w:val="1"/>
                <w:color w:val="auto"/>
              </w:rPr>
              <w:t>47,076,384</w:t>
            </w:r>
          </w:p>
        </w:tc>
        <w:tc>
          <w:tcPr>
            <w:tcW w:w="114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b w:val="1"/>
                <w:bCs w:val="1"/>
                <w:color w:val="auto"/>
              </w:rPr>
              <w:t>81,304,535</w:t>
            </w:r>
          </w:p>
        </w:tc>
        <w:tc>
          <w:tcPr>
            <w:tcW w:w="114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b w:val="1"/>
                <w:bCs w:val="1"/>
                <w:color w:val="auto"/>
              </w:rPr>
              <w:t>58,023,932</w:t>
            </w:r>
          </w:p>
        </w:tc>
        <w:tc>
          <w:tcPr>
            <w:tcW w:w="1140" w:type="dxa"/>
            <w:vAlign w:val="bottom"/>
            <w:tcBorders>
              <w:bottom w:val="single" w:sz="8" w:color="959595"/>
            </w:tcBorders>
          </w:tcPr>
          <w:p>
            <w:pPr>
              <w:jc w:val="right"/>
              <w:ind w:right="148"/>
              <w:spacing w:after="0"/>
              <w:rPr>
                <w:sz w:val="20"/>
                <w:szCs w:val="20"/>
                <w:color w:val="auto"/>
              </w:rPr>
            </w:pPr>
            <w:r>
              <w:rPr>
                <w:rFonts w:ascii="Arial" w:cs="Arial" w:eastAsia="Arial" w:hAnsi="Arial"/>
                <w:sz w:val="14"/>
                <w:szCs w:val="14"/>
                <w:b w:val="1"/>
                <w:bCs w:val="1"/>
                <w:color w:val="auto"/>
              </w:rPr>
              <w:t>63,185,399</w:t>
            </w:r>
          </w:p>
        </w:tc>
        <w:tc>
          <w:tcPr>
            <w:tcW w:w="1120" w:type="dxa"/>
            <w:vAlign w:val="bottom"/>
            <w:tcBorders>
              <w:bottom w:val="single" w:sz="8" w:color="959595"/>
            </w:tcBorders>
          </w:tcPr>
          <w:p>
            <w:pPr>
              <w:jc w:val="right"/>
              <w:ind w:right="128"/>
              <w:spacing w:after="0"/>
              <w:rPr>
                <w:sz w:val="20"/>
                <w:szCs w:val="20"/>
                <w:color w:val="auto"/>
              </w:rPr>
            </w:pPr>
            <w:r>
              <w:rPr>
                <w:rFonts w:ascii="Arial" w:cs="Arial" w:eastAsia="Arial" w:hAnsi="Arial"/>
                <w:sz w:val="14"/>
                <w:szCs w:val="14"/>
                <w:b w:val="1"/>
                <w:bCs w:val="1"/>
                <w:color w:val="auto"/>
              </w:rPr>
              <w:t>47,076,384</w:t>
            </w:r>
          </w:p>
        </w:tc>
        <w:tc>
          <w:tcPr>
            <w:tcW w:w="104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b w:val="1"/>
                <w:bCs w:val="1"/>
                <w:color w:val="auto"/>
              </w:rPr>
              <w:t>47,076,384</w:t>
            </w:r>
          </w:p>
        </w:tc>
        <w:tc>
          <w:tcPr>
            <w:tcW w:w="0" w:type="dxa"/>
            <w:vAlign w:val="bottom"/>
          </w:tcPr>
          <w:p>
            <w:pPr>
              <w:spacing w:after="0"/>
              <w:rPr>
                <w:sz w:val="1"/>
                <w:szCs w:val="1"/>
                <w:color w:val="auto"/>
              </w:rPr>
            </w:pPr>
          </w:p>
        </w:tc>
      </w:tr>
      <w:tr>
        <w:trPr>
          <w:trHeight w:val="210"/>
        </w:trPr>
        <w:tc>
          <w:tcPr>
            <w:tcW w:w="2880" w:type="dxa"/>
            <w:vAlign w:val="bottom"/>
          </w:tcPr>
          <w:p>
            <w:pPr>
              <w:ind w:left="40"/>
              <w:spacing w:after="0"/>
              <w:rPr>
                <w:sz w:val="20"/>
                <w:szCs w:val="20"/>
                <w:color w:val="auto"/>
              </w:rPr>
            </w:pPr>
            <w:r>
              <w:rPr>
                <w:rFonts w:ascii="Arial" w:cs="Arial" w:eastAsia="Arial" w:hAnsi="Arial"/>
                <w:sz w:val="14"/>
                <w:szCs w:val="14"/>
                <w:b w:val="1"/>
                <w:bCs w:val="1"/>
                <w:color w:val="012E6C"/>
              </w:rPr>
              <w:t>Bruce L. Tanner</w:t>
            </w:r>
          </w:p>
        </w:tc>
        <w:tc>
          <w:tcPr>
            <w:tcW w:w="1740" w:type="dxa"/>
            <w:vAlign w:val="bottom"/>
            <w:tcBorders>
              <w:bottom w:val="single" w:sz="8" w:color="959595"/>
            </w:tcBorders>
          </w:tcPr>
          <w:p>
            <w:pPr>
              <w:ind w:left="20"/>
              <w:spacing w:after="0"/>
              <w:rPr>
                <w:sz w:val="20"/>
                <w:szCs w:val="20"/>
                <w:color w:val="auto"/>
              </w:rPr>
            </w:pPr>
            <w:r>
              <w:rPr>
                <w:rFonts w:ascii="Arial" w:cs="Arial" w:eastAsia="Arial" w:hAnsi="Arial"/>
                <w:sz w:val="14"/>
                <w:szCs w:val="14"/>
                <w:color w:val="auto"/>
              </w:rPr>
              <w:t>Supplemental Pension</w:t>
            </w:r>
          </w:p>
        </w:tc>
        <w:tc>
          <w:tcPr>
            <w:tcW w:w="1220" w:type="dxa"/>
            <w:vAlign w:val="bottom"/>
            <w:tcBorders>
              <w:bottom w:val="single" w:sz="8" w:color="959595"/>
            </w:tcBorders>
          </w:tcPr>
          <w:p>
            <w:pPr>
              <w:jc w:val="right"/>
              <w:ind w:right="148"/>
              <w:spacing w:after="0"/>
              <w:rPr>
                <w:sz w:val="20"/>
                <w:szCs w:val="20"/>
                <w:color w:val="auto"/>
              </w:rPr>
            </w:pPr>
            <w:r>
              <w:rPr>
                <w:rFonts w:ascii="Arial" w:cs="Arial" w:eastAsia="Arial" w:hAnsi="Arial"/>
                <w:sz w:val="14"/>
                <w:szCs w:val="14"/>
                <w:color w:val="auto"/>
              </w:rPr>
              <w:t>18,625,633</w:t>
            </w:r>
          </w:p>
        </w:tc>
        <w:tc>
          <w:tcPr>
            <w:tcW w:w="114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18,625,633</w:t>
            </w:r>
          </w:p>
        </w:tc>
        <w:tc>
          <w:tcPr>
            <w:tcW w:w="114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color w:val="auto"/>
              </w:rPr>
              <w:t>18,625,633</w:t>
            </w:r>
          </w:p>
        </w:tc>
        <w:tc>
          <w:tcPr>
            <w:tcW w:w="1140" w:type="dxa"/>
            <w:vAlign w:val="bottom"/>
            <w:tcBorders>
              <w:bottom w:val="single" w:sz="8" w:color="959595"/>
            </w:tcBorders>
          </w:tcPr>
          <w:p>
            <w:pPr>
              <w:jc w:val="right"/>
              <w:ind w:right="148"/>
              <w:spacing w:after="0"/>
              <w:rPr>
                <w:sz w:val="20"/>
                <w:szCs w:val="20"/>
                <w:color w:val="auto"/>
              </w:rPr>
            </w:pPr>
            <w:r>
              <w:rPr>
                <w:rFonts w:ascii="Arial" w:cs="Arial" w:eastAsia="Arial" w:hAnsi="Arial"/>
                <w:sz w:val="14"/>
                <w:szCs w:val="14"/>
                <w:color w:val="auto"/>
              </w:rPr>
              <w:t>18,625,633</w:t>
            </w:r>
          </w:p>
        </w:tc>
        <w:tc>
          <w:tcPr>
            <w:tcW w:w="1120" w:type="dxa"/>
            <w:vAlign w:val="bottom"/>
            <w:tcBorders>
              <w:bottom w:val="single" w:sz="8" w:color="959595"/>
            </w:tcBorders>
          </w:tcPr>
          <w:p>
            <w:pPr>
              <w:jc w:val="right"/>
              <w:ind w:right="128"/>
              <w:spacing w:after="0"/>
              <w:rPr>
                <w:sz w:val="20"/>
                <w:szCs w:val="20"/>
                <w:color w:val="auto"/>
              </w:rPr>
            </w:pPr>
            <w:r>
              <w:rPr>
                <w:rFonts w:ascii="Arial" w:cs="Arial" w:eastAsia="Arial" w:hAnsi="Arial"/>
                <w:sz w:val="14"/>
                <w:szCs w:val="14"/>
                <w:color w:val="auto"/>
              </w:rPr>
              <w:t>18,625,633</w:t>
            </w:r>
          </w:p>
        </w:tc>
        <w:tc>
          <w:tcPr>
            <w:tcW w:w="104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18,625,633</w:t>
            </w:r>
          </w:p>
        </w:tc>
        <w:tc>
          <w:tcPr>
            <w:tcW w:w="0" w:type="dxa"/>
            <w:vAlign w:val="bottom"/>
          </w:tcPr>
          <w:p>
            <w:pPr>
              <w:spacing w:after="0"/>
              <w:rPr>
                <w:sz w:val="1"/>
                <w:szCs w:val="1"/>
                <w:color w:val="auto"/>
              </w:rPr>
            </w:pPr>
          </w:p>
        </w:tc>
      </w:tr>
      <w:tr>
        <w:trPr>
          <w:trHeight w:val="247"/>
        </w:trPr>
        <w:tc>
          <w:tcPr>
            <w:tcW w:w="2880" w:type="dxa"/>
            <w:vAlign w:val="bottom"/>
          </w:tcPr>
          <w:p>
            <w:pPr>
              <w:spacing w:after="0"/>
              <w:rPr>
                <w:sz w:val="21"/>
                <w:szCs w:val="21"/>
                <w:color w:val="auto"/>
              </w:rPr>
            </w:pPr>
          </w:p>
        </w:tc>
        <w:tc>
          <w:tcPr>
            <w:tcW w:w="1740" w:type="dxa"/>
            <w:vAlign w:val="bottom"/>
            <w:tcBorders>
              <w:bottom w:val="single" w:sz="8" w:color="959595"/>
            </w:tcBorders>
          </w:tcPr>
          <w:p>
            <w:pPr>
              <w:ind w:left="20"/>
              <w:spacing w:after="0"/>
              <w:rPr>
                <w:sz w:val="20"/>
                <w:szCs w:val="20"/>
                <w:color w:val="auto"/>
              </w:rPr>
            </w:pPr>
            <w:r>
              <w:rPr>
                <w:rFonts w:ascii="Arial" w:cs="Arial" w:eastAsia="Arial" w:hAnsi="Arial"/>
                <w:sz w:val="14"/>
                <w:szCs w:val="14"/>
                <w:color w:val="auto"/>
              </w:rPr>
              <w:t>LTIP</w:t>
            </w:r>
          </w:p>
        </w:tc>
        <w:tc>
          <w:tcPr>
            <w:tcW w:w="1220" w:type="dxa"/>
            <w:vAlign w:val="bottom"/>
            <w:tcBorders>
              <w:bottom w:val="single" w:sz="8" w:color="959595"/>
            </w:tcBorders>
          </w:tcPr>
          <w:p>
            <w:pPr>
              <w:jc w:val="right"/>
              <w:ind w:right="148"/>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1,740,000</w:t>
            </w:r>
          </w:p>
        </w:tc>
        <w:tc>
          <w:tcPr>
            <w:tcW w:w="114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959595"/>
            </w:tcBorders>
          </w:tcPr>
          <w:p>
            <w:pPr>
              <w:jc w:val="right"/>
              <w:ind w:right="148"/>
              <w:spacing w:after="0"/>
              <w:rPr>
                <w:sz w:val="20"/>
                <w:szCs w:val="20"/>
                <w:color w:val="auto"/>
              </w:rPr>
            </w:pPr>
            <w:r>
              <w:rPr>
                <w:rFonts w:ascii="Arial" w:cs="Arial" w:eastAsia="Arial" w:hAnsi="Arial"/>
                <w:sz w:val="14"/>
                <w:szCs w:val="14"/>
                <w:color w:val="auto"/>
              </w:rPr>
              <w:t>0</w:t>
            </w:r>
          </w:p>
        </w:tc>
        <w:tc>
          <w:tcPr>
            <w:tcW w:w="1120" w:type="dxa"/>
            <w:vAlign w:val="bottom"/>
            <w:tcBorders>
              <w:bottom w:val="single" w:sz="8" w:color="959595"/>
            </w:tcBorders>
          </w:tcPr>
          <w:p>
            <w:pPr>
              <w:jc w:val="right"/>
              <w:ind w:right="128"/>
              <w:spacing w:after="0"/>
              <w:rPr>
                <w:sz w:val="20"/>
                <w:szCs w:val="20"/>
                <w:color w:val="auto"/>
              </w:rPr>
            </w:pPr>
            <w:r>
              <w:rPr>
                <w:rFonts w:ascii="Arial" w:cs="Arial" w:eastAsia="Arial" w:hAnsi="Arial"/>
                <w:sz w:val="14"/>
                <w:szCs w:val="14"/>
                <w:color w:val="auto"/>
              </w:rPr>
              <w:t>0</w:t>
            </w:r>
          </w:p>
        </w:tc>
        <w:tc>
          <w:tcPr>
            <w:tcW w:w="104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50"/>
        </w:trPr>
        <w:tc>
          <w:tcPr>
            <w:tcW w:w="2880" w:type="dxa"/>
            <w:vAlign w:val="bottom"/>
          </w:tcPr>
          <w:p>
            <w:pPr>
              <w:spacing w:after="0"/>
              <w:rPr>
                <w:sz w:val="21"/>
                <w:szCs w:val="21"/>
                <w:color w:val="auto"/>
              </w:rPr>
            </w:pPr>
          </w:p>
        </w:tc>
        <w:tc>
          <w:tcPr>
            <w:tcW w:w="1740" w:type="dxa"/>
            <w:vAlign w:val="bottom"/>
            <w:tcBorders>
              <w:bottom w:val="single" w:sz="8" w:color="959595"/>
            </w:tcBorders>
          </w:tcPr>
          <w:p>
            <w:pPr>
              <w:ind w:left="20"/>
              <w:spacing w:after="0"/>
              <w:rPr>
                <w:sz w:val="20"/>
                <w:szCs w:val="20"/>
                <w:color w:val="auto"/>
              </w:rPr>
            </w:pPr>
            <w:r>
              <w:rPr>
                <w:rFonts w:ascii="Arial" w:cs="Arial" w:eastAsia="Arial" w:hAnsi="Arial"/>
                <w:sz w:val="14"/>
                <w:szCs w:val="14"/>
                <w:color w:val="auto"/>
              </w:rPr>
              <w:t>RSUs</w:t>
            </w:r>
          </w:p>
        </w:tc>
        <w:tc>
          <w:tcPr>
            <w:tcW w:w="1220" w:type="dxa"/>
            <w:vAlign w:val="bottom"/>
            <w:tcBorders>
              <w:bottom w:val="single" w:sz="8" w:color="959595"/>
            </w:tcBorders>
          </w:tcPr>
          <w:p>
            <w:pPr>
              <w:jc w:val="right"/>
              <w:ind w:right="148"/>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3,880,832</w:t>
            </w:r>
          </w:p>
        </w:tc>
        <w:tc>
          <w:tcPr>
            <w:tcW w:w="114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color w:val="auto"/>
              </w:rPr>
              <w:t>3,880,832</w:t>
            </w:r>
          </w:p>
        </w:tc>
        <w:tc>
          <w:tcPr>
            <w:tcW w:w="1140" w:type="dxa"/>
            <w:vAlign w:val="bottom"/>
            <w:tcBorders>
              <w:bottom w:val="single" w:sz="8" w:color="959595"/>
            </w:tcBorders>
          </w:tcPr>
          <w:p>
            <w:pPr>
              <w:jc w:val="right"/>
              <w:ind w:right="148"/>
              <w:spacing w:after="0"/>
              <w:rPr>
                <w:sz w:val="20"/>
                <w:szCs w:val="20"/>
                <w:color w:val="auto"/>
              </w:rPr>
            </w:pPr>
            <w:r>
              <w:rPr>
                <w:rFonts w:ascii="Arial" w:cs="Arial" w:eastAsia="Arial" w:hAnsi="Arial"/>
                <w:sz w:val="14"/>
                <w:szCs w:val="14"/>
                <w:color w:val="auto"/>
              </w:rPr>
              <w:t>0</w:t>
            </w:r>
          </w:p>
        </w:tc>
        <w:tc>
          <w:tcPr>
            <w:tcW w:w="1120" w:type="dxa"/>
            <w:vAlign w:val="bottom"/>
            <w:tcBorders>
              <w:bottom w:val="single" w:sz="8" w:color="959595"/>
            </w:tcBorders>
          </w:tcPr>
          <w:p>
            <w:pPr>
              <w:jc w:val="right"/>
              <w:ind w:right="128"/>
              <w:spacing w:after="0"/>
              <w:rPr>
                <w:sz w:val="20"/>
                <w:szCs w:val="20"/>
                <w:color w:val="auto"/>
              </w:rPr>
            </w:pPr>
            <w:r>
              <w:rPr>
                <w:rFonts w:ascii="Arial" w:cs="Arial" w:eastAsia="Arial" w:hAnsi="Arial"/>
                <w:sz w:val="14"/>
                <w:szCs w:val="14"/>
                <w:color w:val="auto"/>
              </w:rPr>
              <w:t>0</w:t>
            </w:r>
          </w:p>
        </w:tc>
        <w:tc>
          <w:tcPr>
            <w:tcW w:w="104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50"/>
        </w:trPr>
        <w:tc>
          <w:tcPr>
            <w:tcW w:w="2880" w:type="dxa"/>
            <w:vAlign w:val="bottom"/>
          </w:tcPr>
          <w:p>
            <w:pPr>
              <w:spacing w:after="0"/>
              <w:rPr>
                <w:sz w:val="21"/>
                <w:szCs w:val="21"/>
                <w:color w:val="auto"/>
              </w:rPr>
            </w:pPr>
          </w:p>
        </w:tc>
        <w:tc>
          <w:tcPr>
            <w:tcW w:w="1740" w:type="dxa"/>
            <w:vAlign w:val="bottom"/>
            <w:tcBorders>
              <w:bottom w:val="single" w:sz="8" w:color="959595"/>
            </w:tcBorders>
          </w:tcPr>
          <w:p>
            <w:pPr>
              <w:ind w:left="20"/>
              <w:spacing w:after="0"/>
              <w:rPr>
                <w:sz w:val="20"/>
                <w:szCs w:val="20"/>
                <w:color w:val="auto"/>
              </w:rPr>
            </w:pPr>
            <w:r>
              <w:rPr>
                <w:rFonts w:ascii="Arial" w:cs="Arial" w:eastAsia="Arial" w:hAnsi="Arial"/>
                <w:sz w:val="14"/>
                <w:szCs w:val="14"/>
                <w:color w:val="auto"/>
              </w:rPr>
              <w:t>PSUs</w:t>
            </w:r>
          </w:p>
        </w:tc>
        <w:tc>
          <w:tcPr>
            <w:tcW w:w="1220" w:type="dxa"/>
            <w:vAlign w:val="bottom"/>
            <w:tcBorders>
              <w:bottom w:val="single" w:sz="8" w:color="959595"/>
            </w:tcBorders>
          </w:tcPr>
          <w:p>
            <w:pPr>
              <w:jc w:val="right"/>
              <w:ind w:right="148"/>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6,544,229</w:t>
            </w:r>
          </w:p>
        </w:tc>
        <w:tc>
          <w:tcPr>
            <w:tcW w:w="114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959595"/>
            </w:tcBorders>
          </w:tcPr>
          <w:p>
            <w:pPr>
              <w:jc w:val="right"/>
              <w:ind w:right="148"/>
              <w:spacing w:after="0"/>
              <w:rPr>
                <w:sz w:val="20"/>
                <w:szCs w:val="20"/>
                <w:color w:val="auto"/>
              </w:rPr>
            </w:pPr>
            <w:r>
              <w:rPr>
                <w:rFonts w:ascii="Arial" w:cs="Arial" w:eastAsia="Arial" w:hAnsi="Arial"/>
                <w:sz w:val="14"/>
                <w:szCs w:val="14"/>
                <w:color w:val="auto"/>
              </w:rPr>
              <w:t>0</w:t>
            </w:r>
          </w:p>
        </w:tc>
        <w:tc>
          <w:tcPr>
            <w:tcW w:w="1120" w:type="dxa"/>
            <w:vAlign w:val="bottom"/>
            <w:tcBorders>
              <w:bottom w:val="single" w:sz="8" w:color="959595"/>
            </w:tcBorders>
          </w:tcPr>
          <w:p>
            <w:pPr>
              <w:jc w:val="right"/>
              <w:ind w:right="128"/>
              <w:spacing w:after="0"/>
              <w:rPr>
                <w:sz w:val="20"/>
                <w:szCs w:val="20"/>
                <w:color w:val="auto"/>
              </w:rPr>
            </w:pPr>
            <w:r>
              <w:rPr>
                <w:rFonts w:ascii="Arial" w:cs="Arial" w:eastAsia="Arial" w:hAnsi="Arial"/>
                <w:sz w:val="14"/>
                <w:szCs w:val="14"/>
                <w:color w:val="auto"/>
              </w:rPr>
              <w:t>0</w:t>
            </w:r>
          </w:p>
        </w:tc>
        <w:tc>
          <w:tcPr>
            <w:tcW w:w="104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50"/>
        </w:trPr>
        <w:tc>
          <w:tcPr>
            <w:tcW w:w="2880" w:type="dxa"/>
            <w:vAlign w:val="bottom"/>
          </w:tcPr>
          <w:p>
            <w:pPr>
              <w:spacing w:after="0"/>
              <w:rPr>
                <w:sz w:val="21"/>
                <w:szCs w:val="21"/>
                <w:color w:val="auto"/>
              </w:rPr>
            </w:pPr>
          </w:p>
        </w:tc>
        <w:tc>
          <w:tcPr>
            <w:tcW w:w="1740" w:type="dxa"/>
            <w:vAlign w:val="bottom"/>
            <w:tcBorders>
              <w:bottom w:val="single" w:sz="8" w:color="959595"/>
            </w:tcBorders>
          </w:tcPr>
          <w:p>
            <w:pPr>
              <w:ind w:left="20"/>
              <w:spacing w:after="0"/>
              <w:rPr>
                <w:sz w:val="20"/>
                <w:szCs w:val="20"/>
                <w:color w:val="auto"/>
              </w:rPr>
            </w:pPr>
            <w:r>
              <w:rPr>
                <w:rFonts w:ascii="Arial" w:cs="Arial" w:eastAsia="Arial" w:hAnsi="Arial"/>
                <w:sz w:val="14"/>
                <w:szCs w:val="14"/>
                <w:color w:val="auto"/>
              </w:rPr>
              <w:t>Executive Severance</w:t>
            </w:r>
          </w:p>
        </w:tc>
        <w:tc>
          <w:tcPr>
            <w:tcW w:w="1220" w:type="dxa"/>
            <w:vAlign w:val="bottom"/>
            <w:tcBorders>
              <w:bottom w:val="single" w:sz="8" w:color="959595"/>
            </w:tcBorders>
          </w:tcPr>
          <w:p>
            <w:pPr>
              <w:jc w:val="right"/>
              <w:ind w:right="148"/>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959595"/>
            </w:tcBorders>
          </w:tcPr>
          <w:p>
            <w:pPr>
              <w:jc w:val="right"/>
              <w:ind w:right="148"/>
              <w:spacing w:after="0"/>
              <w:rPr>
                <w:sz w:val="20"/>
                <w:szCs w:val="20"/>
                <w:color w:val="auto"/>
              </w:rPr>
            </w:pPr>
            <w:r>
              <w:rPr>
                <w:rFonts w:ascii="Arial" w:cs="Arial" w:eastAsia="Arial" w:hAnsi="Arial"/>
                <w:sz w:val="14"/>
                <w:szCs w:val="14"/>
                <w:color w:val="auto"/>
              </w:rPr>
              <w:t>3,260,252</w:t>
            </w:r>
          </w:p>
        </w:tc>
        <w:tc>
          <w:tcPr>
            <w:tcW w:w="1120" w:type="dxa"/>
            <w:vAlign w:val="bottom"/>
            <w:tcBorders>
              <w:bottom w:val="single" w:sz="8" w:color="959595"/>
            </w:tcBorders>
          </w:tcPr>
          <w:p>
            <w:pPr>
              <w:jc w:val="right"/>
              <w:ind w:right="128"/>
              <w:spacing w:after="0"/>
              <w:rPr>
                <w:sz w:val="20"/>
                <w:szCs w:val="20"/>
                <w:color w:val="auto"/>
              </w:rPr>
            </w:pPr>
            <w:r>
              <w:rPr>
                <w:rFonts w:ascii="Arial" w:cs="Arial" w:eastAsia="Arial" w:hAnsi="Arial"/>
                <w:sz w:val="14"/>
                <w:szCs w:val="14"/>
                <w:color w:val="auto"/>
              </w:rPr>
              <w:t>0</w:t>
            </w:r>
          </w:p>
        </w:tc>
        <w:tc>
          <w:tcPr>
            <w:tcW w:w="104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53"/>
        </w:trPr>
        <w:tc>
          <w:tcPr>
            <w:tcW w:w="2880" w:type="dxa"/>
            <w:vAlign w:val="bottom"/>
            <w:tcBorders>
              <w:bottom w:val="single" w:sz="8" w:color="959595"/>
            </w:tcBorders>
          </w:tcPr>
          <w:p>
            <w:pPr>
              <w:spacing w:after="0"/>
              <w:rPr>
                <w:sz w:val="22"/>
                <w:szCs w:val="22"/>
                <w:color w:val="auto"/>
              </w:rPr>
            </w:pPr>
          </w:p>
        </w:tc>
        <w:tc>
          <w:tcPr>
            <w:tcW w:w="1740" w:type="dxa"/>
            <w:vAlign w:val="bottom"/>
            <w:tcBorders>
              <w:bottom w:val="single" w:sz="8" w:color="959595"/>
            </w:tcBorders>
          </w:tcPr>
          <w:p>
            <w:pPr>
              <w:ind w:left="20"/>
              <w:spacing w:after="0"/>
              <w:rPr>
                <w:sz w:val="20"/>
                <w:szCs w:val="20"/>
                <w:color w:val="auto"/>
              </w:rPr>
            </w:pPr>
            <w:r>
              <w:rPr>
                <w:rFonts w:ascii="Arial" w:cs="Arial" w:eastAsia="Arial" w:hAnsi="Arial"/>
                <w:sz w:val="14"/>
                <w:szCs w:val="14"/>
                <w:b w:val="1"/>
                <w:bCs w:val="1"/>
                <w:color w:val="auto"/>
              </w:rPr>
              <w:t>TOTAL</w:t>
            </w:r>
          </w:p>
        </w:tc>
        <w:tc>
          <w:tcPr>
            <w:tcW w:w="1220" w:type="dxa"/>
            <w:vAlign w:val="bottom"/>
            <w:tcBorders>
              <w:bottom w:val="single" w:sz="8" w:color="959595"/>
            </w:tcBorders>
          </w:tcPr>
          <w:p>
            <w:pPr>
              <w:jc w:val="right"/>
              <w:ind w:right="148"/>
              <w:spacing w:after="0"/>
              <w:rPr>
                <w:sz w:val="20"/>
                <w:szCs w:val="20"/>
                <w:color w:val="auto"/>
              </w:rPr>
            </w:pPr>
            <w:r>
              <w:rPr>
                <w:rFonts w:ascii="Arial" w:cs="Arial" w:eastAsia="Arial" w:hAnsi="Arial"/>
                <w:sz w:val="14"/>
                <w:szCs w:val="14"/>
                <w:b w:val="1"/>
                <w:bCs w:val="1"/>
                <w:color w:val="auto"/>
              </w:rPr>
              <w:t>18,625,633</w:t>
            </w:r>
          </w:p>
        </w:tc>
        <w:tc>
          <w:tcPr>
            <w:tcW w:w="114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b w:val="1"/>
                <w:bCs w:val="1"/>
                <w:color w:val="auto"/>
              </w:rPr>
              <w:t>30,790,694</w:t>
            </w:r>
          </w:p>
        </w:tc>
        <w:tc>
          <w:tcPr>
            <w:tcW w:w="114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b w:val="1"/>
                <w:bCs w:val="1"/>
                <w:color w:val="auto"/>
              </w:rPr>
              <w:t>22,506,465</w:t>
            </w:r>
          </w:p>
        </w:tc>
        <w:tc>
          <w:tcPr>
            <w:tcW w:w="1140" w:type="dxa"/>
            <w:vAlign w:val="bottom"/>
            <w:tcBorders>
              <w:bottom w:val="single" w:sz="8" w:color="959595"/>
            </w:tcBorders>
          </w:tcPr>
          <w:p>
            <w:pPr>
              <w:jc w:val="right"/>
              <w:ind w:right="148"/>
              <w:spacing w:after="0"/>
              <w:rPr>
                <w:sz w:val="20"/>
                <w:szCs w:val="20"/>
                <w:color w:val="auto"/>
              </w:rPr>
            </w:pPr>
            <w:r>
              <w:rPr>
                <w:rFonts w:ascii="Arial" w:cs="Arial" w:eastAsia="Arial" w:hAnsi="Arial"/>
                <w:sz w:val="14"/>
                <w:szCs w:val="14"/>
                <w:b w:val="1"/>
                <w:bCs w:val="1"/>
                <w:color w:val="auto"/>
              </w:rPr>
              <w:t>21,885,886</w:t>
            </w:r>
          </w:p>
        </w:tc>
        <w:tc>
          <w:tcPr>
            <w:tcW w:w="1120" w:type="dxa"/>
            <w:vAlign w:val="bottom"/>
            <w:tcBorders>
              <w:bottom w:val="single" w:sz="8" w:color="959595"/>
            </w:tcBorders>
          </w:tcPr>
          <w:p>
            <w:pPr>
              <w:jc w:val="right"/>
              <w:ind w:right="128"/>
              <w:spacing w:after="0"/>
              <w:rPr>
                <w:sz w:val="20"/>
                <w:szCs w:val="20"/>
                <w:color w:val="auto"/>
              </w:rPr>
            </w:pPr>
            <w:r>
              <w:rPr>
                <w:rFonts w:ascii="Arial" w:cs="Arial" w:eastAsia="Arial" w:hAnsi="Arial"/>
                <w:sz w:val="14"/>
                <w:szCs w:val="14"/>
                <w:b w:val="1"/>
                <w:bCs w:val="1"/>
                <w:color w:val="auto"/>
              </w:rPr>
              <w:t>18,625,633</w:t>
            </w:r>
          </w:p>
        </w:tc>
        <w:tc>
          <w:tcPr>
            <w:tcW w:w="104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b w:val="1"/>
                <w:bCs w:val="1"/>
                <w:color w:val="auto"/>
              </w:rPr>
              <w:t>18,625,633</w:t>
            </w:r>
          </w:p>
        </w:tc>
        <w:tc>
          <w:tcPr>
            <w:tcW w:w="0" w:type="dxa"/>
            <w:vAlign w:val="bottom"/>
          </w:tcPr>
          <w:p>
            <w:pPr>
              <w:spacing w:after="0"/>
              <w:rPr>
                <w:sz w:val="1"/>
                <w:szCs w:val="1"/>
                <w:color w:val="auto"/>
              </w:rPr>
            </w:pPr>
          </w:p>
        </w:tc>
      </w:tr>
      <w:tr>
        <w:trPr>
          <w:trHeight w:val="210"/>
        </w:trPr>
        <w:tc>
          <w:tcPr>
            <w:tcW w:w="2880" w:type="dxa"/>
            <w:vAlign w:val="bottom"/>
          </w:tcPr>
          <w:p>
            <w:pPr>
              <w:ind w:left="40"/>
              <w:spacing w:after="0"/>
              <w:rPr>
                <w:sz w:val="20"/>
                <w:szCs w:val="20"/>
                <w:color w:val="auto"/>
              </w:rPr>
            </w:pPr>
            <w:r>
              <w:rPr>
                <w:rFonts w:ascii="Arial" w:cs="Arial" w:eastAsia="Arial" w:hAnsi="Arial"/>
                <w:sz w:val="14"/>
                <w:szCs w:val="14"/>
                <w:b w:val="1"/>
                <w:bCs w:val="1"/>
                <w:color w:val="012E6C"/>
              </w:rPr>
              <w:t>Richard F. Ambrose</w:t>
            </w:r>
          </w:p>
        </w:tc>
        <w:tc>
          <w:tcPr>
            <w:tcW w:w="1740" w:type="dxa"/>
            <w:vAlign w:val="bottom"/>
            <w:tcBorders>
              <w:bottom w:val="single" w:sz="8" w:color="959595"/>
            </w:tcBorders>
          </w:tcPr>
          <w:p>
            <w:pPr>
              <w:ind w:left="20"/>
              <w:spacing w:after="0"/>
              <w:rPr>
                <w:sz w:val="20"/>
                <w:szCs w:val="20"/>
                <w:color w:val="auto"/>
              </w:rPr>
            </w:pPr>
            <w:r>
              <w:rPr>
                <w:rFonts w:ascii="Arial" w:cs="Arial" w:eastAsia="Arial" w:hAnsi="Arial"/>
                <w:sz w:val="14"/>
                <w:szCs w:val="14"/>
                <w:color w:val="auto"/>
              </w:rPr>
              <w:t>Supplemental Pension</w:t>
            </w:r>
          </w:p>
        </w:tc>
        <w:tc>
          <w:tcPr>
            <w:tcW w:w="1220" w:type="dxa"/>
            <w:vAlign w:val="bottom"/>
            <w:tcBorders>
              <w:bottom w:val="single" w:sz="8" w:color="959595"/>
            </w:tcBorders>
          </w:tcPr>
          <w:p>
            <w:pPr>
              <w:jc w:val="right"/>
              <w:ind w:right="148"/>
              <w:spacing w:after="0"/>
              <w:rPr>
                <w:sz w:val="20"/>
                <w:szCs w:val="20"/>
                <w:color w:val="auto"/>
              </w:rPr>
            </w:pPr>
            <w:r>
              <w:rPr>
                <w:rFonts w:ascii="Arial" w:cs="Arial" w:eastAsia="Arial" w:hAnsi="Arial"/>
                <w:sz w:val="14"/>
                <w:szCs w:val="14"/>
                <w:color w:val="auto"/>
              </w:rPr>
              <w:t>6,762,369</w:t>
            </w:r>
          </w:p>
        </w:tc>
        <w:tc>
          <w:tcPr>
            <w:tcW w:w="114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6,762,369</w:t>
            </w:r>
          </w:p>
        </w:tc>
        <w:tc>
          <w:tcPr>
            <w:tcW w:w="114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color w:val="auto"/>
              </w:rPr>
              <w:t>6,762,369</w:t>
            </w:r>
          </w:p>
        </w:tc>
        <w:tc>
          <w:tcPr>
            <w:tcW w:w="1140" w:type="dxa"/>
            <w:vAlign w:val="bottom"/>
            <w:tcBorders>
              <w:bottom w:val="single" w:sz="8" w:color="959595"/>
            </w:tcBorders>
          </w:tcPr>
          <w:p>
            <w:pPr>
              <w:jc w:val="right"/>
              <w:ind w:right="148"/>
              <w:spacing w:after="0"/>
              <w:rPr>
                <w:sz w:val="20"/>
                <w:szCs w:val="20"/>
                <w:color w:val="auto"/>
              </w:rPr>
            </w:pPr>
            <w:r>
              <w:rPr>
                <w:rFonts w:ascii="Arial" w:cs="Arial" w:eastAsia="Arial" w:hAnsi="Arial"/>
                <w:sz w:val="14"/>
                <w:szCs w:val="14"/>
                <w:color w:val="auto"/>
              </w:rPr>
              <w:t>6,762,369</w:t>
            </w:r>
          </w:p>
        </w:tc>
        <w:tc>
          <w:tcPr>
            <w:tcW w:w="1120" w:type="dxa"/>
            <w:vAlign w:val="bottom"/>
            <w:tcBorders>
              <w:bottom w:val="single" w:sz="8" w:color="959595"/>
            </w:tcBorders>
          </w:tcPr>
          <w:p>
            <w:pPr>
              <w:jc w:val="right"/>
              <w:ind w:right="128"/>
              <w:spacing w:after="0"/>
              <w:rPr>
                <w:sz w:val="20"/>
                <w:szCs w:val="20"/>
                <w:color w:val="auto"/>
              </w:rPr>
            </w:pPr>
            <w:r>
              <w:rPr>
                <w:rFonts w:ascii="Arial" w:cs="Arial" w:eastAsia="Arial" w:hAnsi="Arial"/>
                <w:sz w:val="14"/>
                <w:szCs w:val="14"/>
                <w:color w:val="auto"/>
              </w:rPr>
              <w:t>6,762,369</w:t>
            </w:r>
          </w:p>
        </w:tc>
        <w:tc>
          <w:tcPr>
            <w:tcW w:w="104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6,762,369</w:t>
            </w:r>
          </w:p>
        </w:tc>
        <w:tc>
          <w:tcPr>
            <w:tcW w:w="0" w:type="dxa"/>
            <w:vAlign w:val="bottom"/>
          </w:tcPr>
          <w:p>
            <w:pPr>
              <w:spacing w:after="0"/>
              <w:rPr>
                <w:sz w:val="1"/>
                <w:szCs w:val="1"/>
                <w:color w:val="auto"/>
              </w:rPr>
            </w:pPr>
          </w:p>
        </w:tc>
      </w:tr>
      <w:tr>
        <w:trPr>
          <w:trHeight w:val="247"/>
        </w:trPr>
        <w:tc>
          <w:tcPr>
            <w:tcW w:w="2880" w:type="dxa"/>
            <w:vAlign w:val="bottom"/>
          </w:tcPr>
          <w:p>
            <w:pPr>
              <w:spacing w:after="0"/>
              <w:rPr>
                <w:sz w:val="21"/>
                <w:szCs w:val="21"/>
                <w:color w:val="auto"/>
              </w:rPr>
            </w:pPr>
          </w:p>
        </w:tc>
        <w:tc>
          <w:tcPr>
            <w:tcW w:w="1740" w:type="dxa"/>
            <w:vAlign w:val="bottom"/>
            <w:tcBorders>
              <w:bottom w:val="single" w:sz="8" w:color="959595"/>
            </w:tcBorders>
          </w:tcPr>
          <w:p>
            <w:pPr>
              <w:ind w:left="20"/>
              <w:spacing w:after="0"/>
              <w:rPr>
                <w:sz w:val="20"/>
                <w:szCs w:val="20"/>
                <w:color w:val="auto"/>
              </w:rPr>
            </w:pPr>
            <w:r>
              <w:rPr>
                <w:rFonts w:ascii="Arial" w:cs="Arial" w:eastAsia="Arial" w:hAnsi="Arial"/>
                <w:sz w:val="14"/>
                <w:szCs w:val="14"/>
                <w:color w:val="auto"/>
              </w:rPr>
              <w:t>LTIP</w:t>
            </w:r>
          </w:p>
        </w:tc>
        <w:tc>
          <w:tcPr>
            <w:tcW w:w="1220" w:type="dxa"/>
            <w:vAlign w:val="bottom"/>
            <w:tcBorders>
              <w:bottom w:val="single" w:sz="8" w:color="959595"/>
            </w:tcBorders>
          </w:tcPr>
          <w:p>
            <w:pPr>
              <w:jc w:val="right"/>
              <w:ind w:right="148"/>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1,270,000</w:t>
            </w:r>
          </w:p>
        </w:tc>
        <w:tc>
          <w:tcPr>
            <w:tcW w:w="114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959595"/>
            </w:tcBorders>
          </w:tcPr>
          <w:p>
            <w:pPr>
              <w:jc w:val="right"/>
              <w:ind w:right="148"/>
              <w:spacing w:after="0"/>
              <w:rPr>
                <w:sz w:val="20"/>
                <w:szCs w:val="20"/>
                <w:color w:val="auto"/>
              </w:rPr>
            </w:pPr>
            <w:r>
              <w:rPr>
                <w:rFonts w:ascii="Arial" w:cs="Arial" w:eastAsia="Arial" w:hAnsi="Arial"/>
                <w:sz w:val="14"/>
                <w:szCs w:val="14"/>
                <w:color w:val="auto"/>
              </w:rPr>
              <w:t>0</w:t>
            </w:r>
          </w:p>
        </w:tc>
        <w:tc>
          <w:tcPr>
            <w:tcW w:w="1120" w:type="dxa"/>
            <w:vAlign w:val="bottom"/>
            <w:tcBorders>
              <w:bottom w:val="single" w:sz="8" w:color="959595"/>
            </w:tcBorders>
          </w:tcPr>
          <w:p>
            <w:pPr>
              <w:jc w:val="right"/>
              <w:ind w:right="128"/>
              <w:spacing w:after="0"/>
              <w:rPr>
                <w:sz w:val="20"/>
                <w:szCs w:val="20"/>
                <w:color w:val="auto"/>
              </w:rPr>
            </w:pPr>
            <w:r>
              <w:rPr>
                <w:rFonts w:ascii="Arial" w:cs="Arial" w:eastAsia="Arial" w:hAnsi="Arial"/>
                <w:sz w:val="14"/>
                <w:szCs w:val="14"/>
                <w:color w:val="auto"/>
              </w:rPr>
              <w:t>0</w:t>
            </w:r>
          </w:p>
        </w:tc>
        <w:tc>
          <w:tcPr>
            <w:tcW w:w="104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50"/>
        </w:trPr>
        <w:tc>
          <w:tcPr>
            <w:tcW w:w="2880" w:type="dxa"/>
            <w:vAlign w:val="bottom"/>
          </w:tcPr>
          <w:p>
            <w:pPr>
              <w:spacing w:after="0"/>
              <w:rPr>
                <w:sz w:val="21"/>
                <w:szCs w:val="21"/>
                <w:color w:val="auto"/>
              </w:rPr>
            </w:pPr>
          </w:p>
        </w:tc>
        <w:tc>
          <w:tcPr>
            <w:tcW w:w="1740" w:type="dxa"/>
            <w:vAlign w:val="bottom"/>
            <w:tcBorders>
              <w:bottom w:val="single" w:sz="8" w:color="959595"/>
            </w:tcBorders>
          </w:tcPr>
          <w:p>
            <w:pPr>
              <w:ind w:left="20"/>
              <w:spacing w:after="0"/>
              <w:rPr>
                <w:sz w:val="20"/>
                <w:szCs w:val="20"/>
                <w:color w:val="auto"/>
              </w:rPr>
            </w:pPr>
            <w:r>
              <w:rPr>
                <w:rFonts w:ascii="Arial" w:cs="Arial" w:eastAsia="Arial" w:hAnsi="Arial"/>
                <w:sz w:val="14"/>
                <w:szCs w:val="14"/>
                <w:color w:val="auto"/>
              </w:rPr>
              <w:t>RSUs</w:t>
            </w:r>
          </w:p>
        </w:tc>
        <w:tc>
          <w:tcPr>
            <w:tcW w:w="1220" w:type="dxa"/>
            <w:vAlign w:val="bottom"/>
            <w:tcBorders>
              <w:bottom w:val="single" w:sz="8" w:color="959595"/>
            </w:tcBorders>
          </w:tcPr>
          <w:p>
            <w:pPr>
              <w:jc w:val="right"/>
              <w:ind w:right="148"/>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2,647,311</w:t>
            </w:r>
          </w:p>
        </w:tc>
        <w:tc>
          <w:tcPr>
            <w:tcW w:w="114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color w:val="auto"/>
              </w:rPr>
              <w:t>2,647,311</w:t>
            </w:r>
          </w:p>
        </w:tc>
        <w:tc>
          <w:tcPr>
            <w:tcW w:w="1140" w:type="dxa"/>
            <w:vAlign w:val="bottom"/>
            <w:tcBorders>
              <w:bottom w:val="single" w:sz="8" w:color="959595"/>
            </w:tcBorders>
          </w:tcPr>
          <w:p>
            <w:pPr>
              <w:jc w:val="right"/>
              <w:ind w:right="148"/>
              <w:spacing w:after="0"/>
              <w:rPr>
                <w:sz w:val="20"/>
                <w:szCs w:val="20"/>
                <w:color w:val="auto"/>
              </w:rPr>
            </w:pPr>
            <w:r>
              <w:rPr>
                <w:rFonts w:ascii="Arial" w:cs="Arial" w:eastAsia="Arial" w:hAnsi="Arial"/>
                <w:sz w:val="14"/>
                <w:szCs w:val="14"/>
                <w:color w:val="auto"/>
              </w:rPr>
              <w:t>0</w:t>
            </w:r>
          </w:p>
        </w:tc>
        <w:tc>
          <w:tcPr>
            <w:tcW w:w="1120" w:type="dxa"/>
            <w:vAlign w:val="bottom"/>
            <w:tcBorders>
              <w:bottom w:val="single" w:sz="8" w:color="959595"/>
            </w:tcBorders>
          </w:tcPr>
          <w:p>
            <w:pPr>
              <w:jc w:val="right"/>
              <w:ind w:right="128"/>
              <w:spacing w:after="0"/>
              <w:rPr>
                <w:sz w:val="20"/>
                <w:szCs w:val="20"/>
                <w:color w:val="auto"/>
              </w:rPr>
            </w:pPr>
            <w:r>
              <w:rPr>
                <w:rFonts w:ascii="Arial" w:cs="Arial" w:eastAsia="Arial" w:hAnsi="Arial"/>
                <w:sz w:val="14"/>
                <w:szCs w:val="14"/>
                <w:color w:val="auto"/>
              </w:rPr>
              <w:t>0</w:t>
            </w:r>
          </w:p>
        </w:tc>
        <w:tc>
          <w:tcPr>
            <w:tcW w:w="104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50"/>
        </w:trPr>
        <w:tc>
          <w:tcPr>
            <w:tcW w:w="2880" w:type="dxa"/>
            <w:vAlign w:val="bottom"/>
          </w:tcPr>
          <w:p>
            <w:pPr>
              <w:spacing w:after="0"/>
              <w:rPr>
                <w:sz w:val="21"/>
                <w:szCs w:val="21"/>
                <w:color w:val="auto"/>
              </w:rPr>
            </w:pPr>
          </w:p>
        </w:tc>
        <w:tc>
          <w:tcPr>
            <w:tcW w:w="1740" w:type="dxa"/>
            <w:vAlign w:val="bottom"/>
            <w:tcBorders>
              <w:bottom w:val="single" w:sz="8" w:color="959595"/>
            </w:tcBorders>
          </w:tcPr>
          <w:p>
            <w:pPr>
              <w:ind w:left="20"/>
              <w:spacing w:after="0"/>
              <w:rPr>
                <w:sz w:val="20"/>
                <w:szCs w:val="20"/>
                <w:color w:val="auto"/>
              </w:rPr>
            </w:pPr>
            <w:r>
              <w:rPr>
                <w:rFonts w:ascii="Arial" w:cs="Arial" w:eastAsia="Arial" w:hAnsi="Arial"/>
                <w:sz w:val="14"/>
                <w:szCs w:val="14"/>
                <w:color w:val="auto"/>
              </w:rPr>
              <w:t>PSUs</w:t>
            </w:r>
          </w:p>
        </w:tc>
        <w:tc>
          <w:tcPr>
            <w:tcW w:w="1220" w:type="dxa"/>
            <w:vAlign w:val="bottom"/>
            <w:tcBorders>
              <w:bottom w:val="single" w:sz="8" w:color="959595"/>
            </w:tcBorders>
          </w:tcPr>
          <w:p>
            <w:pPr>
              <w:jc w:val="right"/>
              <w:ind w:right="148"/>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4,437,175</w:t>
            </w:r>
          </w:p>
        </w:tc>
        <w:tc>
          <w:tcPr>
            <w:tcW w:w="114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959595"/>
            </w:tcBorders>
          </w:tcPr>
          <w:p>
            <w:pPr>
              <w:jc w:val="right"/>
              <w:ind w:right="148"/>
              <w:spacing w:after="0"/>
              <w:rPr>
                <w:sz w:val="20"/>
                <w:szCs w:val="20"/>
                <w:color w:val="auto"/>
              </w:rPr>
            </w:pPr>
            <w:r>
              <w:rPr>
                <w:rFonts w:ascii="Arial" w:cs="Arial" w:eastAsia="Arial" w:hAnsi="Arial"/>
                <w:sz w:val="14"/>
                <w:szCs w:val="14"/>
                <w:color w:val="auto"/>
              </w:rPr>
              <w:t>0</w:t>
            </w:r>
          </w:p>
        </w:tc>
        <w:tc>
          <w:tcPr>
            <w:tcW w:w="1120" w:type="dxa"/>
            <w:vAlign w:val="bottom"/>
            <w:tcBorders>
              <w:bottom w:val="single" w:sz="8" w:color="959595"/>
            </w:tcBorders>
          </w:tcPr>
          <w:p>
            <w:pPr>
              <w:jc w:val="right"/>
              <w:ind w:right="128"/>
              <w:spacing w:after="0"/>
              <w:rPr>
                <w:sz w:val="20"/>
                <w:szCs w:val="20"/>
                <w:color w:val="auto"/>
              </w:rPr>
            </w:pPr>
            <w:r>
              <w:rPr>
                <w:rFonts w:ascii="Arial" w:cs="Arial" w:eastAsia="Arial" w:hAnsi="Arial"/>
                <w:sz w:val="14"/>
                <w:szCs w:val="14"/>
                <w:color w:val="auto"/>
              </w:rPr>
              <w:t>0</w:t>
            </w:r>
          </w:p>
        </w:tc>
        <w:tc>
          <w:tcPr>
            <w:tcW w:w="104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50"/>
        </w:trPr>
        <w:tc>
          <w:tcPr>
            <w:tcW w:w="2880" w:type="dxa"/>
            <w:vAlign w:val="bottom"/>
          </w:tcPr>
          <w:p>
            <w:pPr>
              <w:spacing w:after="0"/>
              <w:rPr>
                <w:sz w:val="21"/>
                <w:szCs w:val="21"/>
                <w:color w:val="auto"/>
              </w:rPr>
            </w:pPr>
          </w:p>
        </w:tc>
        <w:tc>
          <w:tcPr>
            <w:tcW w:w="1740" w:type="dxa"/>
            <w:vAlign w:val="bottom"/>
            <w:tcBorders>
              <w:bottom w:val="single" w:sz="8" w:color="959595"/>
            </w:tcBorders>
          </w:tcPr>
          <w:p>
            <w:pPr>
              <w:ind w:left="20"/>
              <w:spacing w:after="0"/>
              <w:rPr>
                <w:sz w:val="20"/>
                <w:szCs w:val="20"/>
                <w:color w:val="auto"/>
              </w:rPr>
            </w:pPr>
            <w:r>
              <w:rPr>
                <w:rFonts w:ascii="Arial" w:cs="Arial" w:eastAsia="Arial" w:hAnsi="Arial"/>
                <w:sz w:val="14"/>
                <w:szCs w:val="14"/>
                <w:color w:val="auto"/>
              </w:rPr>
              <w:t>Executive Severance</w:t>
            </w:r>
          </w:p>
        </w:tc>
        <w:tc>
          <w:tcPr>
            <w:tcW w:w="1220" w:type="dxa"/>
            <w:vAlign w:val="bottom"/>
            <w:tcBorders>
              <w:bottom w:val="single" w:sz="8" w:color="959595"/>
            </w:tcBorders>
          </w:tcPr>
          <w:p>
            <w:pPr>
              <w:jc w:val="right"/>
              <w:ind w:right="148"/>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959595"/>
            </w:tcBorders>
          </w:tcPr>
          <w:p>
            <w:pPr>
              <w:jc w:val="right"/>
              <w:ind w:right="148"/>
              <w:spacing w:after="0"/>
              <w:rPr>
                <w:sz w:val="20"/>
                <w:szCs w:val="20"/>
                <w:color w:val="auto"/>
              </w:rPr>
            </w:pPr>
            <w:r>
              <w:rPr>
                <w:rFonts w:ascii="Arial" w:cs="Arial" w:eastAsia="Arial" w:hAnsi="Arial"/>
                <w:sz w:val="14"/>
                <w:szCs w:val="14"/>
                <w:color w:val="auto"/>
              </w:rPr>
              <w:t>2,658,509</w:t>
            </w:r>
          </w:p>
        </w:tc>
        <w:tc>
          <w:tcPr>
            <w:tcW w:w="1120" w:type="dxa"/>
            <w:vAlign w:val="bottom"/>
            <w:tcBorders>
              <w:bottom w:val="single" w:sz="8" w:color="959595"/>
            </w:tcBorders>
          </w:tcPr>
          <w:p>
            <w:pPr>
              <w:jc w:val="right"/>
              <w:ind w:right="128"/>
              <w:spacing w:after="0"/>
              <w:rPr>
                <w:sz w:val="20"/>
                <w:szCs w:val="20"/>
                <w:color w:val="auto"/>
              </w:rPr>
            </w:pPr>
            <w:r>
              <w:rPr>
                <w:rFonts w:ascii="Arial" w:cs="Arial" w:eastAsia="Arial" w:hAnsi="Arial"/>
                <w:sz w:val="14"/>
                <w:szCs w:val="14"/>
                <w:color w:val="auto"/>
              </w:rPr>
              <w:t>0</w:t>
            </w:r>
          </w:p>
        </w:tc>
        <w:tc>
          <w:tcPr>
            <w:tcW w:w="104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53"/>
        </w:trPr>
        <w:tc>
          <w:tcPr>
            <w:tcW w:w="2880" w:type="dxa"/>
            <w:vAlign w:val="bottom"/>
            <w:tcBorders>
              <w:bottom w:val="single" w:sz="8" w:color="959595"/>
            </w:tcBorders>
          </w:tcPr>
          <w:p>
            <w:pPr>
              <w:spacing w:after="0"/>
              <w:rPr>
                <w:sz w:val="22"/>
                <w:szCs w:val="22"/>
                <w:color w:val="auto"/>
              </w:rPr>
            </w:pPr>
          </w:p>
        </w:tc>
        <w:tc>
          <w:tcPr>
            <w:tcW w:w="1740" w:type="dxa"/>
            <w:vAlign w:val="bottom"/>
            <w:tcBorders>
              <w:bottom w:val="single" w:sz="8" w:color="959595"/>
            </w:tcBorders>
          </w:tcPr>
          <w:p>
            <w:pPr>
              <w:ind w:left="20"/>
              <w:spacing w:after="0"/>
              <w:rPr>
                <w:sz w:val="20"/>
                <w:szCs w:val="20"/>
                <w:color w:val="auto"/>
              </w:rPr>
            </w:pPr>
            <w:r>
              <w:rPr>
                <w:rFonts w:ascii="Arial" w:cs="Arial" w:eastAsia="Arial" w:hAnsi="Arial"/>
                <w:sz w:val="14"/>
                <w:szCs w:val="14"/>
                <w:b w:val="1"/>
                <w:bCs w:val="1"/>
                <w:color w:val="auto"/>
              </w:rPr>
              <w:t>TOTAL</w:t>
            </w:r>
          </w:p>
        </w:tc>
        <w:tc>
          <w:tcPr>
            <w:tcW w:w="1220" w:type="dxa"/>
            <w:vAlign w:val="bottom"/>
            <w:tcBorders>
              <w:bottom w:val="single" w:sz="8" w:color="959595"/>
            </w:tcBorders>
          </w:tcPr>
          <w:p>
            <w:pPr>
              <w:jc w:val="right"/>
              <w:ind w:right="148"/>
              <w:spacing w:after="0"/>
              <w:rPr>
                <w:sz w:val="20"/>
                <w:szCs w:val="20"/>
                <w:color w:val="auto"/>
              </w:rPr>
            </w:pPr>
            <w:r>
              <w:rPr>
                <w:rFonts w:ascii="Arial" w:cs="Arial" w:eastAsia="Arial" w:hAnsi="Arial"/>
                <w:sz w:val="14"/>
                <w:szCs w:val="14"/>
                <w:b w:val="1"/>
                <w:bCs w:val="1"/>
                <w:color w:val="auto"/>
              </w:rPr>
              <w:t>6,762,369</w:t>
            </w:r>
          </w:p>
        </w:tc>
        <w:tc>
          <w:tcPr>
            <w:tcW w:w="114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b w:val="1"/>
                <w:bCs w:val="1"/>
                <w:color w:val="auto"/>
              </w:rPr>
              <w:t>15,116,855</w:t>
            </w:r>
          </w:p>
        </w:tc>
        <w:tc>
          <w:tcPr>
            <w:tcW w:w="114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b w:val="1"/>
                <w:bCs w:val="1"/>
                <w:color w:val="auto"/>
              </w:rPr>
              <w:t>9,409,680</w:t>
            </w:r>
          </w:p>
        </w:tc>
        <w:tc>
          <w:tcPr>
            <w:tcW w:w="1140" w:type="dxa"/>
            <w:vAlign w:val="bottom"/>
            <w:tcBorders>
              <w:bottom w:val="single" w:sz="8" w:color="959595"/>
            </w:tcBorders>
          </w:tcPr>
          <w:p>
            <w:pPr>
              <w:jc w:val="right"/>
              <w:ind w:right="148"/>
              <w:spacing w:after="0"/>
              <w:rPr>
                <w:sz w:val="20"/>
                <w:szCs w:val="20"/>
                <w:color w:val="auto"/>
              </w:rPr>
            </w:pPr>
            <w:r>
              <w:rPr>
                <w:rFonts w:ascii="Arial" w:cs="Arial" w:eastAsia="Arial" w:hAnsi="Arial"/>
                <w:sz w:val="14"/>
                <w:szCs w:val="14"/>
                <w:b w:val="1"/>
                <w:bCs w:val="1"/>
                <w:color w:val="auto"/>
              </w:rPr>
              <w:t>9,420,878</w:t>
            </w:r>
          </w:p>
        </w:tc>
        <w:tc>
          <w:tcPr>
            <w:tcW w:w="1120" w:type="dxa"/>
            <w:vAlign w:val="bottom"/>
            <w:tcBorders>
              <w:bottom w:val="single" w:sz="8" w:color="959595"/>
            </w:tcBorders>
          </w:tcPr>
          <w:p>
            <w:pPr>
              <w:jc w:val="right"/>
              <w:ind w:right="128"/>
              <w:spacing w:after="0"/>
              <w:rPr>
                <w:sz w:val="20"/>
                <w:szCs w:val="20"/>
                <w:color w:val="auto"/>
              </w:rPr>
            </w:pPr>
            <w:r>
              <w:rPr>
                <w:rFonts w:ascii="Arial" w:cs="Arial" w:eastAsia="Arial" w:hAnsi="Arial"/>
                <w:sz w:val="14"/>
                <w:szCs w:val="14"/>
                <w:b w:val="1"/>
                <w:bCs w:val="1"/>
                <w:color w:val="auto"/>
              </w:rPr>
              <w:t>6,762,369</w:t>
            </w:r>
          </w:p>
        </w:tc>
        <w:tc>
          <w:tcPr>
            <w:tcW w:w="104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b w:val="1"/>
                <w:bCs w:val="1"/>
                <w:color w:val="auto"/>
              </w:rPr>
              <w:t>6,762,369</w:t>
            </w:r>
          </w:p>
        </w:tc>
        <w:tc>
          <w:tcPr>
            <w:tcW w:w="0" w:type="dxa"/>
            <w:vAlign w:val="bottom"/>
          </w:tcPr>
          <w:p>
            <w:pPr>
              <w:spacing w:after="0"/>
              <w:rPr>
                <w:sz w:val="1"/>
                <w:szCs w:val="1"/>
                <w:color w:val="auto"/>
              </w:rPr>
            </w:pPr>
          </w:p>
        </w:tc>
      </w:tr>
      <w:tr>
        <w:trPr>
          <w:trHeight w:val="210"/>
        </w:trPr>
        <w:tc>
          <w:tcPr>
            <w:tcW w:w="2880" w:type="dxa"/>
            <w:vAlign w:val="bottom"/>
          </w:tcPr>
          <w:p>
            <w:pPr>
              <w:ind w:left="40"/>
              <w:spacing w:after="0"/>
              <w:rPr>
                <w:sz w:val="20"/>
                <w:szCs w:val="20"/>
                <w:color w:val="auto"/>
              </w:rPr>
            </w:pPr>
            <w:r>
              <w:rPr>
                <w:rFonts w:ascii="Arial" w:cs="Arial" w:eastAsia="Arial" w:hAnsi="Arial"/>
                <w:sz w:val="14"/>
                <w:szCs w:val="14"/>
                <w:b w:val="1"/>
                <w:bCs w:val="1"/>
                <w:color w:val="012E6C"/>
              </w:rPr>
              <w:t>Dale P. Bennett</w:t>
            </w:r>
          </w:p>
        </w:tc>
        <w:tc>
          <w:tcPr>
            <w:tcW w:w="1740" w:type="dxa"/>
            <w:vAlign w:val="bottom"/>
            <w:tcBorders>
              <w:bottom w:val="single" w:sz="8" w:color="959595"/>
            </w:tcBorders>
          </w:tcPr>
          <w:p>
            <w:pPr>
              <w:ind w:left="20"/>
              <w:spacing w:after="0"/>
              <w:rPr>
                <w:sz w:val="20"/>
                <w:szCs w:val="20"/>
                <w:color w:val="auto"/>
              </w:rPr>
            </w:pPr>
            <w:r>
              <w:rPr>
                <w:rFonts w:ascii="Arial" w:cs="Arial" w:eastAsia="Arial" w:hAnsi="Arial"/>
                <w:sz w:val="14"/>
                <w:szCs w:val="14"/>
                <w:color w:val="auto"/>
              </w:rPr>
              <w:t>Supplemental Pension</w:t>
            </w:r>
          </w:p>
        </w:tc>
        <w:tc>
          <w:tcPr>
            <w:tcW w:w="1220" w:type="dxa"/>
            <w:vAlign w:val="bottom"/>
            <w:tcBorders>
              <w:bottom w:val="single" w:sz="8" w:color="959595"/>
            </w:tcBorders>
          </w:tcPr>
          <w:p>
            <w:pPr>
              <w:jc w:val="right"/>
              <w:ind w:right="148"/>
              <w:spacing w:after="0"/>
              <w:rPr>
                <w:sz w:val="20"/>
                <w:szCs w:val="20"/>
                <w:color w:val="auto"/>
              </w:rPr>
            </w:pPr>
            <w:r>
              <w:rPr>
                <w:rFonts w:ascii="Arial" w:cs="Arial" w:eastAsia="Arial" w:hAnsi="Arial"/>
                <w:sz w:val="14"/>
                <w:szCs w:val="14"/>
                <w:color w:val="auto"/>
              </w:rPr>
              <w:t>12,698,025</w:t>
            </w:r>
          </w:p>
        </w:tc>
        <w:tc>
          <w:tcPr>
            <w:tcW w:w="114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12,698,025</w:t>
            </w:r>
          </w:p>
        </w:tc>
        <w:tc>
          <w:tcPr>
            <w:tcW w:w="114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color w:val="auto"/>
              </w:rPr>
              <w:t>12,698,025</w:t>
            </w:r>
          </w:p>
        </w:tc>
        <w:tc>
          <w:tcPr>
            <w:tcW w:w="1140" w:type="dxa"/>
            <w:vAlign w:val="bottom"/>
            <w:tcBorders>
              <w:bottom w:val="single" w:sz="8" w:color="959595"/>
            </w:tcBorders>
          </w:tcPr>
          <w:p>
            <w:pPr>
              <w:jc w:val="right"/>
              <w:ind w:right="148"/>
              <w:spacing w:after="0"/>
              <w:rPr>
                <w:sz w:val="20"/>
                <w:szCs w:val="20"/>
                <w:color w:val="auto"/>
              </w:rPr>
            </w:pPr>
            <w:r>
              <w:rPr>
                <w:rFonts w:ascii="Arial" w:cs="Arial" w:eastAsia="Arial" w:hAnsi="Arial"/>
                <w:sz w:val="14"/>
                <w:szCs w:val="14"/>
                <w:color w:val="auto"/>
              </w:rPr>
              <w:t>12,698,025</w:t>
            </w:r>
          </w:p>
        </w:tc>
        <w:tc>
          <w:tcPr>
            <w:tcW w:w="1120" w:type="dxa"/>
            <w:vAlign w:val="bottom"/>
            <w:tcBorders>
              <w:bottom w:val="single" w:sz="8" w:color="959595"/>
            </w:tcBorders>
          </w:tcPr>
          <w:p>
            <w:pPr>
              <w:jc w:val="right"/>
              <w:ind w:right="128"/>
              <w:spacing w:after="0"/>
              <w:rPr>
                <w:sz w:val="20"/>
                <w:szCs w:val="20"/>
                <w:color w:val="auto"/>
              </w:rPr>
            </w:pPr>
            <w:r>
              <w:rPr>
                <w:rFonts w:ascii="Arial" w:cs="Arial" w:eastAsia="Arial" w:hAnsi="Arial"/>
                <w:sz w:val="14"/>
                <w:szCs w:val="14"/>
                <w:color w:val="auto"/>
              </w:rPr>
              <w:t>12,698,025</w:t>
            </w:r>
          </w:p>
        </w:tc>
        <w:tc>
          <w:tcPr>
            <w:tcW w:w="104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12,698,025</w:t>
            </w:r>
          </w:p>
        </w:tc>
        <w:tc>
          <w:tcPr>
            <w:tcW w:w="0" w:type="dxa"/>
            <w:vAlign w:val="bottom"/>
          </w:tcPr>
          <w:p>
            <w:pPr>
              <w:spacing w:after="0"/>
              <w:rPr>
                <w:sz w:val="1"/>
                <w:szCs w:val="1"/>
                <w:color w:val="auto"/>
              </w:rPr>
            </w:pPr>
          </w:p>
        </w:tc>
      </w:tr>
      <w:tr>
        <w:trPr>
          <w:trHeight w:val="247"/>
        </w:trPr>
        <w:tc>
          <w:tcPr>
            <w:tcW w:w="2880" w:type="dxa"/>
            <w:vAlign w:val="bottom"/>
          </w:tcPr>
          <w:p>
            <w:pPr>
              <w:spacing w:after="0"/>
              <w:rPr>
                <w:sz w:val="21"/>
                <w:szCs w:val="21"/>
                <w:color w:val="auto"/>
              </w:rPr>
            </w:pPr>
          </w:p>
        </w:tc>
        <w:tc>
          <w:tcPr>
            <w:tcW w:w="1740" w:type="dxa"/>
            <w:vAlign w:val="bottom"/>
            <w:tcBorders>
              <w:bottom w:val="single" w:sz="8" w:color="959595"/>
            </w:tcBorders>
          </w:tcPr>
          <w:p>
            <w:pPr>
              <w:ind w:left="20"/>
              <w:spacing w:after="0"/>
              <w:rPr>
                <w:sz w:val="20"/>
                <w:szCs w:val="20"/>
                <w:color w:val="auto"/>
              </w:rPr>
            </w:pPr>
            <w:r>
              <w:rPr>
                <w:rFonts w:ascii="Arial" w:cs="Arial" w:eastAsia="Arial" w:hAnsi="Arial"/>
                <w:sz w:val="14"/>
                <w:szCs w:val="14"/>
                <w:color w:val="auto"/>
              </w:rPr>
              <w:t>LTIP</w:t>
            </w:r>
          </w:p>
        </w:tc>
        <w:tc>
          <w:tcPr>
            <w:tcW w:w="1220" w:type="dxa"/>
            <w:vAlign w:val="bottom"/>
            <w:tcBorders>
              <w:bottom w:val="single" w:sz="8" w:color="959595"/>
            </w:tcBorders>
          </w:tcPr>
          <w:p>
            <w:pPr>
              <w:jc w:val="right"/>
              <w:ind w:right="148"/>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1,390,000</w:t>
            </w:r>
          </w:p>
        </w:tc>
        <w:tc>
          <w:tcPr>
            <w:tcW w:w="114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959595"/>
            </w:tcBorders>
          </w:tcPr>
          <w:p>
            <w:pPr>
              <w:jc w:val="right"/>
              <w:ind w:right="148"/>
              <w:spacing w:after="0"/>
              <w:rPr>
                <w:sz w:val="20"/>
                <w:szCs w:val="20"/>
                <w:color w:val="auto"/>
              </w:rPr>
            </w:pPr>
            <w:r>
              <w:rPr>
                <w:rFonts w:ascii="Arial" w:cs="Arial" w:eastAsia="Arial" w:hAnsi="Arial"/>
                <w:sz w:val="14"/>
                <w:szCs w:val="14"/>
                <w:color w:val="auto"/>
              </w:rPr>
              <w:t>0</w:t>
            </w:r>
          </w:p>
        </w:tc>
        <w:tc>
          <w:tcPr>
            <w:tcW w:w="1120" w:type="dxa"/>
            <w:vAlign w:val="bottom"/>
            <w:tcBorders>
              <w:bottom w:val="single" w:sz="8" w:color="959595"/>
            </w:tcBorders>
          </w:tcPr>
          <w:p>
            <w:pPr>
              <w:jc w:val="right"/>
              <w:ind w:right="128"/>
              <w:spacing w:after="0"/>
              <w:rPr>
                <w:sz w:val="20"/>
                <w:szCs w:val="20"/>
                <w:color w:val="auto"/>
              </w:rPr>
            </w:pPr>
            <w:r>
              <w:rPr>
                <w:rFonts w:ascii="Arial" w:cs="Arial" w:eastAsia="Arial" w:hAnsi="Arial"/>
                <w:sz w:val="14"/>
                <w:szCs w:val="14"/>
                <w:color w:val="auto"/>
              </w:rPr>
              <w:t>0</w:t>
            </w:r>
          </w:p>
        </w:tc>
        <w:tc>
          <w:tcPr>
            <w:tcW w:w="104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50"/>
        </w:trPr>
        <w:tc>
          <w:tcPr>
            <w:tcW w:w="2880" w:type="dxa"/>
            <w:vAlign w:val="bottom"/>
          </w:tcPr>
          <w:p>
            <w:pPr>
              <w:spacing w:after="0"/>
              <w:rPr>
                <w:sz w:val="21"/>
                <w:szCs w:val="21"/>
                <w:color w:val="auto"/>
              </w:rPr>
            </w:pPr>
          </w:p>
        </w:tc>
        <w:tc>
          <w:tcPr>
            <w:tcW w:w="1740" w:type="dxa"/>
            <w:vAlign w:val="bottom"/>
            <w:tcBorders>
              <w:bottom w:val="single" w:sz="8" w:color="959595"/>
            </w:tcBorders>
          </w:tcPr>
          <w:p>
            <w:pPr>
              <w:ind w:left="20"/>
              <w:spacing w:after="0"/>
              <w:rPr>
                <w:sz w:val="20"/>
                <w:szCs w:val="20"/>
                <w:color w:val="auto"/>
              </w:rPr>
            </w:pPr>
            <w:r>
              <w:rPr>
                <w:rFonts w:ascii="Arial" w:cs="Arial" w:eastAsia="Arial" w:hAnsi="Arial"/>
                <w:sz w:val="14"/>
                <w:szCs w:val="14"/>
                <w:color w:val="auto"/>
              </w:rPr>
              <w:t>RSUs</w:t>
            </w:r>
          </w:p>
        </w:tc>
        <w:tc>
          <w:tcPr>
            <w:tcW w:w="1220" w:type="dxa"/>
            <w:vAlign w:val="bottom"/>
            <w:tcBorders>
              <w:bottom w:val="single" w:sz="8" w:color="959595"/>
            </w:tcBorders>
          </w:tcPr>
          <w:p>
            <w:pPr>
              <w:jc w:val="right"/>
              <w:ind w:right="148"/>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3,164,432</w:t>
            </w:r>
          </w:p>
        </w:tc>
        <w:tc>
          <w:tcPr>
            <w:tcW w:w="114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color w:val="auto"/>
              </w:rPr>
              <w:t>3,164,432</w:t>
            </w:r>
          </w:p>
        </w:tc>
        <w:tc>
          <w:tcPr>
            <w:tcW w:w="1140" w:type="dxa"/>
            <w:vAlign w:val="bottom"/>
            <w:tcBorders>
              <w:bottom w:val="single" w:sz="8" w:color="959595"/>
            </w:tcBorders>
          </w:tcPr>
          <w:p>
            <w:pPr>
              <w:jc w:val="right"/>
              <w:ind w:right="148"/>
              <w:spacing w:after="0"/>
              <w:rPr>
                <w:sz w:val="20"/>
                <w:szCs w:val="20"/>
                <w:color w:val="auto"/>
              </w:rPr>
            </w:pPr>
            <w:r>
              <w:rPr>
                <w:rFonts w:ascii="Arial" w:cs="Arial" w:eastAsia="Arial" w:hAnsi="Arial"/>
                <w:sz w:val="14"/>
                <w:szCs w:val="14"/>
                <w:color w:val="auto"/>
              </w:rPr>
              <w:t>0</w:t>
            </w:r>
          </w:p>
        </w:tc>
        <w:tc>
          <w:tcPr>
            <w:tcW w:w="1120" w:type="dxa"/>
            <w:vAlign w:val="bottom"/>
            <w:tcBorders>
              <w:bottom w:val="single" w:sz="8" w:color="959595"/>
            </w:tcBorders>
          </w:tcPr>
          <w:p>
            <w:pPr>
              <w:jc w:val="right"/>
              <w:ind w:right="128"/>
              <w:spacing w:after="0"/>
              <w:rPr>
                <w:sz w:val="20"/>
                <w:szCs w:val="20"/>
                <w:color w:val="auto"/>
              </w:rPr>
            </w:pPr>
            <w:r>
              <w:rPr>
                <w:rFonts w:ascii="Arial" w:cs="Arial" w:eastAsia="Arial" w:hAnsi="Arial"/>
                <w:sz w:val="14"/>
                <w:szCs w:val="14"/>
                <w:color w:val="auto"/>
              </w:rPr>
              <w:t>0</w:t>
            </w:r>
          </w:p>
        </w:tc>
        <w:tc>
          <w:tcPr>
            <w:tcW w:w="104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50"/>
        </w:trPr>
        <w:tc>
          <w:tcPr>
            <w:tcW w:w="2880" w:type="dxa"/>
            <w:vAlign w:val="bottom"/>
          </w:tcPr>
          <w:p>
            <w:pPr>
              <w:spacing w:after="0"/>
              <w:rPr>
                <w:sz w:val="21"/>
                <w:szCs w:val="21"/>
                <w:color w:val="auto"/>
              </w:rPr>
            </w:pPr>
          </w:p>
        </w:tc>
        <w:tc>
          <w:tcPr>
            <w:tcW w:w="1740" w:type="dxa"/>
            <w:vAlign w:val="bottom"/>
            <w:tcBorders>
              <w:bottom w:val="single" w:sz="8" w:color="959595"/>
            </w:tcBorders>
          </w:tcPr>
          <w:p>
            <w:pPr>
              <w:ind w:left="20"/>
              <w:spacing w:after="0"/>
              <w:rPr>
                <w:sz w:val="20"/>
                <w:szCs w:val="20"/>
                <w:color w:val="auto"/>
              </w:rPr>
            </w:pPr>
            <w:r>
              <w:rPr>
                <w:rFonts w:ascii="Arial" w:cs="Arial" w:eastAsia="Arial" w:hAnsi="Arial"/>
                <w:sz w:val="14"/>
                <w:szCs w:val="14"/>
                <w:color w:val="auto"/>
              </w:rPr>
              <w:t>PSUs</w:t>
            </w:r>
          </w:p>
        </w:tc>
        <w:tc>
          <w:tcPr>
            <w:tcW w:w="1220" w:type="dxa"/>
            <w:vAlign w:val="bottom"/>
            <w:tcBorders>
              <w:bottom w:val="single" w:sz="8" w:color="959595"/>
            </w:tcBorders>
          </w:tcPr>
          <w:p>
            <w:pPr>
              <w:jc w:val="right"/>
              <w:ind w:right="148"/>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5,303,785</w:t>
            </w:r>
          </w:p>
        </w:tc>
        <w:tc>
          <w:tcPr>
            <w:tcW w:w="114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959595"/>
            </w:tcBorders>
          </w:tcPr>
          <w:p>
            <w:pPr>
              <w:jc w:val="right"/>
              <w:ind w:right="148"/>
              <w:spacing w:after="0"/>
              <w:rPr>
                <w:sz w:val="20"/>
                <w:szCs w:val="20"/>
                <w:color w:val="auto"/>
              </w:rPr>
            </w:pPr>
            <w:r>
              <w:rPr>
                <w:rFonts w:ascii="Arial" w:cs="Arial" w:eastAsia="Arial" w:hAnsi="Arial"/>
                <w:sz w:val="14"/>
                <w:szCs w:val="14"/>
                <w:color w:val="auto"/>
              </w:rPr>
              <w:t>0</w:t>
            </w:r>
          </w:p>
        </w:tc>
        <w:tc>
          <w:tcPr>
            <w:tcW w:w="1120" w:type="dxa"/>
            <w:vAlign w:val="bottom"/>
            <w:tcBorders>
              <w:bottom w:val="single" w:sz="8" w:color="959595"/>
            </w:tcBorders>
          </w:tcPr>
          <w:p>
            <w:pPr>
              <w:jc w:val="right"/>
              <w:ind w:right="128"/>
              <w:spacing w:after="0"/>
              <w:rPr>
                <w:sz w:val="20"/>
                <w:szCs w:val="20"/>
                <w:color w:val="auto"/>
              </w:rPr>
            </w:pPr>
            <w:r>
              <w:rPr>
                <w:rFonts w:ascii="Arial" w:cs="Arial" w:eastAsia="Arial" w:hAnsi="Arial"/>
                <w:sz w:val="14"/>
                <w:szCs w:val="14"/>
                <w:color w:val="auto"/>
              </w:rPr>
              <w:t>0</w:t>
            </w:r>
          </w:p>
        </w:tc>
        <w:tc>
          <w:tcPr>
            <w:tcW w:w="104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50"/>
        </w:trPr>
        <w:tc>
          <w:tcPr>
            <w:tcW w:w="2880" w:type="dxa"/>
            <w:vAlign w:val="bottom"/>
          </w:tcPr>
          <w:p>
            <w:pPr>
              <w:spacing w:after="0"/>
              <w:rPr>
                <w:sz w:val="21"/>
                <w:szCs w:val="21"/>
                <w:color w:val="auto"/>
              </w:rPr>
            </w:pPr>
          </w:p>
        </w:tc>
        <w:tc>
          <w:tcPr>
            <w:tcW w:w="1740" w:type="dxa"/>
            <w:vAlign w:val="bottom"/>
            <w:tcBorders>
              <w:bottom w:val="single" w:sz="8" w:color="959595"/>
            </w:tcBorders>
          </w:tcPr>
          <w:p>
            <w:pPr>
              <w:ind w:left="20"/>
              <w:spacing w:after="0"/>
              <w:rPr>
                <w:sz w:val="20"/>
                <w:szCs w:val="20"/>
                <w:color w:val="auto"/>
              </w:rPr>
            </w:pPr>
            <w:r>
              <w:rPr>
                <w:rFonts w:ascii="Arial" w:cs="Arial" w:eastAsia="Arial" w:hAnsi="Arial"/>
                <w:sz w:val="14"/>
                <w:szCs w:val="14"/>
                <w:color w:val="auto"/>
              </w:rPr>
              <w:t>Executive Severance</w:t>
            </w:r>
          </w:p>
        </w:tc>
        <w:tc>
          <w:tcPr>
            <w:tcW w:w="1220" w:type="dxa"/>
            <w:vAlign w:val="bottom"/>
            <w:tcBorders>
              <w:bottom w:val="single" w:sz="8" w:color="959595"/>
            </w:tcBorders>
          </w:tcPr>
          <w:p>
            <w:pPr>
              <w:jc w:val="right"/>
              <w:ind w:right="148"/>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959595"/>
            </w:tcBorders>
          </w:tcPr>
          <w:p>
            <w:pPr>
              <w:jc w:val="right"/>
              <w:ind w:right="148"/>
              <w:spacing w:after="0"/>
              <w:rPr>
                <w:sz w:val="20"/>
                <w:szCs w:val="20"/>
                <w:color w:val="auto"/>
              </w:rPr>
            </w:pPr>
            <w:r>
              <w:rPr>
                <w:rFonts w:ascii="Arial" w:cs="Arial" w:eastAsia="Arial" w:hAnsi="Arial"/>
                <w:sz w:val="14"/>
                <w:szCs w:val="14"/>
                <w:color w:val="auto"/>
              </w:rPr>
              <w:t>2,655,394</w:t>
            </w:r>
          </w:p>
        </w:tc>
        <w:tc>
          <w:tcPr>
            <w:tcW w:w="1120" w:type="dxa"/>
            <w:vAlign w:val="bottom"/>
            <w:tcBorders>
              <w:bottom w:val="single" w:sz="8" w:color="959595"/>
            </w:tcBorders>
          </w:tcPr>
          <w:p>
            <w:pPr>
              <w:jc w:val="right"/>
              <w:ind w:right="128"/>
              <w:spacing w:after="0"/>
              <w:rPr>
                <w:sz w:val="20"/>
                <w:szCs w:val="20"/>
                <w:color w:val="auto"/>
              </w:rPr>
            </w:pPr>
            <w:r>
              <w:rPr>
                <w:rFonts w:ascii="Arial" w:cs="Arial" w:eastAsia="Arial" w:hAnsi="Arial"/>
                <w:sz w:val="14"/>
                <w:szCs w:val="14"/>
                <w:color w:val="auto"/>
              </w:rPr>
              <w:t>0</w:t>
            </w:r>
          </w:p>
        </w:tc>
        <w:tc>
          <w:tcPr>
            <w:tcW w:w="104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53"/>
        </w:trPr>
        <w:tc>
          <w:tcPr>
            <w:tcW w:w="2880" w:type="dxa"/>
            <w:vAlign w:val="bottom"/>
            <w:tcBorders>
              <w:bottom w:val="single" w:sz="8" w:color="959595"/>
            </w:tcBorders>
          </w:tcPr>
          <w:p>
            <w:pPr>
              <w:spacing w:after="0"/>
              <w:rPr>
                <w:sz w:val="22"/>
                <w:szCs w:val="22"/>
                <w:color w:val="auto"/>
              </w:rPr>
            </w:pPr>
          </w:p>
        </w:tc>
        <w:tc>
          <w:tcPr>
            <w:tcW w:w="1740" w:type="dxa"/>
            <w:vAlign w:val="bottom"/>
            <w:tcBorders>
              <w:bottom w:val="single" w:sz="8" w:color="959595"/>
            </w:tcBorders>
          </w:tcPr>
          <w:p>
            <w:pPr>
              <w:ind w:left="20"/>
              <w:spacing w:after="0"/>
              <w:rPr>
                <w:sz w:val="20"/>
                <w:szCs w:val="20"/>
                <w:color w:val="auto"/>
              </w:rPr>
            </w:pPr>
            <w:r>
              <w:rPr>
                <w:rFonts w:ascii="Arial" w:cs="Arial" w:eastAsia="Arial" w:hAnsi="Arial"/>
                <w:sz w:val="14"/>
                <w:szCs w:val="14"/>
                <w:b w:val="1"/>
                <w:bCs w:val="1"/>
                <w:color w:val="auto"/>
              </w:rPr>
              <w:t>TOTAL</w:t>
            </w:r>
          </w:p>
        </w:tc>
        <w:tc>
          <w:tcPr>
            <w:tcW w:w="1220" w:type="dxa"/>
            <w:vAlign w:val="bottom"/>
            <w:tcBorders>
              <w:bottom w:val="single" w:sz="8" w:color="959595"/>
            </w:tcBorders>
          </w:tcPr>
          <w:p>
            <w:pPr>
              <w:jc w:val="right"/>
              <w:ind w:right="148"/>
              <w:spacing w:after="0"/>
              <w:rPr>
                <w:sz w:val="20"/>
                <w:szCs w:val="20"/>
                <w:color w:val="auto"/>
              </w:rPr>
            </w:pPr>
            <w:r>
              <w:rPr>
                <w:rFonts w:ascii="Arial" w:cs="Arial" w:eastAsia="Arial" w:hAnsi="Arial"/>
                <w:sz w:val="14"/>
                <w:szCs w:val="14"/>
                <w:b w:val="1"/>
                <w:bCs w:val="1"/>
                <w:color w:val="auto"/>
              </w:rPr>
              <w:t>12,698,025</w:t>
            </w:r>
          </w:p>
        </w:tc>
        <w:tc>
          <w:tcPr>
            <w:tcW w:w="114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b w:val="1"/>
                <w:bCs w:val="1"/>
                <w:color w:val="auto"/>
              </w:rPr>
              <w:t>22,556,242</w:t>
            </w:r>
          </w:p>
        </w:tc>
        <w:tc>
          <w:tcPr>
            <w:tcW w:w="114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b w:val="1"/>
                <w:bCs w:val="1"/>
                <w:color w:val="auto"/>
              </w:rPr>
              <w:t>15,862,457</w:t>
            </w:r>
          </w:p>
        </w:tc>
        <w:tc>
          <w:tcPr>
            <w:tcW w:w="1140" w:type="dxa"/>
            <w:vAlign w:val="bottom"/>
            <w:tcBorders>
              <w:bottom w:val="single" w:sz="8" w:color="959595"/>
            </w:tcBorders>
          </w:tcPr>
          <w:p>
            <w:pPr>
              <w:jc w:val="right"/>
              <w:ind w:right="148"/>
              <w:spacing w:after="0"/>
              <w:rPr>
                <w:sz w:val="20"/>
                <w:szCs w:val="20"/>
                <w:color w:val="auto"/>
              </w:rPr>
            </w:pPr>
            <w:r>
              <w:rPr>
                <w:rFonts w:ascii="Arial" w:cs="Arial" w:eastAsia="Arial" w:hAnsi="Arial"/>
                <w:sz w:val="14"/>
                <w:szCs w:val="14"/>
                <w:b w:val="1"/>
                <w:bCs w:val="1"/>
                <w:color w:val="auto"/>
              </w:rPr>
              <w:t>15,353,420</w:t>
            </w:r>
          </w:p>
        </w:tc>
        <w:tc>
          <w:tcPr>
            <w:tcW w:w="1120" w:type="dxa"/>
            <w:vAlign w:val="bottom"/>
            <w:tcBorders>
              <w:bottom w:val="single" w:sz="8" w:color="959595"/>
            </w:tcBorders>
          </w:tcPr>
          <w:p>
            <w:pPr>
              <w:jc w:val="right"/>
              <w:ind w:right="128"/>
              <w:spacing w:after="0"/>
              <w:rPr>
                <w:sz w:val="20"/>
                <w:szCs w:val="20"/>
                <w:color w:val="auto"/>
              </w:rPr>
            </w:pPr>
            <w:r>
              <w:rPr>
                <w:rFonts w:ascii="Arial" w:cs="Arial" w:eastAsia="Arial" w:hAnsi="Arial"/>
                <w:sz w:val="14"/>
                <w:szCs w:val="14"/>
                <w:b w:val="1"/>
                <w:bCs w:val="1"/>
                <w:color w:val="auto"/>
              </w:rPr>
              <w:t>12,698,025</w:t>
            </w:r>
          </w:p>
        </w:tc>
        <w:tc>
          <w:tcPr>
            <w:tcW w:w="104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b w:val="1"/>
                <w:bCs w:val="1"/>
                <w:color w:val="auto"/>
              </w:rPr>
              <w:t>12,698,025</w:t>
            </w:r>
          </w:p>
        </w:tc>
        <w:tc>
          <w:tcPr>
            <w:tcW w:w="0" w:type="dxa"/>
            <w:vAlign w:val="bottom"/>
          </w:tcPr>
          <w:p>
            <w:pPr>
              <w:spacing w:after="0"/>
              <w:rPr>
                <w:sz w:val="1"/>
                <w:szCs w:val="1"/>
                <w:color w:val="auto"/>
              </w:rPr>
            </w:pPr>
          </w:p>
        </w:tc>
      </w:tr>
      <w:tr>
        <w:trPr>
          <w:trHeight w:val="210"/>
        </w:trPr>
        <w:tc>
          <w:tcPr>
            <w:tcW w:w="2880" w:type="dxa"/>
            <w:vAlign w:val="bottom"/>
          </w:tcPr>
          <w:p>
            <w:pPr>
              <w:ind w:left="40"/>
              <w:spacing w:after="0"/>
              <w:rPr>
                <w:sz w:val="20"/>
                <w:szCs w:val="20"/>
                <w:color w:val="auto"/>
              </w:rPr>
            </w:pPr>
            <w:r>
              <w:rPr>
                <w:rFonts w:ascii="Arial" w:cs="Arial" w:eastAsia="Arial" w:hAnsi="Arial"/>
                <w:sz w:val="14"/>
                <w:szCs w:val="14"/>
                <w:b w:val="1"/>
                <w:bCs w:val="1"/>
                <w:color w:val="012E6C"/>
              </w:rPr>
              <w:t>Orlando P. Carvalho</w:t>
            </w:r>
          </w:p>
        </w:tc>
        <w:tc>
          <w:tcPr>
            <w:tcW w:w="1740" w:type="dxa"/>
            <w:vAlign w:val="bottom"/>
            <w:tcBorders>
              <w:bottom w:val="single" w:sz="8" w:color="959595"/>
            </w:tcBorders>
          </w:tcPr>
          <w:p>
            <w:pPr>
              <w:ind w:left="20"/>
              <w:spacing w:after="0"/>
              <w:rPr>
                <w:sz w:val="20"/>
                <w:szCs w:val="20"/>
                <w:color w:val="auto"/>
              </w:rPr>
            </w:pPr>
            <w:r>
              <w:rPr>
                <w:rFonts w:ascii="Arial" w:cs="Arial" w:eastAsia="Arial" w:hAnsi="Arial"/>
                <w:sz w:val="14"/>
                <w:szCs w:val="14"/>
                <w:color w:val="auto"/>
              </w:rPr>
              <w:t>Supplemental Pension</w:t>
            </w:r>
          </w:p>
        </w:tc>
        <w:tc>
          <w:tcPr>
            <w:tcW w:w="1220" w:type="dxa"/>
            <w:vAlign w:val="bottom"/>
            <w:tcBorders>
              <w:bottom w:val="single" w:sz="8" w:color="959595"/>
            </w:tcBorders>
          </w:tcPr>
          <w:p>
            <w:pPr>
              <w:jc w:val="right"/>
              <w:ind w:right="148"/>
              <w:spacing w:after="0"/>
              <w:rPr>
                <w:sz w:val="20"/>
                <w:szCs w:val="20"/>
                <w:color w:val="auto"/>
              </w:rPr>
            </w:pPr>
            <w:r>
              <w:rPr>
                <w:rFonts w:ascii="Arial" w:cs="Arial" w:eastAsia="Arial" w:hAnsi="Arial"/>
                <w:sz w:val="14"/>
                <w:szCs w:val="14"/>
                <w:color w:val="auto"/>
              </w:rPr>
              <w:t>15,323,509</w:t>
            </w:r>
          </w:p>
        </w:tc>
        <w:tc>
          <w:tcPr>
            <w:tcW w:w="114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15,323,509</w:t>
            </w:r>
          </w:p>
        </w:tc>
        <w:tc>
          <w:tcPr>
            <w:tcW w:w="114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color w:val="auto"/>
              </w:rPr>
              <w:t>15,323,509</w:t>
            </w:r>
          </w:p>
        </w:tc>
        <w:tc>
          <w:tcPr>
            <w:tcW w:w="1140" w:type="dxa"/>
            <w:vAlign w:val="bottom"/>
            <w:tcBorders>
              <w:bottom w:val="single" w:sz="8" w:color="959595"/>
            </w:tcBorders>
          </w:tcPr>
          <w:p>
            <w:pPr>
              <w:jc w:val="right"/>
              <w:ind w:right="148"/>
              <w:spacing w:after="0"/>
              <w:rPr>
                <w:sz w:val="20"/>
                <w:szCs w:val="20"/>
                <w:color w:val="auto"/>
              </w:rPr>
            </w:pPr>
            <w:r>
              <w:rPr>
                <w:rFonts w:ascii="Arial" w:cs="Arial" w:eastAsia="Arial" w:hAnsi="Arial"/>
                <w:sz w:val="14"/>
                <w:szCs w:val="14"/>
                <w:color w:val="auto"/>
              </w:rPr>
              <w:t>15,323,509</w:t>
            </w:r>
          </w:p>
        </w:tc>
        <w:tc>
          <w:tcPr>
            <w:tcW w:w="1120" w:type="dxa"/>
            <w:vAlign w:val="bottom"/>
            <w:tcBorders>
              <w:bottom w:val="single" w:sz="8" w:color="959595"/>
            </w:tcBorders>
          </w:tcPr>
          <w:p>
            <w:pPr>
              <w:jc w:val="right"/>
              <w:ind w:right="128"/>
              <w:spacing w:after="0"/>
              <w:rPr>
                <w:sz w:val="20"/>
                <w:szCs w:val="20"/>
                <w:color w:val="auto"/>
              </w:rPr>
            </w:pPr>
            <w:r>
              <w:rPr>
                <w:rFonts w:ascii="Arial" w:cs="Arial" w:eastAsia="Arial" w:hAnsi="Arial"/>
                <w:sz w:val="14"/>
                <w:szCs w:val="14"/>
                <w:color w:val="auto"/>
              </w:rPr>
              <w:t>15,323,509</w:t>
            </w:r>
          </w:p>
        </w:tc>
        <w:tc>
          <w:tcPr>
            <w:tcW w:w="104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15,323,509</w:t>
            </w:r>
          </w:p>
        </w:tc>
        <w:tc>
          <w:tcPr>
            <w:tcW w:w="0" w:type="dxa"/>
            <w:vAlign w:val="bottom"/>
          </w:tcPr>
          <w:p>
            <w:pPr>
              <w:spacing w:after="0"/>
              <w:rPr>
                <w:sz w:val="1"/>
                <w:szCs w:val="1"/>
                <w:color w:val="auto"/>
              </w:rPr>
            </w:pPr>
          </w:p>
        </w:tc>
      </w:tr>
      <w:tr>
        <w:trPr>
          <w:trHeight w:val="247"/>
        </w:trPr>
        <w:tc>
          <w:tcPr>
            <w:tcW w:w="2880" w:type="dxa"/>
            <w:vAlign w:val="bottom"/>
          </w:tcPr>
          <w:p>
            <w:pPr>
              <w:spacing w:after="0"/>
              <w:rPr>
                <w:sz w:val="21"/>
                <w:szCs w:val="21"/>
                <w:color w:val="auto"/>
              </w:rPr>
            </w:pPr>
          </w:p>
        </w:tc>
        <w:tc>
          <w:tcPr>
            <w:tcW w:w="1740" w:type="dxa"/>
            <w:vAlign w:val="bottom"/>
            <w:tcBorders>
              <w:bottom w:val="single" w:sz="8" w:color="959595"/>
            </w:tcBorders>
          </w:tcPr>
          <w:p>
            <w:pPr>
              <w:ind w:left="20"/>
              <w:spacing w:after="0"/>
              <w:rPr>
                <w:sz w:val="20"/>
                <w:szCs w:val="20"/>
                <w:color w:val="auto"/>
              </w:rPr>
            </w:pPr>
            <w:r>
              <w:rPr>
                <w:rFonts w:ascii="Arial" w:cs="Arial" w:eastAsia="Arial" w:hAnsi="Arial"/>
                <w:sz w:val="14"/>
                <w:szCs w:val="14"/>
                <w:color w:val="auto"/>
              </w:rPr>
              <w:t>LTIP</w:t>
            </w:r>
          </w:p>
        </w:tc>
        <w:tc>
          <w:tcPr>
            <w:tcW w:w="1220" w:type="dxa"/>
            <w:vAlign w:val="bottom"/>
            <w:tcBorders>
              <w:bottom w:val="single" w:sz="8" w:color="959595"/>
            </w:tcBorders>
          </w:tcPr>
          <w:p>
            <w:pPr>
              <w:jc w:val="right"/>
              <w:ind w:right="148"/>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1,390,000</w:t>
            </w:r>
          </w:p>
        </w:tc>
        <w:tc>
          <w:tcPr>
            <w:tcW w:w="114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959595"/>
            </w:tcBorders>
          </w:tcPr>
          <w:p>
            <w:pPr>
              <w:jc w:val="right"/>
              <w:ind w:right="148"/>
              <w:spacing w:after="0"/>
              <w:rPr>
                <w:sz w:val="20"/>
                <w:szCs w:val="20"/>
                <w:color w:val="auto"/>
              </w:rPr>
            </w:pPr>
            <w:r>
              <w:rPr>
                <w:rFonts w:ascii="Arial" w:cs="Arial" w:eastAsia="Arial" w:hAnsi="Arial"/>
                <w:sz w:val="14"/>
                <w:szCs w:val="14"/>
                <w:color w:val="auto"/>
              </w:rPr>
              <w:t>0</w:t>
            </w:r>
          </w:p>
        </w:tc>
        <w:tc>
          <w:tcPr>
            <w:tcW w:w="1120" w:type="dxa"/>
            <w:vAlign w:val="bottom"/>
            <w:tcBorders>
              <w:bottom w:val="single" w:sz="8" w:color="959595"/>
            </w:tcBorders>
          </w:tcPr>
          <w:p>
            <w:pPr>
              <w:jc w:val="right"/>
              <w:ind w:right="128"/>
              <w:spacing w:after="0"/>
              <w:rPr>
                <w:sz w:val="20"/>
                <w:szCs w:val="20"/>
                <w:color w:val="auto"/>
              </w:rPr>
            </w:pPr>
            <w:r>
              <w:rPr>
                <w:rFonts w:ascii="Arial" w:cs="Arial" w:eastAsia="Arial" w:hAnsi="Arial"/>
                <w:sz w:val="14"/>
                <w:szCs w:val="14"/>
                <w:color w:val="auto"/>
              </w:rPr>
              <w:t>0</w:t>
            </w:r>
          </w:p>
        </w:tc>
        <w:tc>
          <w:tcPr>
            <w:tcW w:w="104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50"/>
        </w:trPr>
        <w:tc>
          <w:tcPr>
            <w:tcW w:w="2880" w:type="dxa"/>
            <w:vAlign w:val="bottom"/>
          </w:tcPr>
          <w:p>
            <w:pPr>
              <w:spacing w:after="0"/>
              <w:rPr>
                <w:sz w:val="21"/>
                <w:szCs w:val="21"/>
                <w:color w:val="auto"/>
              </w:rPr>
            </w:pPr>
          </w:p>
        </w:tc>
        <w:tc>
          <w:tcPr>
            <w:tcW w:w="1740" w:type="dxa"/>
            <w:vAlign w:val="bottom"/>
            <w:tcBorders>
              <w:bottom w:val="single" w:sz="8" w:color="959595"/>
            </w:tcBorders>
          </w:tcPr>
          <w:p>
            <w:pPr>
              <w:ind w:left="20"/>
              <w:spacing w:after="0"/>
              <w:rPr>
                <w:sz w:val="20"/>
                <w:szCs w:val="20"/>
                <w:color w:val="auto"/>
              </w:rPr>
            </w:pPr>
            <w:r>
              <w:rPr>
                <w:rFonts w:ascii="Arial" w:cs="Arial" w:eastAsia="Arial" w:hAnsi="Arial"/>
                <w:sz w:val="14"/>
                <w:szCs w:val="14"/>
                <w:color w:val="auto"/>
              </w:rPr>
              <w:t>RSUs</w:t>
            </w:r>
          </w:p>
        </w:tc>
        <w:tc>
          <w:tcPr>
            <w:tcW w:w="1220" w:type="dxa"/>
            <w:vAlign w:val="bottom"/>
            <w:tcBorders>
              <w:bottom w:val="single" w:sz="8" w:color="959595"/>
            </w:tcBorders>
          </w:tcPr>
          <w:p>
            <w:pPr>
              <w:jc w:val="right"/>
              <w:ind w:right="148"/>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3,164,431</w:t>
            </w:r>
          </w:p>
        </w:tc>
        <w:tc>
          <w:tcPr>
            <w:tcW w:w="114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color w:val="auto"/>
              </w:rPr>
              <w:t>3,164,431</w:t>
            </w:r>
          </w:p>
        </w:tc>
        <w:tc>
          <w:tcPr>
            <w:tcW w:w="1140" w:type="dxa"/>
            <w:vAlign w:val="bottom"/>
            <w:tcBorders>
              <w:bottom w:val="single" w:sz="8" w:color="959595"/>
            </w:tcBorders>
          </w:tcPr>
          <w:p>
            <w:pPr>
              <w:jc w:val="right"/>
              <w:ind w:right="148"/>
              <w:spacing w:after="0"/>
              <w:rPr>
                <w:sz w:val="20"/>
                <w:szCs w:val="20"/>
                <w:color w:val="auto"/>
              </w:rPr>
            </w:pPr>
            <w:r>
              <w:rPr>
                <w:rFonts w:ascii="Arial" w:cs="Arial" w:eastAsia="Arial" w:hAnsi="Arial"/>
                <w:sz w:val="14"/>
                <w:szCs w:val="14"/>
                <w:color w:val="auto"/>
              </w:rPr>
              <w:t>0</w:t>
            </w:r>
          </w:p>
        </w:tc>
        <w:tc>
          <w:tcPr>
            <w:tcW w:w="1120" w:type="dxa"/>
            <w:vAlign w:val="bottom"/>
            <w:tcBorders>
              <w:bottom w:val="single" w:sz="8" w:color="959595"/>
            </w:tcBorders>
          </w:tcPr>
          <w:p>
            <w:pPr>
              <w:jc w:val="right"/>
              <w:ind w:right="128"/>
              <w:spacing w:after="0"/>
              <w:rPr>
                <w:sz w:val="20"/>
                <w:szCs w:val="20"/>
                <w:color w:val="auto"/>
              </w:rPr>
            </w:pPr>
            <w:r>
              <w:rPr>
                <w:rFonts w:ascii="Arial" w:cs="Arial" w:eastAsia="Arial" w:hAnsi="Arial"/>
                <w:sz w:val="14"/>
                <w:szCs w:val="14"/>
                <w:color w:val="auto"/>
              </w:rPr>
              <w:t>0</w:t>
            </w:r>
          </w:p>
        </w:tc>
        <w:tc>
          <w:tcPr>
            <w:tcW w:w="104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50"/>
        </w:trPr>
        <w:tc>
          <w:tcPr>
            <w:tcW w:w="2880" w:type="dxa"/>
            <w:vAlign w:val="bottom"/>
          </w:tcPr>
          <w:p>
            <w:pPr>
              <w:spacing w:after="0"/>
              <w:rPr>
                <w:sz w:val="21"/>
                <w:szCs w:val="21"/>
                <w:color w:val="auto"/>
              </w:rPr>
            </w:pPr>
          </w:p>
        </w:tc>
        <w:tc>
          <w:tcPr>
            <w:tcW w:w="1740" w:type="dxa"/>
            <w:vAlign w:val="bottom"/>
            <w:tcBorders>
              <w:bottom w:val="single" w:sz="8" w:color="959595"/>
            </w:tcBorders>
          </w:tcPr>
          <w:p>
            <w:pPr>
              <w:ind w:left="20"/>
              <w:spacing w:after="0"/>
              <w:rPr>
                <w:sz w:val="20"/>
                <w:szCs w:val="20"/>
                <w:color w:val="auto"/>
              </w:rPr>
            </w:pPr>
            <w:r>
              <w:rPr>
                <w:rFonts w:ascii="Arial" w:cs="Arial" w:eastAsia="Arial" w:hAnsi="Arial"/>
                <w:sz w:val="14"/>
                <w:szCs w:val="14"/>
                <w:color w:val="auto"/>
              </w:rPr>
              <w:t>PSUs</w:t>
            </w:r>
          </w:p>
        </w:tc>
        <w:tc>
          <w:tcPr>
            <w:tcW w:w="1220" w:type="dxa"/>
            <w:vAlign w:val="bottom"/>
            <w:tcBorders>
              <w:bottom w:val="single" w:sz="8" w:color="959595"/>
            </w:tcBorders>
          </w:tcPr>
          <w:p>
            <w:pPr>
              <w:jc w:val="right"/>
              <w:ind w:right="148"/>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5,303,785</w:t>
            </w:r>
          </w:p>
        </w:tc>
        <w:tc>
          <w:tcPr>
            <w:tcW w:w="114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959595"/>
            </w:tcBorders>
          </w:tcPr>
          <w:p>
            <w:pPr>
              <w:jc w:val="right"/>
              <w:ind w:right="148"/>
              <w:spacing w:after="0"/>
              <w:rPr>
                <w:sz w:val="20"/>
                <w:szCs w:val="20"/>
                <w:color w:val="auto"/>
              </w:rPr>
            </w:pPr>
            <w:r>
              <w:rPr>
                <w:rFonts w:ascii="Arial" w:cs="Arial" w:eastAsia="Arial" w:hAnsi="Arial"/>
                <w:sz w:val="14"/>
                <w:szCs w:val="14"/>
                <w:color w:val="auto"/>
              </w:rPr>
              <w:t>0</w:t>
            </w:r>
          </w:p>
        </w:tc>
        <w:tc>
          <w:tcPr>
            <w:tcW w:w="1120" w:type="dxa"/>
            <w:vAlign w:val="bottom"/>
            <w:tcBorders>
              <w:bottom w:val="single" w:sz="8" w:color="959595"/>
            </w:tcBorders>
          </w:tcPr>
          <w:p>
            <w:pPr>
              <w:jc w:val="right"/>
              <w:ind w:right="128"/>
              <w:spacing w:after="0"/>
              <w:rPr>
                <w:sz w:val="20"/>
                <w:szCs w:val="20"/>
                <w:color w:val="auto"/>
              </w:rPr>
            </w:pPr>
            <w:r>
              <w:rPr>
                <w:rFonts w:ascii="Arial" w:cs="Arial" w:eastAsia="Arial" w:hAnsi="Arial"/>
                <w:sz w:val="14"/>
                <w:szCs w:val="14"/>
                <w:color w:val="auto"/>
              </w:rPr>
              <w:t>0</w:t>
            </w:r>
          </w:p>
        </w:tc>
        <w:tc>
          <w:tcPr>
            <w:tcW w:w="104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50"/>
        </w:trPr>
        <w:tc>
          <w:tcPr>
            <w:tcW w:w="2880" w:type="dxa"/>
            <w:vAlign w:val="bottom"/>
          </w:tcPr>
          <w:p>
            <w:pPr>
              <w:spacing w:after="0"/>
              <w:rPr>
                <w:sz w:val="21"/>
                <w:szCs w:val="21"/>
                <w:color w:val="auto"/>
              </w:rPr>
            </w:pPr>
          </w:p>
        </w:tc>
        <w:tc>
          <w:tcPr>
            <w:tcW w:w="1740" w:type="dxa"/>
            <w:vAlign w:val="bottom"/>
            <w:tcBorders>
              <w:bottom w:val="single" w:sz="8" w:color="959595"/>
            </w:tcBorders>
          </w:tcPr>
          <w:p>
            <w:pPr>
              <w:ind w:left="20"/>
              <w:spacing w:after="0"/>
              <w:rPr>
                <w:sz w:val="20"/>
                <w:szCs w:val="20"/>
                <w:color w:val="auto"/>
              </w:rPr>
            </w:pPr>
            <w:r>
              <w:rPr>
                <w:rFonts w:ascii="Arial" w:cs="Arial" w:eastAsia="Arial" w:hAnsi="Arial"/>
                <w:sz w:val="14"/>
                <w:szCs w:val="14"/>
                <w:color w:val="auto"/>
              </w:rPr>
              <w:t>Executive Severance</w:t>
            </w:r>
          </w:p>
        </w:tc>
        <w:tc>
          <w:tcPr>
            <w:tcW w:w="1220" w:type="dxa"/>
            <w:vAlign w:val="bottom"/>
            <w:tcBorders>
              <w:bottom w:val="single" w:sz="8" w:color="959595"/>
            </w:tcBorders>
          </w:tcPr>
          <w:p>
            <w:pPr>
              <w:jc w:val="right"/>
              <w:ind w:right="148"/>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959595"/>
            </w:tcBorders>
          </w:tcPr>
          <w:p>
            <w:pPr>
              <w:jc w:val="right"/>
              <w:ind w:right="148"/>
              <w:spacing w:after="0"/>
              <w:rPr>
                <w:sz w:val="20"/>
                <w:szCs w:val="20"/>
                <w:color w:val="auto"/>
              </w:rPr>
            </w:pPr>
            <w:r>
              <w:rPr>
                <w:rFonts w:ascii="Arial" w:cs="Arial" w:eastAsia="Arial" w:hAnsi="Arial"/>
                <w:sz w:val="14"/>
                <w:szCs w:val="14"/>
                <w:color w:val="auto"/>
              </w:rPr>
              <w:t>2,667,752</w:t>
            </w:r>
          </w:p>
        </w:tc>
        <w:tc>
          <w:tcPr>
            <w:tcW w:w="1120" w:type="dxa"/>
            <w:vAlign w:val="bottom"/>
            <w:tcBorders>
              <w:bottom w:val="single" w:sz="8" w:color="959595"/>
            </w:tcBorders>
          </w:tcPr>
          <w:p>
            <w:pPr>
              <w:jc w:val="right"/>
              <w:ind w:right="128"/>
              <w:spacing w:after="0"/>
              <w:rPr>
                <w:sz w:val="20"/>
                <w:szCs w:val="20"/>
                <w:color w:val="auto"/>
              </w:rPr>
            </w:pPr>
            <w:r>
              <w:rPr>
                <w:rFonts w:ascii="Arial" w:cs="Arial" w:eastAsia="Arial" w:hAnsi="Arial"/>
                <w:sz w:val="14"/>
                <w:szCs w:val="14"/>
                <w:color w:val="auto"/>
              </w:rPr>
              <w:t>0</w:t>
            </w:r>
          </w:p>
        </w:tc>
        <w:tc>
          <w:tcPr>
            <w:tcW w:w="104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53"/>
        </w:trPr>
        <w:tc>
          <w:tcPr>
            <w:tcW w:w="2880" w:type="dxa"/>
            <w:vAlign w:val="bottom"/>
            <w:tcBorders>
              <w:bottom w:val="single" w:sz="8" w:color="959595"/>
            </w:tcBorders>
          </w:tcPr>
          <w:p>
            <w:pPr>
              <w:spacing w:after="0"/>
              <w:rPr>
                <w:sz w:val="22"/>
                <w:szCs w:val="22"/>
                <w:color w:val="auto"/>
              </w:rPr>
            </w:pPr>
          </w:p>
        </w:tc>
        <w:tc>
          <w:tcPr>
            <w:tcW w:w="1740" w:type="dxa"/>
            <w:vAlign w:val="bottom"/>
            <w:tcBorders>
              <w:bottom w:val="single" w:sz="8" w:color="959595"/>
            </w:tcBorders>
          </w:tcPr>
          <w:p>
            <w:pPr>
              <w:ind w:left="20"/>
              <w:spacing w:after="0"/>
              <w:rPr>
                <w:sz w:val="20"/>
                <w:szCs w:val="20"/>
                <w:color w:val="auto"/>
              </w:rPr>
            </w:pPr>
            <w:r>
              <w:rPr>
                <w:rFonts w:ascii="Arial" w:cs="Arial" w:eastAsia="Arial" w:hAnsi="Arial"/>
                <w:sz w:val="14"/>
                <w:szCs w:val="14"/>
                <w:b w:val="1"/>
                <w:bCs w:val="1"/>
                <w:color w:val="auto"/>
              </w:rPr>
              <w:t>TOTAL</w:t>
            </w:r>
          </w:p>
        </w:tc>
        <w:tc>
          <w:tcPr>
            <w:tcW w:w="1220" w:type="dxa"/>
            <w:vAlign w:val="bottom"/>
            <w:tcBorders>
              <w:bottom w:val="single" w:sz="8" w:color="959595"/>
            </w:tcBorders>
          </w:tcPr>
          <w:p>
            <w:pPr>
              <w:jc w:val="right"/>
              <w:ind w:right="148"/>
              <w:spacing w:after="0"/>
              <w:rPr>
                <w:sz w:val="20"/>
                <w:szCs w:val="20"/>
                <w:color w:val="auto"/>
              </w:rPr>
            </w:pPr>
            <w:r>
              <w:rPr>
                <w:rFonts w:ascii="Arial" w:cs="Arial" w:eastAsia="Arial" w:hAnsi="Arial"/>
                <w:sz w:val="14"/>
                <w:szCs w:val="14"/>
                <w:b w:val="1"/>
                <w:bCs w:val="1"/>
                <w:color w:val="auto"/>
              </w:rPr>
              <w:t>15,323,509</w:t>
            </w:r>
          </w:p>
        </w:tc>
        <w:tc>
          <w:tcPr>
            <w:tcW w:w="114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b w:val="1"/>
                <w:bCs w:val="1"/>
                <w:color w:val="auto"/>
              </w:rPr>
              <w:t>25,181,725</w:t>
            </w:r>
          </w:p>
        </w:tc>
        <w:tc>
          <w:tcPr>
            <w:tcW w:w="114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b w:val="1"/>
                <w:bCs w:val="1"/>
                <w:color w:val="auto"/>
              </w:rPr>
              <w:t>18,487,940</w:t>
            </w:r>
          </w:p>
        </w:tc>
        <w:tc>
          <w:tcPr>
            <w:tcW w:w="1140" w:type="dxa"/>
            <w:vAlign w:val="bottom"/>
            <w:tcBorders>
              <w:bottom w:val="single" w:sz="8" w:color="959595"/>
            </w:tcBorders>
          </w:tcPr>
          <w:p>
            <w:pPr>
              <w:jc w:val="right"/>
              <w:ind w:right="148"/>
              <w:spacing w:after="0"/>
              <w:rPr>
                <w:sz w:val="20"/>
                <w:szCs w:val="20"/>
                <w:color w:val="auto"/>
              </w:rPr>
            </w:pPr>
            <w:r>
              <w:rPr>
                <w:rFonts w:ascii="Arial" w:cs="Arial" w:eastAsia="Arial" w:hAnsi="Arial"/>
                <w:sz w:val="14"/>
                <w:szCs w:val="14"/>
                <w:b w:val="1"/>
                <w:bCs w:val="1"/>
                <w:color w:val="auto"/>
              </w:rPr>
              <w:t>17,991,261</w:t>
            </w:r>
          </w:p>
        </w:tc>
        <w:tc>
          <w:tcPr>
            <w:tcW w:w="1120" w:type="dxa"/>
            <w:vAlign w:val="bottom"/>
            <w:tcBorders>
              <w:bottom w:val="single" w:sz="8" w:color="959595"/>
            </w:tcBorders>
          </w:tcPr>
          <w:p>
            <w:pPr>
              <w:jc w:val="right"/>
              <w:ind w:right="128"/>
              <w:spacing w:after="0"/>
              <w:rPr>
                <w:sz w:val="20"/>
                <w:szCs w:val="20"/>
                <w:color w:val="auto"/>
              </w:rPr>
            </w:pPr>
            <w:r>
              <w:rPr>
                <w:rFonts w:ascii="Arial" w:cs="Arial" w:eastAsia="Arial" w:hAnsi="Arial"/>
                <w:sz w:val="14"/>
                <w:szCs w:val="14"/>
                <w:b w:val="1"/>
                <w:bCs w:val="1"/>
                <w:color w:val="auto"/>
              </w:rPr>
              <w:t>15,323,509</w:t>
            </w:r>
          </w:p>
        </w:tc>
        <w:tc>
          <w:tcPr>
            <w:tcW w:w="104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b w:val="1"/>
                <w:bCs w:val="1"/>
                <w:color w:val="auto"/>
              </w:rPr>
              <w:t>15,323,509</w:t>
            </w:r>
          </w:p>
        </w:tc>
        <w:tc>
          <w:tcPr>
            <w:tcW w:w="0" w:type="dxa"/>
            <w:vAlign w:val="bottom"/>
          </w:tcPr>
          <w:p>
            <w:pPr>
              <w:spacing w:after="0"/>
              <w:rPr>
                <w:sz w:val="1"/>
                <w:szCs w:val="1"/>
                <w:color w:val="auto"/>
              </w:rPr>
            </w:pPr>
          </w:p>
        </w:tc>
      </w:tr>
      <w:tr>
        <w:trPr>
          <w:trHeight w:val="210"/>
        </w:trPr>
        <w:tc>
          <w:tcPr>
            <w:tcW w:w="2880" w:type="dxa"/>
            <w:vAlign w:val="bottom"/>
          </w:tcPr>
          <w:p>
            <w:pPr>
              <w:ind w:left="40"/>
              <w:spacing w:after="0"/>
              <w:rPr>
                <w:sz w:val="20"/>
                <w:szCs w:val="20"/>
                <w:color w:val="auto"/>
              </w:rPr>
            </w:pPr>
            <w:r>
              <w:rPr>
                <w:rFonts w:ascii="Arial" w:cs="Arial" w:eastAsia="Arial" w:hAnsi="Arial"/>
                <w:sz w:val="14"/>
                <w:szCs w:val="14"/>
                <w:b w:val="1"/>
                <w:bCs w:val="1"/>
                <w:color w:val="012E6C"/>
              </w:rPr>
              <w:t>Richard H. Edwards</w:t>
            </w:r>
          </w:p>
        </w:tc>
        <w:tc>
          <w:tcPr>
            <w:tcW w:w="1740" w:type="dxa"/>
            <w:vAlign w:val="bottom"/>
            <w:tcBorders>
              <w:bottom w:val="single" w:sz="8" w:color="959595"/>
            </w:tcBorders>
          </w:tcPr>
          <w:p>
            <w:pPr>
              <w:ind w:left="20"/>
              <w:spacing w:after="0"/>
              <w:rPr>
                <w:sz w:val="20"/>
                <w:szCs w:val="20"/>
                <w:color w:val="auto"/>
              </w:rPr>
            </w:pPr>
            <w:r>
              <w:rPr>
                <w:rFonts w:ascii="Arial" w:cs="Arial" w:eastAsia="Arial" w:hAnsi="Arial"/>
                <w:sz w:val="14"/>
                <w:szCs w:val="14"/>
                <w:color w:val="auto"/>
              </w:rPr>
              <w:t>Supplemental Pension</w:t>
            </w:r>
          </w:p>
        </w:tc>
        <w:tc>
          <w:tcPr>
            <w:tcW w:w="1220" w:type="dxa"/>
            <w:vAlign w:val="bottom"/>
            <w:tcBorders>
              <w:bottom w:val="single" w:sz="8" w:color="959595"/>
            </w:tcBorders>
          </w:tcPr>
          <w:p>
            <w:pPr>
              <w:jc w:val="right"/>
              <w:ind w:right="148"/>
              <w:spacing w:after="0"/>
              <w:rPr>
                <w:sz w:val="20"/>
                <w:szCs w:val="20"/>
                <w:color w:val="auto"/>
              </w:rPr>
            </w:pPr>
            <w:r>
              <w:rPr>
                <w:rFonts w:ascii="Arial" w:cs="Arial" w:eastAsia="Arial" w:hAnsi="Arial"/>
                <w:sz w:val="14"/>
                <w:szCs w:val="14"/>
                <w:color w:val="auto"/>
              </w:rPr>
              <w:t>11,752,759</w:t>
            </w:r>
          </w:p>
        </w:tc>
        <w:tc>
          <w:tcPr>
            <w:tcW w:w="114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11,752,759</w:t>
            </w:r>
          </w:p>
        </w:tc>
        <w:tc>
          <w:tcPr>
            <w:tcW w:w="114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color w:val="auto"/>
              </w:rPr>
              <w:t>11,752,759</w:t>
            </w:r>
          </w:p>
        </w:tc>
        <w:tc>
          <w:tcPr>
            <w:tcW w:w="1140" w:type="dxa"/>
            <w:vAlign w:val="bottom"/>
            <w:tcBorders>
              <w:bottom w:val="single" w:sz="8" w:color="959595"/>
            </w:tcBorders>
          </w:tcPr>
          <w:p>
            <w:pPr>
              <w:jc w:val="right"/>
              <w:ind w:right="148"/>
              <w:spacing w:after="0"/>
              <w:rPr>
                <w:sz w:val="20"/>
                <w:szCs w:val="20"/>
                <w:color w:val="auto"/>
              </w:rPr>
            </w:pPr>
            <w:r>
              <w:rPr>
                <w:rFonts w:ascii="Arial" w:cs="Arial" w:eastAsia="Arial" w:hAnsi="Arial"/>
                <w:sz w:val="14"/>
                <w:szCs w:val="14"/>
                <w:color w:val="auto"/>
              </w:rPr>
              <w:t>11,752,759</w:t>
            </w:r>
          </w:p>
        </w:tc>
        <w:tc>
          <w:tcPr>
            <w:tcW w:w="1120" w:type="dxa"/>
            <w:vAlign w:val="bottom"/>
            <w:tcBorders>
              <w:bottom w:val="single" w:sz="8" w:color="959595"/>
            </w:tcBorders>
          </w:tcPr>
          <w:p>
            <w:pPr>
              <w:jc w:val="right"/>
              <w:ind w:right="128"/>
              <w:spacing w:after="0"/>
              <w:rPr>
                <w:sz w:val="20"/>
                <w:szCs w:val="20"/>
                <w:color w:val="auto"/>
              </w:rPr>
            </w:pPr>
            <w:r>
              <w:rPr>
                <w:rFonts w:ascii="Arial" w:cs="Arial" w:eastAsia="Arial" w:hAnsi="Arial"/>
                <w:sz w:val="14"/>
                <w:szCs w:val="14"/>
                <w:color w:val="auto"/>
              </w:rPr>
              <w:t>11,752,759</w:t>
            </w:r>
          </w:p>
        </w:tc>
        <w:tc>
          <w:tcPr>
            <w:tcW w:w="104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11,752,759</w:t>
            </w:r>
          </w:p>
        </w:tc>
        <w:tc>
          <w:tcPr>
            <w:tcW w:w="0" w:type="dxa"/>
            <w:vAlign w:val="bottom"/>
          </w:tcPr>
          <w:p>
            <w:pPr>
              <w:spacing w:after="0"/>
              <w:rPr>
                <w:sz w:val="1"/>
                <w:szCs w:val="1"/>
                <w:color w:val="auto"/>
              </w:rPr>
            </w:pPr>
          </w:p>
        </w:tc>
      </w:tr>
      <w:tr>
        <w:trPr>
          <w:trHeight w:val="247"/>
        </w:trPr>
        <w:tc>
          <w:tcPr>
            <w:tcW w:w="2880" w:type="dxa"/>
            <w:vAlign w:val="bottom"/>
          </w:tcPr>
          <w:p>
            <w:pPr>
              <w:spacing w:after="0"/>
              <w:rPr>
                <w:sz w:val="21"/>
                <w:szCs w:val="21"/>
                <w:color w:val="auto"/>
              </w:rPr>
            </w:pPr>
          </w:p>
        </w:tc>
        <w:tc>
          <w:tcPr>
            <w:tcW w:w="1740" w:type="dxa"/>
            <w:vAlign w:val="bottom"/>
            <w:tcBorders>
              <w:bottom w:val="single" w:sz="8" w:color="959595"/>
            </w:tcBorders>
          </w:tcPr>
          <w:p>
            <w:pPr>
              <w:ind w:left="20"/>
              <w:spacing w:after="0"/>
              <w:rPr>
                <w:sz w:val="20"/>
                <w:szCs w:val="20"/>
                <w:color w:val="auto"/>
              </w:rPr>
            </w:pPr>
            <w:r>
              <w:rPr>
                <w:rFonts w:ascii="Arial" w:cs="Arial" w:eastAsia="Arial" w:hAnsi="Arial"/>
                <w:sz w:val="14"/>
                <w:szCs w:val="14"/>
                <w:color w:val="auto"/>
              </w:rPr>
              <w:t>LTIP</w:t>
            </w:r>
          </w:p>
        </w:tc>
        <w:tc>
          <w:tcPr>
            <w:tcW w:w="1220" w:type="dxa"/>
            <w:vAlign w:val="bottom"/>
            <w:tcBorders>
              <w:bottom w:val="single" w:sz="8" w:color="959595"/>
            </w:tcBorders>
          </w:tcPr>
          <w:p>
            <w:pPr>
              <w:jc w:val="right"/>
              <w:ind w:right="148"/>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1,270,000</w:t>
            </w:r>
          </w:p>
        </w:tc>
        <w:tc>
          <w:tcPr>
            <w:tcW w:w="114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959595"/>
            </w:tcBorders>
          </w:tcPr>
          <w:p>
            <w:pPr>
              <w:jc w:val="right"/>
              <w:ind w:right="148"/>
              <w:spacing w:after="0"/>
              <w:rPr>
                <w:sz w:val="20"/>
                <w:szCs w:val="20"/>
                <w:color w:val="auto"/>
              </w:rPr>
            </w:pPr>
            <w:r>
              <w:rPr>
                <w:rFonts w:ascii="Arial" w:cs="Arial" w:eastAsia="Arial" w:hAnsi="Arial"/>
                <w:sz w:val="14"/>
                <w:szCs w:val="14"/>
                <w:color w:val="auto"/>
              </w:rPr>
              <w:t>0</w:t>
            </w:r>
          </w:p>
        </w:tc>
        <w:tc>
          <w:tcPr>
            <w:tcW w:w="1120" w:type="dxa"/>
            <w:vAlign w:val="bottom"/>
            <w:tcBorders>
              <w:bottom w:val="single" w:sz="8" w:color="959595"/>
            </w:tcBorders>
          </w:tcPr>
          <w:p>
            <w:pPr>
              <w:jc w:val="right"/>
              <w:ind w:right="128"/>
              <w:spacing w:after="0"/>
              <w:rPr>
                <w:sz w:val="20"/>
                <w:szCs w:val="20"/>
                <w:color w:val="auto"/>
              </w:rPr>
            </w:pPr>
            <w:r>
              <w:rPr>
                <w:rFonts w:ascii="Arial" w:cs="Arial" w:eastAsia="Arial" w:hAnsi="Arial"/>
                <w:sz w:val="14"/>
                <w:szCs w:val="14"/>
                <w:color w:val="auto"/>
              </w:rPr>
              <w:t>0</w:t>
            </w:r>
          </w:p>
        </w:tc>
        <w:tc>
          <w:tcPr>
            <w:tcW w:w="104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50"/>
        </w:trPr>
        <w:tc>
          <w:tcPr>
            <w:tcW w:w="2880" w:type="dxa"/>
            <w:vAlign w:val="bottom"/>
          </w:tcPr>
          <w:p>
            <w:pPr>
              <w:spacing w:after="0"/>
              <w:rPr>
                <w:sz w:val="21"/>
                <w:szCs w:val="21"/>
                <w:color w:val="auto"/>
              </w:rPr>
            </w:pPr>
          </w:p>
        </w:tc>
        <w:tc>
          <w:tcPr>
            <w:tcW w:w="1740" w:type="dxa"/>
            <w:vAlign w:val="bottom"/>
            <w:tcBorders>
              <w:bottom w:val="single" w:sz="8" w:color="959595"/>
            </w:tcBorders>
          </w:tcPr>
          <w:p>
            <w:pPr>
              <w:ind w:left="20"/>
              <w:spacing w:after="0"/>
              <w:rPr>
                <w:sz w:val="20"/>
                <w:szCs w:val="20"/>
                <w:color w:val="auto"/>
              </w:rPr>
            </w:pPr>
            <w:r>
              <w:rPr>
                <w:rFonts w:ascii="Arial" w:cs="Arial" w:eastAsia="Arial" w:hAnsi="Arial"/>
                <w:sz w:val="14"/>
                <w:szCs w:val="14"/>
                <w:color w:val="auto"/>
              </w:rPr>
              <w:t>RSUs</w:t>
            </w:r>
          </w:p>
        </w:tc>
        <w:tc>
          <w:tcPr>
            <w:tcW w:w="1220" w:type="dxa"/>
            <w:vAlign w:val="bottom"/>
            <w:tcBorders>
              <w:bottom w:val="single" w:sz="8" w:color="959595"/>
            </w:tcBorders>
          </w:tcPr>
          <w:p>
            <w:pPr>
              <w:jc w:val="right"/>
              <w:ind w:right="148"/>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2,655,928</w:t>
            </w:r>
          </w:p>
        </w:tc>
        <w:tc>
          <w:tcPr>
            <w:tcW w:w="114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color w:val="auto"/>
              </w:rPr>
              <w:t>2,655,928</w:t>
            </w:r>
          </w:p>
        </w:tc>
        <w:tc>
          <w:tcPr>
            <w:tcW w:w="1140" w:type="dxa"/>
            <w:vAlign w:val="bottom"/>
            <w:tcBorders>
              <w:bottom w:val="single" w:sz="8" w:color="959595"/>
            </w:tcBorders>
          </w:tcPr>
          <w:p>
            <w:pPr>
              <w:jc w:val="right"/>
              <w:ind w:right="148"/>
              <w:spacing w:after="0"/>
              <w:rPr>
                <w:sz w:val="20"/>
                <w:szCs w:val="20"/>
                <w:color w:val="auto"/>
              </w:rPr>
            </w:pPr>
            <w:r>
              <w:rPr>
                <w:rFonts w:ascii="Arial" w:cs="Arial" w:eastAsia="Arial" w:hAnsi="Arial"/>
                <w:sz w:val="14"/>
                <w:szCs w:val="14"/>
                <w:color w:val="auto"/>
              </w:rPr>
              <w:t>0</w:t>
            </w:r>
          </w:p>
        </w:tc>
        <w:tc>
          <w:tcPr>
            <w:tcW w:w="1120" w:type="dxa"/>
            <w:vAlign w:val="bottom"/>
            <w:tcBorders>
              <w:bottom w:val="single" w:sz="8" w:color="959595"/>
            </w:tcBorders>
          </w:tcPr>
          <w:p>
            <w:pPr>
              <w:jc w:val="right"/>
              <w:ind w:right="128"/>
              <w:spacing w:after="0"/>
              <w:rPr>
                <w:sz w:val="20"/>
                <w:szCs w:val="20"/>
                <w:color w:val="auto"/>
              </w:rPr>
            </w:pPr>
            <w:r>
              <w:rPr>
                <w:rFonts w:ascii="Arial" w:cs="Arial" w:eastAsia="Arial" w:hAnsi="Arial"/>
                <w:sz w:val="14"/>
                <w:szCs w:val="14"/>
                <w:color w:val="auto"/>
              </w:rPr>
              <w:t>0</w:t>
            </w:r>
          </w:p>
        </w:tc>
        <w:tc>
          <w:tcPr>
            <w:tcW w:w="104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50"/>
        </w:trPr>
        <w:tc>
          <w:tcPr>
            <w:tcW w:w="2880" w:type="dxa"/>
            <w:vAlign w:val="bottom"/>
          </w:tcPr>
          <w:p>
            <w:pPr>
              <w:spacing w:after="0"/>
              <w:rPr>
                <w:sz w:val="21"/>
                <w:szCs w:val="21"/>
                <w:color w:val="auto"/>
              </w:rPr>
            </w:pPr>
          </w:p>
        </w:tc>
        <w:tc>
          <w:tcPr>
            <w:tcW w:w="1740" w:type="dxa"/>
            <w:vAlign w:val="bottom"/>
            <w:tcBorders>
              <w:bottom w:val="single" w:sz="8" w:color="959595"/>
            </w:tcBorders>
          </w:tcPr>
          <w:p>
            <w:pPr>
              <w:ind w:left="20"/>
              <w:spacing w:after="0"/>
              <w:rPr>
                <w:sz w:val="20"/>
                <w:szCs w:val="20"/>
                <w:color w:val="auto"/>
              </w:rPr>
            </w:pPr>
            <w:r>
              <w:rPr>
                <w:rFonts w:ascii="Arial" w:cs="Arial" w:eastAsia="Arial" w:hAnsi="Arial"/>
                <w:sz w:val="14"/>
                <w:szCs w:val="14"/>
                <w:color w:val="auto"/>
              </w:rPr>
              <w:t>PSUs</w:t>
            </w:r>
          </w:p>
        </w:tc>
        <w:tc>
          <w:tcPr>
            <w:tcW w:w="1220" w:type="dxa"/>
            <w:vAlign w:val="bottom"/>
            <w:tcBorders>
              <w:bottom w:val="single" w:sz="8" w:color="959595"/>
            </w:tcBorders>
          </w:tcPr>
          <w:p>
            <w:pPr>
              <w:jc w:val="right"/>
              <w:ind w:right="148"/>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4,437,175</w:t>
            </w:r>
          </w:p>
        </w:tc>
        <w:tc>
          <w:tcPr>
            <w:tcW w:w="114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959595"/>
            </w:tcBorders>
          </w:tcPr>
          <w:p>
            <w:pPr>
              <w:jc w:val="right"/>
              <w:ind w:right="148"/>
              <w:spacing w:after="0"/>
              <w:rPr>
                <w:sz w:val="20"/>
                <w:szCs w:val="20"/>
                <w:color w:val="auto"/>
              </w:rPr>
            </w:pPr>
            <w:r>
              <w:rPr>
                <w:rFonts w:ascii="Arial" w:cs="Arial" w:eastAsia="Arial" w:hAnsi="Arial"/>
                <w:sz w:val="14"/>
                <w:szCs w:val="14"/>
                <w:color w:val="auto"/>
              </w:rPr>
              <w:t>0</w:t>
            </w:r>
          </w:p>
        </w:tc>
        <w:tc>
          <w:tcPr>
            <w:tcW w:w="1120" w:type="dxa"/>
            <w:vAlign w:val="bottom"/>
            <w:tcBorders>
              <w:bottom w:val="single" w:sz="8" w:color="959595"/>
            </w:tcBorders>
          </w:tcPr>
          <w:p>
            <w:pPr>
              <w:jc w:val="right"/>
              <w:ind w:right="128"/>
              <w:spacing w:after="0"/>
              <w:rPr>
                <w:sz w:val="20"/>
                <w:szCs w:val="20"/>
                <w:color w:val="auto"/>
              </w:rPr>
            </w:pPr>
            <w:r>
              <w:rPr>
                <w:rFonts w:ascii="Arial" w:cs="Arial" w:eastAsia="Arial" w:hAnsi="Arial"/>
                <w:sz w:val="14"/>
                <w:szCs w:val="14"/>
                <w:color w:val="auto"/>
              </w:rPr>
              <w:t>0</w:t>
            </w:r>
          </w:p>
        </w:tc>
        <w:tc>
          <w:tcPr>
            <w:tcW w:w="104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50"/>
        </w:trPr>
        <w:tc>
          <w:tcPr>
            <w:tcW w:w="2880" w:type="dxa"/>
            <w:vAlign w:val="bottom"/>
          </w:tcPr>
          <w:p>
            <w:pPr>
              <w:spacing w:after="0"/>
              <w:rPr>
                <w:sz w:val="21"/>
                <w:szCs w:val="21"/>
                <w:color w:val="auto"/>
              </w:rPr>
            </w:pPr>
          </w:p>
        </w:tc>
        <w:tc>
          <w:tcPr>
            <w:tcW w:w="1740" w:type="dxa"/>
            <w:vAlign w:val="bottom"/>
            <w:tcBorders>
              <w:bottom w:val="single" w:sz="8" w:color="959595"/>
            </w:tcBorders>
          </w:tcPr>
          <w:p>
            <w:pPr>
              <w:ind w:left="20"/>
              <w:spacing w:after="0"/>
              <w:rPr>
                <w:sz w:val="20"/>
                <w:szCs w:val="20"/>
                <w:color w:val="auto"/>
              </w:rPr>
            </w:pPr>
            <w:r>
              <w:rPr>
                <w:rFonts w:ascii="Arial" w:cs="Arial" w:eastAsia="Arial" w:hAnsi="Arial"/>
                <w:sz w:val="14"/>
                <w:szCs w:val="14"/>
                <w:color w:val="auto"/>
              </w:rPr>
              <w:t>Executive Severance</w:t>
            </w:r>
          </w:p>
        </w:tc>
        <w:tc>
          <w:tcPr>
            <w:tcW w:w="1220" w:type="dxa"/>
            <w:vAlign w:val="bottom"/>
            <w:tcBorders>
              <w:bottom w:val="single" w:sz="8" w:color="959595"/>
            </w:tcBorders>
          </w:tcPr>
          <w:p>
            <w:pPr>
              <w:jc w:val="right"/>
              <w:ind w:right="148"/>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959595"/>
            </w:tcBorders>
          </w:tcPr>
          <w:p>
            <w:pPr>
              <w:jc w:val="right"/>
              <w:ind w:right="148"/>
              <w:spacing w:after="0"/>
              <w:rPr>
                <w:sz w:val="20"/>
                <w:szCs w:val="20"/>
                <w:color w:val="auto"/>
              </w:rPr>
            </w:pPr>
            <w:r>
              <w:rPr>
                <w:rFonts w:ascii="Arial" w:cs="Arial" w:eastAsia="Arial" w:hAnsi="Arial"/>
                <w:sz w:val="14"/>
                <w:szCs w:val="14"/>
                <w:color w:val="auto"/>
              </w:rPr>
              <w:t>2,668,326</w:t>
            </w:r>
          </w:p>
        </w:tc>
        <w:tc>
          <w:tcPr>
            <w:tcW w:w="1120" w:type="dxa"/>
            <w:vAlign w:val="bottom"/>
            <w:tcBorders>
              <w:bottom w:val="single" w:sz="8" w:color="959595"/>
            </w:tcBorders>
          </w:tcPr>
          <w:p>
            <w:pPr>
              <w:jc w:val="right"/>
              <w:ind w:right="128"/>
              <w:spacing w:after="0"/>
              <w:rPr>
                <w:sz w:val="20"/>
                <w:szCs w:val="20"/>
                <w:color w:val="auto"/>
              </w:rPr>
            </w:pPr>
            <w:r>
              <w:rPr>
                <w:rFonts w:ascii="Arial" w:cs="Arial" w:eastAsia="Arial" w:hAnsi="Arial"/>
                <w:sz w:val="14"/>
                <w:szCs w:val="14"/>
                <w:color w:val="auto"/>
              </w:rPr>
              <w:t>0</w:t>
            </w:r>
          </w:p>
        </w:tc>
        <w:tc>
          <w:tcPr>
            <w:tcW w:w="104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53"/>
        </w:trPr>
        <w:tc>
          <w:tcPr>
            <w:tcW w:w="2880" w:type="dxa"/>
            <w:vAlign w:val="bottom"/>
            <w:tcBorders>
              <w:bottom w:val="single" w:sz="8" w:color="959595"/>
            </w:tcBorders>
          </w:tcPr>
          <w:p>
            <w:pPr>
              <w:spacing w:after="0"/>
              <w:rPr>
                <w:sz w:val="22"/>
                <w:szCs w:val="22"/>
                <w:color w:val="auto"/>
              </w:rPr>
            </w:pPr>
          </w:p>
        </w:tc>
        <w:tc>
          <w:tcPr>
            <w:tcW w:w="1740" w:type="dxa"/>
            <w:vAlign w:val="bottom"/>
            <w:tcBorders>
              <w:bottom w:val="single" w:sz="8" w:color="959595"/>
            </w:tcBorders>
          </w:tcPr>
          <w:p>
            <w:pPr>
              <w:ind w:left="20"/>
              <w:spacing w:after="0"/>
              <w:rPr>
                <w:sz w:val="20"/>
                <w:szCs w:val="20"/>
                <w:color w:val="auto"/>
              </w:rPr>
            </w:pPr>
            <w:r>
              <w:rPr>
                <w:rFonts w:ascii="Arial" w:cs="Arial" w:eastAsia="Arial" w:hAnsi="Arial"/>
                <w:sz w:val="14"/>
                <w:szCs w:val="14"/>
                <w:b w:val="1"/>
                <w:bCs w:val="1"/>
                <w:color w:val="auto"/>
              </w:rPr>
              <w:t>TOTAL</w:t>
            </w:r>
          </w:p>
        </w:tc>
        <w:tc>
          <w:tcPr>
            <w:tcW w:w="1220" w:type="dxa"/>
            <w:vAlign w:val="bottom"/>
            <w:tcBorders>
              <w:bottom w:val="single" w:sz="8" w:color="959595"/>
            </w:tcBorders>
          </w:tcPr>
          <w:p>
            <w:pPr>
              <w:jc w:val="right"/>
              <w:ind w:right="148"/>
              <w:spacing w:after="0"/>
              <w:rPr>
                <w:sz w:val="20"/>
                <w:szCs w:val="20"/>
                <w:color w:val="auto"/>
              </w:rPr>
            </w:pPr>
            <w:r>
              <w:rPr>
                <w:rFonts w:ascii="Arial" w:cs="Arial" w:eastAsia="Arial" w:hAnsi="Arial"/>
                <w:sz w:val="14"/>
                <w:szCs w:val="14"/>
                <w:b w:val="1"/>
                <w:bCs w:val="1"/>
                <w:color w:val="auto"/>
              </w:rPr>
              <w:t>11,752,759</w:t>
            </w:r>
          </w:p>
        </w:tc>
        <w:tc>
          <w:tcPr>
            <w:tcW w:w="114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b w:val="1"/>
                <w:bCs w:val="1"/>
                <w:color w:val="auto"/>
              </w:rPr>
              <w:t>20,115,862</w:t>
            </w:r>
          </w:p>
        </w:tc>
        <w:tc>
          <w:tcPr>
            <w:tcW w:w="114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b w:val="1"/>
                <w:bCs w:val="1"/>
                <w:color w:val="auto"/>
              </w:rPr>
              <w:t>14,408,687</w:t>
            </w:r>
          </w:p>
        </w:tc>
        <w:tc>
          <w:tcPr>
            <w:tcW w:w="1140" w:type="dxa"/>
            <w:vAlign w:val="bottom"/>
            <w:tcBorders>
              <w:bottom w:val="single" w:sz="8" w:color="959595"/>
            </w:tcBorders>
          </w:tcPr>
          <w:p>
            <w:pPr>
              <w:jc w:val="right"/>
              <w:ind w:right="148"/>
              <w:spacing w:after="0"/>
              <w:rPr>
                <w:sz w:val="20"/>
                <w:szCs w:val="20"/>
                <w:color w:val="auto"/>
              </w:rPr>
            </w:pPr>
            <w:r>
              <w:rPr>
                <w:rFonts w:ascii="Arial" w:cs="Arial" w:eastAsia="Arial" w:hAnsi="Arial"/>
                <w:sz w:val="14"/>
                <w:szCs w:val="14"/>
                <w:b w:val="1"/>
                <w:bCs w:val="1"/>
                <w:color w:val="auto"/>
              </w:rPr>
              <w:t>14,421,085</w:t>
            </w:r>
          </w:p>
        </w:tc>
        <w:tc>
          <w:tcPr>
            <w:tcW w:w="1120" w:type="dxa"/>
            <w:vAlign w:val="bottom"/>
            <w:tcBorders>
              <w:bottom w:val="single" w:sz="8" w:color="959595"/>
            </w:tcBorders>
          </w:tcPr>
          <w:p>
            <w:pPr>
              <w:jc w:val="right"/>
              <w:ind w:right="128"/>
              <w:spacing w:after="0"/>
              <w:rPr>
                <w:sz w:val="20"/>
                <w:szCs w:val="20"/>
                <w:color w:val="auto"/>
              </w:rPr>
            </w:pPr>
            <w:r>
              <w:rPr>
                <w:rFonts w:ascii="Arial" w:cs="Arial" w:eastAsia="Arial" w:hAnsi="Arial"/>
                <w:sz w:val="14"/>
                <w:szCs w:val="14"/>
                <w:b w:val="1"/>
                <w:bCs w:val="1"/>
                <w:color w:val="auto"/>
              </w:rPr>
              <w:t>11,752,759</w:t>
            </w:r>
          </w:p>
        </w:tc>
        <w:tc>
          <w:tcPr>
            <w:tcW w:w="104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b w:val="1"/>
                <w:bCs w:val="1"/>
                <w:color w:val="auto"/>
              </w:rPr>
              <w:t>11,752,759</w:t>
            </w:r>
          </w:p>
        </w:tc>
        <w:tc>
          <w:tcPr>
            <w:tcW w:w="0" w:type="dxa"/>
            <w:vAlign w:val="bottom"/>
          </w:tcPr>
          <w:p>
            <w:pPr>
              <w:spacing w:after="0"/>
              <w:rPr>
                <w:sz w:val="1"/>
                <w:szCs w:val="1"/>
                <w:color w:val="auto"/>
              </w:rPr>
            </w:pPr>
          </w:p>
        </w:tc>
      </w:tr>
      <w:tr>
        <w:trPr>
          <w:trHeight w:val="210"/>
        </w:trPr>
        <w:tc>
          <w:tcPr>
            <w:tcW w:w="2880" w:type="dxa"/>
            <w:vAlign w:val="bottom"/>
          </w:tcPr>
          <w:p>
            <w:pPr>
              <w:ind w:left="40"/>
              <w:spacing w:after="0"/>
              <w:rPr>
                <w:sz w:val="20"/>
                <w:szCs w:val="20"/>
                <w:color w:val="auto"/>
              </w:rPr>
            </w:pPr>
            <w:r>
              <w:rPr>
                <w:rFonts w:ascii="Arial" w:cs="Arial" w:eastAsia="Arial" w:hAnsi="Arial"/>
                <w:sz w:val="14"/>
                <w:szCs w:val="14"/>
                <w:b w:val="1"/>
                <w:bCs w:val="1"/>
                <w:color w:val="012E6C"/>
              </w:rPr>
              <w:t>Frank A. St. John</w:t>
            </w:r>
          </w:p>
        </w:tc>
        <w:tc>
          <w:tcPr>
            <w:tcW w:w="1740" w:type="dxa"/>
            <w:vAlign w:val="bottom"/>
            <w:tcBorders>
              <w:bottom w:val="single" w:sz="8" w:color="959595"/>
            </w:tcBorders>
          </w:tcPr>
          <w:p>
            <w:pPr>
              <w:ind w:left="20"/>
              <w:spacing w:after="0"/>
              <w:rPr>
                <w:sz w:val="20"/>
                <w:szCs w:val="20"/>
                <w:color w:val="auto"/>
              </w:rPr>
            </w:pPr>
            <w:r>
              <w:rPr>
                <w:rFonts w:ascii="Arial" w:cs="Arial" w:eastAsia="Arial" w:hAnsi="Arial"/>
                <w:sz w:val="14"/>
                <w:szCs w:val="14"/>
                <w:color w:val="auto"/>
              </w:rPr>
              <w:t>Supplemental Pension</w:t>
            </w:r>
          </w:p>
        </w:tc>
        <w:tc>
          <w:tcPr>
            <w:tcW w:w="1220" w:type="dxa"/>
            <w:vAlign w:val="bottom"/>
            <w:tcBorders>
              <w:bottom w:val="single" w:sz="8" w:color="959595"/>
            </w:tcBorders>
          </w:tcPr>
          <w:p>
            <w:pPr>
              <w:jc w:val="right"/>
              <w:ind w:right="148"/>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3,092,488</w:t>
            </w:r>
          </w:p>
        </w:tc>
        <w:tc>
          <w:tcPr>
            <w:tcW w:w="114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959595"/>
            </w:tcBorders>
          </w:tcPr>
          <w:p>
            <w:pPr>
              <w:jc w:val="right"/>
              <w:ind w:right="148"/>
              <w:spacing w:after="0"/>
              <w:rPr>
                <w:sz w:val="20"/>
                <w:szCs w:val="20"/>
                <w:color w:val="auto"/>
              </w:rPr>
            </w:pPr>
            <w:r>
              <w:rPr>
                <w:rFonts w:ascii="Arial" w:cs="Arial" w:eastAsia="Arial" w:hAnsi="Arial"/>
                <w:sz w:val="14"/>
                <w:szCs w:val="14"/>
                <w:color w:val="auto"/>
              </w:rPr>
              <w:t>0</w:t>
            </w:r>
          </w:p>
        </w:tc>
        <w:tc>
          <w:tcPr>
            <w:tcW w:w="1120" w:type="dxa"/>
            <w:vAlign w:val="bottom"/>
            <w:tcBorders>
              <w:bottom w:val="single" w:sz="8" w:color="959595"/>
            </w:tcBorders>
          </w:tcPr>
          <w:p>
            <w:pPr>
              <w:jc w:val="right"/>
              <w:ind w:right="128"/>
              <w:spacing w:after="0"/>
              <w:rPr>
                <w:sz w:val="20"/>
                <w:szCs w:val="20"/>
                <w:color w:val="auto"/>
              </w:rPr>
            </w:pPr>
            <w:r>
              <w:rPr>
                <w:rFonts w:ascii="Arial" w:cs="Arial" w:eastAsia="Arial" w:hAnsi="Arial"/>
                <w:sz w:val="14"/>
                <w:szCs w:val="14"/>
                <w:color w:val="auto"/>
              </w:rPr>
              <w:t>0</w:t>
            </w:r>
          </w:p>
        </w:tc>
        <w:tc>
          <w:tcPr>
            <w:tcW w:w="104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47"/>
        </w:trPr>
        <w:tc>
          <w:tcPr>
            <w:tcW w:w="2880" w:type="dxa"/>
            <w:vAlign w:val="bottom"/>
          </w:tcPr>
          <w:p>
            <w:pPr>
              <w:spacing w:after="0"/>
              <w:rPr>
                <w:sz w:val="21"/>
                <w:szCs w:val="21"/>
                <w:color w:val="auto"/>
              </w:rPr>
            </w:pPr>
          </w:p>
        </w:tc>
        <w:tc>
          <w:tcPr>
            <w:tcW w:w="1740" w:type="dxa"/>
            <w:vAlign w:val="bottom"/>
            <w:tcBorders>
              <w:bottom w:val="single" w:sz="8" w:color="959595"/>
            </w:tcBorders>
          </w:tcPr>
          <w:p>
            <w:pPr>
              <w:ind w:left="20"/>
              <w:spacing w:after="0"/>
              <w:rPr>
                <w:sz w:val="20"/>
                <w:szCs w:val="20"/>
                <w:color w:val="auto"/>
              </w:rPr>
            </w:pPr>
            <w:r>
              <w:rPr>
                <w:rFonts w:ascii="Arial" w:cs="Arial" w:eastAsia="Arial" w:hAnsi="Arial"/>
                <w:sz w:val="14"/>
                <w:szCs w:val="14"/>
                <w:color w:val="auto"/>
              </w:rPr>
              <w:t>LTIP</w:t>
            </w:r>
          </w:p>
        </w:tc>
        <w:tc>
          <w:tcPr>
            <w:tcW w:w="1220" w:type="dxa"/>
            <w:vAlign w:val="bottom"/>
            <w:tcBorders>
              <w:bottom w:val="single" w:sz="8" w:color="959595"/>
            </w:tcBorders>
          </w:tcPr>
          <w:p>
            <w:pPr>
              <w:jc w:val="right"/>
              <w:ind w:right="148"/>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1,070,900</w:t>
            </w:r>
          </w:p>
        </w:tc>
        <w:tc>
          <w:tcPr>
            <w:tcW w:w="114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959595"/>
            </w:tcBorders>
          </w:tcPr>
          <w:p>
            <w:pPr>
              <w:jc w:val="right"/>
              <w:ind w:right="148"/>
              <w:spacing w:after="0"/>
              <w:rPr>
                <w:sz w:val="20"/>
                <w:szCs w:val="20"/>
                <w:color w:val="auto"/>
              </w:rPr>
            </w:pPr>
            <w:r>
              <w:rPr>
                <w:rFonts w:ascii="Arial" w:cs="Arial" w:eastAsia="Arial" w:hAnsi="Arial"/>
                <w:sz w:val="14"/>
                <w:szCs w:val="14"/>
                <w:color w:val="auto"/>
              </w:rPr>
              <w:t>0</w:t>
            </w:r>
          </w:p>
        </w:tc>
        <w:tc>
          <w:tcPr>
            <w:tcW w:w="1120" w:type="dxa"/>
            <w:vAlign w:val="bottom"/>
            <w:tcBorders>
              <w:bottom w:val="single" w:sz="8" w:color="959595"/>
            </w:tcBorders>
          </w:tcPr>
          <w:p>
            <w:pPr>
              <w:jc w:val="right"/>
              <w:ind w:right="128"/>
              <w:spacing w:after="0"/>
              <w:rPr>
                <w:sz w:val="20"/>
                <w:szCs w:val="20"/>
                <w:color w:val="auto"/>
              </w:rPr>
            </w:pPr>
            <w:r>
              <w:rPr>
                <w:rFonts w:ascii="Arial" w:cs="Arial" w:eastAsia="Arial" w:hAnsi="Arial"/>
                <w:sz w:val="14"/>
                <w:szCs w:val="14"/>
                <w:color w:val="auto"/>
              </w:rPr>
              <w:t>0</w:t>
            </w:r>
          </w:p>
        </w:tc>
        <w:tc>
          <w:tcPr>
            <w:tcW w:w="104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50"/>
        </w:trPr>
        <w:tc>
          <w:tcPr>
            <w:tcW w:w="2880" w:type="dxa"/>
            <w:vAlign w:val="bottom"/>
          </w:tcPr>
          <w:p>
            <w:pPr>
              <w:spacing w:after="0"/>
              <w:rPr>
                <w:sz w:val="21"/>
                <w:szCs w:val="21"/>
                <w:color w:val="auto"/>
              </w:rPr>
            </w:pPr>
          </w:p>
        </w:tc>
        <w:tc>
          <w:tcPr>
            <w:tcW w:w="1740" w:type="dxa"/>
            <w:vAlign w:val="bottom"/>
            <w:tcBorders>
              <w:bottom w:val="single" w:sz="8" w:color="959595"/>
            </w:tcBorders>
          </w:tcPr>
          <w:p>
            <w:pPr>
              <w:ind w:left="20"/>
              <w:spacing w:after="0"/>
              <w:rPr>
                <w:sz w:val="20"/>
                <w:szCs w:val="20"/>
                <w:color w:val="auto"/>
              </w:rPr>
            </w:pPr>
            <w:r>
              <w:rPr>
                <w:rFonts w:ascii="Arial" w:cs="Arial" w:eastAsia="Arial" w:hAnsi="Arial"/>
                <w:sz w:val="14"/>
                <w:szCs w:val="14"/>
                <w:color w:val="auto"/>
              </w:rPr>
              <w:t>RSUs</w:t>
            </w:r>
          </w:p>
        </w:tc>
        <w:tc>
          <w:tcPr>
            <w:tcW w:w="1220" w:type="dxa"/>
            <w:vAlign w:val="bottom"/>
            <w:tcBorders>
              <w:bottom w:val="single" w:sz="8" w:color="959595"/>
            </w:tcBorders>
          </w:tcPr>
          <w:p>
            <w:pPr>
              <w:jc w:val="right"/>
              <w:ind w:right="148"/>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1,885,717</w:t>
            </w:r>
          </w:p>
        </w:tc>
        <w:tc>
          <w:tcPr>
            <w:tcW w:w="114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color w:val="auto"/>
              </w:rPr>
              <w:t>1,885,717</w:t>
            </w:r>
          </w:p>
        </w:tc>
        <w:tc>
          <w:tcPr>
            <w:tcW w:w="1140" w:type="dxa"/>
            <w:vAlign w:val="bottom"/>
            <w:tcBorders>
              <w:bottom w:val="single" w:sz="8" w:color="959595"/>
            </w:tcBorders>
          </w:tcPr>
          <w:p>
            <w:pPr>
              <w:jc w:val="right"/>
              <w:ind w:right="148"/>
              <w:spacing w:after="0"/>
              <w:rPr>
                <w:sz w:val="20"/>
                <w:szCs w:val="20"/>
                <w:color w:val="auto"/>
              </w:rPr>
            </w:pPr>
            <w:r>
              <w:rPr>
                <w:rFonts w:ascii="Arial" w:cs="Arial" w:eastAsia="Arial" w:hAnsi="Arial"/>
                <w:sz w:val="14"/>
                <w:szCs w:val="14"/>
                <w:color w:val="auto"/>
              </w:rPr>
              <w:t>0</w:t>
            </w:r>
          </w:p>
        </w:tc>
        <w:tc>
          <w:tcPr>
            <w:tcW w:w="1120" w:type="dxa"/>
            <w:vAlign w:val="bottom"/>
            <w:tcBorders>
              <w:bottom w:val="single" w:sz="8" w:color="959595"/>
            </w:tcBorders>
          </w:tcPr>
          <w:p>
            <w:pPr>
              <w:jc w:val="right"/>
              <w:ind w:right="128"/>
              <w:spacing w:after="0"/>
              <w:rPr>
                <w:sz w:val="20"/>
                <w:szCs w:val="20"/>
                <w:color w:val="auto"/>
              </w:rPr>
            </w:pPr>
            <w:r>
              <w:rPr>
                <w:rFonts w:ascii="Arial" w:cs="Arial" w:eastAsia="Arial" w:hAnsi="Arial"/>
                <w:sz w:val="14"/>
                <w:szCs w:val="14"/>
                <w:color w:val="auto"/>
              </w:rPr>
              <w:t>1,139,996</w:t>
            </w:r>
          </w:p>
        </w:tc>
        <w:tc>
          <w:tcPr>
            <w:tcW w:w="104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50"/>
        </w:trPr>
        <w:tc>
          <w:tcPr>
            <w:tcW w:w="2880" w:type="dxa"/>
            <w:vAlign w:val="bottom"/>
          </w:tcPr>
          <w:p>
            <w:pPr>
              <w:spacing w:after="0"/>
              <w:rPr>
                <w:sz w:val="21"/>
                <w:szCs w:val="21"/>
                <w:color w:val="auto"/>
              </w:rPr>
            </w:pPr>
          </w:p>
        </w:tc>
        <w:tc>
          <w:tcPr>
            <w:tcW w:w="1740" w:type="dxa"/>
            <w:vAlign w:val="bottom"/>
            <w:tcBorders>
              <w:bottom w:val="single" w:sz="8" w:color="959595"/>
            </w:tcBorders>
          </w:tcPr>
          <w:p>
            <w:pPr>
              <w:ind w:left="20"/>
              <w:spacing w:after="0"/>
              <w:rPr>
                <w:sz w:val="20"/>
                <w:szCs w:val="20"/>
                <w:color w:val="auto"/>
              </w:rPr>
            </w:pPr>
            <w:r>
              <w:rPr>
                <w:rFonts w:ascii="Arial" w:cs="Arial" w:eastAsia="Arial" w:hAnsi="Arial"/>
                <w:sz w:val="14"/>
                <w:szCs w:val="14"/>
                <w:color w:val="auto"/>
              </w:rPr>
              <w:t>PSUs</w:t>
            </w:r>
          </w:p>
        </w:tc>
        <w:tc>
          <w:tcPr>
            <w:tcW w:w="1220" w:type="dxa"/>
            <w:vAlign w:val="bottom"/>
            <w:tcBorders>
              <w:bottom w:val="single" w:sz="8" w:color="959595"/>
            </w:tcBorders>
          </w:tcPr>
          <w:p>
            <w:pPr>
              <w:jc w:val="right"/>
              <w:ind w:right="148"/>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1,472,741</w:t>
            </w:r>
          </w:p>
        </w:tc>
        <w:tc>
          <w:tcPr>
            <w:tcW w:w="114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959595"/>
            </w:tcBorders>
          </w:tcPr>
          <w:p>
            <w:pPr>
              <w:jc w:val="right"/>
              <w:ind w:right="148"/>
              <w:spacing w:after="0"/>
              <w:rPr>
                <w:sz w:val="20"/>
                <w:szCs w:val="20"/>
                <w:color w:val="auto"/>
              </w:rPr>
            </w:pPr>
            <w:r>
              <w:rPr>
                <w:rFonts w:ascii="Arial" w:cs="Arial" w:eastAsia="Arial" w:hAnsi="Arial"/>
                <w:sz w:val="14"/>
                <w:szCs w:val="14"/>
                <w:color w:val="auto"/>
              </w:rPr>
              <w:t>0</w:t>
            </w:r>
          </w:p>
        </w:tc>
        <w:tc>
          <w:tcPr>
            <w:tcW w:w="1120" w:type="dxa"/>
            <w:vAlign w:val="bottom"/>
            <w:tcBorders>
              <w:bottom w:val="single" w:sz="8" w:color="959595"/>
            </w:tcBorders>
          </w:tcPr>
          <w:p>
            <w:pPr>
              <w:jc w:val="right"/>
              <w:ind w:right="128"/>
              <w:spacing w:after="0"/>
              <w:rPr>
                <w:sz w:val="20"/>
                <w:szCs w:val="20"/>
                <w:color w:val="auto"/>
              </w:rPr>
            </w:pPr>
            <w:r>
              <w:rPr>
                <w:rFonts w:ascii="Arial" w:cs="Arial" w:eastAsia="Arial" w:hAnsi="Arial"/>
                <w:sz w:val="14"/>
                <w:szCs w:val="14"/>
                <w:color w:val="auto"/>
              </w:rPr>
              <w:t>0</w:t>
            </w:r>
          </w:p>
        </w:tc>
        <w:tc>
          <w:tcPr>
            <w:tcW w:w="104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50"/>
        </w:trPr>
        <w:tc>
          <w:tcPr>
            <w:tcW w:w="2880" w:type="dxa"/>
            <w:vAlign w:val="bottom"/>
          </w:tcPr>
          <w:p>
            <w:pPr>
              <w:spacing w:after="0"/>
              <w:rPr>
                <w:sz w:val="21"/>
                <w:szCs w:val="21"/>
                <w:color w:val="auto"/>
              </w:rPr>
            </w:pPr>
          </w:p>
        </w:tc>
        <w:tc>
          <w:tcPr>
            <w:tcW w:w="1740" w:type="dxa"/>
            <w:vAlign w:val="bottom"/>
            <w:tcBorders>
              <w:bottom w:val="single" w:sz="8" w:color="959595"/>
            </w:tcBorders>
          </w:tcPr>
          <w:p>
            <w:pPr>
              <w:ind w:left="20"/>
              <w:spacing w:after="0"/>
              <w:rPr>
                <w:sz w:val="20"/>
                <w:szCs w:val="20"/>
                <w:color w:val="auto"/>
              </w:rPr>
            </w:pPr>
            <w:r>
              <w:rPr>
                <w:rFonts w:ascii="Arial" w:cs="Arial" w:eastAsia="Arial" w:hAnsi="Arial"/>
                <w:sz w:val="14"/>
                <w:szCs w:val="14"/>
                <w:color w:val="auto"/>
              </w:rPr>
              <w:t>Executive Severance</w:t>
            </w:r>
          </w:p>
        </w:tc>
        <w:tc>
          <w:tcPr>
            <w:tcW w:w="1220" w:type="dxa"/>
            <w:vAlign w:val="bottom"/>
            <w:tcBorders>
              <w:bottom w:val="single" w:sz="8" w:color="959595"/>
            </w:tcBorders>
          </w:tcPr>
          <w:p>
            <w:pPr>
              <w:jc w:val="right"/>
              <w:ind w:right="148"/>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959595"/>
            </w:tcBorders>
          </w:tcPr>
          <w:p>
            <w:pPr>
              <w:jc w:val="right"/>
              <w:ind w:right="148"/>
              <w:spacing w:after="0"/>
              <w:rPr>
                <w:sz w:val="20"/>
                <w:szCs w:val="20"/>
                <w:color w:val="auto"/>
              </w:rPr>
            </w:pPr>
            <w:r>
              <w:rPr>
                <w:rFonts w:ascii="Arial" w:cs="Arial" w:eastAsia="Arial" w:hAnsi="Arial"/>
                <w:sz w:val="14"/>
                <w:szCs w:val="14"/>
                <w:color w:val="auto"/>
              </w:rPr>
              <w:t>2,662,391</w:t>
            </w:r>
          </w:p>
        </w:tc>
        <w:tc>
          <w:tcPr>
            <w:tcW w:w="1120" w:type="dxa"/>
            <w:vAlign w:val="bottom"/>
            <w:tcBorders>
              <w:bottom w:val="single" w:sz="8" w:color="959595"/>
            </w:tcBorders>
          </w:tcPr>
          <w:p>
            <w:pPr>
              <w:jc w:val="right"/>
              <w:ind w:right="128"/>
              <w:spacing w:after="0"/>
              <w:rPr>
                <w:sz w:val="20"/>
                <w:szCs w:val="20"/>
                <w:color w:val="auto"/>
              </w:rPr>
            </w:pPr>
            <w:r>
              <w:rPr>
                <w:rFonts w:ascii="Arial" w:cs="Arial" w:eastAsia="Arial" w:hAnsi="Arial"/>
                <w:sz w:val="14"/>
                <w:szCs w:val="14"/>
                <w:color w:val="auto"/>
              </w:rPr>
              <w:t>0</w:t>
            </w:r>
          </w:p>
        </w:tc>
        <w:tc>
          <w:tcPr>
            <w:tcW w:w="104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53"/>
        </w:trPr>
        <w:tc>
          <w:tcPr>
            <w:tcW w:w="2880" w:type="dxa"/>
            <w:vAlign w:val="bottom"/>
            <w:tcBorders>
              <w:bottom w:val="single" w:sz="8" w:color="959595"/>
            </w:tcBorders>
          </w:tcPr>
          <w:p>
            <w:pPr>
              <w:spacing w:after="0"/>
              <w:rPr>
                <w:sz w:val="22"/>
                <w:szCs w:val="22"/>
                <w:color w:val="auto"/>
              </w:rPr>
            </w:pPr>
          </w:p>
        </w:tc>
        <w:tc>
          <w:tcPr>
            <w:tcW w:w="1740" w:type="dxa"/>
            <w:vAlign w:val="bottom"/>
            <w:tcBorders>
              <w:bottom w:val="single" w:sz="8" w:color="959595"/>
            </w:tcBorders>
          </w:tcPr>
          <w:p>
            <w:pPr>
              <w:ind w:left="20"/>
              <w:spacing w:after="0"/>
              <w:rPr>
                <w:sz w:val="20"/>
                <w:szCs w:val="20"/>
                <w:color w:val="auto"/>
              </w:rPr>
            </w:pPr>
            <w:r>
              <w:rPr>
                <w:rFonts w:ascii="Arial" w:cs="Arial" w:eastAsia="Arial" w:hAnsi="Arial"/>
                <w:sz w:val="14"/>
                <w:szCs w:val="14"/>
                <w:b w:val="1"/>
                <w:bCs w:val="1"/>
                <w:color w:val="auto"/>
              </w:rPr>
              <w:t>TOTAL</w:t>
            </w:r>
          </w:p>
        </w:tc>
        <w:tc>
          <w:tcPr>
            <w:tcW w:w="1220" w:type="dxa"/>
            <w:vAlign w:val="bottom"/>
            <w:tcBorders>
              <w:bottom w:val="single" w:sz="8" w:color="959595"/>
            </w:tcBorders>
          </w:tcPr>
          <w:p>
            <w:pPr>
              <w:jc w:val="right"/>
              <w:ind w:right="148"/>
              <w:spacing w:after="0"/>
              <w:rPr>
                <w:sz w:val="20"/>
                <w:szCs w:val="20"/>
                <w:color w:val="auto"/>
              </w:rPr>
            </w:pPr>
            <w:r>
              <w:rPr>
                <w:rFonts w:ascii="Arial" w:cs="Arial" w:eastAsia="Arial" w:hAnsi="Arial"/>
                <w:sz w:val="14"/>
                <w:szCs w:val="14"/>
                <w:b w:val="1"/>
                <w:bCs w:val="1"/>
                <w:color w:val="auto"/>
              </w:rPr>
              <w:t>0</w:t>
            </w:r>
          </w:p>
        </w:tc>
        <w:tc>
          <w:tcPr>
            <w:tcW w:w="1140" w:type="dxa"/>
            <w:vAlign w:val="bottom"/>
            <w:tcBorders>
              <w:bottom w:val="single" w:sz="8" w:color="959595"/>
            </w:tcBorders>
          </w:tcPr>
          <w:p>
            <w:pPr>
              <w:jc w:val="right"/>
              <w:ind w:right="129"/>
              <w:spacing w:after="0"/>
              <w:rPr>
                <w:sz w:val="20"/>
                <w:szCs w:val="20"/>
                <w:color w:val="auto"/>
              </w:rPr>
            </w:pPr>
            <w:r>
              <w:rPr>
                <w:rFonts w:ascii="Arial" w:cs="Arial" w:eastAsia="Arial" w:hAnsi="Arial"/>
                <w:sz w:val="14"/>
                <w:szCs w:val="14"/>
                <w:b w:val="1"/>
                <w:bCs w:val="1"/>
                <w:color w:val="auto"/>
              </w:rPr>
              <w:t>7,521,846</w:t>
            </w:r>
          </w:p>
        </w:tc>
        <w:tc>
          <w:tcPr>
            <w:tcW w:w="114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b w:val="1"/>
                <w:bCs w:val="1"/>
                <w:color w:val="auto"/>
              </w:rPr>
              <w:t>1,885,717</w:t>
            </w:r>
          </w:p>
        </w:tc>
        <w:tc>
          <w:tcPr>
            <w:tcW w:w="1140" w:type="dxa"/>
            <w:vAlign w:val="bottom"/>
            <w:tcBorders>
              <w:bottom w:val="single" w:sz="8" w:color="959595"/>
            </w:tcBorders>
          </w:tcPr>
          <w:p>
            <w:pPr>
              <w:jc w:val="right"/>
              <w:ind w:right="148"/>
              <w:spacing w:after="0"/>
              <w:rPr>
                <w:sz w:val="20"/>
                <w:szCs w:val="20"/>
                <w:color w:val="auto"/>
              </w:rPr>
            </w:pPr>
            <w:r>
              <w:rPr>
                <w:rFonts w:ascii="Arial" w:cs="Arial" w:eastAsia="Arial" w:hAnsi="Arial"/>
                <w:sz w:val="14"/>
                <w:szCs w:val="14"/>
                <w:b w:val="1"/>
                <w:bCs w:val="1"/>
                <w:color w:val="auto"/>
              </w:rPr>
              <w:t>2,662,391</w:t>
            </w:r>
          </w:p>
        </w:tc>
        <w:tc>
          <w:tcPr>
            <w:tcW w:w="1120" w:type="dxa"/>
            <w:vAlign w:val="bottom"/>
            <w:tcBorders>
              <w:bottom w:val="single" w:sz="8" w:color="959595"/>
            </w:tcBorders>
          </w:tcPr>
          <w:p>
            <w:pPr>
              <w:jc w:val="right"/>
              <w:ind w:right="128"/>
              <w:spacing w:after="0"/>
              <w:rPr>
                <w:sz w:val="20"/>
                <w:szCs w:val="20"/>
                <w:color w:val="auto"/>
              </w:rPr>
            </w:pPr>
            <w:r>
              <w:rPr>
                <w:rFonts w:ascii="Arial" w:cs="Arial" w:eastAsia="Arial" w:hAnsi="Arial"/>
                <w:sz w:val="14"/>
                <w:szCs w:val="14"/>
                <w:b w:val="1"/>
                <w:bCs w:val="1"/>
                <w:color w:val="auto"/>
              </w:rPr>
              <w:t>1,139,996</w:t>
            </w:r>
          </w:p>
        </w:tc>
        <w:tc>
          <w:tcPr>
            <w:tcW w:w="1040" w:type="dxa"/>
            <w:vAlign w:val="bottom"/>
            <w:tcBorders>
              <w:bottom w:val="single" w:sz="8" w:color="959595"/>
            </w:tcBorders>
          </w:tcPr>
          <w:p>
            <w:pPr>
              <w:jc w:val="right"/>
              <w:ind w:right="29"/>
              <w:spacing w:after="0"/>
              <w:rPr>
                <w:sz w:val="20"/>
                <w:szCs w:val="20"/>
                <w:color w:val="auto"/>
              </w:rPr>
            </w:pPr>
            <w:r>
              <w:rPr>
                <w:rFonts w:ascii="Arial" w:cs="Arial" w:eastAsia="Arial" w:hAnsi="Arial"/>
                <w:sz w:val="14"/>
                <w:szCs w:val="14"/>
                <w:b w:val="1"/>
                <w:bCs w:val="1"/>
                <w:color w:val="auto"/>
              </w:rPr>
              <w:t>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92" w:right="239" w:bottom="1440" w:gutter="0" w:footer="0" w:header="0"/>
        </w:sectPr>
      </w:pPr>
    </w:p>
    <w:p>
      <w:pPr>
        <w:spacing w:after="0" w:line="290" w:lineRule="exact"/>
        <w:rPr>
          <w:sz w:val="20"/>
          <w:szCs w:val="20"/>
          <w:color w:val="auto"/>
        </w:rPr>
      </w:pPr>
    </w:p>
    <w:p>
      <w:pPr>
        <w:ind w:left="40"/>
        <w:spacing w:after="0"/>
        <w:tabs>
          <w:tab w:leader="none" w:pos="9420" w:val="left"/>
          <w:tab w:leader="none" w:pos="1122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2019 Proxy Statement</w:t>
      </w:r>
      <w:r>
        <w:rPr>
          <w:sz w:val="20"/>
          <w:szCs w:val="20"/>
          <w:color w:val="auto"/>
        </w:rPr>
        <w:tab/>
      </w:r>
      <w:r>
        <w:rPr>
          <w:rFonts w:ascii="Arial" w:cs="Arial" w:eastAsia="Arial" w:hAnsi="Arial"/>
          <w:sz w:val="14"/>
          <w:szCs w:val="14"/>
          <w:b w:val="1"/>
          <w:bCs w:val="1"/>
          <w:color w:val="808080"/>
        </w:rPr>
        <w:t>67</w:t>
      </w:r>
    </w:p>
    <w:p>
      <w:pPr>
        <w:sectPr>
          <w:pgSz w:w="11900" w:h="16838" w:orient="portrait"/>
          <w:cols w:equalWidth="0" w:num="1">
            <w:col w:w="11420"/>
          </w:cols>
          <w:pgMar w:left="240" w:top="292" w:right="23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5"/>
          <w:szCs w:val="15"/>
          <w:color w:val="003478"/>
        </w:rPr>
        <w:t>Executive Compensation</w:t>
      </w:r>
    </w:p>
    <w:p>
      <w:pPr>
        <w:spacing w:after="0" w:line="347" w:lineRule="exact"/>
        <w:rPr>
          <w:sz w:val="20"/>
          <w:szCs w:val="20"/>
          <w:color w:val="auto"/>
        </w:rPr>
      </w:pPr>
    </w:p>
    <w:p>
      <w:pPr>
        <w:spacing w:after="0"/>
        <w:rPr>
          <w:sz w:val="20"/>
          <w:szCs w:val="20"/>
          <w:color w:val="auto"/>
        </w:rPr>
      </w:pPr>
      <w:r>
        <w:rPr>
          <w:rFonts w:ascii="Arial" w:cs="Arial" w:eastAsia="Arial" w:hAnsi="Arial"/>
          <w:sz w:val="25"/>
          <w:szCs w:val="25"/>
          <w:color w:val="475C90"/>
        </w:rPr>
        <w:t>Termination/Resignation</w:t>
      </w:r>
    </w:p>
    <w:p>
      <w:pPr>
        <w:spacing w:after="0" w:line="242" w:lineRule="exact"/>
        <w:rPr>
          <w:sz w:val="20"/>
          <w:szCs w:val="20"/>
          <w:color w:val="auto"/>
        </w:rPr>
      </w:pPr>
    </w:p>
    <w:p>
      <w:pPr>
        <w:ind w:right="1920"/>
        <w:spacing w:after="0" w:line="308" w:lineRule="auto"/>
        <w:rPr>
          <w:sz w:val="20"/>
          <w:szCs w:val="20"/>
          <w:color w:val="auto"/>
        </w:rPr>
      </w:pPr>
      <w:r>
        <w:rPr>
          <w:rFonts w:ascii="Arial" w:cs="Arial" w:eastAsia="Arial" w:hAnsi="Arial"/>
          <w:sz w:val="17"/>
          <w:szCs w:val="17"/>
          <w:color w:val="auto"/>
        </w:rPr>
        <w:t>Resignation by executives who are eligible for retirement, for purposes of this table, is treated as retirement. All NEOs, except Mr. St. John, were eligible for retirement as of December 31, 2018.</w:t>
      </w:r>
    </w:p>
    <w:p>
      <w:pPr>
        <w:spacing w:after="0" w:line="131" w:lineRule="exact"/>
        <w:rPr>
          <w:sz w:val="20"/>
          <w:szCs w:val="20"/>
          <w:color w:val="auto"/>
        </w:rPr>
      </w:pPr>
    </w:p>
    <w:p>
      <w:pPr>
        <w:spacing w:after="0"/>
        <w:rPr>
          <w:sz w:val="20"/>
          <w:szCs w:val="20"/>
          <w:color w:val="auto"/>
        </w:rPr>
      </w:pPr>
      <w:r>
        <w:rPr>
          <w:rFonts w:ascii="Arial" w:cs="Arial" w:eastAsia="Arial" w:hAnsi="Arial"/>
          <w:sz w:val="25"/>
          <w:szCs w:val="25"/>
          <w:color w:val="475C90"/>
        </w:rPr>
        <w:t>Supplemental Pension</w:t>
      </w:r>
    </w:p>
    <w:p>
      <w:pPr>
        <w:spacing w:after="0" w:line="24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Supplemental Pension lump sum value was calculated using plan assumptions and age of the executive as of December 31, 2018. Payments under the Supplemental Pension do not commence prior to age 55, except in the case of a change in control. The Supplemental Pension assumptions in effect for December 31, 2018, are a 4.00 percent discount rate (2.5 percent for benefits earned prior to 2005) and the mortality tables applicable to lump sum distributions for qualified plans under section 417(e) of the Internal Revenue Code (1983 Group Annuity Mortality with sex distinction for benefits earned prior to 2005; and after 2004 if the resulting benefit is larger). The Supplemental Pension assumptions are set forth in the plan document and may be different than the assumptions used to calculate the accrued benefit reported in the “2018 Pension Benefits” or “Summary Compensation” tables or for financial reporting.</w:t>
      </w:r>
    </w:p>
    <w:p>
      <w:pPr>
        <w:spacing w:after="0" w:line="162" w:lineRule="exact"/>
        <w:rPr>
          <w:sz w:val="20"/>
          <w:szCs w:val="20"/>
          <w:color w:val="auto"/>
        </w:rPr>
      </w:pPr>
    </w:p>
    <w:p>
      <w:pPr>
        <w:spacing w:after="0"/>
        <w:rPr>
          <w:sz w:val="20"/>
          <w:szCs w:val="20"/>
          <w:color w:val="auto"/>
        </w:rPr>
      </w:pPr>
      <w:r>
        <w:rPr>
          <w:rFonts w:ascii="Arial" w:cs="Arial" w:eastAsia="Arial" w:hAnsi="Arial"/>
          <w:sz w:val="25"/>
          <w:szCs w:val="25"/>
          <w:color w:val="475C90"/>
        </w:rPr>
        <w:t>Long-Term Incentive Performance Awards</w:t>
      </w:r>
    </w:p>
    <w:p>
      <w:pPr>
        <w:spacing w:after="0" w:line="242"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The table shows an amount payable in the event of a change in control trigger event for the 2017-2019 and 2018-2020 LTIP performance periods. For a trigger event based upon death, disability, retirement (or resignation after satisfying the requirements for retirement), layoff or divestitures on December 31, 2018, amounts (if any) for the 2017-2019 and 2018-2020 LTIP performance periods would not be payable until after the end of the performance period. The estimated prorated amounts payable for the 2017-2019 performance cycle based on performance through December 31, 2018 are: Ms. Hewson: $1,287,792; Mr. Tanner: $455,280; Mr. Ambrose: $298,100;</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Mr. Bennett: $363,140; Mr. Carvalho: $363,140; Mr. Edwards: $298,100; and Mr. St. John: $190,188. The estimated prorated amounts payable for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2018-2020 performance cycle based on performance through December 31, 2018 are: Ms. Hewson: $560,666;</w:t>
      </w:r>
    </w:p>
    <w:p>
      <w:pPr>
        <w:spacing w:after="0" w:line="21"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color w:val="auto"/>
        </w:rPr>
        <w:t>Mr. Tanner: $206,211; Mr. Ambrose: $164,969; Mr. Bennett: $164,969; Mr. Carvalho: $164,969; Mr. Edwards: $164,969; and Mr. St. John: $164,969. The table does not include amounts for the 2016-2018 performance cycle as these amounts are reported in the "Summary Compensation Table" (see notes to column (g)).</w:t>
      </w:r>
    </w:p>
    <w:p>
      <w:pPr>
        <w:spacing w:after="0" w:line="157" w:lineRule="exact"/>
        <w:rPr>
          <w:sz w:val="20"/>
          <w:szCs w:val="20"/>
          <w:color w:val="auto"/>
        </w:rPr>
      </w:pPr>
    </w:p>
    <w:p>
      <w:pPr>
        <w:spacing w:after="0"/>
        <w:rPr>
          <w:sz w:val="20"/>
          <w:szCs w:val="20"/>
          <w:color w:val="auto"/>
        </w:rPr>
      </w:pPr>
      <w:r>
        <w:rPr>
          <w:rFonts w:ascii="Arial" w:cs="Arial" w:eastAsia="Arial" w:hAnsi="Arial"/>
          <w:sz w:val="25"/>
          <w:szCs w:val="25"/>
          <w:color w:val="475C90"/>
        </w:rPr>
        <w:t>Restricted Stock Units</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All 2016, 2017 and 2018 RSUs would continue to vest for retirement or layoff occurring on December 31, 2018, and would not become payable until</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January 2019, January 2020 and January 2021, respectively, and are not included in the table. For a change in control (assuming satisfaction of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double trigger), death, disability or divestiture, the reported value of the RSUs was based upon the closing price of our stock on December 31, 2018</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($261.84) plus deferred dividend equivalents that accrued. The amounts for retirement or layoff on December 31, 2018 are not payable until the end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the respective vesting periods (January 2019, January 2020 and January 2021 for the 2016, 2017 and 2018 RSUs, respectively) but would have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same value on December 31, 2018 as the amounts shown for immediate payment on account of death, disability and divestiture. If an NEO 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retirement-eligible, then in the case of a divestiture occurring on December 31, 2018, the RSUs will continue to vest and are treated as a retirement.</w:t>
      </w:r>
    </w:p>
    <w:p>
      <w:pPr>
        <w:spacing w:after="0" w:line="206" w:lineRule="exact"/>
        <w:rPr>
          <w:sz w:val="20"/>
          <w:szCs w:val="20"/>
          <w:color w:val="auto"/>
        </w:rPr>
      </w:pPr>
    </w:p>
    <w:p>
      <w:pPr>
        <w:spacing w:after="0"/>
        <w:rPr>
          <w:sz w:val="20"/>
          <w:szCs w:val="20"/>
          <w:color w:val="auto"/>
        </w:rPr>
      </w:pPr>
      <w:r>
        <w:rPr>
          <w:rFonts w:ascii="Arial" w:cs="Arial" w:eastAsia="Arial" w:hAnsi="Arial"/>
          <w:sz w:val="25"/>
          <w:szCs w:val="25"/>
          <w:color w:val="475C90"/>
        </w:rPr>
        <w:t>Performance Stock Units</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The table shows an amount payable in the event of a change in control trigger event for the 2016-2018, 2017-2019 and 2018-2020 performance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periods. The amount shown for the PSUs upon a change in control is the target level of the shares valued using the closing price of our stock 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2018 ($261.84) plus deferred dividend equivalents that accrued. The table assumes the double trigger occurred. For a trigger event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based upon death, disability, retirement (or resignation after satisfying the requirements for retirement), layoff or divestitures on December 31, 2018,</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amounts (if any) for the 2016-2018, 2017-2019 and 2018-2020 PSU performance periods would be paid on a prorated basis following the end of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applicable performance period. The payments estimated to be paid on a non-prorated basis following the end of the performance cycle using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2018 stock price are reported for the 2016-2018 PSU performance cycle in column (h) of the "Outstanding Equity Awards at 2018 Fiscal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Year-End Table" at 2018 and for 2017-2019 and 2018-2020 in column (j) of that table. The prorated amounts for a trigger event occurring on December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 2018 plus deferred dividend equivalents that accrued are for each cycle: (i) 2016-2018 cycle: Ms. Hewson: $10,457,440; Mr. Tanner: $3,639,225;</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Mr. Ambrose: $2,279,845; Mr. Bennett: $3,009,566; Mr. Carvalho: $3,009,566; Mr. Edwards: $2,279,845; and Mr. St. John: $153,790; (ii) 2017-2019</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cycle: Ms. Hewson: $3,381,338; Mr. Tanner: $1,195,193; Mr. Ambrose: $782,550; Mr. Bennett: $953,490; Mr. Carvalho: $953,490; Mr. Edwards: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$782,550; and Mr. St. John: $49,673; and (iii) 2018-2020 cycle: Ms. Hewson: $913,545; Mr. Tanner: $335,660; Mr. Ambrose: $268,960; Mr. Bennett: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$268,960; Mr. Carvalho: $268,960; Mr. Edwards: $268,960; and Mr. St. John: $268,960. The prorated amounts are based on the estimated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performance and stock price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407670</wp:posOffset>
            </wp:positionV>
            <wp:extent cx="1440815" cy="3257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440815" cy="325755"/>
                    </a:xfrm>
                    <a:prstGeom prst="rect">
                      <a:avLst/>
                    </a:prstGeom>
                    <a:noFill/>
                  </pic:spPr>
                </pic:pic>
              </a:graphicData>
            </a:graphic>
          </wp:anchor>
        </w:drawing>
      </w:r>
    </w:p>
    <w:p>
      <w:pPr>
        <w:sectPr>
          <w:pgSz w:w="11900" w:h="16838" w:orient="portrait"/>
          <w:cols w:equalWidth="0" w:num="1">
            <w:col w:w="11400"/>
          </w:cols>
          <w:pgMar w:left="240" w:top="292"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808080"/>
        </w:rPr>
        <w:t>68</w:t>
      </w:r>
    </w:p>
    <w:p>
      <w:pPr>
        <w:sectPr>
          <w:pgSz w:w="11900" w:h="16838" w:orient="portrait"/>
          <w:cols w:equalWidth="0" w:num="1">
            <w:col w:w="11400"/>
          </w:cols>
          <w:pgMar w:left="240" w:top="292" w:right="259" w:bottom="1440" w:gutter="0" w:footer="0" w:header="0"/>
          <w:type w:val="continuous"/>
        </w:sectPr>
      </w:pPr>
    </w:p>
    <w:bookmarkStart w:id="71" w:name="page72"/>
    <w:bookmarkEnd w:id="71"/>
    <w:p>
      <w:pPr>
        <w:jc w:val="right"/>
        <w:spacing w:after="0"/>
        <w:rPr>
          <w:sz w:val="20"/>
          <w:szCs w:val="20"/>
          <w:color w:val="auto"/>
        </w:rPr>
      </w:pPr>
      <w:r>
        <w:rPr>
          <w:rFonts w:ascii="Arial" w:cs="Arial" w:eastAsia="Arial" w:hAnsi="Arial"/>
          <w:sz w:val="15"/>
          <w:szCs w:val="15"/>
          <w:color w:val="003478"/>
        </w:rPr>
        <w:t>Executive Compensation</w:t>
      </w:r>
    </w:p>
    <w:p>
      <w:pPr>
        <w:spacing w:after="0" w:line="347" w:lineRule="exact"/>
        <w:rPr>
          <w:sz w:val="20"/>
          <w:szCs w:val="20"/>
          <w:color w:val="auto"/>
        </w:rPr>
      </w:pPr>
    </w:p>
    <w:p>
      <w:pPr>
        <w:spacing w:after="0"/>
        <w:rPr>
          <w:sz w:val="20"/>
          <w:szCs w:val="20"/>
          <w:color w:val="auto"/>
        </w:rPr>
      </w:pPr>
      <w:r>
        <w:rPr>
          <w:rFonts w:ascii="Arial" w:cs="Arial" w:eastAsia="Arial" w:hAnsi="Arial"/>
          <w:sz w:val="25"/>
          <w:szCs w:val="25"/>
          <w:color w:val="475C90"/>
        </w:rPr>
        <w:t>Executive Severance</w:t>
      </w:r>
    </w:p>
    <w:p>
      <w:pPr>
        <w:spacing w:after="0" w:line="24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total amounts projected for severance payments due to layoff are based on the plan (as amended) approved by the Board in 2008. It includes payment for one year of salary (2.99 years for Ms. Hewson) and one year of target annual incentive (2.99 for Ms. Hewson), estimated costs for benefits continuation for one year, outplacement services and relocation assistance (if required under the plan terms).</w:t>
      </w:r>
    </w:p>
    <w:p>
      <w:pPr>
        <w:spacing w:after="0" w:line="28" w:lineRule="exact"/>
        <w:rPr>
          <w:sz w:val="20"/>
          <w:szCs w:val="20"/>
          <w:color w:val="auto"/>
        </w:rPr>
      </w:pPr>
    </w:p>
    <w:p>
      <w:pPr>
        <w:spacing w:after="0"/>
        <w:rPr>
          <w:sz w:val="20"/>
          <w:szCs w:val="20"/>
          <w:color w:val="auto"/>
        </w:rPr>
      </w:pPr>
      <w:r>
        <w:rPr>
          <w:rFonts w:ascii="Arial" w:cs="Arial" w:eastAsia="Arial" w:hAnsi="Arial"/>
          <w:sz w:val="29"/>
          <w:szCs w:val="29"/>
          <w:b w:val="1"/>
          <w:bCs w:val="1"/>
          <w:color w:val="012E6C"/>
        </w:rPr>
        <w:t>CEO Pay Ratio</w:t>
      </w:r>
    </w:p>
    <w:p>
      <w:pPr>
        <w:spacing w:after="0" w:line="25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As required by Section 953(b) of the Dodd-Frank Wall Street Reform and Consumer Protection Act, and Item 402(u) of Regulation S-K, the Corporation must annually disclose in its proxy statement the median of the annual total compensation of all employees (excluding the CEO), the annual total compensation of its CEO, and the ratio of the CEO compensation to the employee median compensation. The ratio of CEO pay to the pay of the Corporation’s median employee for fiscal year 2018 is 191 to one.</w:t>
      </w:r>
    </w:p>
    <w:p>
      <w:pPr>
        <w:spacing w:after="0" w:line="17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Lockheed Martin employs approximately 105,000 employees that are, in large part, highly-skilled professionals located primarily in the United States, but also represented in numerous other countries. Because there has been a change in employee compensation arrangements that could result in a significant impact in our pay ratio disclosure, as well as a change in the fiscal 2017 median employee's circumstances during the fiscal year under review, the Corporation has re-identified the median employee for fiscal 2018. Our calculation included all employees as of December 31, 2018, similar to the date used for the fiscal 2017 calculation.</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The median employee was determined by:</w:t>
      </w:r>
    </w:p>
    <w:p>
      <w:pPr>
        <w:spacing w:after="0" w:line="237" w:lineRule="exact"/>
        <w:rPr>
          <w:sz w:val="20"/>
          <w:szCs w:val="20"/>
          <w:color w:val="auto"/>
        </w:rPr>
      </w:pPr>
    </w:p>
    <w:p>
      <w:pPr>
        <w:ind w:left="260" w:right="620" w:hanging="130"/>
        <w:spacing w:after="0" w:line="308" w:lineRule="auto"/>
        <w:tabs>
          <w:tab w:leader="none" w:pos="260" w:val="left"/>
        </w:tabs>
        <w:numPr>
          <w:ilvl w:val="0"/>
          <w:numId w:val="87"/>
        </w:numPr>
        <w:rPr>
          <w:rFonts w:ascii="Arial" w:cs="Arial" w:eastAsia="Arial" w:hAnsi="Arial"/>
          <w:sz w:val="17"/>
          <w:szCs w:val="17"/>
          <w:color w:val="012E6C"/>
        </w:rPr>
      </w:pPr>
      <w:r>
        <w:rPr>
          <w:rFonts w:ascii="Arial" w:cs="Arial" w:eastAsia="Arial" w:hAnsi="Arial"/>
          <w:sz w:val="17"/>
          <w:szCs w:val="17"/>
          <w:color w:val="auto"/>
        </w:rPr>
        <w:t>calculating the total annual cash compensation (base salary plus annual incentive) of all employees except the CEO, and then sorting those employees from highest to lowest; and</w:t>
      </w:r>
    </w:p>
    <w:p>
      <w:pPr>
        <w:spacing w:after="0" w:line="146" w:lineRule="exact"/>
        <w:rPr>
          <w:rFonts w:ascii="Arial" w:cs="Arial" w:eastAsia="Arial" w:hAnsi="Arial"/>
          <w:sz w:val="17"/>
          <w:szCs w:val="17"/>
          <w:color w:val="012E6C"/>
        </w:rPr>
      </w:pPr>
    </w:p>
    <w:p>
      <w:pPr>
        <w:ind w:left="260" w:hanging="130"/>
        <w:spacing w:after="0"/>
        <w:tabs>
          <w:tab w:leader="none" w:pos="260" w:val="left"/>
        </w:tabs>
        <w:numPr>
          <w:ilvl w:val="0"/>
          <w:numId w:val="87"/>
        </w:numPr>
        <w:rPr>
          <w:rFonts w:ascii="Arial" w:cs="Arial" w:eastAsia="Arial" w:hAnsi="Arial"/>
          <w:sz w:val="17"/>
          <w:szCs w:val="17"/>
          <w:color w:val="012E6C"/>
        </w:rPr>
      </w:pPr>
      <w:r>
        <w:rPr>
          <w:rFonts w:ascii="Arial" w:cs="Arial" w:eastAsia="Arial" w:hAnsi="Arial"/>
          <w:sz w:val="17"/>
          <w:szCs w:val="17"/>
          <w:color w:val="auto"/>
        </w:rPr>
        <w:t>determining the median employee from that list.</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The total annual compensation for our CEO for fiscal year 2018 was $21,516,613. The total annual compensation for the median employee was</w:t>
      </w:r>
    </w:p>
    <w:p>
      <w:pPr>
        <w:spacing w:after="0" w:line="35" w:lineRule="exact"/>
        <w:rPr>
          <w:sz w:val="20"/>
          <w:szCs w:val="20"/>
          <w:color w:val="auto"/>
        </w:rPr>
      </w:pPr>
    </w:p>
    <w:p>
      <w:pPr>
        <w:jc w:val="both"/>
        <w:ind w:right="20"/>
        <w:spacing w:after="0" w:line="277" w:lineRule="auto"/>
        <w:rPr>
          <w:sz w:val="20"/>
          <w:szCs w:val="20"/>
          <w:color w:val="auto"/>
        </w:rPr>
      </w:pPr>
      <w:r>
        <w:rPr>
          <w:rFonts w:ascii="Arial" w:cs="Arial" w:eastAsia="Arial" w:hAnsi="Arial"/>
          <w:sz w:val="17"/>
          <w:szCs w:val="17"/>
          <w:color w:val="auto"/>
        </w:rPr>
        <w:t>$112,527, encompassing base salary, incentives/recognition awards, overtime, change in pension value, company contributions to defined contribution plans, and company-paid life insurance premiums. The annual total compensation of the median employee was determined in the same manner as the total compensation shown for our CEO in column (j) in the “Summary Compensation Table” on page 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0"/>
        <w:spacing w:after="0"/>
        <w:tabs>
          <w:tab w:leader="none" w:pos="9420" w:val="left"/>
          <w:tab w:leader="none" w:pos="1122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2019 Proxy Statement</w:t>
      </w:r>
      <w:r>
        <w:rPr>
          <w:sz w:val="20"/>
          <w:szCs w:val="20"/>
          <w:color w:val="auto"/>
        </w:rPr>
        <w:tab/>
      </w:r>
      <w:r>
        <w:rPr>
          <w:rFonts w:ascii="Arial" w:cs="Arial" w:eastAsia="Arial" w:hAnsi="Arial"/>
          <w:sz w:val="14"/>
          <w:szCs w:val="14"/>
          <w:b w:val="1"/>
          <w:bCs w:val="1"/>
          <w:color w:val="808080"/>
        </w:rPr>
        <w:t>69</w:t>
      </w:r>
    </w:p>
    <w:p>
      <w:pPr>
        <w:sectPr>
          <w:pgSz w:w="11900" w:h="16838" w:orient="portrait"/>
          <w:cols w:equalWidth="0" w:num="1">
            <w:col w:w="11420"/>
          </w:cols>
          <w:pgMar w:left="240" w:top="292" w:right="239" w:bottom="1440" w:gutter="0" w:footer="0" w:header="0"/>
        </w:sectPr>
      </w:pPr>
    </w:p>
    <w:bookmarkStart w:id="72" w:name="page73"/>
    <w:bookmarkEnd w:id="72"/>
    <w:p>
      <w:pPr>
        <w:spacing w:after="0"/>
        <w:rPr>
          <w:sz w:val="20"/>
          <w:szCs w:val="20"/>
          <w:color w:val="auto"/>
        </w:rPr>
      </w:pPr>
      <w:r>
        <w:rPr>
          <w:rFonts w:ascii="Arial" w:cs="Arial" w:eastAsia="Arial" w:hAnsi="Arial"/>
          <w:sz w:val="43"/>
          <w:szCs w:val="43"/>
          <w:color w:val="012E6C"/>
        </w:rPr>
        <w:t>Director Compensation</w:t>
      </w:r>
    </w:p>
    <w:p>
      <w:pPr>
        <w:spacing w:after="0" w:line="341" w:lineRule="exact"/>
        <w:rPr>
          <w:sz w:val="20"/>
          <w:szCs w:val="20"/>
          <w:color w:val="auto"/>
        </w:rPr>
      </w:pPr>
    </w:p>
    <w:p>
      <w:pPr>
        <w:spacing w:after="0"/>
        <w:rPr>
          <w:sz w:val="20"/>
          <w:szCs w:val="20"/>
          <w:color w:val="auto"/>
        </w:rPr>
      </w:pPr>
      <w:r>
        <w:rPr>
          <w:rFonts w:ascii="Arial" w:cs="Arial" w:eastAsia="Arial" w:hAnsi="Arial"/>
          <w:sz w:val="28"/>
          <w:szCs w:val="28"/>
          <w:b w:val="1"/>
          <w:bCs w:val="1"/>
          <w:color w:val="012E6C"/>
        </w:rPr>
        <w:t>Annual Directors’ Compensation (Non-Employee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327596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040" w:type="dxa"/>
            <w:vAlign w:val="bottom"/>
            <w:tcBorders>
              <w:bottom w:val="single" w:sz="8" w:color="868686"/>
            </w:tcBorders>
          </w:tcPr>
          <w:p>
            <w:pPr>
              <w:ind w:left="40"/>
              <w:spacing w:after="0"/>
              <w:rPr>
                <w:sz w:val="20"/>
                <w:szCs w:val="20"/>
                <w:color w:val="auto"/>
              </w:rPr>
            </w:pPr>
            <w:r>
              <w:rPr>
                <w:rFonts w:ascii="Arial" w:cs="Arial" w:eastAsia="Arial" w:hAnsi="Arial"/>
                <w:sz w:val="14"/>
                <w:szCs w:val="14"/>
                <w:color w:val="auto"/>
              </w:rPr>
              <w:t>Annual Cash Retainer</w:t>
            </w:r>
          </w:p>
        </w:tc>
        <w:tc>
          <w:tcPr>
            <w:tcW w:w="1120" w:type="dxa"/>
            <w:vAlign w:val="bottom"/>
            <w:tcBorders>
              <w:bottom w:val="single" w:sz="8" w:color="868686"/>
            </w:tcBorders>
          </w:tcPr>
          <w:p>
            <w:pPr>
              <w:jc w:val="right"/>
              <w:ind w:right="28"/>
              <w:spacing w:after="0"/>
              <w:rPr>
                <w:sz w:val="20"/>
                <w:szCs w:val="20"/>
                <w:color w:val="auto"/>
              </w:rPr>
            </w:pPr>
            <w:r>
              <w:rPr>
                <w:rFonts w:ascii="Arial" w:cs="Arial" w:eastAsia="Arial" w:hAnsi="Arial"/>
                <w:sz w:val="14"/>
                <w:szCs w:val="14"/>
                <w:color w:val="auto"/>
              </w:rPr>
              <w:t>$155,000</w:t>
            </w:r>
          </w:p>
        </w:tc>
      </w:tr>
      <w:tr>
        <w:trPr>
          <w:trHeight w:val="264"/>
        </w:trPr>
        <w:tc>
          <w:tcPr>
            <w:tcW w:w="4040" w:type="dxa"/>
            <w:vAlign w:val="bottom"/>
            <w:tcBorders>
              <w:bottom w:val="single" w:sz="8" w:color="868686"/>
            </w:tcBorders>
          </w:tcPr>
          <w:p>
            <w:pPr>
              <w:ind w:left="40"/>
              <w:spacing w:after="0"/>
              <w:rPr>
                <w:sz w:val="20"/>
                <w:szCs w:val="20"/>
                <w:color w:val="auto"/>
              </w:rPr>
            </w:pPr>
            <w:r>
              <w:rPr>
                <w:rFonts w:ascii="Arial" w:cs="Arial" w:eastAsia="Arial" w:hAnsi="Arial"/>
                <w:sz w:val="14"/>
                <w:szCs w:val="14"/>
                <w:color w:val="auto"/>
              </w:rPr>
              <w:t>Annual Equity Retainer</w:t>
            </w:r>
          </w:p>
        </w:tc>
        <w:tc>
          <w:tcPr>
            <w:tcW w:w="1120" w:type="dxa"/>
            <w:vAlign w:val="bottom"/>
            <w:tcBorders>
              <w:bottom w:val="single" w:sz="8" w:color="868686"/>
            </w:tcBorders>
          </w:tcPr>
          <w:p>
            <w:pPr>
              <w:jc w:val="right"/>
              <w:ind w:right="28"/>
              <w:spacing w:after="0"/>
              <w:rPr>
                <w:sz w:val="20"/>
                <w:szCs w:val="20"/>
                <w:color w:val="auto"/>
              </w:rPr>
            </w:pPr>
            <w:r>
              <w:rPr>
                <w:rFonts w:ascii="Arial" w:cs="Arial" w:eastAsia="Arial" w:hAnsi="Arial"/>
                <w:sz w:val="14"/>
                <w:szCs w:val="14"/>
                <w:color w:val="auto"/>
              </w:rPr>
              <w:t>$155,000</w:t>
            </w:r>
          </w:p>
        </w:tc>
      </w:tr>
      <w:tr>
        <w:trPr>
          <w:trHeight w:val="264"/>
        </w:trPr>
        <w:tc>
          <w:tcPr>
            <w:tcW w:w="4040" w:type="dxa"/>
            <w:vAlign w:val="bottom"/>
            <w:tcBorders>
              <w:bottom w:val="single" w:sz="8" w:color="868686"/>
            </w:tcBorders>
          </w:tcPr>
          <w:p>
            <w:pPr>
              <w:ind w:left="40"/>
              <w:spacing w:after="0"/>
              <w:rPr>
                <w:sz w:val="20"/>
                <w:szCs w:val="20"/>
                <w:color w:val="auto"/>
              </w:rPr>
            </w:pPr>
            <w:r>
              <w:rPr>
                <w:rFonts w:ascii="Arial" w:cs="Arial" w:eastAsia="Arial" w:hAnsi="Arial"/>
                <w:sz w:val="14"/>
                <w:szCs w:val="14"/>
                <w:color w:val="auto"/>
              </w:rPr>
              <w:t>Audit Committee Chairman Cash Retainer</w:t>
            </w:r>
          </w:p>
        </w:tc>
        <w:tc>
          <w:tcPr>
            <w:tcW w:w="1120" w:type="dxa"/>
            <w:vAlign w:val="bottom"/>
            <w:tcBorders>
              <w:bottom w:val="single" w:sz="8" w:color="868686"/>
            </w:tcBorders>
          </w:tcPr>
          <w:p>
            <w:pPr>
              <w:jc w:val="right"/>
              <w:ind w:right="28"/>
              <w:spacing w:after="0"/>
              <w:rPr>
                <w:sz w:val="20"/>
                <w:szCs w:val="20"/>
                <w:color w:val="auto"/>
              </w:rPr>
            </w:pPr>
            <w:r>
              <w:rPr>
                <w:rFonts w:ascii="Arial" w:cs="Arial" w:eastAsia="Arial" w:hAnsi="Arial"/>
                <w:sz w:val="14"/>
                <w:szCs w:val="14"/>
                <w:color w:val="auto"/>
              </w:rPr>
              <w:t>$30,000</w:t>
            </w:r>
          </w:p>
        </w:tc>
      </w:tr>
      <w:tr>
        <w:trPr>
          <w:trHeight w:val="264"/>
        </w:trPr>
        <w:tc>
          <w:tcPr>
            <w:tcW w:w="4040" w:type="dxa"/>
            <w:vAlign w:val="bottom"/>
            <w:tcBorders>
              <w:bottom w:val="single" w:sz="8" w:color="868686"/>
            </w:tcBorders>
          </w:tcPr>
          <w:p>
            <w:pPr>
              <w:ind w:left="40"/>
              <w:spacing w:after="0"/>
              <w:rPr>
                <w:sz w:val="20"/>
                <w:szCs w:val="20"/>
                <w:color w:val="auto"/>
              </w:rPr>
            </w:pPr>
            <w:r>
              <w:rPr>
                <w:rFonts w:ascii="Arial" w:cs="Arial" w:eastAsia="Arial" w:hAnsi="Arial"/>
                <w:sz w:val="14"/>
                <w:szCs w:val="14"/>
                <w:color w:val="auto"/>
              </w:rPr>
              <w:t>Compensation Committee Chairman Cash Retainer</w:t>
            </w:r>
          </w:p>
        </w:tc>
        <w:tc>
          <w:tcPr>
            <w:tcW w:w="1120" w:type="dxa"/>
            <w:vAlign w:val="bottom"/>
            <w:tcBorders>
              <w:bottom w:val="single" w:sz="8" w:color="868686"/>
            </w:tcBorders>
          </w:tcPr>
          <w:p>
            <w:pPr>
              <w:jc w:val="right"/>
              <w:ind w:right="28"/>
              <w:spacing w:after="0"/>
              <w:rPr>
                <w:sz w:val="20"/>
                <w:szCs w:val="20"/>
                <w:color w:val="auto"/>
              </w:rPr>
            </w:pPr>
            <w:r>
              <w:rPr>
                <w:rFonts w:ascii="Arial" w:cs="Arial" w:eastAsia="Arial" w:hAnsi="Arial"/>
                <w:sz w:val="14"/>
                <w:szCs w:val="14"/>
                <w:color w:val="auto"/>
              </w:rPr>
              <w:t>$30,000</w:t>
            </w:r>
          </w:p>
        </w:tc>
      </w:tr>
      <w:tr>
        <w:trPr>
          <w:trHeight w:val="264"/>
        </w:trPr>
        <w:tc>
          <w:tcPr>
            <w:tcW w:w="4040" w:type="dxa"/>
            <w:vAlign w:val="bottom"/>
            <w:tcBorders>
              <w:bottom w:val="single" w:sz="8" w:color="868686"/>
            </w:tcBorders>
          </w:tcPr>
          <w:p>
            <w:pPr>
              <w:ind w:left="40"/>
              <w:spacing w:after="0"/>
              <w:rPr>
                <w:sz w:val="20"/>
                <w:szCs w:val="20"/>
                <w:color w:val="auto"/>
              </w:rPr>
            </w:pPr>
            <w:r>
              <w:rPr>
                <w:rFonts w:ascii="Arial" w:cs="Arial" w:eastAsia="Arial" w:hAnsi="Arial"/>
                <w:sz w:val="14"/>
                <w:szCs w:val="14"/>
                <w:color w:val="auto"/>
              </w:rPr>
              <w:t>Other Committee Chairman Cash Retainers</w:t>
            </w:r>
          </w:p>
        </w:tc>
        <w:tc>
          <w:tcPr>
            <w:tcW w:w="1120" w:type="dxa"/>
            <w:vAlign w:val="bottom"/>
            <w:tcBorders>
              <w:bottom w:val="single" w:sz="8" w:color="868686"/>
            </w:tcBorders>
          </w:tcPr>
          <w:p>
            <w:pPr>
              <w:jc w:val="right"/>
              <w:ind w:right="28"/>
              <w:spacing w:after="0"/>
              <w:rPr>
                <w:sz w:val="20"/>
                <w:szCs w:val="20"/>
                <w:color w:val="auto"/>
              </w:rPr>
            </w:pPr>
            <w:r>
              <w:rPr>
                <w:rFonts w:ascii="Arial" w:cs="Arial" w:eastAsia="Arial" w:hAnsi="Arial"/>
                <w:sz w:val="14"/>
                <w:szCs w:val="14"/>
                <w:color w:val="auto"/>
              </w:rPr>
              <w:t>$20,000</w:t>
            </w:r>
          </w:p>
        </w:tc>
      </w:tr>
      <w:tr>
        <w:trPr>
          <w:trHeight w:val="264"/>
        </w:trPr>
        <w:tc>
          <w:tcPr>
            <w:tcW w:w="4040" w:type="dxa"/>
            <w:vAlign w:val="bottom"/>
            <w:tcBorders>
              <w:bottom w:val="single" w:sz="8" w:color="868686"/>
            </w:tcBorders>
          </w:tcPr>
          <w:p>
            <w:pPr>
              <w:ind w:left="40"/>
              <w:spacing w:after="0"/>
              <w:rPr>
                <w:sz w:val="20"/>
                <w:szCs w:val="20"/>
                <w:color w:val="auto"/>
              </w:rPr>
            </w:pPr>
            <w:r>
              <w:rPr>
                <w:rFonts w:ascii="Arial" w:cs="Arial" w:eastAsia="Arial" w:hAnsi="Arial"/>
                <w:sz w:val="14"/>
                <w:szCs w:val="14"/>
                <w:color w:val="auto"/>
              </w:rPr>
              <w:t>Lead Director Cash Retainer</w:t>
            </w:r>
          </w:p>
        </w:tc>
        <w:tc>
          <w:tcPr>
            <w:tcW w:w="1120" w:type="dxa"/>
            <w:vAlign w:val="bottom"/>
            <w:tcBorders>
              <w:bottom w:val="single" w:sz="8" w:color="868686"/>
            </w:tcBorders>
          </w:tcPr>
          <w:p>
            <w:pPr>
              <w:jc w:val="right"/>
              <w:ind w:right="28"/>
              <w:spacing w:after="0"/>
              <w:rPr>
                <w:sz w:val="20"/>
                <w:szCs w:val="20"/>
                <w:color w:val="auto"/>
              </w:rPr>
            </w:pPr>
            <w:r>
              <w:rPr>
                <w:rFonts w:ascii="Arial" w:cs="Arial" w:eastAsia="Arial" w:hAnsi="Arial"/>
                <w:sz w:val="14"/>
                <w:szCs w:val="14"/>
                <w:color w:val="auto"/>
              </w:rPr>
              <w:t>$35,000</w:t>
            </w:r>
          </w:p>
        </w:tc>
      </w:tr>
      <w:tr>
        <w:trPr>
          <w:trHeight w:val="264"/>
        </w:trPr>
        <w:tc>
          <w:tcPr>
            <w:tcW w:w="4040" w:type="dxa"/>
            <w:vAlign w:val="bottom"/>
            <w:tcBorders>
              <w:bottom w:val="single" w:sz="8" w:color="868686"/>
            </w:tcBorders>
          </w:tcPr>
          <w:p>
            <w:pPr>
              <w:ind w:left="40"/>
              <w:spacing w:after="0"/>
              <w:rPr>
                <w:sz w:val="20"/>
                <w:szCs w:val="20"/>
                <w:color w:val="auto"/>
              </w:rPr>
            </w:pPr>
            <w:r>
              <w:rPr>
                <w:rFonts w:ascii="Arial" w:cs="Arial" w:eastAsia="Arial" w:hAnsi="Arial"/>
                <w:sz w:val="14"/>
                <w:szCs w:val="14"/>
                <w:color w:val="auto"/>
              </w:rPr>
              <w:t>Director Education – reimbursed for costs and expenses</w:t>
            </w:r>
          </w:p>
        </w:tc>
        <w:tc>
          <w:tcPr>
            <w:tcW w:w="1120" w:type="dxa"/>
            <w:vAlign w:val="bottom"/>
            <w:tcBorders>
              <w:bottom w:val="single" w:sz="8" w:color="868686"/>
            </w:tcBorders>
          </w:tcPr>
          <w:p>
            <w:pPr>
              <w:spacing w:after="0"/>
              <w:rPr>
                <w:sz w:val="22"/>
                <w:szCs w:val="22"/>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Director compensation is an important tool used to attract and retain qualified directors. The Governance Committee annually reviews publicly available data for the companies in the comparator group we use for benchmarking executive compensation (listed on page 39). Although the Committee reviews director compensation annually, it has been the practice of the Committee to recommend changes no more frequently than every two years.</w:t>
      </w:r>
    </w:p>
    <w:p>
      <w:pPr>
        <w:spacing w:after="0" w:line="568" w:lineRule="exact"/>
        <w:rPr>
          <w:sz w:val="20"/>
          <w:szCs w:val="20"/>
          <w:color w:val="auto"/>
        </w:rPr>
      </w:pPr>
    </w:p>
    <w:p>
      <w:pPr>
        <w:sectPr>
          <w:pgSz w:w="11900" w:h="16838" w:orient="portrait"/>
          <w:cols w:equalWidth="0" w:num="2">
            <w:col w:w="5160" w:space="480"/>
            <w:col w:w="5760"/>
          </w:cols>
          <w:pgMar w:left="240" w:top="341" w:right="259" w:bottom="1440" w:gutter="0" w:footer="0" w:header="0"/>
          <w:type w:val="continuous"/>
        </w:sectPr>
      </w:pPr>
    </w:p>
    <w:p>
      <w:pPr>
        <w:ind w:right="180"/>
        <w:spacing w:after="0" w:line="273" w:lineRule="auto"/>
        <w:rPr>
          <w:sz w:val="20"/>
          <w:szCs w:val="20"/>
          <w:color w:val="auto"/>
        </w:rPr>
      </w:pPr>
      <w:r>
        <w:rPr>
          <w:rFonts w:ascii="Arial" w:cs="Arial" w:eastAsia="Arial" w:hAnsi="Arial"/>
          <w:sz w:val="17"/>
          <w:szCs w:val="17"/>
          <w:color w:val="auto"/>
        </w:rPr>
        <w:t>As director compensation for other comparator companies continues to increase during the two-year cycle, the Corporation’s position relative to the median for director compensation changes. For this reason, the Committee sets director compensation above the median with the expectation that compensation will decline relative to the median over the two-year cycle and may be below the median by the end of the two-year period. In 2018, Meridian, acting as independent compensation consultant to the Governance Committee, assisted in its review of director compensation and best practices in director compensation design. Based upon that review at its September 2018 meeting, the Board did not make any changes to directors’ compensation for 2019.</w:t>
      </w:r>
    </w:p>
    <w:p>
      <w:pPr>
        <w:spacing w:after="0" w:line="17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annual equity retainer is paid in stock units under the Lockheed Martin Corporation Amended and Restated Directors Equity Plan (Directors Equity Plan). Except in certain circumstances, stock units vest 50 percent on June 30 and 50 percent on December 31 following the grant date. Upon a change in control or a director’s retirement, death, or disability, the director’s stock units and outstanding options become fully vested, and the director has the right to exercise the options. Upon a director’s termination of service from our Board, we distribute the vested stock units, at the director’s election, in whole shares of stock or in cash, in a lump sum or in annual installments over a period of up to 20 years. Prior to distribution, a director has no voting, dividend or other rights with respect to the stock units held under the Directors Equity Plan, but is credited with additional stock units representing dividend equivalents (converted to stock units based on the closing price of our stock on the dividend payment dates). Outstanding options have a term of ten years. The Directors Equity Plan provides that a director eligible for retirement at the next annual meeting receives a prorated grant (one-third) for the four months of service prior to the annual meeting.</w:t>
      </w:r>
    </w:p>
    <w:p>
      <w:pPr>
        <w:spacing w:after="0" w:line="18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Consistent with the terms of the Directors Equity Plan, from and after January 1, 2018, a director who has satisfied the Board’s stock ownership guidelines may elect to have vested stock units awarded after that date to be paid in a lump sum on the March 31 following the one-year anniversary of the grant rather than following termination of Board service. Any director who has not satisfied the stock ownership guidelines will continue to be paid along with any accumulated dividend equivalents upon termination or retirement from the Board.</w:t>
      </w:r>
    </w:p>
    <w:p>
      <w:pPr>
        <w:spacing w:after="0" w:line="17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Although the Directors Equity Plan authorizes the grant of stock units or stock options, in June 2014, the Board approved a resolution to the effect that each non-employee director would elect to receive the equity portion of the retainer in the form of stock units for each year beginning with 2015 and would not elect options to purchase shares unless the Board resolution is further amended or revoked.</w:t>
      </w:r>
    </w:p>
    <w:p>
      <w:pPr>
        <w:spacing w:after="0" w:line="166"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The Lockheed Martin Corporation Directors Deferred Compensation Plan (Directors Deferred Compensation Plan) provides non-employee directors the opportunity to defer up to 100 percent of the cash portion of their fees. Deferred amounts earn interest at a rate that tracks the performance of: (i) the investment options available under the employee deferred compensation plans; or (ii) our company stock (with dividends reinvested), at the director’s election. Deferred fees are distributed in a lump sum or in up to 15 annual installments commencing at a time designated by the director following termination.</w:t>
      </w:r>
    </w:p>
    <w:p>
      <w:pPr>
        <w:spacing w:after="0" w:line="157" w:lineRule="exact"/>
        <w:rPr>
          <w:sz w:val="20"/>
          <w:szCs w:val="20"/>
          <w:color w:val="auto"/>
        </w:rPr>
      </w:pPr>
    </w:p>
    <w:p>
      <w:pPr>
        <w:spacing w:after="0"/>
        <w:rPr>
          <w:sz w:val="20"/>
          <w:szCs w:val="20"/>
          <w:color w:val="auto"/>
        </w:rPr>
      </w:pPr>
      <w:r>
        <w:rPr>
          <w:rFonts w:ascii="Arial" w:cs="Arial" w:eastAsia="Arial" w:hAnsi="Arial"/>
          <w:sz w:val="25"/>
          <w:szCs w:val="25"/>
          <w:color w:val="475C90"/>
        </w:rPr>
        <w:t>Stock Ownership Guidelines</w:t>
      </w:r>
    </w:p>
    <w:p>
      <w:pPr>
        <w:spacing w:after="0" w:line="24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To align their interests with the long-term interests of our stockholders, we expect our directors to maintain an ownership interest in the Corporation. Under our stock ownership guidelines for directors, non-employee directors have five years from the time they join the Board to achieve stock ownership levels (common stock or stock units) equivalent to five times the annual cash retainer. Each non-employee director has exceeded the stock ownership guidelines, except for Ms. Gordon (who has until June 2021 to meet the guidelines), Mr. Johnson and Mr. Taiclet (who each have until January 2023 to meet the guidelines) and Ms. Hollub (who has until July 2023 to meet the guidelines). Ms. Hewson is subject to the Stock Ownership Requirements for Key Employees as described on page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379730</wp:posOffset>
            </wp:positionV>
            <wp:extent cx="1440815" cy="3257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440815" cy="32575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808080"/>
        </w:rPr>
        <w:t>70</w:t>
      </w:r>
    </w:p>
    <w:p>
      <w:pPr>
        <w:sectPr>
          <w:pgSz w:w="11900" w:h="16838" w:orient="portrait"/>
          <w:cols w:equalWidth="0" w:num="1">
            <w:col w:w="11400"/>
          </w:cols>
          <w:pgMar w:left="240" w:top="341" w:right="259" w:bottom="1440" w:gutter="0" w:footer="0" w:header="0"/>
          <w:type w:val="continuous"/>
        </w:sectPr>
      </w:pPr>
    </w:p>
    <w:bookmarkStart w:id="73" w:name="page74"/>
    <w:bookmarkEnd w:id="73"/>
    <w:p>
      <w:pPr>
        <w:ind w:left="9860"/>
        <w:spacing w:after="0"/>
        <w:rPr>
          <w:sz w:val="20"/>
          <w:szCs w:val="20"/>
          <w:color w:val="auto"/>
        </w:rPr>
      </w:pPr>
      <w:r>
        <w:rPr>
          <w:rFonts w:ascii="Arial" w:cs="Arial" w:eastAsia="Arial" w:hAnsi="Arial"/>
          <w:sz w:val="15"/>
          <w:szCs w:val="15"/>
          <w:color w:val="003478"/>
        </w:rPr>
        <w:t>Director Compensation</w:t>
      </w:r>
    </w:p>
    <w:p>
      <w:pPr>
        <w:spacing w:after="0" w:line="334" w:lineRule="exact"/>
        <w:rPr>
          <w:sz w:val="20"/>
          <w:szCs w:val="20"/>
          <w:color w:val="auto"/>
        </w:rPr>
      </w:pPr>
    </w:p>
    <w:p>
      <w:pPr>
        <w:spacing w:after="0"/>
        <w:rPr>
          <w:sz w:val="20"/>
          <w:szCs w:val="20"/>
          <w:color w:val="auto"/>
        </w:rPr>
      </w:pPr>
      <w:r>
        <w:rPr>
          <w:rFonts w:ascii="Arial" w:cs="Arial" w:eastAsia="Arial" w:hAnsi="Arial"/>
          <w:sz w:val="29"/>
          <w:szCs w:val="29"/>
          <w:b w:val="1"/>
          <w:bCs w:val="1"/>
          <w:color w:val="012E6C"/>
        </w:rPr>
        <w:t>2018 Director Compensation</w:t>
      </w:r>
    </w:p>
    <w:p>
      <w:pPr>
        <w:spacing w:after="0" w:line="250"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The following table provides information on the compensation of our directors for the fiscal year ended December 31, 2018. Ms. Hewson does not receive separate compensation for service as a director of the Corporation.</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20" w:type="dxa"/>
            <w:vAlign w:val="bottom"/>
            <w:shd w:val="clear" w:color="auto" w:fill="ECECEC"/>
          </w:tcPr>
          <w:p>
            <w:pPr>
              <w:spacing w:after="0"/>
              <w:rPr>
                <w:sz w:val="13"/>
                <w:szCs w:val="13"/>
                <w:color w:val="auto"/>
              </w:rPr>
            </w:pPr>
          </w:p>
        </w:tc>
        <w:tc>
          <w:tcPr>
            <w:tcW w:w="1380" w:type="dxa"/>
            <w:vAlign w:val="bottom"/>
            <w:shd w:val="clear" w:color="auto" w:fill="ECECEC"/>
          </w:tcPr>
          <w:p>
            <w:pPr>
              <w:jc w:val="right"/>
              <w:spacing w:after="0"/>
              <w:rPr>
                <w:sz w:val="20"/>
                <w:szCs w:val="20"/>
                <w:color w:val="auto"/>
              </w:rPr>
            </w:pPr>
            <w:r>
              <w:rPr>
                <w:rFonts w:ascii="Arial" w:cs="Arial" w:eastAsia="Arial" w:hAnsi="Arial"/>
                <w:sz w:val="13"/>
                <w:szCs w:val="13"/>
                <w:color w:val="auto"/>
              </w:rPr>
              <w:t>Fees Earned or</w:t>
            </w:r>
          </w:p>
        </w:tc>
        <w:tc>
          <w:tcPr>
            <w:tcW w:w="1340" w:type="dxa"/>
            <w:vAlign w:val="bottom"/>
            <w:vMerge w:val="restart"/>
            <w:shd w:val="clear" w:color="auto" w:fill="ECECEC"/>
          </w:tcPr>
          <w:p>
            <w:pPr>
              <w:jc w:val="right"/>
              <w:ind w:right="150"/>
              <w:spacing w:after="0"/>
              <w:rPr>
                <w:sz w:val="20"/>
                <w:szCs w:val="20"/>
                <w:color w:val="auto"/>
              </w:rPr>
            </w:pPr>
            <w:r>
              <w:rPr>
                <w:rFonts w:ascii="Arial" w:cs="Arial" w:eastAsia="Arial" w:hAnsi="Arial"/>
                <w:sz w:val="13"/>
                <w:szCs w:val="13"/>
                <w:color w:val="auto"/>
              </w:rPr>
              <w:t>Stock Awards</w:t>
            </w:r>
          </w:p>
        </w:tc>
        <w:tc>
          <w:tcPr>
            <w:tcW w:w="1320" w:type="dxa"/>
            <w:vAlign w:val="bottom"/>
            <w:shd w:val="clear" w:color="auto" w:fill="ECECEC"/>
          </w:tcPr>
          <w:p>
            <w:pPr>
              <w:jc w:val="right"/>
              <w:ind w:right="230"/>
              <w:spacing w:after="0"/>
              <w:rPr>
                <w:sz w:val="20"/>
                <w:szCs w:val="20"/>
                <w:color w:val="auto"/>
              </w:rPr>
            </w:pPr>
            <w:r>
              <w:rPr>
                <w:rFonts w:ascii="Arial" w:cs="Arial" w:eastAsia="Arial" w:hAnsi="Arial"/>
                <w:sz w:val="13"/>
                <w:szCs w:val="13"/>
                <w:color w:val="auto"/>
              </w:rPr>
              <w:t>All Other</w:t>
            </w:r>
          </w:p>
        </w:tc>
        <w:tc>
          <w:tcPr>
            <w:tcW w:w="860" w:type="dxa"/>
            <w:vAlign w:val="bottom"/>
            <w:vMerge w:val="restart"/>
            <w:shd w:val="clear" w:color="auto" w:fill="ECECEC"/>
          </w:tcPr>
          <w:p>
            <w:pPr>
              <w:jc w:val="right"/>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70"/>
        </w:trPr>
        <w:tc>
          <w:tcPr>
            <w:tcW w:w="6520" w:type="dxa"/>
            <w:vAlign w:val="bottom"/>
            <w:shd w:val="clear" w:color="auto" w:fill="ECECEC"/>
          </w:tcPr>
          <w:p>
            <w:pPr>
              <w:spacing w:after="0"/>
              <w:rPr>
                <w:sz w:val="14"/>
                <w:szCs w:val="14"/>
                <w:color w:val="auto"/>
              </w:rPr>
            </w:pPr>
          </w:p>
        </w:tc>
        <w:tc>
          <w:tcPr>
            <w:tcW w:w="1380" w:type="dxa"/>
            <w:vAlign w:val="bottom"/>
            <w:shd w:val="clear" w:color="auto" w:fill="ECECEC"/>
          </w:tcPr>
          <w:p>
            <w:pPr>
              <w:jc w:val="right"/>
              <w:spacing w:after="0"/>
              <w:rPr>
                <w:sz w:val="20"/>
                <w:szCs w:val="20"/>
                <w:color w:val="auto"/>
              </w:rPr>
            </w:pPr>
            <w:r>
              <w:rPr>
                <w:rFonts w:ascii="Arial" w:cs="Arial" w:eastAsia="Arial" w:hAnsi="Arial"/>
                <w:sz w:val="13"/>
                <w:szCs w:val="13"/>
                <w:color w:val="auto"/>
              </w:rPr>
              <w:t>Paid in Cash</w:t>
            </w:r>
          </w:p>
        </w:tc>
        <w:tc>
          <w:tcPr>
            <w:tcW w:w="1340" w:type="dxa"/>
            <w:vAlign w:val="bottom"/>
            <w:vMerge w:val="continue"/>
            <w:shd w:val="clear" w:color="auto" w:fill="ECECEC"/>
          </w:tcPr>
          <w:p>
            <w:pPr>
              <w:spacing w:after="0"/>
              <w:rPr>
                <w:sz w:val="14"/>
                <w:szCs w:val="14"/>
                <w:color w:val="auto"/>
              </w:rPr>
            </w:pPr>
          </w:p>
        </w:tc>
        <w:tc>
          <w:tcPr>
            <w:tcW w:w="1320" w:type="dxa"/>
            <w:vAlign w:val="bottom"/>
            <w:shd w:val="clear" w:color="auto" w:fill="ECECEC"/>
          </w:tcPr>
          <w:p>
            <w:pPr>
              <w:jc w:val="right"/>
              <w:ind w:right="230"/>
              <w:spacing w:after="0"/>
              <w:rPr>
                <w:sz w:val="20"/>
                <w:szCs w:val="20"/>
                <w:color w:val="auto"/>
              </w:rPr>
            </w:pPr>
            <w:r>
              <w:rPr>
                <w:rFonts w:ascii="Arial" w:cs="Arial" w:eastAsia="Arial" w:hAnsi="Arial"/>
                <w:sz w:val="13"/>
                <w:szCs w:val="13"/>
                <w:color w:val="auto"/>
              </w:rPr>
              <w:t>Compensation</w:t>
            </w:r>
          </w:p>
        </w:tc>
        <w:tc>
          <w:tcPr>
            <w:tcW w:w="860" w:type="dxa"/>
            <w:vAlign w:val="bottom"/>
            <w:vMerge w:val="continue"/>
            <w:shd w:val="clear" w:color="auto" w:fill="ECECEC"/>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6520" w:type="dxa"/>
            <w:vAlign w:val="bottom"/>
            <w:tcBorders>
              <w:bottom w:val="single" w:sz="8" w:color="868686"/>
            </w:tcBorders>
            <w:shd w:val="clear" w:color="auto" w:fill="ECECEC"/>
          </w:tcPr>
          <w:p>
            <w:pPr>
              <w:ind w:left="40"/>
              <w:spacing w:after="0"/>
              <w:rPr>
                <w:sz w:val="20"/>
                <w:szCs w:val="20"/>
                <w:color w:val="auto"/>
              </w:rPr>
            </w:pPr>
            <w:r>
              <w:rPr>
                <w:rFonts w:ascii="Arial" w:cs="Arial" w:eastAsia="Arial" w:hAnsi="Arial"/>
                <w:sz w:val="13"/>
                <w:szCs w:val="13"/>
                <w:color w:val="auto"/>
              </w:rPr>
              <w:t>Name</w:t>
            </w:r>
          </w:p>
        </w:tc>
        <w:tc>
          <w:tcPr>
            <w:tcW w:w="1380" w:type="dxa"/>
            <w:vAlign w:val="bottom"/>
            <w:tcBorders>
              <w:bottom w:val="single" w:sz="8" w:color="868686"/>
            </w:tcBorders>
            <w:shd w:val="clear" w:color="auto" w:fill="ECECEC"/>
          </w:tcPr>
          <w:p>
            <w:pPr>
              <w:jc w:val="right"/>
              <w:spacing w:after="0"/>
              <w:rPr>
                <w:sz w:val="20"/>
                <w:szCs w:val="20"/>
                <w:color w:val="auto"/>
              </w:rPr>
            </w:pPr>
            <w:r>
              <w:rPr>
                <w:rFonts w:ascii="Arial" w:cs="Arial" w:eastAsia="Arial" w:hAnsi="Arial"/>
                <w:sz w:val="13"/>
                <w:szCs w:val="13"/>
                <w:color w:val="auto"/>
              </w:rPr>
              <w:t>($)</w:t>
            </w:r>
          </w:p>
        </w:tc>
        <w:tc>
          <w:tcPr>
            <w:tcW w:w="1340" w:type="dxa"/>
            <w:vAlign w:val="bottom"/>
            <w:tcBorders>
              <w:bottom w:val="single" w:sz="8" w:color="868686"/>
            </w:tcBorders>
            <w:shd w:val="clear" w:color="auto" w:fill="ECECEC"/>
          </w:tcPr>
          <w:p>
            <w:pPr>
              <w:jc w:val="right"/>
              <w:ind w:right="150"/>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868686"/>
            </w:tcBorders>
            <w:shd w:val="clear" w:color="auto" w:fill="ECECEC"/>
          </w:tcPr>
          <w:p>
            <w:pPr>
              <w:jc w:val="right"/>
              <w:ind w:right="23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868686"/>
            </w:tcBorders>
            <w:shd w:val="clear" w:color="auto" w:fill="ECECEC"/>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6520" w:type="dxa"/>
            <w:vAlign w:val="bottom"/>
            <w:tcBorders>
              <w:bottom w:val="single" w:sz="8" w:color="868686"/>
            </w:tcBorders>
            <w:shd w:val="clear" w:color="auto" w:fill="ECECEC"/>
          </w:tcPr>
          <w:p>
            <w:pPr>
              <w:ind w:left="40"/>
              <w:spacing w:after="0"/>
              <w:rPr>
                <w:sz w:val="20"/>
                <w:szCs w:val="20"/>
                <w:color w:val="auto"/>
              </w:rPr>
            </w:pPr>
            <w:r>
              <w:rPr>
                <w:rFonts w:ascii="Arial" w:cs="Arial" w:eastAsia="Arial" w:hAnsi="Arial"/>
                <w:sz w:val="13"/>
                <w:szCs w:val="13"/>
                <w:color w:val="auto"/>
              </w:rPr>
              <w:t>(a)</w:t>
            </w:r>
          </w:p>
        </w:tc>
        <w:tc>
          <w:tcPr>
            <w:tcW w:w="1380" w:type="dxa"/>
            <w:vAlign w:val="bottom"/>
            <w:tcBorders>
              <w:bottom w:val="single" w:sz="8" w:color="868686"/>
            </w:tcBorders>
            <w:shd w:val="clear" w:color="auto" w:fill="ECECEC"/>
          </w:tcPr>
          <w:p>
            <w:pPr>
              <w:jc w:val="right"/>
              <w:spacing w:after="0"/>
              <w:rPr>
                <w:sz w:val="20"/>
                <w:szCs w:val="20"/>
                <w:color w:val="auto"/>
              </w:rPr>
            </w:pPr>
            <w:r>
              <w:rPr>
                <w:rFonts w:ascii="Arial" w:cs="Arial" w:eastAsia="Arial" w:hAnsi="Arial"/>
                <w:sz w:val="13"/>
                <w:szCs w:val="13"/>
                <w:color w:val="auto"/>
              </w:rPr>
              <w:t>(b)</w:t>
            </w:r>
          </w:p>
        </w:tc>
        <w:tc>
          <w:tcPr>
            <w:tcW w:w="1340" w:type="dxa"/>
            <w:vAlign w:val="bottom"/>
            <w:tcBorders>
              <w:bottom w:val="single" w:sz="8" w:color="868686"/>
            </w:tcBorders>
            <w:shd w:val="clear" w:color="auto" w:fill="ECECEC"/>
          </w:tcPr>
          <w:p>
            <w:pPr>
              <w:jc w:val="right"/>
              <w:ind w:right="150"/>
              <w:spacing w:after="0"/>
              <w:rPr>
                <w:sz w:val="20"/>
                <w:szCs w:val="20"/>
                <w:color w:val="auto"/>
              </w:rPr>
            </w:pPr>
            <w:r>
              <w:rPr>
                <w:rFonts w:ascii="Arial" w:cs="Arial" w:eastAsia="Arial" w:hAnsi="Arial"/>
                <w:sz w:val="13"/>
                <w:szCs w:val="13"/>
                <w:color w:val="auto"/>
              </w:rPr>
              <w:t>(c)</w:t>
            </w:r>
          </w:p>
        </w:tc>
        <w:tc>
          <w:tcPr>
            <w:tcW w:w="1320" w:type="dxa"/>
            <w:vAlign w:val="bottom"/>
            <w:tcBorders>
              <w:bottom w:val="single" w:sz="8" w:color="868686"/>
            </w:tcBorders>
            <w:shd w:val="clear" w:color="auto" w:fill="ECECEC"/>
          </w:tcPr>
          <w:p>
            <w:pPr>
              <w:jc w:val="right"/>
              <w:ind w:right="230"/>
              <w:spacing w:after="0"/>
              <w:rPr>
                <w:sz w:val="20"/>
                <w:szCs w:val="20"/>
                <w:color w:val="auto"/>
              </w:rPr>
            </w:pPr>
            <w:r>
              <w:rPr>
                <w:rFonts w:ascii="Arial" w:cs="Arial" w:eastAsia="Arial" w:hAnsi="Arial"/>
                <w:sz w:val="13"/>
                <w:szCs w:val="13"/>
                <w:color w:val="auto"/>
              </w:rPr>
              <w:t>(g)</w:t>
            </w:r>
          </w:p>
        </w:tc>
        <w:tc>
          <w:tcPr>
            <w:tcW w:w="860" w:type="dxa"/>
            <w:vAlign w:val="bottom"/>
            <w:tcBorders>
              <w:bottom w:val="single" w:sz="8" w:color="868686"/>
            </w:tcBorders>
            <w:shd w:val="clear" w:color="auto" w:fill="ECECEC"/>
          </w:tcPr>
          <w:p>
            <w:pPr>
              <w:jc w:val="right"/>
              <w:spacing w:after="0"/>
              <w:rPr>
                <w:sz w:val="20"/>
                <w:szCs w:val="20"/>
                <w:color w:val="auto"/>
              </w:rPr>
            </w:pPr>
            <w:r>
              <w:rPr>
                <w:rFonts w:ascii="Arial" w:cs="Arial" w:eastAsia="Arial" w:hAnsi="Arial"/>
                <w:sz w:val="13"/>
                <w:szCs w:val="13"/>
                <w:color w:val="auto"/>
              </w:rPr>
              <w:t>(h)</w:t>
            </w:r>
          </w:p>
        </w:tc>
        <w:tc>
          <w:tcPr>
            <w:tcW w:w="0" w:type="dxa"/>
            <w:vAlign w:val="bottom"/>
          </w:tcPr>
          <w:p>
            <w:pPr>
              <w:spacing w:after="0"/>
              <w:rPr>
                <w:sz w:val="1"/>
                <w:szCs w:val="1"/>
                <w:color w:val="auto"/>
              </w:rPr>
            </w:pPr>
          </w:p>
        </w:tc>
      </w:tr>
      <w:tr>
        <w:trPr>
          <w:trHeight w:val="215"/>
        </w:trPr>
        <w:tc>
          <w:tcPr>
            <w:tcW w:w="6520" w:type="dxa"/>
            <w:vAlign w:val="bottom"/>
            <w:tcBorders>
              <w:bottom w:val="single" w:sz="8" w:color="868686"/>
            </w:tcBorders>
          </w:tcPr>
          <w:p>
            <w:pPr>
              <w:ind w:left="40"/>
              <w:spacing w:after="0"/>
              <w:rPr>
                <w:sz w:val="20"/>
                <w:szCs w:val="20"/>
                <w:color w:val="auto"/>
              </w:rPr>
            </w:pPr>
            <w:r>
              <w:rPr>
                <w:rFonts w:ascii="Arial" w:cs="Arial" w:eastAsia="Arial" w:hAnsi="Arial"/>
                <w:sz w:val="14"/>
                <w:szCs w:val="14"/>
                <w:b w:val="1"/>
                <w:bCs w:val="1"/>
                <w:color w:val="012E6C"/>
              </w:rPr>
              <w:t>Daniel F. Akerson</w:t>
            </w:r>
          </w:p>
        </w:tc>
        <w:tc>
          <w:tcPr>
            <w:tcW w:w="1380" w:type="dxa"/>
            <w:vAlign w:val="bottom"/>
            <w:tcBorders>
              <w:bottom w:val="single" w:sz="8" w:color="868686"/>
            </w:tcBorders>
          </w:tcPr>
          <w:p>
            <w:pPr>
              <w:jc w:val="right"/>
              <w:spacing w:after="0"/>
              <w:rPr>
                <w:sz w:val="20"/>
                <w:szCs w:val="20"/>
                <w:color w:val="auto"/>
              </w:rPr>
            </w:pPr>
            <w:r>
              <w:rPr>
                <w:rFonts w:ascii="Arial" w:cs="Arial" w:eastAsia="Arial" w:hAnsi="Arial"/>
                <w:sz w:val="14"/>
                <w:szCs w:val="14"/>
                <w:color w:val="auto"/>
              </w:rPr>
              <w:t>185,000</w:t>
            </w:r>
          </w:p>
        </w:tc>
        <w:tc>
          <w:tcPr>
            <w:tcW w:w="1340" w:type="dxa"/>
            <w:vAlign w:val="bottom"/>
            <w:tcBorders>
              <w:bottom w:val="single" w:sz="8" w:color="868686"/>
            </w:tcBorders>
          </w:tcPr>
          <w:p>
            <w:pPr>
              <w:jc w:val="right"/>
              <w:ind w:right="150"/>
              <w:spacing w:after="0"/>
              <w:rPr>
                <w:sz w:val="20"/>
                <w:szCs w:val="20"/>
                <w:color w:val="auto"/>
              </w:rPr>
            </w:pPr>
            <w:r>
              <w:rPr>
                <w:rFonts w:ascii="Arial" w:cs="Arial" w:eastAsia="Arial" w:hAnsi="Arial"/>
                <w:sz w:val="14"/>
                <w:szCs w:val="14"/>
                <w:color w:val="auto"/>
              </w:rPr>
              <w:t>155,000</w:t>
            </w:r>
          </w:p>
        </w:tc>
        <w:tc>
          <w:tcPr>
            <w:tcW w:w="1320" w:type="dxa"/>
            <w:vAlign w:val="bottom"/>
            <w:tcBorders>
              <w:bottom w:val="single" w:sz="8" w:color="868686"/>
            </w:tcBorders>
          </w:tcPr>
          <w:p>
            <w:pPr>
              <w:jc w:val="right"/>
              <w:ind w:right="230"/>
              <w:spacing w:after="0"/>
              <w:rPr>
                <w:sz w:val="20"/>
                <w:szCs w:val="20"/>
                <w:color w:val="auto"/>
              </w:rPr>
            </w:pPr>
            <w:r>
              <w:rPr>
                <w:rFonts w:ascii="Arial" w:cs="Arial" w:eastAsia="Arial" w:hAnsi="Arial"/>
                <w:sz w:val="14"/>
                <w:szCs w:val="14"/>
                <w:color w:val="auto"/>
              </w:rPr>
              <w:t>145</w:t>
            </w:r>
          </w:p>
        </w:tc>
        <w:tc>
          <w:tcPr>
            <w:tcW w:w="860" w:type="dxa"/>
            <w:vAlign w:val="bottom"/>
            <w:tcBorders>
              <w:bottom w:val="single" w:sz="8" w:color="868686"/>
            </w:tcBorders>
          </w:tcPr>
          <w:p>
            <w:pPr>
              <w:jc w:val="right"/>
              <w:spacing w:after="0"/>
              <w:rPr>
                <w:sz w:val="20"/>
                <w:szCs w:val="20"/>
                <w:color w:val="auto"/>
              </w:rPr>
            </w:pPr>
            <w:r>
              <w:rPr>
                <w:rFonts w:ascii="Arial" w:cs="Arial" w:eastAsia="Arial" w:hAnsi="Arial"/>
                <w:sz w:val="14"/>
                <w:szCs w:val="14"/>
                <w:color w:val="auto"/>
              </w:rPr>
              <w:t>340,145</w:t>
            </w:r>
          </w:p>
        </w:tc>
        <w:tc>
          <w:tcPr>
            <w:tcW w:w="0" w:type="dxa"/>
            <w:vAlign w:val="bottom"/>
          </w:tcPr>
          <w:p>
            <w:pPr>
              <w:spacing w:after="0"/>
              <w:rPr>
                <w:sz w:val="1"/>
                <w:szCs w:val="1"/>
                <w:color w:val="auto"/>
              </w:rPr>
            </w:pPr>
          </w:p>
        </w:tc>
      </w:tr>
      <w:tr>
        <w:trPr>
          <w:trHeight w:val="210"/>
        </w:trPr>
        <w:tc>
          <w:tcPr>
            <w:tcW w:w="6520" w:type="dxa"/>
            <w:vAlign w:val="bottom"/>
            <w:tcBorders>
              <w:bottom w:val="single" w:sz="8" w:color="868686"/>
            </w:tcBorders>
          </w:tcPr>
          <w:p>
            <w:pPr>
              <w:ind w:left="40"/>
              <w:spacing w:after="0"/>
              <w:rPr>
                <w:sz w:val="20"/>
                <w:szCs w:val="20"/>
                <w:color w:val="auto"/>
              </w:rPr>
            </w:pPr>
            <w:r>
              <w:rPr>
                <w:rFonts w:ascii="Arial" w:cs="Arial" w:eastAsia="Arial" w:hAnsi="Arial"/>
                <w:sz w:val="14"/>
                <w:szCs w:val="14"/>
                <w:b w:val="1"/>
                <w:bCs w:val="1"/>
                <w:color w:val="012E6C"/>
              </w:rPr>
              <w:t>Nolan D. Archibald</w:t>
            </w:r>
          </w:p>
        </w:tc>
        <w:tc>
          <w:tcPr>
            <w:tcW w:w="1380" w:type="dxa"/>
            <w:vAlign w:val="bottom"/>
            <w:tcBorders>
              <w:bottom w:val="single" w:sz="8" w:color="868686"/>
            </w:tcBorders>
          </w:tcPr>
          <w:p>
            <w:pPr>
              <w:jc w:val="right"/>
              <w:spacing w:after="0"/>
              <w:rPr>
                <w:sz w:val="20"/>
                <w:szCs w:val="20"/>
                <w:color w:val="auto"/>
              </w:rPr>
            </w:pPr>
            <w:r>
              <w:rPr>
                <w:rFonts w:ascii="Arial" w:cs="Arial" w:eastAsia="Arial" w:hAnsi="Arial"/>
                <w:sz w:val="14"/>
                <w:szCs w:val="14"/>
                <w:color w:val="auto"/>
              </w:rPr>
              <w:t>210,000</w:t>
            </w:r>
          </w:p>
        </w:tc>
        <w:tc>
          <w:tcPr>
            <w:tcW w:w="1340" w:type="dxa"/>
            <w:vAlign w:val="bottom"/>
            <w:tcBorders>
              <w:bottom w:val="single" w:sz="8" w:color="868686"/>
            </w:tcBorders>
          </w:tcPr>
          <w:p>
            <w:pPr>
              <w:jc w:val="right"/>
              <w:ind w:right="150"/>
              <w:spacing w:after="0"/>
              <w:rPr>
                <w:sz w:val="20"/>
                <w:szCs w:val="20"/>
                <w:color w:val="auto"/>
              </w:rPr>
            </w:pPr>
            <w:r>
              <w:rPr>
                <w:rFonts w:ascii="Arial" w:cs="Arial" w:eastAsia="Arial" w:hAnsi="Arial"/>
                <w:sz w:val="14"/>
                <w:szCs w:val="14"/>
                <w:color w:val="auto"/>
              </w:rPr>
              <w:t>155,000</w:t>
            </w:r>
          </w:p>
        </w:tc>
        <w:tc>
          <w:tcPr>
            <w:tcW w:w="1320" w:type="dxa"/>
            <w:vAlign w:val="bottom"/>
            <w:tcBorders>
              <w:bottom w:val="single" w:sz="8" w:color="868686"/>
            </w:tcBorders>
          </w:tcPr>
          <w:p>
            <w:pPr>
              <w:jc w:val="right"/>
              <w:ind w:right="230"/>
              <w:spacing w:after="0"/>
              <w:rPr>
                <w:sz w:val="20"/>
                <w:szCs w:val="20"/>
                <w:color w:val="auto"/>
              </w:rPr>
            </w:pPr>
            <w:r>
              <w:rPr>
                <w:rFonts w:ascii="Arial" w:cs="Arial" w:eastAsia="Arial" w:hAnsi="Arial"/>
                <w:sz w:val="14"/>
                <w:szCs w:val="14"/>
                <w:color w:val="auto"/>
              </w:rPr>
              <w:t>10,000</w:t>
            </w:r>
          </w:p>
        </w:tc>
        <w:tc>
          <w:tcPr>
            <w:tcW w:w="860" w:type="dxa"/>
            <w:vAlign w:val="bottom"/>
            <w:tcBorders>
              <w:bottom w:val="single" w:sz="8" w:color="868686"/>
            </w:tcBorders>
          </w:tcPr>
          <w:p>
            <w:pPr>
              <w:jc w:val="right"/>
              <w:spacing w:after="0"/>
              <w:rPr>
                <w:sz w:val="20"/>
                <w:szCs w:val="20"/>
                <w:color w:val="auto"/>
              </w:rPr>
            </w:pPr>
            <w:r>
              <w:rPr>
                <w:rFonts w:ascii="Arial" w:cs="Arial" w:eastAsia="Arial" w:hAnsi="Arial"/>
                <w:sz w:val="14"/>
                <w:szCs w:val="14"/>
                <w:color w:val="auto"/>
              </w:rPr>
              <w:t>375,000</w:t>
            </w:r>
          </w:p>
        </w:tc>
        <w:tc>
          <w:tcPr>
            <w:tcW w:w="0" w:type="dxa"/>
            <w:vAlign w:val="bottom"/>
          </w:tcPr>
          <w:p>
            <w:pPr>
              <w:spacing w:after="0"/>
              <w:rPr>
                <w:sz w:val="1"/>
                <w:szCs w:val="1"/>
                <w:color w:val="auto"/>
              </w:rPr>
            </w:pPr>
          </w:p>
        </w:tc>
      </w:tr>
      <w:tr>
        <w:trPr>
          <w:trHeight w:val="210"/>
        </w:trPr>
        <w:tc>
          <w:tcPr>
            <w:tcW w:w="6520" w:type="dxa"/>
            <w:vAlign w:val="bottom"/>
            <w:tcBorders>
              <w:bottom w:val="single" w:sz="8" w:color="868686"/>
            </w:tcBorders>
          </w:tcPr>
          <w:p>
            <w:pPr>
              <w:ind w:left="40"/>
              <w:spacing w:after="0"/>
              <w:rPr>
                <w:sz w:val="20"/>
                <w:szCs w:val="20"/>
                <w:color w:val="auto"/>
              </w:rPr>
            </w:pPr>
            <w:r>
              <w:rPr>
                <w:rFonts w:ascii="Arial" w:cs="Arial" w:eastAsia="Arial" w:hAnsi="Arial"/>
                <w:sz w:val="14"/>
                <w:szCs w:val="14"/>
                <w:b w:val="1"/>
                <w:bCs w:val="1"/>
                <w:color w:val="012E6C"/>
              </w:rPr>
              <w:t>David B. Burritt</w:t>
            </w:r>
          </w:p>
        </w:tc>
        <w:tc>
          <w:tcPr>
            <w:tcW w:w="1380" w:type="dxa"/>
            <w:vAlign w:val="bottom"/>
            <w:tcBorders>
              <w:bottom w:val="single" w:sz="8" w:color="868686"/>
            </w:tcBorders>
          </w:tcPr>
          <w:p>
            <w:pPr>
              <w:jc w:val="right"/>
              <w:spacing w:after="0"/>
              <w:rPr>
                <w:sz w:val="20"/>
                <w:szCs w:val="20"/>
                <w:color w:val="auto"/>
              </w:rPr>
            </w:pPr>
            <w:r>
              <w:rPr>
                <w:rFonts w:ascii="Arial" w:cs="Arial" w:eastAsia="Arial" w:hAnsi="Arial"/>
                <w:sz w:val="14"/>
                <w:szCs w:val="14"/>
                <w:color w:val="auto"/>
              </w:rPr>
              <w:t>155,000</w:t>
            </w:r>
          </w:p>
        </w:tc>
        <w:tc>
          <w:tcPr>
            <w:tcW w:w="1340" w:type="dxa"/>
            <w:vAlign w:val="bottom"/>
            <w:tcBorders>
              <w:bottom w:val="single" w:sz="8" w:color="868686"/>
            </w:tcBorders>
          </w:tcPr>
          <w:p>
            <w:pPr>
              <w:jc w:val="right"/>
              <w:ind w:right="150"/>
              <w:spacing w:after="0"/>
              <w:rPr>
                <w:sz w:val="20"/>
                <w:szCs w:val="20"/>
                <w:color w:val="auto"/>
              </w:rPr>
            </w:pPr>
            <w:r>
              <w:rPr>
                <w:rFonts w:ascii="Arial" w:cs="Arial" w:eastAsia="Arial" w:hAnsi="Arial"/>
                <w:sz w:val="14"/>
                <w:szCs w:val="14"/>
                <w:color w:val="auto"/>
              </w:rPr>
              <w:t>155,000</w:t>
            </w:r>
          </w:p>
        </w:tc>
        <w:tc>
          <w:tcPr>
            <w:tcW w:w="1320" w:type="dxa"/>
            <w:vAlign w:val="bottom"/>
            <w:tcBorders>
              <w:bottom w:val="single" w:sz="8" w:color="868686"/>
            </w:tcBorders>
          </w:tcPr>
          <w:p>
            <w:pPr>
              <w:jc w:val="right"/>
              <w:ind w:right="230"/>
              <w:spacing w:after="0"/>
              <w:rPr>
                <w:sz w:val="20"/>
                <w:szCs w:val="20"/>
                <w:color w:val="auto"/>
              </w:rPr>
            </w:pPr>
            <w:r>
              <w:rPr>
                <w:rFonts w:ascii="Arial" w:cs="Arial" w:eastAsia="Arial" w:hAnsi="Arial"/>
                <w:sz w:val="14"/>
                <w:szCs w:val="14"/>
                <w:color w:val="auto"/>
              </w:rPr>
              <w:t>10,196</w:t>
            </w:r>
          </w:p>
        </w:tc>
        <w:tc>
          <w:tcPr>
            <w:tcW w:w="860" w:type="dxa"/>
            <w:vAlign w:val="bottom"/>
            <w:tcBorders>
              <w:bottom w:val="single" w:sz="8" w:color="868686"/>
            </w:tcBorders>
          </w:tcPr>
          <w:p>
            <w:pPr>
              <w:jc w:val="right"/>
              <w:spacing w:after="0"/>
              <w:rPr>
                <w:sz w:val="20"/>
                <w:szCs w:val="20"/>
                <w:color w:val="auto"/>
              </w:rPr>
            </w:pPr>
            <w:r>
              <w:rPr>
                <w:rFonts w:ascii="Arial" w:cs="Arial" w:eastAsia="Arial" w:hAnsi="Arial"/>
                <w:sz w:val="14"/>
                <w:szCs w:val="14"/>
                <w:color w:val="auto"/>
              </w:rPr>
              <w:t>320,196</w:t>
            </w:r>
          </w:p>
        </w:tc>
        <w:tc>
          <w:tcPr>
            <w:tcW w:w="0" w:type="dxa"/>
            <w:vAlign w:val="bottom"/>
          </w:tcPr>
          <w:p>
            <w:pPr>
              <w:spacing w:after="0"/>
              <w:rPr>
                <w:sz w:val="1"/>
                <w:szCs w:val="1"/>
                <w:color w:val="auto"/>
              </w:rPr>
            </w:pPr>
          </w:p>
        </w:tc>
      </w:tr>
      <w:tr>
        <w:trPr>
          <w:trHeight w:val="210"/>
        </w:trPr>
        <w:tc>
          <w:tcPr>
            <w:tcW w:w="6520" w:type="dxa"/>
            <w:vAlign w:val="bottom"/>
            <w:tcBorders>
              <w:bottom w:val="single" w:sz="8" w:color="868686"/>
            </w:tcBorders>
          </w:tcPr>
          <w:p>
            <w:pPr>
              <w:ind w:left="40"/>
              <w:spacing w:after="0"/>
              <w:rPr>
                <w:sz w:val="20"/>
                <w:szCs w:val="20"/>
                <w:color w:val="auto"/>
              </w:rPr>
            </w:pPr>
            <w:r>
              <w:rPr>
                <w:rFonts w:ascii="Arial" w:cs="Arial" w:eastAsia="Arial" w:hAnsi="Arial"/>
                <w:sz w:val="14"/>
                <w:szCs w:val="14"/>
                <w:b w:val="1"/>
                <w:bCs w:val="1"/>
                <w:color w:val="012E6C"/>
              </w:rPr>
              <w:t>Bruce A. Carlson</w:t>
            </w:r>
          </w:p>
        </w:tc>
        <w:tc>
          <w:tcPr>
            <w:tcW w:w="1380" w:type="dxa"/>
            <w:vAlign w:val="bottom"/>
            <w:tcBorders>
              <w:bottom w:val="single" w:sz="8" w:color="868686"/>
            </w:tcBorders>
          </w:tcPr>
          <w:p>
            <w:pPr>
              <w:jc w:val="right"/>
              <w:spacing w:after="0"/>
              <w:rPr>
                <w:sz w:val="20"/>
                <w:szCs w:val="20"/>
                <w:color w:val="auto"/>
              </w:rPr>
            </w:pPr>
            <w:r>
              <w:rPr>
                <w:rFonts w:ascii="Arial" w:cs="Arial" w:eastAsia="Arial" w:hAnsi="Arial"/>
                <w:sz w:val="14"/>
                <w:szCs w:val="14"/>
                <w:color w:val="auto"/>
              </w:rPr>
              <w:t>155,000</w:t>
            </w:r>
          </w:p>
        </w:tc>
        <w:tc>
          <w:tcPr>
            <w:tcW w:w="1340" w:type="dxa"/>
            <w:vAlign w:val="bottom"/>
            <w:tcBorders>
              <w:bottom w:val="single" w:sz="8" w:color="868686"/>
            </w:tcBorders>
          </w:tcPr>
          <w:p>
            <w:pPr>
              <w:jc w:val="right"/>
              <w:ind w:right="150"/>
              <w:spacing w:after="0"/>
              <w:rPr>
                <w:sz w:val="20"/>
                <w:szCs w:val="20"/>
                <w:color w:val="auto"/>
              </w:rPr>
            </w:pPr>
            <w:r>
              <w:rPr>
                <w:rFonts w:ascii="Arial" w:cs="Arial" w:eastAsia="Arial" w:hAnsi="Arial"/>
                <w:sz w:val="14"/>
                <w:szCs w:val="14"/>
                <w:color w:val="auto"/>
              </w:rPr>
              <w:t>155,000</w:t>
            </w:r>
          </w:p>
        </w:tc>
        <w:tc>
          <w:tcPr>
            <w:tcW w:w="1320" w:type="dxa"/>
            <w:vAlign w:val="bottom"/>
            <w:tcBorders>
              <w:bottom w:val="single" w:sz="8" w:color="868686"/>
            </w:tcBorders>
          </w:tcPr>
          <w:p>
            <w:pPr>
              <w:jc w:val="right"/>
              <w:ind w:right="230"/>
              <w:spacing w:after="0"/>
              <w:rPr>
                <w:sz w:val="20"/>
                <w:szCs w:val="20"/>
                <w:color w:val="auto"/>
              </w:rPr>
            </w:pPr>
            <w:r>
              <w:rPr>
                <w:rFonts w:ascii="Arial" w:cs="Arial" w:eastAsia="Arial" w:hAnsi="Arial"/>
                <w:sz w:val="14"/>
                <w:szCs w:val="14"/>
                <w:color w:val="auto"/>
              </w:rPr>
              <w:t>1,838</w:t>
            </w:r>
          </w:p>
        </w:tc>
        <w:tc>
          <w:tcPr>
            <w:tcW w:w="860" w:type="dxa"/>
            <w:vAlign w:val="bottom"/>
            <w:tcBorders>
              <w:bottom w:val="single" w:sz="8" w:color="868686"/>
            </w:tcBorders>
          </w:tcPr>
          <w:p>
            <w:pPr>
              <w:jc w:val="right"/>
              <w:spacing w:after="0"/>
              <w:rPr>
                <w:sz w:val="20"/>
                <w:szCs w:val="20"/>
                <w:color w:val="auto"/>
              </w:rPr>
            </w:pPr>
            <w:r>
              <w:rPr>
                <w:rFonts w:ascii="Arial" w:cs="Arial" w:eastAsia="Arial" w:hAnsi="Arial"/>
                <w:sz w:val="14"/>
                <w:szCs w:val="14"/>
                <w:color w:val="auto"/>
              </w:rPr>
              <w:t>311,838</w:t>
            </w:r>
          </w:p>
        </w:tc>
        <w:tc>
          <w:tcPr>
            <w:tcW w:w="0" w:type="dxa"/>
            <w:vAlign w:val="bottom"/>
          </w:tcPr>
          <w:p>
            <w:pPr>
              <w:spacing w:after="0"/>
              <w:rPr>
                <w:sz w:val="1"/>
                <w:szCs w:val="1"/>
                <w:color w:val="auto"/>
              </w:rPr>
            </w:pPr>
          </w:p>
        </w:tc>
      </w:tr>
      <w:tr>
        <w:trPr>
          <w:trHeight w:val="210"/>
        </w:trPr>
        <w:tc>
          <w:tcPr>
            <w:tcW w:w="6520" w:type="dxa"/>
            <w:vAlign w:val="bottom"/>
            <w:tcBorders>
              <w:bottom w:val="single" w:sz="8" w:color="868686"/>
            </w:tcBorders>
          </w:tcPr>
          <w:p>
            <w:pPr>
              <w:ind w:left="40"/>
              <w:spacing w:after="0"/>
              <w:rPr>
                <w:sz w:val="20"/>
                <w:szCs w:val="20"/>
                <w:color w:val="auto"/>
              </w:rPr>
            </w:pPr>
            <w:r>
              <w:rPr>
                <w:rFonts w:ascii="Arial" w:cs="Arial" w:eastAsia="Arial" w:hAnsi="Arial"/>
                <w:sz w:val="14"/>
                <w:szCs w:val="14"/>
                <w:b w:val="1"/>
                <w:bCs w:val="1"/>
                <w:color w:val="012E6C"/>
              </w:rPr>
              <w:t>James O. Ellis, Jr.</w:t>
            </w:r>
          </w:p>
        </w:tc>
        <w:tc>
          <w:tcPr>
            <w:tcW w:w="1380" w:type="dxa"/>
            <w:vAlign w:val="bottom"/>
            <w:tcBorders>
              <w:bottom w:val="single" w:sz="8" w:color="868686"/>
            </w:tcBorders>
          </w:tcPr>
          <w:p>
            <w:pPr>
              <w:jc w:val="right"/>
              <w:spacing w:after="0"/>
              <w:rPr>
                <w:sz w:val="20"/>
                <w:szCs w:val="20"/>
                <w:color w:val="auto"/>
              </w:rPr>
            </w:pPr>
            <w:r>
              <w:rPr>
                <w:rFonts w:ascii="Arial" w:cs="Arial" w:eastAsia="Arial" w:hAnsi="Arial"/>
                <w:sz w:val="14"/>
                <w:szCs w:val="14"/>
                <w:color w:val="auto"/>
              </w:rPr>
              <w:t>175,000</w:t>
            </w:r>
          </w:p>
        </w:tc>
        <w:tc>
          <w:tcPr>
            <w:tcW w:w="1340" w:type="dxa"/>
            <w:vAlign w:val="bottom"/>
            <w:tcBorders>
              <w:bottom w:val="single" w:sz="8" w:color="868686"/>
            </w:tcBorders>
          </w:tcPr>
          <w:p>
            <w:pPr>
              <w:jc w:val="right"/>
              <w:ind w:right="150"/>
              <w:spacing w:after="0"/>
              <w:rPr>
                <w:sz w:val="20"/>
                <w:szCs w:val="20"/>
                <w:color w:val="auto"/>
              </w:rPr>
            </w:pPr>
            <w:r>
              <w:rPr>
                <w:rFonts w:ascii="Arial" w:cs="Arial" w:eastAsia="Arial" w:hAnsi="Arial"/>
                <w:sz w:val="14"/>
                <w:szCs w:val="14"/>
                <w:color w:val="auto"/>
              </w:rPr>
              <w:t>155,000</w:t>
            </w:r>
          </w:p>
        </w:tc>
        <w:tc>
          <w:tcPr>
            <w:tcW w:w="1320" w:type="dxa"/>
            <w:vAlign w:val="bottom"/>
            <w:tcBorders>
              <w:bottom w:val="single" w:sz="8" w:color="868686"/>
            </w:tcBorders>
          </w:tcPr>
          <w:p>
            <w:pPr>
              <w:jc w:val="right"/>
              <w:ind w:right="230"/>
              <w:spacing w:after="0"/>
              <w:rPr>
                <w:sz w:val="20"/>
                <w:szCs w:val="20"/>
                <w:color w:val="auto"/>
              </w:rPr>
            </w:pPr>
            <w:r>
              <w:rPr>
                <w:rFonts w:ascii="Arial" w:cs="Arial" w:eastAsia="Arial" w:hAnsi="Arial"/>
                <w:sz w:val="14"/>
                <w:szCs w:val="14"/>
                <w:color w:val="auto"/>
              </w:rPr>
              <w:t>1,872</w:t>
            </w:r>
          </w:p>
        </w:tc>
        <w:tc>
          <w:tcPr>
            <w:tcW w:w="860" w:type="dxa"/>
            <w:vAlign w:val="bottom"/>
            <w:tcBorders>
              <w:bottom w:val="single" w:sz="8" w:color="868686"/>
            </w:tcBorders>
          </w:tcPr>
          <w:p>
            <w:pPr>
              <w:jc w:val="right"/>
              <w:spacing w:after="0"/>
              <w:rPr>
                <w:sz w:val="20"/>
                <w:szCs w:val="20"/>
                <w:color w:val="auto"/>
              </w:rPr>
            </w:pPr>
            <w:r>
              <w:rPr>
                <w:rFonts w:ascii="Arial" w:cs="Arial" w:eastAsia="Arial" w:hAnsi="Arial"/>
                <w:sz w:val="14"/>
                <w:szCs w:val="14"/>
                <w:color w:val="auto"/>
              </w:rPr>
              <w:t>331,872</w:t>
            </w:r>
          </w:p>
        </w:tc>
        <w:tc>
          <w:tcPr>
            <w:tcW w:w="0" w:type="dxa"/>
            <w:vAlign w:val="bottom"/>
          </w:tcPr>
          <w:p>
            <w:pPr>
              <w:spacing w:after="0"/>
              <w:rPr>
                <w:sz w:val="1"/>
                <w:szCs w:val="1"/>
                <w:color w:val="auto"/>
              </w:rPr>
            </w:pPr>
          </w:p>
        </w:tc>
      </w:tr>
      <w:tr>
        <w:trPr>
          <w:trHeight w:val="210"/>
        </w:trPr>
        <w:tc>
          <w:tcPr>
            <w:tcW w:w="6520" w:type="dxa"/>
            <w:vAlign w:val="bottom"/>
            <w:tcBorders>
              <w:bottom w:val="single" w:sz="8" w:color="868686"/>
            </w:tcBorders>
          </w:tcPr>
          <w:p>
            <w:pPr>
              <w:ind w:left="40"/>
              <w:spacing w:after="0"/>
              <w:rPr>
                <w:sz w:val="20"/>
                <w:szCs w:val="20"/>
                <w:color w:val="auto"/>
              </w:rPr>
            </w:pPr>
            <w:r>
              <w:rPr>
                <w:rFonts w:ascii="Arial" w:cs="Arial" w:eastAsia="Arial" w:hAnsi="Arial"/>
                <w:sz w:val="14"/>
                <w:szCs w:val="14"/>
                <w:b w:val="1"/>
                <w:bCs w:val="1"/>
                <w:color w:val="012E6C"/>
              </w:rPr>
              <w:t>Thomas J. Falk</w:t>
            </w:r>
          </w:p>
        </w:tc>
        <w:tc>
          <w:tcPr>
            <w:tcW w:w="1380" w:type="dxa"/>
            <w:vAlign w:val="bottom"/>
            <w:tcBorders>
              <w:bottom w:val="single" w:sz="8" w:color="868686"/>
            </w:tcBorders>
          </w:tcPr>
          <w:p>
            <w:pPr>
              <w:jc w:val="right"/>
              <w:spacing w:after="0"/>
              <w:rPr>
                <w:sz w:val="20"/>
                <w:szCs w:val="20"/>
                <w:color w:val="auto"/>
              </w:rPr>
            </w:pPr>
            <w:r>
              <w:rPr>
                <w:rFonts w:ascii="Arial" w:cs="Arial" w:eastAsia="Arial" w:hAnsi="Arial"/>
                <w:sz w:val="14"/>
                <w:szCs w:val="14"/>
                <w:color w:val="auto"/>
              </w:rPr>
              <w:t>185,000</w:t>
            </w:r>
          </w:p>
        </w:tc>
        <w:tc>
          <w:tcPr>
            <w:tcW w:w="1340" w:type="dxa"/>
            <w:vAlign w:val="bottom"/>
            <w:tcBorders>
              <w:bottom w:val="single" w:sz="8" w:color="868686"/>
            </w:tcBorders>
          </w:tcPr>
          <w:p>
            <w:pPr>
              <w:jc w:val="right"/>
              <w:ind w:right="150"/>
              <w:spacing w:after="0"/>
              <w:rPr>
                <w:sz w:val="20"/>
                <w:szCs w:val="20"/>
                <w:color w:val="auto"/>
              </w:rPr>
            </w:pPr>
            <w:r>
              <w:rPr>
                <w:rFonts w:ascii="Arial" w:cs="Arial" w:eastAsia="Arial" w:hAnsi="Arial"/>
                <w:sz w:val="14"/>
                <w:szCs w:val="14"/>
                <w:color w:val="auto"/>
              </w:rPr>
              <w:t>155,000</w:t>
            </w:r>
          </w:p>
        </w:tc>
        <w:tc>
          <w:tcPr>
            <w:tcW w:w="1320" w:type="dxa"/>
            <w:vAlign w:val="bottom"/>
            <w:tcBorders>
              <w:bottom w:val="single" w:sz="8" w:color="868686"/>
            </w:tcBorders>
          </w:tcPr>
          <w:p>
            <w:pPr>
              <w:jc w:val="right"/>
              <w:ind w:right="230"/>
              <w:spacing w:after="0"/>
              <w:rPr>
                <w:sz w:val="20"/>
                <w:szCs w:val="20"/>
                <w:color w:val="auto"/>
              </w:rPr>
            </w:pPr>
            <w:r>
              <w:rPr>
                <w:rFonts w:ascii="Arial" w:cs="Arial" w:eastAsia="Arial" w:hAnsi="Arial"/>
                <w:sz w:val="14"/>
                <w:szCs w:val="14"/>
                <w:color w:val="auto"/>
              </w:rPr>
              <w:t>10,447</w:t>
            </w:r>
          </w:p>
        </w:tc>
        <w:tc>
          <w:tcPr>
            <w:tcW w:w="860" w:type="dxa"/>
            <w:vAlign w:val="bottom"/>
            <w:tcBorders>
              <w:bottom w:val="single" w:sz="8" w:color="868686"/>
            </w:tcBorders>
          </w:tcPr>
          <w:p>
            <w:pPr>
              <w:jc w:val="right"/>
              <w:spacing w:after="0"/>
              <w:rPr>
                <w:sz w:val="20"/>
                <w:szCs w:val="20"/>
                <w:color w:val="auto"/>
              </w:rPr>
            </w:pPr>
            <w:r>
              <w:rPr>
                <w:rFonts w:ascii="Arial" w:cs="Arial" w:eastAsia="Arial" w:hAnsi="Arial"/>
                <w:sz w:val="14"/>
                <w:szCs w:val="14"/>
                <w:color w:val="auto"/>
              </w:rPr>
              <w:t>350,447</w:t>
            </w:r>
          </w:p>
        </w:tc>
        <w:tc>
          <w:tcPr>
            <w:tcW w:w="0" w:type="dxa"/>
            <w:vAlign w:val="bottom"/>
          </w:tcPr>
          <w:p>
            <w:pPr>
              <w:spacing w:after="0"/>
              <w:rPr>
                <w:sz w:val="1"/>
                <w:szCs w:val="1"/>
                <w:color w:val="auto"/>
              </w:rPr>
            </w:pPr>
          </w:p>
        </w:tc>
      </w:tr>
      <w:tr>
        <w:trPr>
          <w:trHeight w:val="210"/>
        </w:trPr>
        <w:tc>
          <w:tcPr>
            <w:tcW w:w="6520" w:type="dxa"/>
            <w:vAlign w:val="bottom"/>
            <w:tcBorders>
              <w:bottom w:val="single" w:sz="8" w:color="868686"/>
            </w:tcBorders>
          </w:tcPr>
          <w:p>
            <w:pPr>
              <w:ind w:left="40"/>
              <w:spacing w:after="0"/>
              <w:rPr>
                <w:sz w:val="20"/>
                <w:szCs w:val="20"/>
                <w:color w:val="auto"/>
              </w:rPr>
            </w:pPr>
            <w:r>
              <w:rPr>
                <w:rFonts w:ascii="Arial" w:cs="Arial" w:eastAsia="Arial" w:hAnsi="Arial"/>
                <w:sz w:val="14"/>
                <w:szCs w:val="14"/>
                <w:b w:val="1"/>
                <w:bCs w:val="1"/>
                <w:color w:val="012E6C"/>
              </w:rPr>
              <w:t>Ilene S. Gordon</w:t>
            </w:r>
          </w:p>
        </w:tc>
        <w:tc>
          <w:tcPr>
            <w:tcW w:w="1380" w:type="dxa"/>
            <w:vAlign w:val="bottom"/>
            <w:tcBorders>
              <w:bottom w:val="single" w:sz="8" w:color="868686"/>
            </w:tcBorders>
          </w:tcPr>
          <w:p>
            <w:pPr>
              <w:jc w:val="right"/>
              <w:spacing w:after="0"/>
              <w:rPr>
                <w:sz w:val="20"/>
                <w:szCs w:val="20"/>
                <w:color w:val="auto"/>
              </w:rPr>
            </w:pPr>
            <w:r>
              <w:rPr>
                <w:rFonts w:ascii="Arial" w:cs="Arial" w:eastAsia="Arial" w:hAnsi="Arial"/>
                <w:sz w:val="14"/>
                <w:szCs w:val="14"/>
                <w:color w:val="auto"/>
              </w:rPr>
              <w:t>155,000</w:t>
            </w:r>
          </w:p>
        </w:tc>
        <w:tc>
          <w:tcPr>
            <w:tcW w:w="1340" w:type="dxa"/>
            <w:vAlign w:val="bottom"/>
            <w:tcBorders>
              <w:bottom w:val="single" w:sz="8" w:color="868686"/>
            </w:tcBorders>
          </w:tcPr>
          <w:p>
            <w:pPr>
              <w:jc w:val="right"/>
              <w:ind w:right="150"/>
              <w:spacing w:after="0"/>
              <w:rPr>
                <w:sz w:val="20"/>
                <w:szCs w:val="20"/>
                <w:color w:val="auto"/>
              </w:rPr>
            </w:pPr>
            <w:r>
              <w:rPr>
                <w:rFonts w:ascii="Arial" w:cs="Arial" w:eastAsia="Arial" w:hAnsi="Arial"/>
                <w:sz w:val="14"/>
                <w:szCs w:val="14"/>
                <w:color w:val="auto"/>
              </w:rPr>
              <w:t>155,000</w:t>
            </w:r>
          </w:p>
        </w:tc>
        <w:tc>
          <w:tcPr>
            <w:tcW w:w="1320" w:type="dxa"/>
            <w:vAlign w:val="bottom"/>
            <w:tcBorders>
              <w:bottom w:val="single" w:sz="8" w:color="868686"/>
            </w:tcBorders>
          </w:tcPr>
          <w:p>
            <w:pPr>
              <w:jc w:val="right"/>
              <w:ind w:right="230"/>
              <w:spacing w:after="0"/>
              <w:rPr>
                <w:sz w:val="20"/>
                <w:szCs w:val="20"/>
                <w:color w:val="auto"/>
              </w:rPr>
            </w:pPr>
            <w:r>
              <w:rPr>
                <w:rFonts w:ascii="Arial" w:cs="Arial" w:eastAsia="Arial" w:hAnsi="Arial"/>
                <w:sz w:val="14"/>
                <w:szCs w:val="14"/>
                <w:color w:val="auto"/>
              </w:rPr>
              <w:t>12,529</w:t>
            </w:r>
          </w:p>
        </w:tc>
        <w:tc>
          <w:tcPr>
            <w:tcW w:w="860" w:type="dxa"/>
            <w:vAlign w:val="bottom"/>
            <w:tcBorders>
              <w:bottom w:val="single" w:sz="8" w:color="868686"/>
            </w:tcBorders>
          </w:tcPr>
          <w:p>
            <w:pPr>
              <w:jc w:val="right"/>
              <w:spacing w:after="0"/>
              <w:rPr>
                <w:sz w:val="20"/>
                <w:szCs w:val="20"/>
                <w:color w:val="auto"/>
              </w:rPr>
            </w:pPr>
            <w:r>
              <w:rPr>
                <w:rFonts w:ascii="Arial" w:cs="Arial" w:eastAsia="Arial" w:hAnsi="Arial"/>
                <w:sz w:val="14"/>
                <w:szCs w:val="14"/>
                <w:color w:val="auto"/>
              </w:rPr>
              <w:t>322,529</w:t>
            </w:r>
          </w:p>
        </w:tc>
        <w:tc>
          <w:tcPr>
            <w:tcW w:w="0" w:type="dxa"/>
            <w:vAlign w:val="bottom"/>
          </w:tcPr>
          <w:p>
            <w:pPr>
              <w:spacing w:after="0"/>
              <w:rPr>
                <w:sz w:val="1"/>
                <w:szCs w:val="1"/>
                <w:color w:val="auto"/>
              </w:rPr>
            </w:pPr>
          </w:p>
        </w:tc>
      </w:tr>
      <w:tr>
        <w:trPr>
          <w:trHeight w:val="210"/>
        </w:trPr>
        <w:tc>
          <w:tcPr>
            <w:tcW w:w="6520" w:type="dxa"/>
            <w:vAlign w:val="bottom"/>
            <w:tcBorders>
              <w:bottom w:val="single" w:sz="8" w:color="868686"/>
            </w:tcBorders>
          </w:tcPr>
          <w:p>
            <w:pPr>
              <w:ind w:left="40"/>
              <w:spacing w:after="0"/>
              <w:rPr>
                <w:sz w:val="20"/>
                <w:szCs w:val="20"/>
                <w:color w:val="auto"/>
              </w:rPr>
            </w:pPr>
            <w:r>
              <w:rPr>
                <w:rFonts w:ascii="Arial" w:cs="Arial" w:eastAsia="Arial" w:hAnsi="Arial"/>
                <w:sz w:val="14"/>
                <w:szCs w:val="14"/>
                <w:b w:val="1"/>
                <w:bCs w:val="1"/>
                <w:color w:val="012E6C"/>
              </w:rPr>
              <w:t>Vicki A. Hollub*</w:t>
            </w:r>
          </w:p>
        </w:tc>
        <w:tc>
          <w:tcPr>
            <w:tcW w:w="1380" w:type="dxa"/>
            <w:vAlign w:val="bottom"/>
            <w:tcBorders>
              <w:bottom w:val="single" w:sz="8" w:color="868686"/>
            </w:tcBorders>
          </w:tcPr>
          <w:p>
            <w:pPr>
              <w:jc w:val="right"/>
              <w:spacing w:after="0"/>
              <w:rPr>
                <w:sz w:val="20"/>
                <w:szCs w:val="20"/>
                <w:color w:val="auto"/>
              </w:rPr>
            </w:pPr>
            <w:r>
              <w:rPr>
                <w:rFonts w:ascii="Arial" w:cs="Arial" w:eastAsia="Arial" w:hAnsi="Arial"/>
                <w:sz w:val="14"/>
                <w:szCs w:val="14"/>
                <w:color w:val="auto"/>
              </w:rPr>
              <w:t>77,500</w:t>
            </w:r>
          </w:p>
        </w:tc>
        <w:tc>
          <w:tcPr>
            <w:tcW w:w="1340" w:type="dxa"/>
            <w:vAlign w:val="bottom"/>
            <w:tcBorders>
              <w:bottom w:val="single" w:sz="8" w:color="868686"/>
            </w:tcBorders>
          </w:tcPr>
          <w:p>
            <w:pPr>
              <w:jc w:val="right"/>
              <w:ind w:right="150"/>
              <w:spacing w:after="0"/>
              <w:rPr>
                <w:sz w:val="20"/>
                <w:szCs w:val="20"/>
                <w:color w:val="auto"/>
              </w:rPr>
            </w:pPr>
            <w:r>
              <w:rPr>
                <w:rFonts w:ascii="Arial" w:cs="Arial" w:eastAsia="Arial" w:hAnsi="Arial"/>
                <w:sz w:val="14"/>
                <w:szCs w:val="14"/>
                <w:color w:val="auto"/>
              </w:rPr>
              <w:t>77,500</w:t>
            </w:r>
          </w:p>
        </w:tc>
        <w:tc>
          <w:tcPr>
            <w:tcW w:w="1320" w:type="dxa"/>
            <w:vAlign w:val="bottom"/>
            <w:tcBorders>
              <w:bottom w:val="single" w:sz="8" w:color="868686"/>
            </w:tcBorders>
          </w:tcPr>
          <w:p>
            <w:pPr>
              <w:jc w:val="right"/>
              <w:ind w:right="230"/>
              <w:spacing w:after="0"/>
              <w:rPr>
                <w:sz w:val="20"/>
                <w:szCs w:val="20"/>
                <w:color w:val="auto"/>
              </w:rPr>
            </w:pPr>
            <w:r>
              <w:rPr>
                <w:rFonts w:ascii="Arial" w:cs="Arial" w:eastAsia="Arial" w:hAnsi="Arial"/>
                <w:sz w:val="14"/>
                <w:szCs w:val="14"/>
                <w:color w:val="auto"/>
              </w:rPr>
              <w:t>0</w:t>
            </w:r>
          </w:p>
        </w:tc>
        <w:tc>
          <w:tcPr>
            <w:tcW w:w="860" w:type="dxa"/>
            <w:vAlign w:val="bottom"/>
            <w:tcBorders>
              <w:bottom w:val="single" w:sz="8" w:color="868686"/>
            </w:tcBorders>
          </w:tcPr>
          <w:p>
            <w:pPr>
              <w:jc w:val="right"/>
              <w:spacing w:after="0"/>
              <w:rPr>
                <w:sz w:val="20"/>
                <w:szCs w:val="20"/>
                <w:color w:val="auto"/>
              </w:rPr>
            </w:pPr>
            <w:r>
              <w:rPr>
                <w:rFonts w:ascii="Arial" w:cs="Arial" w:eastAsia="Arial" w:hAnsi="Arial"/>
                <w:sz w:val="14"/>
                <w:szCs w:val="14"/>
                <w:color w:val="auto"/>
              </w:rPr>
              <w:t>155,000</w:t>
            </w:r>
          </w:p>
        </w:tc>
        <w:tc>
          <w:tcPr>
            <w:tcW w:w="0" w:type="dxa"/>
            <w:vAlign w:val="bottom"/>
          </w:tcPr>
          <w:p>
            <w:pPr>
              <w:spacing w:after="0"/>
              <w:rPr>
                <w:sz w:val="1"/>
                <w:szCs w:val="1"/>
                <w:color w:val="auto"/>
              </w:rPr>
            </w:pPr>
          </w:p>
        </w:tc>
      </w:tr>
      <w:tr>
        <w:trPr>
          <w:trHeight w:val="210"/>
        </w:trPr>
        <w:tc>
          <w:tcPr>
            <w:tcW w:w="6520" w:type="dxa"/>
            <w:vAlign w:val="bottom"/>
            <w:tcBorders>
              <w:bottom w:val="single" w:sz="8" w:color="868686"/>
            </w:tcBorders>
          </w:tcPr>
          <w:p>
            <w:pPr>
              <w:ind w:left="40"/>
              <w:spacing w:after="0"/>
              <w:rPr>
                <w:sz w:val="20"/>
                <w:szCs w:val="20"/>
                <w:color w:val="auto"/>
              </w:rPr>
            </w:pPr>
            <w:r>
              <w:rPr>
                <w:rFonts w:ascii="Arial" w:cs="Arial" w:eastAsia="Arial" w:hAnsi="Arial"/>
                <w:sz w:val="14"/>
                <w:szCs w:val="14"/>
                <w:b w:val="1"/>
                <w:bCs w:val="1"/>
                <w:color w:val="012E6C"/>
              </w:rPr>
              <w:t>Jeh C. Johnson</w:t>
            </w:r>
          </w:p>
        </w:tc>
        <w:tc>
          <w:tcPr>
            <w:tcW w:w="1380" w:type="dxa"/>
            <w:vAlign w:val="bottom"/>
            <w:tcBorders>
              <w:bottom w:val="single" w:sz="8" w:color="868686"/>
            </w:tcBorders>
          </w:tcPr>
          <w:p>
            <w:pPr>
              <w:jc w:val="right"/>
              <w:spacing w:after="0"/>
              <w:rPr>
                <w:sz w:val="20"/>
                <w:szCs w:val="20"/>
                <w:color w:val="auto"/>
              </w:rPr>
            </w:pPr>
            <w:r>
              <w:rPr>
                <w:rFonts w:ascii="Arial" w:cs="Arial" w:eastAsia="Arial" w:hAnsi="Arial"/>
                <w:sz w:val="14"/>
                <w:szCs w:val="14"/>
                <w:color w:val="auto"/>
              </w:rPr>
              <w:t>155,000</w:t>
            </w:r>
          </w:p>
        </w:tc>
        <w:tc>
          <w:tcPr>
            <w:tcW w:w="1340" w:type="dxa"/>
            <w:vAlign w:val="bottom"/>
            <w:tcBorders>
              <w:bottom w:val="single" w:sz="8" w:color="868686"/>
            </w:tcBorders>
          </w:tcPr>
          <w:p>
            <w:pPr>
              <w:jc w:val="right"/>
              <w:ind w:right="150"/>
              <w:spacing w:after="0"/>
              <w:rPr>
                <w:sz w:val="20"/>
                <w:szCs w:val="20"/>
                <w:color w:val="auto"/>
              </w:rPr>
            </w:pPr>
            <w:r>
              <w:rPr>
                <w:rFonts w:ascii="Arial" w:cs="Arial" w:eastAsia="Arial" w:hAnsi="Arial"/>
                <w:sz w:val="14"/>
                <w:szCs w:val="14"/>
                <w:color w:val="auto"/>
              </w:rPr>
              <w:t>155,000</w:t>
            </w:r>
          </w:p>
        </w:tc>
        <w:tc>
          <w:tcPr>
            <w:tcW w:w="1320" w:type="dxa"/>
            <w:vAlign w:val="bottom"/>
            <w:tcBorders>
              <w:bottom w:val="single" w:sz="8" w:color="868686"/>
            </w:tcBorders>
          </w:tcPr>
          <w:p>
            <w:pPr>
              <w:jc w:val="right"/>
              <w:ind w:right="230"/>
              <w:spacing w:after="0"/>
              <w:rPr>
                <w:sz w:val="20"/>
                <w:szCs w:val="20"/>
                <w:color w:val="auto"/>
              </w:rPr>
            </w:pPr>
            <w:r>
              <w:rPr>
                <w:rFonts w:ascii="Arial" w:cs="Arial" w:eastAsia="Arial" w:hAnsi="Arial"/>
                <w:sz w:val="14"/>
                <w:szCs w:val="14"/>
                <w:color w:val="auto"/>
              </w:rPr>
              <w:t>0</w:t>
            </w:r>
          </w:p>
        </w:tc>
        <w:tc>
          <w:tcPr>
            <w:tcW w:w="860" w:type="dxa"/>
            <w:vAlign w:val="bottom"/>
            <w:tcBorders>
              <w:bottom w:val="single" w:sz="8" w:color="868686"/>
            </w:tcBorders>
          </w:tcPr>
          <w:p>
            <w:pPr>
              <w:jc w:val="right"/>
              <w:spacing w:after="0"/>
              <w:rPr>
                <w:sz w:val="20"/>
                <w:szCs w:val="20"/>
                <w:color w:val="auto"/>
              </w:rPr>
            </w:pPr>
            <w:r>
              <w:rPr>
                <w:rFonts w:ascii="Arial" w:cs="Arial" w:eastAsia="Arial" w:hAnsi="Arial"/>
                <w:sz w:val="14"/>
                <w:szCs w:val="14"/>
                <w:color w:val="auto"/>
              </w:rPr>
              <w:t>310,000</w:t>
            </w:r>
          </w:p>
        </w:tc>
        <w:tc>
          <w:tcPr>
            <w:tcW w:w="0" w:type="dxa"/>
            <w:vAlign w:val="bottom"/>
          </w:tcPr>
          <w:p>
            <w:pPr>
              <w:spacing w:after="0"/>
              <w:rPr>
                <w:sz w:val="1"/>
                <w:szCs w:val="1"/>
                <w:color w:val="auto"/>
              </w:rPr>
            </w:pPr>
          </w:p>
        </w:tc>
      </w:tr>
      <w:tr>
        <w:trPr>
          <w:trHeight w:val="210"/>
        </w:trPr>
        <w:tc>
          <w:tcPr>
            <w:tcW w:w="6520" w:type="dxa"/>
            <w:vAlign w:val="bottom"/>
            <w:tcBorders>
              <w:bottom w:val="single" w:sz="8" w:color="868686"/>
            </w:tcBorders>
          </w:tcPr>
          <w:p>
            <w:pPr>
              <w:ind w:left="40"/>
              <w:spacing w:after="0"/>
              <w:rPr>
                <w:sz w:val="20"/>
                <w:szCs w:val="20"/>
                <w:color w:val="auto"/>
              </w:rPr>
            </w:pPr>
            <w:r>
              <w:rPr>
                <w:rFonts w:ascii="Arial" w:cs="Arial" w:eastAsia="Arial" w:hAnsi="Arial"/>
                <w:sz w:val="14"/>
                <w:szCs w:val="14"/>
                <w:b w:val="1"/>
                <w:bCs w:val="1"/>
                <w:color w:val="012E6C"/>
              </w:rPr>
              <w:t>James M. Loy*</w:t>
            </w:r>
          </w:p>
        </w:tc>
        <w:tc>
          <w:tcPr>
            <w:tcW w:w="1380" w:type="dxa"/>
            <w:vAlign w:val="bottom"/>
            <w:tcBorders>
              <w:bottom w:val="single" w:sz="8" w:color="868686"/>
            </w:tcBorders>
          </w:tcPr>
          <w:p>
            <w:pPr>
              <w:jc w:val="right"/>
              <w:spacing w:after="0"/>
              <w:rPr>
                <w:sz w:val="20"/>
                <w:szCs w:val="20"/>
                <w:color w:val="auto"/>
              </w:rPr>
            </w:pPr>
            <w:r>
              <w:rPr>
                <w:rFonts w:ascii="Arial" w:cs="Arial" w:eastAsia="Arial" w:hAnsi="Arial"/>
                <w:sz w:val="14"/>
                <w:szCs w:val="14"/>
                <w:color w:val="auto"/>
              </w:rPr>
              <w:t>57,212</w:t>
            </w:r>
          </w:p>
        </w:tc>
        <w:tc>
          <w:tcPr>
            <w:tcW w:w="1340" w:type="dxa"/>
            <w:vAlign w:val="bottom"/>
            <w:tcBorders>
              <w:bottom w:val="single" w:sz="8" w:color="868686"/>
            </w:tcBorders>
          </w:tcPr>
          <w:p>
            <w:pPr>
              <w:jc w:val="right"/>
              <w:ind w:right="150"/>
              <w:spacing w:after="0"/>
              <w:rPr>
                <w:sz w:val="20"/>
                <w:szCs w:val="20"/>
                <w:color w:val="auto"/>
              </w:rPr>
            </w:pPr>
            <w:r>
              <w:rPr>
                <w:rFonts w:ascii="Arial" w:cs="Arial" w:eastAsia="Arial" w:hAnsi="Arial"/>
                <w:sz w:val="14"/>
                <w:szCs w:val="14"/>
                <w:color w:val="auto"/>
              </w:rPr>
              <w:t>51,667</w:t>
            </w:r>
          </w:p>
        </w:tc>
        <w:tc>
          <w:tcPr>
            <w:tcW w:w="1320" w:type="dxa"/>
            <w:vAlign w:val="bottom"/>
            <w:tcBorders>
              <w:bottom w:val="single" w:sz="8" w:color="868686"/>
            </w:tcBorders>
          </w:tcPr>
          <w:p>
            <w:pPr>
              <w:jc w:val="right"/>
              <w:ind w:right="230"/>
              <w:spacing w:after="0"/>
              <w:rPr>
                <w:sz w:val="20"/>
                <w:szCs w:val="20"/>
                <w:color w:val="auto"/>
              </w:rPr>
            </w:pPr>
            <w:r>
              <w:rPr>
                <w:rFonts w:ascii="Arial" w:cs="Arial" w:eastAsia="Arial" w:hAnsi="Arial"/>
                <w:sz w:val="14"/>
                <w:szCs w:val="14"/>
                <w:color w:val="auto"/>
              </w:rPr>
              <w:t>24</w:t>
            </w:r>
          </w:p>
        </w:tc>
        <w:tc>
          <w:tcPr>
            <w:tcW w:w="860" w:type="dxa"/>
            <w:vAlign w:val="bottom"/>
            <w:tcBorders>
              <w:bottom w:val="single" w:sz="8" w:color="868686"/>
            </w:tcBorders>
          </w:tcPr>
          <w:p>
            <w:pPr>
              <w:jc w:val="right"/>
              <w:spacing w:after="0"/>
              <w:rPr>
                <w:sz w:val="20"/>
                <w:szCs w:val="20"/>
                <w:color w:val="auto"/>
              </w:rPr>
            </w:pPr>
            <w:r>
              <w:rPr>
                <w:rFonts w:ascii="Arial" w:cs="Arial" w:eastAsia="Arial" w:hAnsi="Arial"/>
                <w:sz w:val="14"/>
                <w:szCs w:val="14"/>
                <w:color w:val="auto"/>
              </w:rPr>
              <w:t>108,903</w:t>
            </w:r>
          </w:p>
        </w:tc>
        <w:tc>
          <w:tcPr>
            <w:tcW w:w="0" w:type="dxa"/>
            <w:vAlign w:val="bottom"/>
          </w:tcPr>
          <w:p>
            <w:pPr>
              <w:spacing w:after="0"/>
              <w:rPr>
                <w:sz w:val="1"/>
                <w:szCs w:val="1"/>
                <w:color w:val="auto"/>
              </w:rPr>
            </w:pPr>
          </w:p>
        </w:tc>
      </w:tr>
      <w:tr>
        <w:trPr>
          <w:trHeight w:val="210"/>
        </w:trPr>
        <w:tc>
          <w:tcPr>
            <w:tcW w:w="6520" w:type="dxa"/>
            <w:vAlign w:val="bottom"/>
            <w:tcBorders>
              <w:bottom w:val="single" w:sz="8" w:color="868686"/>
            </w:tcBorders>
          </w:tcPr>
          <w:p>
            <w:pPr>
              <w:ind w:left="40"/>
              <w:spacing w:after="0"/>
              <w:rPr>
                <w:sz w:val="20"/>
                <w:szCs w:val="20"/>
                <w:color w:val="auto"/>
              </w:rPr>
            </w:pPr>
            <w:r>
              <w:rPr>
                <w:rFonts w:ascii="Arial" w:cs="Arial" w:eastAsia="Arial" w:hAnsi="Arial"/>
                <w:sz w:val="14"/>
                <w:szCs w:val="14"/>
                <w:b w:val="1"/>
                <w:bCs w:val="1"/>
                <w:color w:val="012E6C"/>
              </w:rPr>
              <w:t>Joseph W. Ralston</w:t>
            </w:r>
          </w:p>
        </w:tc>
        <w:tc>
          <w:tcPr>
            <w:tcW w:w="1380" w:type="dxa"/>
            <w:vAlign w:val="bottom"/>
            <w:tcBorders>
              <w:bottom w:val="single" w:sz="8" w:color="868686"/>
            </w:tcBorders>
          </w:tcPr>
          <w:p>
            <w:pPr>
              <w:jc w:val="right"/>
              <w:spacing w:after="0"/>
              <w:rPr>
                <w:sz w:val="20"/>
                <w:szCs w:val="20"/>
                <w:color w:val="auto"/>
              </w:rPr>
            </w:pPr>
            <w:r>
              <w:rPr>
                <w:rFonts w:ascii="Arial" w:cs="Arial" w:eastAsia="Arial" w:hAnsi="Arial"/>
                <w:sz w:val="14"/>
                <w:szCs w:val="14"/>
                <w:color w:val="auto"/>
              </w:rPr>
              <w:t>175,000</w:t>
            </w:r>
          </w:p>
        </w:tc>
        <w:tc>
          <w:tcPr>
            <w:tcW w:w="1340" w:type="dxa"/>
            <w:vAlign w:val="bottom"/>
            <w:tcBorders>
              <w:bottom w:val="single" w:sz="8" w:color="868686"/>
            </w:tcBorders>
          </w:tcPr>
          <w:p>
            <w:pPr>
              <w:jc w:val="right"/>
              <w:ind w:right="150"/>
              <w:spacing w:after="0"/>
              <w:rPr>
                <w:sz w:val="20"/>
                <w:szCs w:val="20"/>
                <w:color w:val="auto"/>
              </w:rPr>
            </w:pPr>
            <w:r>
              <w:rPr>
                <w:rFonts w:ascii="Arial" w:cs="Arial" w:eastAsia="Arial" w:hAnsi="Arial"/>
                <w:sz w:val="14"/>
                <w:szCs w:val="14"/>
                <w:color w:val="auto"/>
              </w:rPr>
              <w:t>155,000</w:t>
            </w:r>
          </w:p>
        </w:tc>
        <w:tc>
          <w:tcPr>
            <w:tcW w:w="1320" w:type="dxa"/>
            <w:vAlign w:val="bottom"/>
            <w:tcBorders>
              <w:bottom w:val="single" w:sz="8" w:color="868686"/>
            </w:tcBorders>
          </w:tcPr>
          <w:p>
            <w:pPr>
              <w:jc w:val="right"/>
              <w:ind w:right="230"/>
              <w:spacing w:after="0"/>
              <w:rPr>
                <w:sz w:val="20"/>
                <w:szCs w:val="20"/>
                <w:color w:val="auto"/>
              </w:rPr>
            </w:pPr>
            <w:r>
              <w:rPr>
                <w:rFonts w:ascii="Arial" w:cs="Arial" w:eastAsia="Arial" w:hAnsi="Arial"/>
                <w:sz w:val="14"/>
                <w:szCs w:val="14"/>
                <w:color w:val="auto"/>
              </w:rPr>
              <w:t>636</w:t>
            </w:r>
          </w:p>
        </w:tc>
        <w:tc>
          <w:tcPr>
            <w:tcW w:w="860" w:type="dxa"/>
            <w:vAlign w:val="bottom"/>
            <w:tcBorders>
              <w:bottom w:val="single" w:sz="8" w:color="868686"/>
            </w:tcBorders>
          </w:tcPr>
          <w:p>
            <w:pPr>
              <w:jc w:val="right"/>
              <w:spacing w:after="0"/>
              <w:rPr>
                <w:sz w:val="20"/>
                <w:szCs w:val="20"/>
                <w:color w:val="auto"/>
              </w:rPr>
            </w:pPr>
            <w:r>
              <w:rPr>
                <w:rFonts w:ascii="Arial" w:cs="Arial" w:eastAsia="Arial" w:hAnsi="Arial"/>
                <w:sz w:val="14"/>
                <w:szCs w:val="14"/>
                <w:color w:val="auto"/>
              </w:rPr>
              <w:t>330,636</w:t>
            </w:r>
          </w:p>
        </w:tc>
        <w:tc>
          <w:tcPr>
            <w:tcW w:w="0" w:type="dxa"/>
            <w:vAlign w:val="bottom"/>
          </w:tcPr>
          <w:p>
            <w:pPr>
              <w:spacing w:after="0"/>
              <w:rPr>
                <w:sz w:val="1"/>
                <w:szCs w:val="1"/>
                <w:color w:val="auto"/>
              </w:rPr>
            </w:pPr>
          </w:p>
        </w:tc>
      </w:tr>
      <w:tr>
        <w:trPr>
          <w:trHeight w:val="210"/>
        </w:trPr>
        <w:tc>
          <w:tcPr>
            <w:tcW w:w="6520" w:type="dxa"/>
            <w:vAlign w:val="bottom"/>
            <w:tcBorders>
              <w:bottom w:val="single" w:sz="8" w:color="868686"/>
            </w:tcBorders>
          </w:tcPr>
          <w:p>
            <w:pPr>
              <w:ind w:left="40"/>
              <w:spacing w:after="0"/>
              <w:rPr>
                <w:sz w:val="20"/>
                <w:szCs w:val="20"/>
                <w:color w:val="auto"/>
              </w:rPr>
            </w:pPr>
            <w:r>
              <w:rPr>
                <w:rFonts w:ascii="Arial" w:cs="Arial" w:eastAsia="Arial" w:hAnsi="Arial"/>
                <w:sz w:val="14"/>
                <w:szCs w:val="14"/>
                <w:b w:val="1"/>
                <w:bCs w:val="1"/>
                <w:color w:val="012E6C"/>
              </w:rPr>
              <w:t>James D. Taiclet, Jr.</w:t>
            </w:r>
          </w:p>
        </w:tc>
        <w:tc>
          <w:tcPr>
            <w:tcW w:w="1380" w:type="dxa"/>
            <w:vAlign w:val="bottom"/>
            <w:tcBorders>
              <w:bottom w:val="single" w:sz="8" w:color="868686"/>
            </w:tcBorders>
          </w:tcPr>
          <w:p>
            <w:pPr>
              <w:jc w:val="right"/>
              <w:spacing w:after="0"/>
              <w:rPr>
                <w:sz w:val="20"/>
                <w:szCs w:val="20"/>
                <w:color w:val="auto"/>
              </w:rPr>
            </w:pPr>
            <w:r>
              <w:rPr>
                <w:rFonts w:ascii="Arial" w:cs="Arial" w:eastAsia="Arial" w:hAnsi="Arial"/>
                <w:sz w:val="14"/>
                <w:szCs w:val="14"/>
                <w:color w:val="auto"/>
              </w:rPr>
              <w:t>155,000</w:t>
            </w:r>
          </w:p>
        </w:tc>
        <w:tc>
          <w:tcPr>
            <w:tcW w:w="1340" w:type="dxa"/>
            <w:vAlign w:val="bottom"/>
            <w:tcBorders>
              <w:bottom w:val="single" w:sz="8" w:color="868686"/>
            </w:tcBorders>
          </w:tcPr>
          <w:p>
            <w:pPr>
              <w:jc w:val="right"/>
              <w:ind w:right="150"/>
              <w:spacing w:after="0"/>
              <w:rPr>
                <w:sz w:val="20"/>
                <w:szCs w:val="20"/>
                <w:color w:val="auto"/>
              </w:rPr>
            </w:pPr>
            <w:r>
              <w:rPr>
                <w:rFonts w:ascii="Arial" w:cs="Arial" w:eastAsia="Arial" w:hAnsi="Arial"/>
                <w:sz w:val="14"/>
                <w:szCs w:val="14"/>
                <w:color w:val="auto"/>
              </w:rPr>
              <w:t>155,000</w:t>
            </w:r>
          </w:p>
        </w:tc>
        <w:tc>
          <w:tcPr>
            <w:tcW w:w="1320" w:type="dxa"/>
            <w:vAlign w:val="bottom"/>
            <w:tcBorders>
              <w:bottom w:val="single" w:sz="8" w:color="868686"/>
            </w:tcBorders>
          </w:tcPr>
          <w:p>
            <w:pPr>
              <w:jc w:val="right"/>
              <w:ind w:right="230"/>
              <w:spacing w:after="0"/>
              <w:rPr>
                <w:sz w:val="20"/>
                <w:szCs w:val="20"/>
                <w:color w:val="auto"/>
              </w:rPr>
            </w:pPr>
            <w:r>
              <w:rPr>
                <w:rFonts w:ascii="Arial" w:cs="Arial" w:eastAsia="Arial" w:hAnsi="Arial"/>
                <w:sz w:val="14"/>
                <w:szCs w:val="14"/>
                <w:color w:val="auto"/>
              </w:rPr>
              <w:t>0</w:t>
            </w:r>
          </w:p>
        </w:tc>
        <w:tc>
          <w:tcPr>
            <w:tcW w:w="860" w:type="dxa"/>
            <w:vAlign w:val="bottom"/>
            <w:tcBorders>
              <w:bottom w:val="single" w:sz="8" w:color="868686"/>
            </w:tcBorders>
          </w:tcPr>
          <w:p>
            <w:pPr>
              <w:jc w:val="right"/>
              <w:spacing w:after="0"/>
              <w:rPr>
                <w:sz w:val="20"/>
                <w:szCs w:val="20"/>
                <w:color w:val="auto"/>
              </w:rPr>
            </w:pPr>
            <w:r>
              <w:rPr>
                <w:rFonts w:ascii="Arial" w:cs="Arial" w:eastAsia="Arial" w:hAnsi="Arial"/>
                <w:sz w:val="14"/>
                <w:szCs w:val="14"/>
                <w:color w:val="auto"/>
              </w:rPr>
              <w:t>310,000</w:t>
            </w:r>
          </w:p>
        </w:tc>
        <w:tc>
          <w:tcPr>
            <w:tcW w:w="0" w:type="dxa"/>
            <w:vAlign w:val="bottom"/>
          </w:tcPr>
          <w:p>
            <w:pPr>
              <w:spacing w:after="0"/>
              <w:rPr>
                <w:sz w:val="1"/>
                <w:szCs w:val="1"/>
                <w:color w:val="auto"/>
              </w:rPr>
            </w:pPr>
          </w:p>
        </w:tc>
      </w:tr>
      <w:tr>
        <w:trPr>
          <w:trHeight w:val="203"/>
        </w:trPr>
        <w:tc>
          <w:tcPr>
            <w:tcW w:w="6520" w:type="dxa"/>
            <w:vAlign w:val="bottom"/>
          </w:tcPr>
          <w:p>
            <w:pPr>
              <w:spacing w:after="0"/>
              <w:rPr>
                <w:sz w:val="20"/>
                <w:szCs w:val="20"/>
                <w:color w:val="auto"/>
              </w:rPr>
            </w:pPr>
            <w:r>
              <w:rPr>
                <w:rFonts w:ascii="Arial" w:cs="Arial" w:eastAsia="Arial" w:hAnsi="Arial"/>
                <w:sz w:val="14"/>
                <w:szCs w:val="14"/>
                <w:color w:val="auto"/>
              </w:rPr>
              <w:t>*  Ms. Hollub joined the Board in July 2018. Mr. Loy retired from the Board in April 2018.</w:t>
            </w:r>
          </w:p>
        </w:tc>
        <w:tc>
          <w:tcPr>
            <w:tcW w:w="1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25"/>
          <w:szCs w:val="25"/>
          <w:color w:val="475C90"/>
        </w:rPr>
        <w:t>Fees Earned or Paid in Cash (Column (b))</w:t>
      </w:r>
    </w:p>
    <w:p>
      <w:pPr>
        <w:spacing w:after="0" w:line="242"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Represents the aggregate dollar amount of 2018 fees earned or paid in cash for services as a director, including annual retainer, committee chairman retainer and Lead Director retainer.</w:t>
      </w:r>
    </w:p>
    <w:p>
      <w:pPr>
        <w:spacing w:after="0" w:line="131" w:lineRule="exact"/>
        <w:rPr>
          <w:sz w:val="20"/>
          <w:szCs w:val="20"/>
          <w:color w:val="auto"/>
        </w:rPr>
      </w:pPr>
    </w:p>
    <w:p>
      <w:pPr>
        <w:spacing w:after="0"/>
        <w:rPr>
          <w:sz w:val="20"/>
          <w:szCs w:val="20"/>
          <w:color w:val="auto"/>
        </w:rPr>
      </w:pPr>
      <w:r>
        <w:rPr>
          <w:rFonts w:ascii="Arial" w:cs="Arial" w:eastAsia="Arial" w:hAnsi="Arial"/>
          <w:sz w:val="25"/>
          <w:szCs w:val="25"/>
          <w:color w:val="475C90"/>
        </w:rPr>
        <w:t>Stock Awards (Column (c))</w:t>
      </w:r>
    </w:p>
    <w:p>
      <w:pPr>
        <w:spacing w:after="0" w:line="242" w:lineRule="exact"/>
        <w:rPr>
          <w:sz w:val="20"/>
          <w:szCs w:val="20"/>
          <w:color w:val="auto"/>
        </w:rPr>
      </w:pPr>
    </w:p>
    <w:p>
      <w:pPr>
        <w:ind w:right="300"/>
        <w:spacing w:after="0" w:line="271" w:lineRule="auto"/>
        <w:rPr>
          <w:sz w:val="20"/>
          <w:szCs w:val="20"/>
          <w:color w:val="auto"/>
        </w:rPr>
      </w:pPr>
      <w:r>
        <w:rPr>
          <w:rFonts w:ascii="Arial" w:cs="Arial" w:eastAsia="Arial" w:hAnsi="Arial"/>
          <w:sz w:val="17"/>
          <w:szCs w:val="17"/>
          <w:color w:val="auto"/>
        </w:rPr>
        <w:t>Represents the aggregate grant date fair value computed in accordance with ASC 718 for awards of stock units in 2018 under the Directors Equity Plan. For 2018, each of Messrs. Akerson, Archibald, Burritt, Carlson, Ellis, Falk, Johnson, Ralston and Taiclet and Ms. Gordon was credited with 436.8043 stock units with an aggregate grant date fair value of $155,000. The grant date fair value is the closing price of our stock ($354.85) on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date of the grant (January 31, 2018), and Mr. Loy was credited with a pro-rated award of 145.6014 stock units with an aggregate grant date fair value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of $51,667. Ms. Hollub was credited with 238.5129 stock units with an aggregate grant date fair value of $77,500. The grant date fair value was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$324.93 per share on the date of grant (August 1, 2018). The outstanding number of stock units credited to each director under the Directors Equity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Plan (and the comparable predecessor plans), as of December 31, 2018, were: Mr. Akerson 3,326; Mr. Archibald 25,375; Mr. Burritt 8,618; Mr. Carlson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2,146; Mr. Ellis 19,932; Mr. Falk 9,814; Ms. Gordon 1,363; Ms. Hollub 242; Mr. Johnson 449; Mr. Loy 16,413; Mr. Ralston 23,572 and Mr. Taiclet 449.</w:t>
      </w:r>
    </w:p>
    <w:p>
      <w:pPr>
        <w:spacing w:after="0" w:line="206" w:lineRule="exact"/>
        <w:rPr>
          <w:sz w:val="20"/>
          <w:szCs w:val="20"/>
          <w:color w:val="auto"/>
        </w:rPr>
      </w:pPr>
    </w:p>
    <w:p>
      <w:pPr>
        <w:spacing w:after="0"/>
        <w:rPr>
          <w:sz w:val="20"/>
          <w:szCs w:val="20"/>
          <w:color w:val="auto"/>
        </w:rPr>
      </w:pPr>
      <w:r>
        <w:rPr>
          <w:rFonts w:ascii="Arial" w:cs="Arial" w:eastAsia="Arial" w:hAnsi="Arial"/>
          <w:sz w:val="25"/>
          <w:szCs w:val="25"/>
          <w:color w:val="475C90"/>
        </w:rPr>
        <w:t>All Other Compensation (Column (g))</w:t>
      </w:r>
    </w:p>
    <w:p>
      <w:pPr>
        <w:spacing w:after="0" w:line="24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Perquisites and other personal benefits provided to directors did not exceed $10,000. All other compensation includes matching contributions made to eligible universities, colleges, and other non-profit organizations under the Corporation’s matching gift programs. The Corporation’s matching contribution includes the following charitable contributions made in 2018 or to be made by the Corporation in 2019 to match a contribution in the prior year: Mr. Archibald $10,000; Mr. Burritt $10,000; Mr. Ellis $1,000; Mr. Falk $10,000; and Ms. Gordon $12,000. The matching gift programs are the same as the programs generally available to employees. Other amounts include tax assistance on travel expenses for a spouse accompanying a director while on business travel.</w:t>
      </w:r>
    </w:p>
    <w:p>
      <w:pPr>
        <w:spacing w:after="0" w:line="200" w:lineRule="exact"/>
        <w:rPr>
          <w:sz w:val="20"/>
          <w:szCs w:val="20"/>
          <w:color w:val="auto"/>
        </w:rPr>
      </w:pPr>
    </w:p>
    <w:p>
      <w:pPr>
        <w:spacing w:after="0" w:line="267" w:lineRule="exact"/>
        <w:rPr>
          <w:sz w:val="20"/>
          <w:szCs w:val="20"/>
          <w:color w:val="auto"/>
        </w:rPr>
      </w:pPr>
    </w:p>
    <w:p>
      <w:pPr>
        <w:ind w:left="40"/>
        <w:spacing w:after="0"/>
        <w:tabs>
          <w:tab w:leader="none" w:pos="9420" w:val="left"/>
          <w:tab w:leader="none" w:pos="1122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2019 Proxy Statement</w:t>
      </w:r>
      <w:r>
        <w:rPr>
          <w:sz w:val="20"/>
          <w:szCs w:val="20"/>
          <w:color w:val="auto"/>
        </w:rPr>
        <w:tab/>
      </w:r>
      <w:r>
        <w:rPr>
          <w:rFonts w:ascii="Arial" w:cs="Arial" w:eastAsia="Arial" w:hAnsi="Arial"/>
          <w:sz w:val="14"/>
          <w:szCs w:val="14"/>
          <w:b w:val="1"/>
          <w:bCs w:val="1"/>
          <w:color w:val="808080"/>
        </w:rPr>
        <w:t>71</w:t>
      </w:r>
    </w:p>
    <w:p>
      <w:pPr>
        <w:sectPr>
          <w:pgSz w:w="11900" w:h="16838" w:orient="portrait"/>
          <w:cols w:equalWidth="0" w:num="1">
            <w:col w:w="11420"/>
          </w:cols>
          <w:pgMar w:left="240" w:top="292" w:right="239" w:bottom="1440" w:gutter="0" w:footer="0" w:header="0"/>
        </w:sectPr>
      </w:pPr>
    </w:p>
    <w:bookmarkStart w:id="74" w:name="page75"/>
    <w:bookmarkEnd w:id="74"/>
    <w:p>
      <w:pPr>
        <w:ind w:right="200"/>
        <w:spacing w:after="0" w:line="294" w:lineRule="auto"/>
        <w:rPr>
          <w:sz w:val="20"/>
          <w:szCs w:val="20"/>
          <w:color w:val="auto"/>
        </w:rPr>
      </w:pPr>
      <w:r>
        <w:rPr>
          <w:rFonts w:ascii="Arial" w:cs="Arial" w:eastAsia="Arial" w:hAnsi="Arial"/>
          <w:sz w:val="43"/>
          <w:szCs w:val="43"/>
          <w:color w:val="012E6C"/>
        </w:rPr>
        <w:t>Security Ownership of Management and Certain Beneficial Owners</w:t>
      </w:r>
    </w:p>
    <w:p>
      <w:pPr>
        <w:spacing w:after="0" w:line="137" w:lineRule="exact"/>
        <w:rPr>
          <w:sz w:val="20"/>
          <w:szCs w:val="20"/>
          <w:color w:val="auto"/>
        </w:rPr>
      </w:pPr>
    </w:p>
    <w:p>
      <w:pPr>
        <w:spacing w:after="0"/>
        <w:rPr>
          <w:sz w:val="20"/>
          <w:szCs w:val="20"/>
          <w:color w:val="auto"/>
        </w:rPr>
      </w:pPr>
      <w:r>
        <w:rPr>
          <w:rFonts w:ascii="Arial" w:cs="Arial" w:eastAsia="Arial" w:hAnsi="Arial"/>
          <w:sz w:val="29"/>
          <w:szCs w:val="29"/>
          <w:b w:val="1"/>
          <w:bCs w:val="1"/>
          <w:color w:val="012E6C"/>
        </w:rPr>
        <w:t>Directors and Executive Officers</w:t>
      </w:r>
    </w:p>
    <w:p>
      <w:pPr>
        <w:spacing w:after="0" w:line="25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following table shows Lockheed Martin common stock beneficially owned by and stock units credited to each NEO, director, nominee and all NEOs, directors, nominees and other executive officers as a group as of January 31, 2019. Except as otherwise noted, the named individuals had sole voting and investment power with respect to such securities. No director, nominee or NEO, individually or as a group, beneficially owned more than one percent of our outstanding common stock. All amounts are rounded to the nearest whole share. No shares have been pledged. The address of each director, nominee and executive officer is c/o Lockheed Martin Corporation, 6801 Rockledge Drive, Bethesda, MD 20817.</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60" w:type="dxa"/>
            <w:vAlign w:val="bottom"/>
            <w:vMerge w:val="restart"/>
            <w:shd w:val="clear" w:color="auto" w:fill="ECECEC"/>
          </w:tcPr>
          <w:p>
            <w:pPr>
              <w:ind w:left="40"/>
              <w:spacing w:after="0"/>
              <w:rPr>
                <w:sz w:val="20"/>
                <w:szCs w:val="20"/>
                <w:color w:val="auto"/>
              </w:rPr>
            </w:pPr>
            <w:r>
              <w:rPr>
                <w:rFonts w:ascii="Arial" w:cs="Arial" w:eastAsia="Arial" w:hAnsi="Arial"/>
                <w:sz w:val="13"/>
                <w:szCs w:val="13"/>
                <w:color w:val="auto"/>
              </w:rPr>
              <w:t>Name</w:t>
            </w:r>
          </w:p>
        </w:tc>
        <w:tc>
          <w:tcPr>
            <w:tcW w:w="3060" w:type="dxa"/>
            <w:vAlign w:val="bottom"/>
            <w:vMerge w:val="restart"/>
            <w:shd w:val="clear" w:color="auto" w:fill="ECECEC"/>
          </w:tcPr>
          <w:p>
            <w:pPr>
              <w:jc w:val="right"/>
              <w:ind w:right="8"/>
              <w:spacing w:after="0"/>
              <w:rPr>
                <w:sz w:val="20"/>
                <w:szCs w:val="20"/>
                <w:color w:val="auto"/>
              </w:rPr>
            </w:pPr>
            <w:r>
              <w:rPr>
                <w:rFonts w:ascii="Arial" w:cs="Arial" w:eastAsia="Arial" w:hAnsi="Arial"/>
                <w:sz w:val="13"/>
                <w:szCs w:val="13"/>
                <w:color w:val="auto"/>
              </w:rPr>
              <w:t>Common Stock</w:t>
            </w:r>
          </w:p>
        </w:tc>
        <w:tc>
          <w:tcPr>
            <w:tcW w:w="360" w:type="dxa"/>
            <w:vAlign w:val="bottom"/>
            <w:shd w:val="clear" w:color="auto" w:fill="ECECEC"/>
          </w:tcPr>
          <w:p>
            <w:pPr>
              <w:ind w:left="60"/>
              <w:spacing w:after="0"/>
              <w:rPr>
                <w:sz w:val="20"/>
                <w:szCs w:val="20"/>
                <w:color w:val="auto"/>
              </w:rPr>
            </w:pPr>
            <w:r>
              <w:rPr>
                <w:rFonts w:ascii="Arial" w:cs="Arial" w:eastAsia="Arial" w:hAnsi="Arial"/>
                <w:sz w:val="10"/>
                <w:szCs w:val="10"/>
                <w:color w:val="auto"/>
              </w:rPr>
              <w:t>(1)</w:t>
            </w:r>
          </w:p>
        </w:tc>
        <w:tc>
          <w:tcPr>
            <w:tcW w:w="760" w:type="dxa"/>
            <w:vAlign w:val="bottom"/>
            <w:shd w:val="clear" w:color="auto" w:fill="ECECEC"/>
          </w:tcPr>
          <w:p>
            <w:pPr>
              <w:jc w:val="right"/>
              <w:ind w:right="9"/>
              <w:spacing w:after="0"/>
              <w:rPr>
                <w:sz w:val="20"/>
                <w:szCs w:val="20"/>
                <w:color w:val="auto"/>
              </w:rPr>
            </w:pPr>
            <w:r>
              <w:rPr>
                <w:rFonts w:ascii="Arial" w:cs="Arial" w:eastAsia="Arial" w:hAnsi="Arial"/>
                <w:sz w:val="13"/>
                <w:szCs w:val="13"/>
                <w:color w:val="auto"/>
              </w:rPr>
              <w:t>Stock</w:t>
            </w:r>
          </w:p>
        </w:tc>
        <w:tc>
          <w:tcPr>
            <w:tcW w:w="440" w:type="dxa"/>
            <w:vAlign w:val="bottom"/>
            <w:shd w:val="clear" w:color="auto" w:fill="ECECEC"/>
          </w:tcPr>
          <w:p>
            <w:pPr>
              <w:spacing w:after="0"/>
              <w:rPr>
                <w:sz w:val="13"/>
                <w:szCs w:val="13"/>
                <w:color w:val="auto"/>
              </w:rPr>
            </w:pPr>
          </w:p>
        </w:tc>
        <w:tc>
          <w:tcPr>
            <w:tcW w:w="740" w:type="dxa"/>
            <w:vAlign w:val="bottom"/>
            <w:vMerge w:val="restart"/>
            <w:shd w:val="clear" w:color="auto" w:fill="ECECEC"/>
          </w:tcPr>
          <w:p>
            <w:pPr>
              <w:jc w:val="right"/>
              <w:ind w:right="28"/>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78"/>
        </w:trPr>
        <w:tc>
          <w:tcPr>
            <w:tcW w:w="6060" w:type="dxa"/>
            <w:vAlign w:val="bottom"/>
            <w:tcBorders>
              <w:bottom w:val="single" w:sz="8" w:color="959595"/>
            </w:tcBorders>
            <w:vMerge w:val="continue"/>
            <w:shd w:val="clear" w:color="auto" w:fill="ECECEC"/>
          </w:tcPr>
          <w:p>
            <w:pPr>
              <w:spacing w:after="0"/>
              <w:rPr>
                <w:sz w:val="15"/>
                <w:szCs w:val="15"/>
                <w:color w:val="auto"/>
              </w:rPr>
            </w:pPr>
          </w:p>
        </w:tc>
        <w:tc>
          <w:tcPr>
            <w:tcW w:w="3060" w:type="dxa"/>
            <w:vAlign w:val="bottom"/>
            <w:tcBorders>
              <w:bottom w:val="single" w:sz="8" w:color="959595"/>
            </w:tcBorders>
            <w:vMerge w:val="continue"/>
            <w:shd w:val="clear" w:color="auto" w:fill="ECECEC"/>
          </w:tcPr>
          <w:p>
            <w:pPr>
              <w:spacing w:after="0"/>
              <w:rPr>
                <w:sz w:val="15"/>
                <w:szCs w:val="15"/>
                <w:color w:val="auto"/>
              </w:rPr>
            </w:pPr>
          </w:p>
        </w:tc>
        <w:tc>
          <w:tcPr>
            <w:tcW w:w="360" w:type="dxa"/>
            <w:vAlign w:val="bottom"/>
            <w:tcBorders>
              <w:bottom w:val="single" w:sz="8" w:color="959595"/>
            </w:tcBorders>
            <w:shd w:val="clear" w:color="auto" w:fill="ECECEC"/>
          </w:tcPr>
          <w:p>
            <w:pPr>
              <w:ind w:left="60"/>
              <w:spacing w:after="0"/>
              <w:rPr>
                <w:sz w:val="20"/>
                <w:szCs w:val="20"/>
                <w:color w:val="auto"/>
              </w:rPr>
            </w:pPr>
            <w:r>
              <w:rPr>
                <w:rFonts w:ascii="Arial" w:cs="Arial" w:eastAsia="Arial" w:hAnsi="Arial"/>
                <w:sz w:val="10"/>
                <w:szCs w:val="10"/>
                <w:color w:val="auto"/>
              </w:rPr>
              <w:t>(2)</w:t>
            </w:r>
          </w:p>
        </w:tc>
        <w:tc>
          <w:tcPr>
            <w:tcW w:w="760" w:type="dxa"/>
            <w:vAlign w:val="bottom"/>
            <w:tcBorders>
              <w:bottom w:val="single" w:sz="8" w:color="959595"/>
            </w:tcBorders>
            <w:shd w:val="clear" w:color="auto" w:fill="ECECEC"/>
          </w:tcPr>
          <w:p>
            <w:pPr>
              <w:jc w:val="right"/>
              <w:ind w:right="9"/>
              <w:spacing w:after="0"/>
              <w:rPr>
                <w:sz w:val="20"/>
                <w:szCs w:val="20"/>
                <w:color w:val="auto"/>
              </w:rPr>
            </w:pPr>
            <w:r>
              <w:rPr>
                <w:rFonts w:ascii="Arial" w:cs="Arial" w:eastAsia="Arial" w:hAnsi="Arial"/>
                <w:sz w:val="13"/>
                <w:szCs w:val="13"/>
                <w:color w:val="auto"/>
              </w:rPr>
              <w:t>Units*</w:t>
            </w:r>
          </w:p>
        </w:tc>
        <w:tc>
          <w:tcPr>
            <w:tcW w:w="440" w:type="dxa"/>
            <w:vAlign w:val="bottom"/>
            <w:tcBorders>
              <w:bottom w:val="single" w:sz="8" w:color="959595"/>
            </w:tcBorders>
            <w:shd w:val="clear" w:color="auto" w:fill="ECECEC"/>
          </w:tcPr>
          <w:p>
            <w:pPr>
              <w:spacing w:after="0"/>
              <w:rPr>
                <w:sz w:val="15"/>
                <w:szCs w:val="15"/>
                <w:color w:val="auto"/>
              </w:rPr>
            </w:pPr>
          </w:p>
        </w:tc>
        <w:tc>
          <w:tcPr>
            <w:tcW w:w="740" w:type="dxa"/>
            <w:vAlign w:val="bottom"/>
            <w:tcBorders>
              <w:bottom w:val="single" w:sz="8" w:color="959595"/>
            </w:tcBorders>
            <w:vMerge w:val="continue"/>
            <w:shd w:val="clear" w:color="auto" w:fill="ECECEC"/>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606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012E6C"/>
              </w:rPr>
              <w:t>Daniel F. Akerson</w:t>
            </w:r>
          </w:p>
        </w:tc>
        <w:tc>
          <w:tcPr>
            <w:tcW w:w="3060" w:type="dxa"/>
            <w:vAlign w:val="bottom"/>
            <w:tcBorders>
              <w:bottom w:val="single" w:sz="8" w:color="959595"/>
            </w:tcBorders>
          </w:tcPr>
          <w:p>
            <w:pPr>
              <w:jc w:val="right"/>
              <w:ind w:right="8"/>
              <w:spacing w:after="0"/>
              <w:rPr>
                <w:sz w:val="20"/>
                <w:szCs w:val="20"/>
                <w:color w:val="auto"/>
              </w:rPr>
            </w:pPr>
            <w:r>
              <w:rPr>
                <w:rFonts w:ascii="Arial" w:cs="Arial" w:eastAsia="Arial" w:hAnsi="Arial"/>
                <w:sz w:val="14"/>
                <w:szCs w:val="14"/>
                <w:color w:val="auto"/>
              </w:rPr>
              <w:t>7,500</w:t>
            </w:r>
          </w:p>
        </w:tc>
        <w:tc>
          <w:tcPr>
            <w:tcW w:w="360" w:type="dxa"/>
            <w:vAlign w:val="bottom"/>
            <w:tcBorders>
              <w:bottom w:val="single" w:sz="8" w:color="959595"/>
            </w:tcBorders>
          </w:tcPr>
          <w:p>
            <w:pPr>
              <w:spacing w:after="0"/>
              <w:rPr>
                <w:sz w:val="23"/>
                <w:szCs w:val="23"/>
                <w:color w:val="auto"/>
              </w:rPr>
            </w:pPr>
          </w:p>
        </w:tc>
        <w:tc>
          <w:tcPr>
            <w:tcW w:w="760" w:type="dxa"/>
            <w:vAlign w:val="bottom"/>
            <w:tcBorders>
              <w:bottom w:val="single" w:sz="8" w:color="959595"/>
            </w:tcBorders>
          </w:tcPr>
          <w:p>
            <w:pPr>
              <w:jc w:val="right"/>
              <w:ind w:right="9"/>
              <w:spacing w:after="0"/>
              <w:rPr>
                <w:sz w:val="20"/>
                <w:szCs w:val="20"/>
                <w:color w:val="auto"/>
              </w:rPr>
            </w:pPr>
            <w:r>
              <w:rPr>
                <w:rFonts w:ascii="Arial" w:cs="Arial" w:eastAsia="Arial" w:hAnsi="Arial"/>
                <w:sz w:val="14"/>
                <w:szCs w:val="14"/>
                <w:color w:val="auto"/>
              </w:rPr>
              <w:t>3,861</w:t>
            </w:r>
          </w:p>
        </w:tc>
        <w:tc>
          <w:tcPr>
            <w:tcW w:w="440" w:type="dxa"/>
            <w:vAlign w:val="bottom"/>
            <w:tcBorders>
              <w:bottom w:val="single" w:sz="8" w:color="959595"/>
            </w:tcBorders>
          </w:tcPr>
          <w:p>
            <w:pPr>
              <w:ind w:left="60"/>
              <w:spacing w:after="0"/>
              <w:rPr>
                <w:sz w:val="20"/>
                <w:szCs w:val="20"/>
                <w:color w:val="auto"/>
              </w:rPr>
            </w:pPr>
            <w:r>
              <w:rPr>
                <w:rFonts w:ascii="Arial" w:cs="Arial" w:eastAsia="Arial" w:hAnsi="Arial"/>
                <w:sz w:val="12"/>
                <w:szCs w:val="12"/>
                <w:color w:val="auto"/>
              </w:rPr>
              <w:t>4</w:t>
            </w:r>
          </w:p>
        </w:tc>
        <w:tc>
          <w:tcPr>
            <w:tcW w:w="740" w:type="dxa"/>
            <w:vAlign w:val="bottom"/>
            <w:tcBorders>
              <w:bottom w:val="single" w:sz="8" w:color="959595"/>
            </w:tcBorders>
          </w:tcPr>
          <w:p>
            <w:pPr>
              <w:jc w:val="right"/>
              <w:ind w:right="28"/>
              <w:spacing w:after="0"/>
              <w:rPr>
                <w:sz w:val="20"/>
                <w:szCs w:val="20"/>
                <w:color w:val="auto"/>
              </w:rPr>
            </w:pPr>
            <w:r>
              <w:rPr>
                <w:rFonts w:ascii="Arial" w:cs="Arial" w:eastAsia="Arial" w:hAnsi="Arial"/>
                <w:sz w:val="14"/>
                <w:szCs w:val="14"/>
                <w:color w:val="auto"/>
              </w:rPr>
              <w:t>11,361</w:t>
            </w:r>
          </w:p>
        </w:tc>
        <w:tc>
          <w:tcPr>
            <w:tcW w:w="0" w:type="dxa"/>
            <w:vAlign w:val="bottom"/>
          </w:tcPr>
          <w:p>
            <w:pPr>
              <w:spacing w:after="0"/>
              <w:rPr>
                <w:sz w:val="1"/>
                <w:szCs w:val="1"/>
                <w:color w:val="auto"/>
              </w:rPr>
            </w:pPr>
          </w:p>
        </w:tc>
      </w:tr>
      <w:tr>
        <w:trPr>
          <w:trHeight w:val="264"/>
        </w:trPr>
        <w:tc>
          <w:tcPr>
            <w:tcW w:w="606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012E6C"/>
              </w:rPr>
              <w:t>Richard F. Ambrose</w:t>
            </w:r>
          </w:p>
        </w:tc>
        <w:tc>
          <w:tcPr>
            <w:tcW w:w="3060" w:type="dxa"/>
            <w:vAlign w:val="bottom"/>
            <w:tcBorders>
              <w:bottom w:val="single" w:sz="8" w:color="959595"/>
            </w:tcBorders>
          </w:tcPr>
          <w:p>
            <w:pPr>
              <w:jc w:val="right"/>
              <w:ind w:right="8"/>
              <w:spacing w:after="0"/>
              <w:rPr>
                <w:sz w:val="20"/>
                <w:szCs w:val="20"/>
                <w:color w:val="auto"/>
              </w:rPr>
            </w:pPr>
            <w:r>
              <w:rPr>
                <w:rFonts w:ascii="Arial" w:cs="Arial" w:eastAsia="Arial" w:hAnsi="Arial"/>
                <w:sz w:val="14"/>
                <w:szCs w:val="14"/>
                <w:color w:val="auto"/>
              </w:rPr>
              <w:t>6,943</w:t>
            </w:r>
          </w:p>
        </w:tc>
        <w:tc>
          <w:tcPr>
            <w:tcW w:w="360" w:type="dxa"/>
            <w:vAlign w:val="bottom"/>
            <w:tcBorders>
              <w:bottom w:val="single" w:sz="8" w:color="959595"/>
            </w:tcBorders>
          </w:tcPr>
          <w:p>
            <w:pPr>
              <w:spacing w:after="0"/>
              <w:rPr>
                <w:sz w:val="22"/>
                <w:szCs w:val="22"/>
                <w:color w:val="auto"/>
              </w:rPr>
            </w:pPr>
          </w:p>
        </w:tc>
        <w:tc>
          <w:tcPr>
            <w:tcW w:w="760" w:type="dxa"/>
            <w:vAlign w:val="bottom"/>
            <w:tcBorders>
              <w:bottom w:val="single" w:sz="8" w:color="959595"/>
            </w:tcBorders>
          </w:tcPr>
          <w:p>
            <w:pPr>
              <w:jc w:val="right"/>
              <w:ind w:right="9"/>
              <w:spacing w:after="0"/>
              <w:rPr>
                <w:sz w:val="20"/>
                <w:szCs w:val="20"/>
                <w:color w:val="auto"/>
              </w:rPr>
            </w:pPr>
            <w:r>
              <w:rPr>
                <w:rFonts w:ascii="Arial" w:cs="Arial" w:eastAsia="Arial" w:hAnsi="Arial"/>
                <w:sz w:val="14"/>
                <w:szCs w:val="14"/>
                <w:color w:val="auto"/>
              </w:rPr>
              <w:t>20,239</w:t>
            </w:r>
          </w:p>
        </w:tc>
        <w:tc>
          <w:tcPr>
            <w:tcW w:w="440" w:type="dxa"/>
            <w:vAlign w:val="bottom"/>
            <w:tcBorders>
              <w:bottom w:val="single" w:sz="8" w:color="959595"/>
            </w:tcBorders>
          </w:tcPr>
          <w:p>
            <w:pPr>
              <w:ind w:left="60"/>
              <w:spacing w:after="0"/>
              <w:rPr>
                <w:sz w:val="20"/>
                <w:szCs w:val="20"/>
                <w:color w:val="auto"/>
              </w:rPr>
            </w:pPr>
            <w:r>
              <w:rPr>
                <w:rFonts w:ascii="Arial" w:cs="Arial" w:eastAsia="Arial" w:hAnsi="Arial"/>
                <w:sz w:val="12"/>
                <w:szCs w:val="12"/>
                <w:color w:val="auto"/>
              </w:rPr>
              <w:t>6,7,8</w:t>
            </w:r>
          </w:p>
        </w:tc>
        <w:tc>
          <w:tcPr>
            <w:tcW w:w="740" w:type="dxa"/>
            <w:vAlign w:val="bottom"/>
            <w:tcBorders>
              <w:bottom w:val="single" w:sz="8" w:color="959595"/>
            </w:tcBorders>
          </w:tcPr>
          <w:p>
            <w:pPr>
              <w:jc w:val="right"/>
              <w:ind w:right="28"/>
              <w:spacing w:after="0"/>
              <w:rPr>
                <w:sz w:val="20"/>
                <w:szCs w:val="20"/>
                <w:color w:val="auto"/>
              </w:rPr>
            </w:pPr>
            <w:r>
              <w:rPr>
                <w:rFonts w:ascii="Arial" w:cs="Arial" w:eastAsia="Arial" w:hAnsi="Arial"/>
                <w:sz w:val="14"/>
                <w:szCs w:val="14"/>
                <w:color w:val="auto"/>
              </w:rPr>
              <w:t>27,182</w:t>
            </w:r>
          </w:p>
        </w:tc>
        <w:tc>
          <w:tcPr>
            <w:tcW w:w="0" w:type="dxa"/>
            <w:vAlign w:val="bottom"/>
          </w:tcPr>
          <w:p>
            <w:pPr>
              <w:spacing w:after="0"/>
              <w:rPr>
                <w:sz w:val="1"/>
                <w:szCs w:val="1"/>
                <w:color w:val="auto"/>
              </w:rPr>
            </w:pPr>
          </w:p>
        </w:tc>
      </w:tr>
      <w:tr>
        <w:trPr>
          <w:trHeight w:val="264"/>
        </w:trPr>
        <w:tc>
          <w:tcPr>
            <w:tcW w:w="606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012E6C"/>
              </w:rPr>
              <w:t>Nolan D. Archibald</w:t>
            </w:r>
          </w:p>
        </w:tc>
        <w:tc>
          <w:tcPr>
            <w:tcW w:w="3060" w:type="dxa"/>
            <w:vAlign w:val="bottom"/>
            <w:tcBorders>
              <w:bottom w:val="single" w:sz="8" w:color="959595"/>
            </w:tcBorders>
          </w:tcPr>
          <w:p>
            <w:pPr>
              <w:jc w:val="right"/>
              <w:ind w:right="8"/>
              <w:spacing w:after="0"/>
              <w:rPr>
                <w:sz w:val="20"/>
                <w:szCs w:val="20"/>
                <w:color w:val="auto"/>
              </w:rPr>
            </w:pPr>
            <w:r>
              <w:rPr>
                <w:rFonts w:ascii="Arial" w:cs="Arial" w:eastAsia="Arial" w:hAnsi="Arial"/>
                <w:sz w:val="14"/>
                <w:szCs w:val="14"/>
                <w:color w:val="auto"/>
              </w:rPr>
              <w:t>25,375</w:t>
            </w:r>
          </w:p>
        </w:tc>
        <w:tc>
          <w:tcPr>
            <w:tcW w:w="360" w:type="dxa"/>
            <w:vAlign w:val="bottom"/>
            <w:tcBorders>
              <w:bottom w:val="single" w:sz="8" w:color="959595"/>
            </w:tcBorders>
          </w:tcPr>
          <w:p>
            <w:pPr>
              <w:spacing w:after="0"/>
              <w:rPr>
                <w:sz w:val="22"/>
                <w:szCs w:val="22"/>
                <w:color w:val="auto"/>
              </w:rPr>
            </w:pPr>
          </w:p>
        </w:tc>
        <w:tc>
          <w:tcPr>
            <w:tcW w:w="760" w:type="dxa"/>
            <w:vAlign w:val="bottom"/>
            <w:tcBorders>
              <w:bottom w:val="single" w:sz="8" w:color="959595"/>
            </w:tcBorders>
          </w:tcPr>
          <w:p>
            <w:pPr>
              <w:jc w:val="right"/>
              <w:ind w:right="9"/>
              <w:spacing w:after="0"/>
              <w:rPr>
                <w:sz w:val="20"/>
                <w:szCs w:val="20"/>
                <w:color w:val="auto"/>
              </w:rPr>
            </w:pPr>
            <w:r>
              <w:rPr>
                <w:rFonts w:ascii="Arial" w:cs="Arial" w:eastAsia="Arial" w:hAnsi="Arial"/>
                <w:sz w:val="14"/>
                <w:szCs w:val="14"/>
                <w:color w:val="auto"/>
              </w:rPr>
              <w:t>178</w:t>
            </w:r>
          </w:p>
        </w:tc>
        <w:tc>
          <w:tcPr>
            <w:tcW w:w="440" w:type="dxa"/>
            <w:vAlign w:val="bottom"/>
            <w:tcBorders>
              <w:bottom w:val="single" w:sz="8" w:color="959595"/>
            </w:tcBorders>
          </w:tcPr>
          <w:p>
            <w:pPr>
              <w:ind w:left="60"/>
              <w:spacing w:after="0"/>
              <w:rPr>
                <w:sz w:val="20"/>
                <w:szCs w:val="20"/>
                <w:color w:val="auto"/>
              </w:rPr>
            </w:pPr>
            <w:r>
              <w:rPr>
                <w:rFonts w:ascii="Arial" w:cs="Arial" w:eastAsia="Arial" w:hAnsi="Arial"/>
                <w:sz w:val="12"/>
                <w:szCs w:val="12"/>
                <w:color w:val="auto"/>
              </w:rPr>
              <w:t>4</w:t>
            </w:r>
          </w:p>
        </w:tc>
        <w:tc>
          <w:tcPr>
            <w:tcW w:w="740" w:type="dxa"/>
            <w:vAlign w:val="bottom"/>
            <w:tcBorders>
              <w:bottom w:val="single" w:sz="8" w:color="959595"/>
            </w:tcBorders>
          </w:tcPr>
          <w:p>
            <w:pPr>
              <w:jc w:val="right"/>
              <w:ind w:right="28"/>
              <w:spacing w:after="0"/>
              <w:rPr>
                <w:sz w:val="20"/>
                <w:szCs w:val="20"/>
                <w:color w:val="auto"/>
              </w:rPr>
            </w:pPr>
            <w:r>
              <w:rPr>
                <w:rFonts w:ascii="Arial" w:cs="Arial" w:eastAsia="Arial" w:hAnsi="Arial"/>
                <w:sz w:val="14"/>
                <w:szCs w:val="14"/>
                <w:color w:val="auto"/>
              </w:rPr>
              <w:t>25,553</w:t>
            </w:r>
          </w:p>
        </w:tc>
        <w:tc>
          <w:tcPr>
            <w:tcW w:w="0" w:type="dxa"/>
            <w:vAlign w:val="bottom"/>
          </w:tcPr>
          <w:p>
            <w:pPr>
              <w:spacing w:after="0"/>
              <w:rPr>
                <w:sz w:val="1"/>
                <w:szCs w:val="1"/>
                <w:color w:val="auto"/>
              </w:rPr>
            </w:pPr>
          </w:p>
        </w:tc>
      </w:tr>
      <w:tr>
        <w:trPr>
          <w:trHeight w:val="264"/>
        </w:trPr>
        <w:tc>
          <w:tcPr>
            <w:tcW w:w="606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012E6C"/>
              </w:rPr>
              <w:t>Dale P. Bennett</w:t>
            </w:r>
          </w:p>
        </w:tc>
        <w:tc>
          <w:tcPr>
            <w:tcW w:w="3060" w:type="dxa"/>
            <w:vAlign w:val="bottom"/>
            <w:tcBorders>
              <w:bottom w:val="single" w:sz="8" w:color="959595"/>
            </w:tcBorders>
          </w:tcPr>
          <w:p>
            <w:pPr>
              <w:jc w:val="right"/>
              <w:ind w:right="8"/>
              <w:spacing w:after="0"/>
              <w:rPr>
                <w:sz w:val="20"/>
                <w:szCs w:val="20"/>
                <w:color w:val="auto"/>
              </w:rPr>
            </w:pPr>
            <w:r>
              <w:rPr>
                <w:rFonts w:ascii="Arial" w:cs="Arial" w:eastAsia="Arial" w:hAnsi="Arial"/>
                <w:sz w:val="14"/>
                <w:szCs w:val="14"/>
                <w:color w:val="auto"/>
              </w:rPr>
              <w:t>53,697</w:t>
            </w:r>
          </w:p>
        </w:tc>
        <w:tc>
          <w:tcPr>
            <w:tcW w:w="360" w:type="dxa"/>
            <w:vAlign w:val="bottom"/>
            <w:tcBorders>
              <w:bottom w:val="single" w:sz="8" w:color="959595"/>
            </w:tcBorders>
          </w:tcPr>
          <w:p>
            <w:pPr>
              <w:spacing w:after="0"/>
              <w:rPr>
                <w:sz w:val="22"/>
                <w:szCs w:val="22"/>
                <w:color w:val="auto"/>
              </w:rPr>
            </w:pPr>
          </w:p>
        </w:tc>
        <w:tc>
          <w:tcPr>
            <w:tcW w:w="760" w:type="dxa"/>
            <w:vAlign w:val="bottom"/>
            <w:tcBorders>
              <w:bottom w:val="single" w:sz="8" w:color="959595"/>
            </w:tcBorders>
          </w:tcPr>
          <w:p>
            <w:pPr>
              <w:jc w:val="right"/>
              <w:ind w:right="9"/>
              <w:spacing w:after="0"/>
              <w:rPr>
                <w:sz w:val="20"/>
                <w:szCs w:val="20"/>
                <w:color w:val="auto"/>
              </w:rPr>
            </w:pPr>
            <w:r>
              <w:rPr>
                <w:rFonts w:ascii="Arial" w:cs="Arial" w:eastAsia="Arial" w:hAnsi="Arial"/>
                <w:sz w:val="14"/>
                <w:szCs w:val="14"/>
                <w:color w:val="auto"/>
              </w:rPr>
              <w:t>24,472</w:t>
            </w:r>
          </w:p>
        </w:tc>
        <w:tc>
          <w:tcPr>
            <w:tcW w:w="440" w:type="dxa"/>
            <w:vAlign w:val="bottom"/>
            <w:tcBorders>
              <w:bottom w:val="single" w:sz="8" w:color="959595"/>
            </w:tcBorders>
          </w:tcPr>
          <w:p>
            <w:pPr>
              <w:ind w:left="60"/>
              <w:spacing w:after="0"/>
              <w:rPr>
                <w:sz w:val="20"/>
                <w:szCs w:val="20"/>
                <w:color w:val="auto"/>
              </w:rPr>
            </w:pPr>
            <w:r>
              <w:rPr>
                <w:rFonts w:ascii="Arial" w:cs="Arial" w:eastAsia="Arial" w:hAnsi="Arial"/>
                <w:sz w:val="12"/>
                <w:szCs w:val="12"/>
                <w:color w:val="auto"/>
              </w:rPr>
              <w:t>6,7,8</w:t>
            </w:r>
          </w:p>
        </w:tc>
        <w:tc>
          <w:tcPr>
            <w:tcW w:w="740" w:type="dxa"/>
            <w:vAlign w:val="bottom"/>
            <w:tcBorders>
              <w:bottom w:val="single" w:sz="8" w:color="959595"/>
            </w:tcBorders>
          </w:tcPr>
          <w:p>
            <w:pPr>
              <w:jc w:val="right"/>
              <w:ind w:right="28"/>
              <w:spacing w:after="0"/>
              <w:rPr>
                <w:sz w:val="20"/>
                <w:szCs w:val="20"/>
                <w:color w:val="auto"/>
              </w:rPr>
            </w:pPr>
            <w:r>
              <w:rPr>
                <w:rFonts w:ascii="Arial" w:cs="Arial" w:eastAsia="Arial" w:hAnsi="Arial"/>
                <w:sz w:val="14"/>
                <w:szCs w:val="14"/>
                <w:color w:val="auto"/>
              </w:rPr>
              <w:t>78,168</w:t>
            </w:r>
          </w:p>
        </w:tc>
        <w:tc>
          <w:tcPr>
            <w:tcW w:w="0" w:type="dxa"/>
            <w:vAlign w:val="bottom"/>
          </w:tcPr>
          <w:p>
            <w:pPr>
              <w:spacing w:after="0"/>
              <w:rPr>
                <w:sz w:val="1"/>
                <w:szCs w:val="1"/>
                <w:color w:val="auto"/>
              </w:rPr>
            </w:pPr>
          </w:p>
        </w:tc>
      </w:tr>
      <w:tr>
        <w:trPr>
          <w:trHeight w:val="264"/>
        </w:trPr>
        <w:tc>
          <w:tcPr>
            <w:tcW w:w="606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012E6C"/>
              </w:rPr>
              <w:t>David B. Burritt</w:t>
            </w:r>
          </w:p>
        </w:tc>
        <w:tc>
          <w:tcPr>
            <w:tcW w:w="3060" w:type="dxa"/>
            <w:vAlign w:val="bottom"/>
            <w:tcBorders>
              <w:bottom w:val="single" w:sz="8" w:color="959595"/>
            </w:tcBorders>
          </w:tcPr>
          <w:p>
            <w:pPr>
              <w:jc w:val="right"/>
              <w:ind w:right="8"/>
              <w:spacing w:after="0"/>
              <w:rPr>
                <w:sz w:val="20"/>
                <w:szCs w:val="20"/>
                <w:color w:val="auto"/>
              </w:rPr>
            </w:pPr>
            <w:r>
              <w:rPr>
                <w:rFonts w:ascii="Arial" w:cs="Arial" w:eastAsia="Arial" w:hAnsi="Arial"/>
                <w:sz w:val="14"/>
                <w:szCs w:val="14"/>
                <w:color w:val="auto"/>
              </w:rPr>
              <w:t>8,613</w:t>
            </w:r>
          </w:p>
        </w:tc>
        <w:tc>
          <w:tcPr>
            <w:tcW w:w="360" w:type="dxa"/>
            <w:vAlign w:val="bottom"/>
            <w:tcBorders>
              <w:bottom w:val="single" w:sz="8" w:color="959595"/>
            </w:tcBorders>
          </w:tcPr>
          <w:p>
            <w:pPr>
              <w:spacing w:after="0"/>
              <w:rPr>
                <w:sz w:val="22"/>
                <w:szCs w:val="22"/>
                <w:color w:val="auto"/>
              </w:rPr>
            </w:pPr>
          </w:p>
        </w:tc>
        <w:tc>
          <w:tcPr>
            <w:tcW w:w="760" w:type="dxa"/>
            <w:vAlign w:val="bottom"/>
            <w:tcBorders>
              <w:bottom w:val="single" w:sz="8" w:color="959595"/>
            </w:tcBorders>
          </w:tcPr>
          <w:p>
            <w:pPr>
              <w:jc w:val="right"/>
              <w:ind w:right="9"/>
              <w:spacing w:after="0"/>
              <w:rPr>
                <w:sz w:val="20"/>
                <w:szCs w:val="20"/>
                <w:color w:val="auto"/>
              </w:rPr>
            </w:pPr>
            <w:r>
              <w:rPr>
                <w:rFonts w:ascii="Arial" w:cs="Arial" w:eastAsia="Arial" w:hAnsi="Arial"/>
                <w:sz w:val="14"/>
                <w:szCs w:val="14"/>
                <w:color w:val="auto"/>
              </w:rPr>
              <w:t>15,377</w:t>
            </w:r>
          </w:p>
        </w:tc>
        <w:tc>
          <w:tcPr>
            <w:tcW w:w="440" w:type="dxa"/>
            <w:vAlign w:val="bottom"/>
            <w:tcBorders>
              <w:bottom w:val="single" w:sz="8" w:color="959595"/>
            </w:tcBorders>
          </w:tcPr>
          <w:p>
            <w:pPr>
              <w:ind w:left="60"/>
              <w:spacing w:after="0"/>
              <w:rPr>
                <w:sz w:val="20"/>
                <w:szCs w:val="20"/>
                <w:color w:val="auto"/>
              </w:rPr>
            </w:pPr>
            <w:r>
              <w:rPr>
                <w:rFonts w:ascii="Arial" w:cs="Arial" w:eastAsia="Arial" w:hAnsi="Arial"/>
                <w:sz w:val="12"/>
                <w:szCs w:val="12"/>
                <w:color w:val="auto"/>
              </w:rPr>
              <w:t>4,5</w:t>
            </w:r>
          </w:p>
        </w:tc>
        <w:tc>
          <w:tcPr>
            <w:tcW w:w="740" w:type="dxa"/>
            <w:vAlign w:val="bottom"/>
            <w:tcBorders>
              <w:bottom w:val="single" w:sz="8" w:color="959595"/>
            </w:tcBorders>
          </w:tcPr>
          <w:p>
            <w:pPr>
              <w:jc w:val="right"/>
              <w:ind w:right="28"/>
              <w:spacing w:after="0"/>
              <w:rPr>
                <w:sz w:val="20"/>
                <w:szCs w:val="20"/>
                <w:color w:val="auto"/>
              </w:rPr>
            </w:pPr>
            <w:r>
              <w:rPr>
                <w:rFonts w:ascii="Arial" w:cs="Arial" w:eastAsia="Arial" w:hAnsi="Arial"/>
                <w:sz w:val="14"/>
                <w:szCs w:val="14"/>
                <w:color w:val="auto"/>
              </w:rPr>
              <w:t>23,990</w:t>
            </w:r>
          </w:p>
        </w:tc>
        <w:tc>
          <w:tcPr>
            <w:tcW w:w="0" w:type="dxa"/>
            <w:vAlign w:val="bottom"/>
          </w:tcPr>
          <w:p>
            <w:pPr>
              <w:spacing w:after="0"/>
              <w:rPr>
                <w:sz w:val="1"/>
                <w:szCs w:val="1"/>
                <w:color w:val="auto"/>
              </w:rPr>
            </w:pPr>
          </w:p>
        </w:tc>
      </w:tr>
      <w:tr>
        <w:trPr>
          <w:trHeight w:val="264"/>
        </w:trPr>
        <w:tc>
          <w:tcPr>
            <w:tcW w:w="606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012E6C"/>
              </w:rPr>
              <w:t>Bruce A. Carlson</w:t>
            </w:r>
          </w:p>
        </w:tc>
        <w:tc>
          <w:tcPr>
            <w:tcW w:w="3060" w:type="dxa"/>
            <w:vAlign w:val="bottom"/>
            <w:tcBorders>
              <w:bottom w:val="single" w:sz="8" w:color="959595"/>
            </w:tcBorders>
          </w:tcPr>
          <w:p>
            <w:pPr>
              <w:jc w:val="right"/>
              <w:ind w:right="8"/>
              <w:spacing w:after="0"/>
              <w:rPr>
                <w:sz w:val="20"/>
                <w:szCs w:val="20"/>
                <w:color w:val="auto"/>
              </w:rPr>
            </w:pPr>
            <w:r>
              <w:rPr>
                <w:rFonts w:ascii="Arial" w:cs="Arial" w:eastAsia="Arial" w:hAnsi="Arial"/>
                <w:sz w:val="14"/>
                <w:szCs w:val="14"/>
                <w:color w:val="auto"/>
              </w:rPr>
              <w:t>749</w:t>
            </w:r>
          </w:p>
        </w:tc>
        <w:tc>
          <w:tcPr>
            <w:tcW w:w="360" w:type="dxa"/>
            <w:vAlign w:val="bottom"/>
            <w:tcBorders>
              <w:bottom w:val="single" w:sz="8" w:color="959595"/>
            </w:tcBorders>
          </w:tcPr>
          <w:p>
            <w:pPr>
              <w:spacing w:after="0"/>
              <w:rPr>
                <w:sz w:val="22"/>
                <w:szCs w:val="22"/>
                <w:color w:val="auto"/>
              </w:rPr>
            </w:pPr>
          </w:p>
        </w:tc>
        <w:tc>
          <w:tcPr>
            <w:tcW w:w="760" w:type="dxa"/>
            <w:vAlign w:val="bottom"/>
            <w:tcBorders>
              <w:bottom w:val="single" w:sz="8" w:color="959595"/>
            </w:tcBorders>
          </w:tcPr>
          <w:p>
            <w:pPr>
              <w:jc w:val="right"/>
              <w:ind w:right="9"/>
              <w:spacing w:after="0"/>
              <w:rPr>
                <w:sz w:val="20"/>
                <w:szCs w:val="20"/>
                <w:color w:val="auto"/>
              </w:rPr>
            </w:pPr>
            <w:r>
              <w:rPr>
                <w:rFonts w:ascii="Arial" w:cs="Arial" w:eastAsia="Arial" w:hAnsi="Arial"/>
                <w:sz w:val="14"/>
                <w:szCs w:val="14"/>
                <w:color w:val="auto"/>
              </w:rPr>
              <w:t>2,304</w:t>
            </w:r>
          </w:p>
        </w:tc>
        <w:tc>
          <w:tcPr>
            <w:tcW w:w="440" w:type="dxa"/>
            <w:vAlign w:val="bottom"/>
            <w:tcBorders>
              <w:bottom w:val="single" w:sz="8" w:color="959595"/>
            </w:tcBorders>
          </w:tcPr>
          <w:p>
            <w:pPr>
              <w:ind w:left="60"/>
              <w:spacing w:after="0"/>
              <w:rPr>
                <w:sz w:val="20"/>
                <w:szCs w:val="20"/>
                <w:color w:val="auto"/>
              </w:rPr>
            </w:pPr>
            <w:r>
              <w:rPr>
                <w:rFonts w:ascii="Arial" w:cs="Arial" w:eastAsia="Arial" w:hAnsi="Arial"/>
                <w:sz w:val="12"/>
                <w:szCs w:val="12"/>
                <w:color w:val="auto"/>
              </w:rPr>
              <w:t>4,5</w:t>
            </w:r>
          </w:p>
        </w:tc>
        <w:tc>
          <w:tcPr>
            <w:tcW w:w="740" w:type="dxa"/>
            <w:vAlign w:val="bottom"/>
            <w:tcBorders>
              <w:bottom w:val="single" w:sz="8" w:color="959595"/>
            </w:tcBorders>
          </w:tcPr>
          <w:p>
            <w:pPr>
              <w:jc w:val="right"/>
              <w:ind w:right="28"/>
              <w:spacing w:after="0"/>
              <w:rPr>
                <w:sz w:val="20"/>
                <w:szCs w:val="20"/>
                <w:color w:val="auto"/>
              </w:rPr>
            </w:pPr>
            <w:r>
              <w:rPr>
                <w:rFonts w:ascii="Arial" w:cs="Arial" w:eastAsia="Arial" w:hAnsi="Arial"/>
                <w:sz w:val="14"/>
                <w:szCs w:val="14"/>
                <w:color w:val="auto"/>
              </w:rPr>
              <w:t>3,053</w:t>
            </w:r>
          </w:p>
        </w:tc>
        <w:tc>
          <w:tcPr>
            <w:tcW w:w="0" w:type="dxa"/>
            <w:vAlign w:val="bottom"/>
          </w:tcPr>
          <w:p>
            <w:pPr>
              <w:spacing w:after="0"/>
              <w:rPr>
                <w:sz w:val="1"/>
                <w:szCs w:val="1"/>
                <w:color w:val="auto"/>
              </w:rPr>
            </w:pPr>
          </w:p>
        </w:tc>
      </w:tr>
      <w:tr>
        <w:trPr>
          <w:trHeight w:val="264"/>
        </w:trPr>
        <w:tc>
          <w:tcPr>
            <w:tcW w:w="606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012E6C"/>
              </w:rPr>
              <w:t>Orlando P. Carvalho</w:t>
            </w:r>
          </w:p>
        </w:tc>
        <w:tc>
          <w:tcPr>
            <w:tcW w:w="3060" w:type="dxa"/>
            <w:vAlign w:val="bottom"/>
            <w:tcBorders>
              <w:bottom w:val="single" w:sz="8" w:color="959595"/>
            </w:tcBorders>
          </w:tcPr>
          <w:p>
            <w:pPr>
              <w:jc w:val="right"/>
              <w:ind w:right="8"/>
              <w:spacing w:after="0"/>
              <w:rPr>
                <w:sz w:val="20"/>
                <w:szCs w:val="20"/>
                <w:color w:val="auto"/>
              </w:rPr>
            </w:pPr>
            <w:r>
              <w:rPr>
                <w:rFonts w:ascii="Arial" w:cs="Arial" w:eastAsia="Arial" w:hAnsi="Arial"/>
                <w:sz w:val="14"/>
                <w:szCs w:val="14"/>
                <w:color w:val="auto"/>
              </w:rPr>
              <w:t>115,453</w:t>
            </w:r>
          </w:p>
        </w:tc>
        <w:tc>
          <w:tcPr>
            <w:tcW w:w="360" w:type="dxa"/>
            <w:vAlign w:val="bottom"/>
            <w:tcBorders>
              <w:bottom w:val="single" w:sz="8" w:color="959595"/>
            </w:tcBorders>
          </w:tcPr>
          <w:p>
            <w:pPr>
              <w:spacing w:after="0"/>
              <w:rPr>
                <w:sz w:val="22"/>
                <w:szCs w:val="22"/>
                <w:color w:val="auto"/>
              </w:rPr>
            </w:pPr>
          </w:p>
        </w:tc>
        <w:tc>
          <w:tcPr>
            <w:tcW w:w="760" w:type="dxa"/>
            <w:vAlign w:val="bottom"/>
            <w:tcBorders>
              <w:bottom w:val="single" w:sz="8" w:color="959595"/>
            </w:tcBorders>
          </w:tcPr>
          <w:p>
            <w:pPr>
              <w:jc w:val="right"/>
              <w:ind w:right="9"/>
              <w:spacing w:after="0"/>
              <w:rPr>
                <w:sz w:val="20"/>
                <w:szCs w:val="20"/>
                <w:color w:val="auto"/>
              </w:rPr>
            </w:pPr>
            <w:r>
              <w:rPr>
                <w:rFonts w:ascii="Arial" w:cs="Arial" w:eastAsia="Arial" w:hAnsi="Arial"/>
                <w:sz w:val="14"/>
                <w:szCs w:val="14"/>
                <w:color w:val="auto"/>
              </w:rPr>
              <w:t>8,068</w:t>
            </w:r>
          </w:p>
        </w:tc>
        <w:tc>
          <w:tcPr>
            <w:tcW w:w="440" w:type="dxa"/>
            <w:vAlign w:val="bottom"/>
            <w:tcBorders>
              <w:bottom w:val="single" w:sz="8" w:color="959595"/>
            </w:tcBorders>
          </w:tcPr>
          <w:p>
            <w:pPr>
              <w:ind w:left="60"/>
              <w:spacing w:after="0"/>
              <w:rPr>
                <w:sz w:val="20"/>
                <w:szCs w:val="20"/>
                <w:color w:val="auto"/>
              </w:rPr>
            </w:pPr>
            <w:r>
              <w:rPr>
                <w:rFonts w:ascii="Arial" w:cs="Arial" w:eastAsia="Arial" w:hAnsi="Arial"/>
                <w:sz w:val="12"/>
                <w:szCs w:val="12"/>
                <w:color w:val="auto"/>
              </w:rPr>
              <w:t>6,7,8</w:t>
            </w:r>
          </w:p>
        </w:tc>
        <w:tc>
          <w:tcPr>
            <w:tcW w:w="740" w:type="dxa"/>
            <w:vAlign w:val="bottom"/>
            <w:tcBorders>
              <w:bottom w:val="single" w:sz="8" w:color="959595"/>
            </w:tcBorders>
          </w:tcPr>
          <w:p>
            <w:pPr>
              <w:jc w:val="right"/>
              <w:ind w:right="28"/>
              <w:spacing w:after="0"/>
              <w:rPr>
                <w:sz w:val="20"/>
                <w:szCs w:val="20"/>
                <w:color w:val="auto"/>
              </w:rPr>
            </w:pPr>
            <w:r>
              <w:rPr>
                <w:rFonts w:ascii="Arial" w:cs="Arial" w:eastAsia="Arial" w:hAnsi="Arial"/>
                <w:sz w:val="14"/>
                <w:szCs w:val="14"/>
                <w:color w:val="auto"/>
              </w:rPr>
              <w:t>123,521</w:t>
            </w:r>
          </w:p>
        </w:tc>
        <w:tc>
          <w:tcPr>
            <w:tcW w:w="0" w:type="dxa"/>
            <w:vAlign w:val="bottom"/>
          </w:tcPr>
          <w:p>
            <w:pPr>
              <w:spacing w:after="0"/>
              <w:rPr>
                <w:sz w:val="1"/>
                <w:szCs w:val="1"/>
                <w:color w:val="auto"/>
              </w:rPr>
            </w:pPr>
          </w:p>
        </w:tc>
      </w:tr>
      <w:tr>
        <w:trPr>
          <w:trHeight w:val="264"/>
        </w:trPr>
        <w:tc>
          <w:tcPr>
            <w:tcW w:w="606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012E6C"/>
              </w:rPr>
              <w:t>Richard H. Edwards</w:t>
            </w:r>
          </w:p>
        </w:tc>
        <w:tc>
          <w:tcPr>
            <w:tcW w:w="3060" w:type="dxa"/>
            <w:vAlign w:val="bottom"/>
            <w:tcBorders>
              <w:bottom w:val="single" w:sz="8" w:color="959595"/>
            </w:tcBorders>
          </w:tcPr>
          <w:p>
            <w:pPr>
              <w:jc w:val="right"/>
              <w:ind w:right="8"/>
              <w:spacing w:after="0"/>
              <w:rPr>
                <w:sz w:val="20"/>
                <w:szCs w:val="20"/>
                <w:color w:val="auto"/>
              </w:rPr>
            </w:pPr>
            <w:r>
              <w:rPr>
                <w:rFonts w:ascii="Arial" w:cs="Arial" w:eastAsia="Arial" w:hAnsi="Arial"/>
                <w:sz w:val="14"/>
                <w:szCs w:val="14"/>
                <w:color w:val="auto"/>
              </w:rPr>
              <w:t>12,075</w:t>
            </w:r>
          </w:p>
        </w:tc>
        <w:tc>
          <w:tcPr>
            <w:tcW w:w="360" w:type="dxa"/>
            <w:vAlign w:val="bottom"/>
            <w:tcBorders>
              <w:bottom w:val="single" w:sz="8" w:color="959595"/>
            </w:tcBorders>
          </w:tcPr>
          <w:p>
            <w:pPr>
              <w:spacing w:after="0"/>
              <w:rPr>
                <w:sz w:val="22"/>
                <w:szCs w:val="22"/>
                <w:color w:val="auto"/>
              </w:rPr>
            </w:pPr>
          </w:p>
        </w:tc>
        <w:tc>
          <w:tcPr>
            <w:tcW w:w="760" w:type="dxa"/>
            <w:vAlign w:val="bottom"/>
            <w:tcBorders>
              <w:bottom w:val="single" w:sz="8" w:color="959595"/>
            </w:tcBorders>
          </w:tcPr>
          <w:p>
            <w:pPr>
              <w:jc w:val="right"/>
              <w:ind w:right="9"/>
              <w:spacing w:after="0"/>
              <w:rPr>
                <w:sz w:val="20"/>
                <w:szCs w:val="20"/>
                <w:color w:val="auto"/>
              </w:rPr>
            </w:pPr>
            <w:r>
              <w:rPr>
                <w:rFonts w:ascii="Arial" w:cs="Arial" w:eastAsia="Arial" w:hAnsi="Arial"/>
                <w:sz w:val="14"/>
                <w:szCs w:val="14"/>
                <w:color w:val="auto"/>
              </w:rPr>
              <w:t>7,101</w:t>
            </w:r>
          </w:p>
        </w:tc>
        <w:tc>
          <w:tcPr>
            <w:tcW w:w="440" w:type="dxa"/>
            <w:vAlign w:val="bottom"/>
            <w:tcBorders>
              <w:bottom w:val="single" w:sz="8" w:color="959595"/>
            </w:tcBorders>
          </w:tcPr>
          <w:p>
            <w:pPr>
              <w:ind w:left="60"/>
              <w:spacing w:after="0"/>
              <w:rPr>
                <w:sz w:val="20"/>
                <w:szCs w:val="20"/>
                <w:color w:val="auto"/>
              </w:rPr>
            </w:pPr>
            <w:r>
              <w:rPr>
                <w:rFonts w:ascii="Arial" w:cs="Arial" w:eastAsia="Arial" w:hAnsi="Arial"/>
                <w:sz w:val="12"/>
                <w:szCs w:val="12"/>
                <w:color w:val="auto"/>
              </w:rPr>
              <w:t>7,8</w:t>
            </w:r>
          </w:p>
        </w:tc>
        <w:tc>
          <w:tcPr>
            <w:tcW w:w="740" w:type="dxa"/>
            <w:vAlign w:val="bottom"/>
            <w:tcBorders>
              <w:bottom w:val="single" w:sz="8" w:color="959595"/>
            </w:tcBorders>
          </w:tcPr>
          <w:p>
            <w:pPr>
              <w:jc w:val="right"/>
              <w:ind w:right="28"/>
              <w:spacing w:after="0"/>
              <w:rPr>
                <w:sz w:val="20"/>
                <w:szCs w:val="20"/>
                <w:color w:val="auto"/>
              </w:rPr>
            </w:pPr>
            <w:r>
              <w:rPr>
                <w:rFonts w:ascii="Arial" w:cs="Arial" w:eastAsia="Arial" w:hAnsi="Arial"/>
                <w:sz w:val="14"/>
                <w:szCs w:val="14"/>
                <w:color w:val="auto"/>
              </w:rPr>
              <w:t>19,176</w:t>
            </w:r>
          </w:p>
        </w:tc>
        <w:tc>
          <w:tcPr>
            <w:tcW w:w="0" w:type="dxa"/>
            <w:vAlign w:val="bottom"/>
          </w:tcPr>
          <w:p>
            <w:pPr>
              <w:spacing w:after="0"/>
              <w:rPr>
                <w:sz w:val="1"/>
                <w:szCs w:val="1"/>
                <w:color w:val="auto"/>
              </w:rPr>
            </w:pPr>
          </w:p>
        </w:tc>
      </w:tr>
      <w:tr>
        <w:trPr>
          <w:trHeight w:val="264"/>
        </w:trPr>
        <w:tc>
          <w:tcPr>
            <w:tcW w:w="606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012E6C"/>
              </w:rPr>
              <w:t>James O. Ellis, Jr.</w:t>
            </w:r>
          </w:p>
        </w:tc>
        <w:tc>
          <w:tcPr>
            <w:tcW w:w="3060" w:type="dxa"/>
            <w:vAlign w:val="bottom"/>
            <w:tcBorders>
              <w:bottom w:val="single" w:sz="8" w:color="959595"/>
            </w:tcBorders>
          </w:tcPr>
          <w:p>
            <w:pPr>
              <w:jc w:val="right"/>
              <w:ind w:right="8"/>
              <w:spacing w:after="0"/>
              <w:rPr>
                <w:sz w:val="20"/>
                <w:szCs w:val="20"/>
                <w:color w:val="auto"/>
              </w:rPr>
            </w:pPr>
            <w:r>
              <w:rPr>
                <w:rFonts w:ascii="Arial" w:cs="Arial" w:eastAsia="Arial" w:hAnsi="Arial"/>
                <w:sz w:val="14"/>
                <w:szCs w:val="14"/>
                <w:color w:val="auto"/>
              </w:rPr>
              <w:t>19,007</w:t>
            </w:r>
          </w:p>
        </w:tc>
        <w:tc>
          <w:tcPr>
            <w:tcW w:w="360" w:type="dxa"/>
            <w:vAlign w:val="bottom"/>
            <w:tcBorders>
              <w:bottom w:val="single" w:sz="8" w:color="959595"/>
            </w:tcBorders>
          </w:tcPr>
          <w:p>
            <w:pPr>
              <w:spacing w:after="0"/>
              <w:rPr>
                <w:sz w:val="22"/>
                <w:szCs w:val="22"/>
                <w:color w:val="auto"/>
              </w:rPr>
            </w:pPr>
          </w:p>
        </w:tc>
        <w:tc>
          <w:tcPr>
            <w:tcW w:w="760" w:type="dxa"/>
            <w:vAlign w:val="bottom"/>
            <w:tcBorders>
              <w:bottom w:val="single" w:sz="8" w:color="959595"/>
            </w:tcBorders>
          </w:tcPr>
          <w:p>
            <w:pPr>
              <w:jc w:val="right"/>
              <w:ind w:right="9"/>
              <w:spacing w:after="0"/>
              <w:rPr>
                <w:sz w:val="20"/>
                <w:szCs w:val="20"/>
                <w:color w:val="auto"/>
              </w:rPr>
            </w:pPr>
            <w:r>
              <w:rPr>
                <w:rFonts w:ascii="Arial" w:cs="Arial" w:eastAsia="Arial" w:hAnsi="Arial"/>
                <w:sz w:val="14"/>
                <w:szCs w:val="14"/>
                <w:color w:val="auto"/>
              </w:rPr>
              <w:t>1,660</w:t>
            </w:r>
          </w:p>
        </w:tc>
        <w:tc>
          <w:tcPr>
            <w:tcW w:w="440" w:type="dxa"/>
            <w:vAlign w:val="bottom"/>
            <w:tcBorders>
              <w:bottom w:val="single" w:sz="8" w:color="959595"/>
            </w:tcBorders>
          </w:tcPr>
          <w:p>
            <w:pPr>
              <w:ind w:left="60"/>
              <w:spacing w:after="0"/>
              <w:rPr>
                <w:sz w:val="20"/>
                <w:szCs w:val="20"/>
                <w:color w:val="auto"/>
              </w:rPr>
            </w:pPr>
            <w:r>
              <w:rPr>
                <w:rFonts w:ascii="Arial" w:cs="Arial" w:eastAsia="Arial" w:hAnsi="Arial"/>
                <w:sz w:val="12"/>
                <w:szCs w:val="12"/>
                <w:color w:val="auto"/>
              </w:rPr>
              <w:t>4</w:t>
            </w:r>
          </w:p>
        </w:tc>
        <w:tc>
          <w:tcPr>
            <w:tcW w:w="740" w:type="dxa"/>
            <w:vAlign w:val="bottom"/>
            <w:tcBorders>
              <w:bottom w:val="single" w:sz="8" w:color="959595"/>
            </w:tcBorders>
          </w:tcPr>
          <w:p>
            <w:pPr>
              <w:jc w:val="right"/>
              <w:ind w:right="28"/>
              <w:spacing w:after="0"/>
              <w:rPr>
                <w:sz w:val="20"/>
                <w:szCs w:val="20"/>
                <w:color w:val="auto"/>
              </w:rPr>
            </w:pPr>
            <w:r>
              <w:rPr>
                <w:rFonts w:ascii="Arial" w:cs="Arial" w:eastAsia="Arial" w:hAnsi="Arial"/>
                <w:sz w:val="14"/>
                <w:szCs w:val="14"/>
                <w:color w:val="auto"/>
              </w:rPr>
              <w:t>20,667</w:t>
            </w:r>
          </w:p>
        </w:tc>
        <w:tc>
          <w:tcPr>
            <w:tcW w:w="0" w:type="dxa"/>
            <w:vAlign w:val="bottom"/>
          </w:tcPr>
          <w:p>
            <w:pPr>
              <w:spacing w:after="0"/>
              <w:rPr>
                <w:sz w:val="1"/>
                <w:szCs w:val="1"/>
                <w:color w:val="auto"/>
              </w:rPr>
            </w:pPr>
          </w:p>
        </w:tc>
      </w:tr>
      <w:tr>
        <w:trPr>
          <w:trHeight w:val="213"/>
        </w:trPr>
        <w:tc>
          <w:tcPr>
            <w:tcW w:w="606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012E6C"/>
              </w:rPr>
              <w:t>Thomas J. Falk</w:t>
            </w:r>
          </w:p>
        </w:tc>
        <w:tc>
          <w:tcPr>
            <w:tcW w:w="3060" w:type="dxa"/>
            <w:vAlign w:val="bottom"/>
            <w:tcBorders>
              <w:bottom w:val="single" w:sz="8" w:color="959595"/>
            </w:tcBorders>
          </w:tcPr>
          <w:p>
            <w:pPr>
              <w:jc w:val="right"/>
              <w:ind w:right="8"/>
              <w:spacing w:after="0"/>
              <w:rPr>
                <w:sz w:val="20"/>
                <w:szCs w:val="20"/>
                <w:color w:val="auto"/>
              </w:rPr>
            </w:pPr>
            <w:r>
              <w:rPr>
                <w:rFonts w:ascii="Arial" w:cs="Arial" w:eastAsia="Arial" w:hAnsi="Arial"/>
                <w:sz w:val="14"/>
                <w:szCs w:val="14"/>
                <w:color w:val="auto"/>
              </w:rPr>
              <w:t>5,250</w:t>
            </w:r>
          </w:p>
        </w:tc>
        <w:tc>
          <w:tcPr>
            <w:tcW w:w="360" w:type="dxa"/>
            <w:vAlign w:val="bottom"/>
            <w:tcBorders>
              <w:bottom w:val="single" w:sz="8" w:color="959595"/>
            </w:tcBorders>
          </w:tcPr>
          <w:p>
            <w:pPr>
              <w:ind w:left="60"/>
              <w:spacing w:after="0"/>
              <w:rPr>
                <w:sz w:val="20"/>
                <w:szCs w:val="20"/>
                <w:color w:val="auto"/>
              </w:rPr>
            </w:pPr>
            <w:r>
              <w:rPr>
                <w:rFonts w:ascii="Arial" w:cs="Arial" w:eastAsia="Arial" w:hAnsi="Arial"/>
                <w:sz w:val="12"/>
                <w:szCs w:val="12"/>
                <w:color w:val="auto"/>
              </w:rPr>
              <w:t>3</w:t>
            </w:r>
          </w:p>
        </w:tc>
        <w:tc>
          <w:tcPr>
            <w:tcW w:w="760" w:type="dxa"/>
            <w:vAlign w:val="bottom"/>
            <w:tcBorders>
              <w:bottom w:val="single" w:sz="8" w:color="959595"/>
            </w:tcBorders>
          </w:tcPr>
          <w:p>
            <w:pPr>
              <w:jc w:val="right"/>
              <w:ind w:right="9"/>
              <w:spacing w:after="0"/>
              <w:rPr>
                <w:sz w:val="20"/>
                <w:szCs w:val="20"/>
                <w:color w:val="auto"/>
              </w:rPr>
            </w:pPr>
            <w:r>
              <w:rPr>
                <w:rFonts w:ascii="Arial" w:cs="Arial" w:eastAsia="Arial" w:hAnsi="Arial"/>
                <w:sz w:val="14"/>
                <w:szCs w:val="14"/>
                <w:color w:val="auto"/>
              </w:rPr>
              <w:t>10,349</w:t>
            </w:r>
          </w:p>
        </w:tc>
        <w:tc>
          <w:tcPr>
            <w:tcW w:w="440" w:type="dxa"/>
            <w:vAlign w:val="bottom"/>
            <w:tcBorders>
              <w:bottom w:val="single" w:sz="8" w:color="959595"/>
            </w:tcBorders>
          </w:tcPr>
          <w:p>
            <w:pPr>
              <w:ind w:left="60"/>
              <w:spacing w:after="0"/>
              <w:rPr>
                <w:sz w:val="20"/>
                <w:szCs w:val="20"/>
                <w:color w:val="auto"/>
              </w:rPr>
            </w:pPr>
            <w:r>
              <w:rPr>
                <w:rFonts w:ascii="Arial" w:cs="Arial" w:eastAsia="Arial" w:hAnsi="Arial"/>
                <w:sz w:val="12"/>
                <w:szCs w:val="12"/>
                <w:color w:val="auto"/>
              </w:rPr>
              <w:t>4</w:t>
            </w:r>
          </w:p>
        </w:tc>
        <w:tc>
          <w:tcPr>
            <w:tcW w:w="740" w:type="dxa"/>
            <w:vAlign w:val="bottom"/>
            <w:tcBorders>
              <w:bottom w:val="single" w:sz="8" w:color="959595"/>
            </w:tcBorders>
          </w:tcPr>
          <w:p>
            <w:pPr>
              <w:jc w:val="right"/>
              <w:ind w:right="28"/>
              <w:spacing w:after="0"/>
              <w:rPr>
                <w:sz w:val="20"/>
                <w:szCs w:val="20"/>
                <w:color w:val="auto"/>
              </w:rPr>
            </w:pPr>
            <w:r>
              <w:rPr>
                <w:rFonts w:ascii="Arial" w:cs="Arial" w:eastAsia="Arial" w:hAnsi="Arial"/>
                <w:sz w:val="14"/>
                <w:szCs w:val="14"/>
                <w:color w:val="auto"/>
              </w:rPr>
              <w:t>15,599</w:t>
            </w:r>
          </w:p>
        </w:tc>
        <w:tc>
          <w:tcPr>
            <w:tcW w:w="0" w:type="dxa"/>
            <w:vAlign w:val="bottom"/>
          </w:tcPr>
          <w:p>
            <w:pPr>
              <w:spacing w:after="0"/>
              <w:rPr>
                <w:sz w:val="1"/>
                <w:szCs w:val="1"/>
                <w:color w:val="auto"/>
              </w:rPr>
            </w:pPr>
          </w:p>
        </w:tc>
      </w:tr>
      <w:tr>
        <w:trPr>
          <w:trHeight w:val="261"/>
        </w:trPr>
        <w:tc>
          <w:tcPr>
            <w:tcW w:w="606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012E6C"/>
              </w:rPr>
              <w:t>Ilene S. Gordon</w:t>
            </w:r>
          </w:p>
        </w:tc>
        <w:tc>
          <w:tcPr>
            <w:tcW w:w="3060" w:type="dxa"/>
            <w:vAlign w:val="bottom"/>
            <w:tcBorders>
              <w:bottom w:val="single" w:sz="8" w:color="959595"/>
            </w:tcBorders>
          </w:tcPr>
          <w:p>
            <w:pPr>
              <w:jc w:val="right"/>
              <w:ind w:right="8"/>
              <w:spacing w:after="0"/>
              <w:rPr>
                <w:sz w:val="20"/>
                <w:szCs w:val="20"/>
                <w:color w:val="auto"/>
              </w:rPr>
            </w:pPr>
            <w:r>
              <w:rPr>
                <w:rFonts w:ascii="Arial" w:cs="Arial" w:eastAsia="Arial" w:hAnsi="Arial"/>
                <w:sz w:val="14"/>
                <w:szCs w:val="14"/>
                <w:color w:val="auto"/>
              </w:rPr>
              <w:t>0</w:t>
            </w:r>
          </w:p>
        </w:tc>
        <w:tc>
          <w:tcPr>
            <w:tcW w:w="360" w:type="dxa"/>
            <w:vAlign w:val="bottom"/>
            <w:tcBorders>
              <w:bottom w:val="single" w:sz="8" w:color="959595"/>
            </w:tcBorders>
          </w:tcPr>
          <w:p>
            <w:pPr>
              <w:spacing w:after="0"/>
              <w:rPr>
                <w:sz w:val="22"/>
                <w:szCs w:val="22"/>
                <w:color w:val="auto"/>
              </w:rPr>
            </w:pPr>
          </w:p>
        </w:tc>
        <w:tc>
          <w:tcPr>
            <w:tcW w:w="760" w:type="dxa"/>
            <w:vAlign w:val="bottom"/>
            <w:tcBorders>
              <w:bottom w:val="single" w:sz="8" w:color="959595"/>
            </w:tcBorders>
          </w:tcPr>
          <w:p>
            <w:pPr>
              <w:jc w:val="right"/>
              <w:ind w:right="9"/>
              <w:spacing w:after="0"/>
              <w:rPr>
                <w:sz w:val="20"/>
                <w:szCs w:val="20"/>
                <w:color w:val="auto"/>
              </w:rPr>
            </w:pPr>
            <w:r>
              <w:rPr>
                <w:rFonts w:ascii="Arial" w:cs="Arial" w:eastAsia="Arial" w:hAnsi="Arial"/>
                <w:sz w:val="14"/>
                <w:szCs w:val="14"/>
                <w:color w:val="auto"/>
              </w:rPr>
              <w:t>1,898</w:t>
            </w:r>
          </w:p>
        </w:tc>
        <w:tc>
          <w:tcPr>
            <w:tcW w:w="440" w:type="dxa"/>
            <w:vAlign w:val="bottom"/>
            <w:tcBorders>
              <w:bottom w:val="single" w:sz="8" w:color="959595"/>
            </w:tcBorders>
          </w:tcPr>
          <w:p>
            <w:pPr>
              <w:ind w:left="60"/>
              <w:spacing w:after="0"/>
              <w:rPr>
                <w:sz w:val="20"/>
                <w:szCs w:val="20"/>
                <w:color w:val="auto"/>
              </w:rPr>
            </w:pPr>
            <w:r>
              <w:rPr>
                <w:rFonts w:ascii="Arial" w:cs="Arial" w:eastAsia="Arial" w:hAnsi="Arial"/>
                <w:sz w:val="12"/>
                <w:szCs w:val="12"/>
                <w:color w:val="auto"/>
              </w:rPr>
              <w:t>4</w:t>
            </w:r>
          </w:p>
        </w:tc>
        <w:tc>
          <w:tcPr>
            <w:tcW w:w="740" w:type="dxa"/>
            <w:vAlign w:val="bottom"/>
            <w:tcBorders>
              <w:bottom w:val="single" w:sz="8" w:color="959595"/>
            </w:tcBorders>
          </w:tcPr>
          <w:p>
            <w:pPr>
              <w:jc w:val="right"/>
              <w:ind w:right="28"/>
              <w:spacing w:after="0"/>
              <w:rPr>
                <w:sz w:val="20"/>
                <w:szCs w:val="20"/>
                <w:color w:val="auto"/>
              </w:rPr>
            </w:pPr>
            <w:r>
              <w:rPr>
                <w:rFonts w:ascii="Arial" w:cs="Arial" w:eastAsia="Arial" w:hAnsi="Arial"/>
                <w:sz w:val="14"/>
                <w:szCs w:val="14"/>
                <w:color w:val="auto"/>
              </w:rPr>
              <w:t>1,898</w:t>
            </w:r>
          </w:p>
        </w:tc>
        <w:tc>
          <w:tcPr>
            <w:tcW w:w="0" w:type="dxa"/>
            <w:vAlign w:val="bottom"/>
          </w:tcPr>
          <w:p>
            <w:pPr>
              <w:spacing w:after="0"/>
              <w:rPr>
                <w:sz w:val="1"/>
                <w:szCs w:val="1"/>
                <w:color w:val="auto"/>
              </w:rPr>
            </w:pPr>
          </w:p>
        </w:tc>
      </w:tr>
      <w:tr>
        <w:trPr>
          <w:trHeight w:val="264"/>
        </w:trPr>
        <w:tc>
          <w:tcPr>
            <w:tcW w:w="606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012E6C"/>
              </w:rPr>
              <w:t>Marillyn A. Hewson</w:t>
            </w:r>
          </w:p>
        </w:tc>
        <w:tc>
          <w:tcPr>
            <w:tcW w:w="3060" w:type="dxa"/>
            <w:vAlign w:val="bottom"/>
            <w:tcBorders>
              <w:bottom w:val="single" w:sz="8" w:color="959595"/>
            </w:tcBorders>
          </w:tcPr>
          <w:p>
            <w:pPr>
              <w:jc w:val="right"/>
              <w:ind w:right="8"/>
              <w:spacing w:after="0"/>
              <w:rPr>
                <w:sz w:val="20"/>
                <w:szCs w:val="20"/>
                <w:color w:val="auto"/>
              </w:rPr>
            </w:pPr>
            <w:r>
              <w:rPr>
                <w:rFonts w:ascii="Arial" w:cs="Arial" w:eastAsia="Arial" w:hAnsi="Arial"/>
                <w:sz w:val="14"/>
                <w:szCs w:val="14"/>
                <w:color w:val="auto"/>
              </w:rPr>
              <w:t>192,946</w:t>
            </w:r>
          </w:p>
        </w:tc>
        <w:tc>
          <w:tcPr>
            <w:tcW w:w="360" w:type="dxa"/>
            <w:vAlign w:val="bottom"/>
            <w:tcBorders>
              <w:bottom w:val="single" w:sz="8" w:color="959595"/>
            </w:tcBorders>
          </w:tcPr>
          <w:p>
            <w:pPr>
              <w:spacing w:after="0"/>
              <w:rPr>
                <w:sz w:val="22"/>
                <w:szCs w:val="22"/>
                <w:color w:val="auto"/>
              </w:rPr>
            </w:pPr>
          </w:p>
        </w:tc>
        <w:tc>
          <w:tcPr>
            <w:tcW w:w="760" w:type="dxa"/>
            <w:vAlign w:val="bottom"/>
            <w:tcBorders>
              <w:bottom w:val="single" w:sz="8" w:color="959595"/>
            </w:tcBorders>
          </w:tcPr>
          <w:p>
            <w:pPr>
              <w:jc w:val="right"/>
              <w:ind w:right="9"/>
              <w:spacing w:after="0"/>
              <w:rPr>
                <w:sz w:val="20"/>
                <w:szCs w:val="20"/>
                <w:color w:val="auto"/>
              </w:rPr>
            </w:pPr>
            <w:r>
              <w:rPr>
                <w:rFonts w:ascii="Arial" w:cs="Arial" w:eastAsia="Arial" w:hAnsi="Arial"/>
                <w:sz w:val="14"/>
                <w:szCs w:val="14"/>
                <w:color w:val="auto"/>
              </w:rPr>
              <w:t>35,540</w:t>
            </w:r>
          </w:p>
        </w:tc>
        <w:tc>
          <w:tcPr>
            <w:tcW w:w="440" w:type="dxa"/>
            <w:vAlign w:val="bottom"/>
            <w:tcBorders>
              <w:bottom w:val="single" w:sz="8" w:color="959595"/>
            </w:tcBorders>
          </w:tcPr>
          <w:p>
            <w:pPr>
              <w:ind w:left="60"/>
              <w:spacing w:after="0"/>
              <w:rPr>
                <w:sz w:val="20"/>
                <w:szCs w:val="20"/>
                <w:color w:val="auto"/>
              </w:rPr>
            </w:pPr>
            <w:r>
              <w:rPr>
                <w:rFonts w:ascii="Arial" w:cs="Arial" w:eastAsia="Arial" w:hAnsi="Arial"/>
                <w:sz w:val="12"/>
                <w:szCs w:val="12"/>
                <w:color w:val="auto"/>
              </w:rPr>
              <w:t>6,7,8</w:t>
            </w:r>
          </w:p>
        </w:tc>
        <w:tc>
          <w:tcPr>
            <w:tcW w:w="740" w:type="dxa"/>
            <w:vAlign w:val="bottom"/>
            <w:tcBorders>
              <w:bottom w:val="single" w:sz="8" w:color="959595"/>
            </w:tcBorders>
          </w:tcPr>
          <w:p>
            <w:pPr>
              <w:jc w:val="right"/>
              <w:ind w:right="28"/>
              <w:spacing w:after="0"/>
              <w:rPr>
                <w:sz w:val="20"/>
                <w:szCs w:val="20"/>
                <w:color w:val="auto"/>
              </w:rPr>
            </w:pPr>
            <w:r>
              <w:rPr>
                <w:rFonts w:ascii="Arial" w:cs="Arial" w:eastAsia="Arial" w:hAnsi="Arial"/>
                <w:sz w:val="14"/>
                <w:szCs w:val="14"/>
                <w:color w:val="auto"/>
              </w:rPr>
              <w:t>228,486</w:t>
            </w:r>
          </w:p>
        </w:tc>
        <w:tc>
          <w:tcPr>
            <w:tcW w:w="0" w:type="dxa"/>
            <w:vAlign w:val="bottom"/>
          </w:tcPr>
          <w:p>
            <w:pPr>
              <w:spacing w:after="0"/>
              <w:rPr>
                <w:sz w:val="1"/>
                <w:szCs w:val="1"/>
                <w:color w:val="auto"/>
              </w:rPr>
            </w:pPr>
          </w:p>
        </w:tc>
      </w:tr>
      <w:tr>
        <w:trPr>
          <w:trHeight w:val="264"/>
        </w:trPr>
        <w:tc>
          <w:tcPr>
            <w:tcW w:w="606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012E6C"/>
              </w:rPr>
              <w:t>Vicki A. Hollub</w:t>
            </w:r>
          </w:p>
        </w:tc>
        <w:tc>
          <w:tcPr>
            <w:tcW w:w="3060" w:type="dxa"/>
            <w:vAlign w:val="bottom"/>
            <w:tcBorders>
              <w:bottom w:val="single" w:sz="8" w:color="959595"/>
            </w:tcBorders>
          </w:tcPr>
          <w:p>
            <w:pPr>
              <w:jc w:val="right"/>
              <w:ind w:right="8"/>
              <w:spacing w:after="0"/>
              <w:rPr>
                <w:sz w:val="20"/>
                <w:szCs w:val="20"/>
                <w:color w:val="auto"/>
              </w:rPr>
            </w:pPr>
            <w:r>
              <w:rPr>
                <w:rFonts w:ascii="Arial" w:cs="Arial" w:eastAsia="Arial" w:hAnsi="Arial"/>
                <w:sz w:val="14"/>
                <w:szCs w:val="14"/>
                <w:color w:val="auto"/>
              </w:rPr>
              <w:t>242</w:t>
            </w:r>
          </w:p>
        </w:tc>
        <w:tc>
          <w:tcPr>
            <w:tcW w:w="360" w:type="dxa"/>
            <w:vAlign w:val="bottom"/>
            <w:tcBorders>
              <w:bottom w:val="single" w:sz="8" w:color="959595"/>
            </w:tcBorders>
          </w:tcPr>
          <w:p>
            <w:pPr>
              <w:spacing w:after="0"/>
              <w:rPr>
                <w:sz w:val="22"/>
                <w:szCs w:val="22"/>
                <w:color w:val="auto"/>
              </w:rPr>
            </w:pPr>
          </w:p>
        </w:tc>
        <w:tc>
          <w:tcPr>
            <w:tcW w:w="760" w:type="dxa"/>
            <w:vAlign w:val="bottom"/>
            <w:tcBorders>
              <w:bottom w:val="single" w:sz="8" w:color="959595"/>
            </w:tcBorders>
          </w:tcPr>
          <w:p>
            <w:pPr>
              <w:jc w:val="right"/>
              <w:ind w:right="9"/>
              <w:spacing w:after="0"/>
              <w:rPr>
                <w:sz w:val="20"/>
                <w:szCs w:val="20"/>
                <w:color w:val="auto"/>
              </w:rPr>
            </w:pPr>
            <w:r>
              <w:rPr>
                <w:rFonts w:ascii="Arial" w:cs="Arial" w:eastAsia="Arial" w:hAnsi="Arial"/>
                <w:sz w:val="14"/>
                <w:szCs w:val="14"/>
                <w:color w:val="auto"/>
              </w:rPr>
              <w:t>796</w:t>
            </w:r>
          </w:p>
        </w:tc>
        <w:tc>
          <w:tcPr>
            <w:tcW w:w="440" w:type="dxa"/>
            <w:vAlign w:val="bottom"/>
            <w:tcBorders>
              <w:bottom w:val="single" w:sz="8" w:color="959595"/>
            </w:tcBorders>
          </w:tcPr>
          <w:p>
            <w:pPr>
              <w:ind w:left="60"/>
              <w:spacing w:after="0"/>
              <w:rPr>
                <w:sz w:val="20"/>
                <w:szCs w:val="20"/>
                <w:color w:val="auto"/>
              </w:rPr>
            </w:pPr>
            <w:r>
              <w:rPr>
                <w:rFonts w:ascii="Arial" w:cs="Arial" w:eastAsia="Arial" w:hAnsi="Arial"/>
                <w:sz w:val="12"/>
                <w:szCs w:val="12"/>
                <w:color w:val="auto"/>
              </w:rPr>
              <w:t>4,5</w:t>
            </w:r>
          </w:p>
        </w:tc>
        <w:tc>
          <w:tcPr>
            <w:tcW w:w="740" w:type="dxa"/>
            <w:vAlign w:val="bottom"/>
            <w:tcBorders>
              <w:bottom w:val="single" w:sz="8" w:color="959595"/>
            </w:tcBorders>
          </w:tcPr>
          <w:p>
            <w:pPr>
              <w:jc w:val="right"/>
              <w:ind w:right="28"/>
              <w:spacing w:after="0"/>
              <w:rPr>
                <w:sz w:val="20"/>
                <w:szCs w:val="20"/>
                <w:color w:val="auto"/>
              </w:rPr>
            </w:pPr>
            <w:r>
              <w:rPr>
                <w:rFonts w:ascii="Arial" w:cs="Arial" w:eastAsia="Arial" w:hAnsi="Arial"/>
                <w:sz w:val="14"/>
                <w:szCs w:val="14"/>
                <w:color w:val="auto"/>
              </w:rPr>
              <w:t>1,038</w:t>
            </w:r>
          </w:p>
        </w:tc>
        <w:tc>
          <w:tcPr>
            <w:tcW w:w="0" w:type="dxa"/>
            <w:vAlign w:val="bottom"/>
          </w:tcPr>
          <w:p>
            <w:pPr>
              <w:spacing w:after="0"/>
              <w:rPr>
                <w:sz w:val="1"/>
                <w:szCs w:val="1"/>
                <w:color w:val="auto"/>
              </w:rPr>
            </w:pPr>
          </w:p>
        </w:tc>
      </w:tr>
      <w:tr>
        <w:trPr>
          <w:trHeight w:val="264"/>
        </w:trPr>
        <w:tc>
          <w:tcPr>
            <w:tcW w:w="606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012E6C"/>
              </w:rPr>
              <w:t>Jeh C. Johnson</w:t>
            </w:r>
          </w:p>
        </w:tc>
        <w:tc>
          <w:tcPr>
            <w:tcW w:w="3060" w:type="dxa"/>
            <w:vAlign w:val="bottom"/>
            <w:tcBorders>
              <w:bottom w:val="single" w:sz="8" w:color="959595"/>
            </w:tcBorders>
          </w:tcPr>
          <w:p>
            <w:pPr>
              <w:jc w:val="right"/>
              <w:ind w:right="8"/>
              <w:spacing w:after="0"/>
              <w:rPr>
                <w:sz w:val="20"/>
                <w:szCs w:val="20"/>
                <w:color w:val="auto"/>
              </w:rPr>
            </w:pPr>
            <w:r>
              <w:rPr>
                <w:rFonts w:ascii="Arial" w:cs="Arial" w:eastAsia="Arial" w:hAnsi="Arial"/>
                <w:sz w:val="14"/>
                <w:szCs w:val="14"/>
                <w:color w:val="auto"/>
              </w:rPr>
              <w:t>449</w:t>
            </w:r>
          </w:p>
        </w:tc>
        <w:tc>
          <w:tcPr>
            <w:tcW w:w="360" w:type="dxa"/>
            <w:vAlign w:val="bottom"/>
            <w:tcBorders>
              <w:bottom w:val="single" w:sz="8" w:color="959595"/>
            </w:tcBorders>
          </w:tcPr>
          <w:p>
            <w:pPr>
              <w:spacing w:after="0"/>
              <w:rPr>
                <w:sz w:val="22"/>
                <w:szCs w:val="22"/>
                <w:color w:val="auto"/>
              </w:rPr>
            </w:pPr>
          </w:p>
        </w:tc>
        <w:tc>
          <w:tcPr>
            <w:tcW w:w="760" w:type="dxa"/>
            <w:vAlign w:val="bottom"/>
            <w:tcBorders>
              <w:bottom w:val="single" w:sz="8" w:color="959595"/>
            </w:tcBorders>
          </w:tcPr>
          <w:p>
            <w:pPr>
              <w:jc w:val="right"/>
              <w:ind w:right="9"/>
              <w:spacing w:after="0"/>
              <w:rPr>
                <w:sz w:val="20"/>
                <w:szCs w:val="20"/>
                <w:color w:val="auto"/>
              </w:rPr>
            </w:pPr>
            <w:r>
              <w:rPr>
                <w:rFonts w:ascii="Arial" w:cs="Arial" w:eastAsia="Arial" w:hAnsi="Arial"/>
                <w:sz w:val="14"/>
                <w:szCs w:val="14"/>
                <w:color w:val="auto"/>
              </w:rPr>
              <w:t>535</w:t>
            </w:r>
          </w:p>
        </w:tc>
        <w:tc>
          <w:tcPr>
            <w:tcW w:w="440" w:type="dxa"/>
            <w:vAlign w:val="bottom"/>
            <w:tcBorders>
              <w:bottom w:val="single" w:sz="8" w:color="959595"/>
            </w:tcBorders>
          </w:tcPr>
          <w:p>
            <w:pPr>
              <w:ind w:left="60"/>
              <w:spacing w:after="0"/>
              <w:rPr>
                <w:sz w:val="20"/>
                <w:szCs w:val="20"/>
                <w:color w:val="auto"/>
              </w:rPr>
            </w:pPr>
            <w:r>
              <w:rPr>
                <w:rFonts w:ascii="Arial" w:cs="Arial" w:eastAsia="Arial" w:hAnsi="Arial"/>
                <w:sz w:val="12"/>
                <w:szCs w:val="12"/>
                <w:color w:val="auto"/>
              </w:rPr>
              <w:t>4</w:t>
            </w:r>
          </w:p>
        </w:tc>
        <w:tc>
          <w:tcPr>
            <w:tcW w:w="740" w:type="dxa"/>
            <w:vAlign w:val="bottom"/>
            <w:tcBorders>
              <w:bottom w:val="single" w:sz="8" w:color="959595"/>
            </w:tcBorders>
          </w:tcPr>
          <w:p>
            <w:pPr>
              <w:jc w:val="right"/>
              <w:ind w:right="28"/>
              <w:spacing w:after="0"/>
              <w:rPr>
                <w:sz w:val="20"/>
                <w:szCs w:val="20"/>
                <w:color w:val="auto"/>
              </w:rPr>
            </w:pPr>
            <w:r>
              <w:rPr>
                <w:rFonts w:ascii="Arial" w:cs="Arial" w:eastAsia="Arial" w:hAnsi="Arial"/>
                <w:sz w:val="14"/>
                <w:szCs w:val="14"/>
                <w:color w:val="auto"/>
              </w:rPr>
              <w:t>984</w:t>
            </w:r>
          </w:p>
        </w:tc>
        <w:tc>
          <w:tcPr>
            <w:tcW w:w="0" w:type="dxa"/>
            <w:vAlign w:val="bottom"/>
          </w:tcPr>
          <w:p>
            <w:pPr>
              <w:spacing w:after="0"/>
              <w:rPr>
                <w:sz w:val="1"/>
                <w:szCs w:val="1"/>
                <w:color w:val="auto"/>
              </w:rPr>
            </w:pPr>
          </w:p>
        </w:tc>
      </w:tr>
      <w:tr>
        <w:trPr>
          <w:trHeight w:val="264"/>
        </w:trPr>
        <w:tc>
          <w:tcPr>
            <w:tcW w:w="606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012E6C"/>
              </w:rPr>
              <w:t>Joseph W. Ralston</w:t>
            </w:r>
          </w:p>
        </w:tc>
        <w:tc>
          <w:tcPr>
            <w:tcW w:w="3060" w:type="dxa"/>
            <w:vAlign w:val="bottom"/>
            <w:tcBorders>
              <w:bottom w:val="single" w:sz="8" w:color="959595"/>
            </w:tcBorders>
          </w:tcPr>
          <w:p>
            <w:pPr>
              <w:jc w:val="right"/>
              <w:ind w:right="8"/>
              <w:spacing w:after="0"/>
              <w:rPr>
                <w:sz w:val="20"/>
                <w:szCs w:val="20"/>
                <w:color w:val="auto"/>
              </w:rPr>
            </w:pPr>
            <w:r>
              <w:rPr>
                <w:rFonts w:ascii="Arial" w:cs="Arial" w:eastAsia="Arial" w:hAnsi="Arial"/>
                <w:sz w:val="14"/>
                <w:szCs w:val="14"/>
                <w:color w:val="auto"/>
              </w:rPr>
              <w:t>23,572</w:t>
            </w:r>
          </w:p>
        </w:tc>
        <w:tc>
          <w:tcPr>
            <w:tcW w:w="360" w:type="dxa"/>
            <w:vAlign w:val="bottom"/>
            <w:tcBorders>
              <w:bottom w:val="single" w:sz="8" w:color="959595"/>
            </w:tcBorders>
          </w:tcPr>
          <w:p>
            <w:pPr>
              <w:spacing w:after="0"/>
              <w:rPr>
                <w:sz w:val="22"/>
                <w:szCs w:val="22"/>
                <w:color w:val="auto"/>
              </w:rPr>
            </w:pPr>
          </w:p>
        </w:tc>
        <w:tc>
          <w:tcPr>
            <w:tcW w:w="760" w:type="dxa"/>
            <w:vAlign w:val="bottom"/>
            <w:tcBorders>
              <w:bottom w:val="single" w:sz="8" w:color="959595"/>
            </w:tcBorders>
          </w:tcPr>
          <w:p>
            <w:pPr>
              <w:jc w:val="right"/>
              <w:ind w:right="9"/>
              <w:spacing w:after="0"/>
              <w:rPr>
                <w:sz w:val="20"/>
                <w:szCs w:val="20"/>
                <w:color w:val="auto"/>
              </w:rPr>
            </w:pPr>
            <w:r>
              <w:rPr>
                <w:rFonts w:ascii="Arial" w:cs="Arial" w:eastAsia="Arial" w:hAnsi="Arial"/>
                <w:sz w:val="14"/>
                <w:szCs w:val="14"/>
                <w:color w:val="auto"/>
              </w:rPr>
              <w:t>178</w:t>
            </w:r>
          </w:p>
        </w:tc>
        <w:tc>
          <w:tcPr>
            <w:tcW w:w="440" w:type="dxa"/>
            <w:vAlign w:val="bottom"/>
            <w:tcBorders>
              <w:bottom w:val="single" w:sz="8" w:color="959595"/>
            </w:tcBorders>
          </w:tcPr>
          <w:p>
            <w:pPr>
              <w:ind w:left="60"/>
              <w:spacing w:after="0"/>
              <w:rPr>
                <w:sz w:val="20"/>
                <w:szCs w:val="20"/>
                <w:color w:val="auto"/>
              </w:rPr>
            </w:pPr>
            <w:r>
              <w:rPr>
                <w:rFonts w:ascii="Arial" w:cs="Arial" w:eastAsia="Arial" w:hAnsi="Arial"/>
                <w:sz w:val="12"/>
                <w:szCs w:val="12"/>
                <w:color w:val="auto"/>
              </w:rPr>
              <w:t>4</w:t>
            </w:r>
          </w:p>
        </w:tc>
        <w:tc>
          <w:tcPr>
            <w:tcW w:w="740" w:type="dxa"/>
            <w:vAlign w:val="bottom"/>
            <w:tcBorders>
              <w:bottom w:val="single" w:sz="8" w:color="959595"/>
            </w:tcBorders>
          </w:tcPr>
          <w:p>
            <w:pPr>
              <w:jc w:val="right"/>
              <w:ind w:right="28"/>
              <w:spacing w:after="0"/>
              <w:rPr>
                <w:sz w:val="20"/>
                <w:szCs w:val="20"/>
                <w:color w:val="auto"/>
              </w:rPr>
            </w:pPr>
            <w:r>
              <w:rPr>
                <w:rFonts w:ascii="Arial" w:cs="Arial" w:eastAsia="Arial" w:hAnsi="Arial"/>
                <w:sz w:val="14"/>
                <w:szCs w:val="14"/>
                <w:color w:val="auto"/>
              </w:rPr>
              <w:t>23,751</w:t>
            </w:r>
          </w:p>
        </w:tc>
        <w:tc>
          <w:tcPr>
            <w:tcW w:w="0" w:type="dxa"/>
            <w:vAlign w:val="bottom"/>
          </w:tcPr>
          <w:p>
            <w:pPr>
              <w:spacing w:after="0"/>
              <w:rPr>
                <w:sz w:val="1"/>
                <w:szCs w:val="1"/>
                <w:color w:val="auto"/>
              </w:rPr>
            </w:pPr>
          </w:p>
        </w:tc>
      </w:tr>
      <w:tr>
        <w:trPr>
          <w:trHeight w:val="264"/>
        </w:trPr>
        <w:tc>
          <w:tcPr>
            <w:tcW w:w="606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012E6C"/>
              </w:rPr>
              <w:t>Frank A. St. John</w:t>
            </w:r>
          </w:p>
        </w:tc>
        <w:tc>
          <w:tcPr>
            <w:tcW w:w="3060" w:type="dxa"/>
            <w:vAlign w:val="bottom"/>
            <w:tcBorders>
              <w:bottom w:val="single" w:sz="8" w:color="959595"/>
            </w:tcBorders>
          </w:tcPr>
          <w:p>
            <w:pPr>
              <w:jc w:val="right"/>
              <w:ind w:right="8"/>
              <w:spacing w:after="0"/>
              <w:rPr>
                <w:sz w:val="20"/>
                <w:szCs w:val="20"/>
                <w:color w:val="auto"/>
              </w:rPr>
            </w:pPr>
            <w:r>
              <w:rPr>
                <w:rFonts w:ascii="Arial" w:cs="Arial" w:eastAsia="Arial" w:hAnsi="Arial"/>
                <w:sz w:val="14"/>
                <w:szCs w:val="14"/>
                <w:color w:val="auto"/>
              </w:rPr>
              <w:t>2,471</w:t>
            </w:r>
          </w:p>
        </w:tc>
        <w:tc>
          <w:tcPr>
            <w:tcW w:w="360" w:type="dxa"/>
            <w:vAlign w:val="bottom"/>
            <w:tcBorders>
              <w:bottom w:val="single" w:sz="8" w:color="959595"/>
            </w:tcBorders>
          </w:tcPr>
          <w:p>
            <w:pPr>
              <w:spacing w:after="0"/>
              <w:rPr>
                <w:sz w:val="22"/>
                <w:szCs w:val="22"/>
                <w:color w:val="auto"/>
              </w:rPr>
            </w:pPr>
          </w:p>
        </w:tc>
        <w:tc>
          <w:tcPr>
            <w:tcW w:w="760" w:type="dxa"/>
            <w:vAlign w:val="bottom"/>
            <w:tcBorders>
              <w:bottom w:val="single" w:sz="8" w:color="959595"/>
            </w:tcBorders>
          </w:tcPr>
          <w:p>
            <w:pPr>
              <w:jc w:val="right"/>
              <w:ind w:right="9"/>
              <w:spacing w:after="0"/>
              <w:rPr>
                <w:sz w:val="20"/>
                <w:szCs w:val="20"/>
                <w:color w:val="auto"/>
              </w:rPr>
            </w:pPr>
            <w:r>
              <w:rPr>
                <w:rFonts w:ascii="Arial" w:cs="Arial" w:eastAsia="Arial" w:hAnsi="Arial"/>
                <w:sz w:val="14"/>
                <w:szCs w:val="14"/>
                <w:color w:val="auto"/>
              </w:rPr>
              <w:t>4,920</w:t>
            </w:r>
          </w:p>
        </w:tc>
        <w:tc>
          <w:tcPr>
            <w:tcW w:w="440" w:type="dxa"/>
            <w:vAlign w:val="bottom"/>
            <w:tcBorders>
              <w:bottom w:val="single" w:sz="8" w:color="959595"/>
            </w:tcBorders>
          </w:tcPr>
          <w:p>
            <w:pPr>
              <w:ind w:left="60"/>
              <w:spacing w:after="0"/>
              <w:rPr>
                <w:sz w:val="20"/>
                <w:szCs w:val="20"/>
                <w:color w:val="auto"/>
              </w:rPr>
            </w:pPr>
            <w:r>
              <w:rPr>
                <w:rFonts w:ascii="Arial" w:cs="Arial" w:eastAsia="Arial" w:hAnsi="Arial"/>
                <w:sz w:val="12"/>
                <w:szCs w:val="12"/>
                <w:color w:val="auto"/>
              </w:rPr>
              <w:t>6,7,8</w:t>
            </w:r>
          </w:p>
        </w:tc>
        <w:tc>
          <w:tcPr>
            <w:tcW w:w="740" w:type="dxa"/>
            <w:vAlign w:val="bottom"/>
            <w:tcBorders>
              <w:bottom w:val="single" w:sz="8" w:color="959595"/>
            </w:tcBorders>
          </w:tcPr>
          <w:p>
            <w:pPr>
              <w:jc w:val="right"/>
              <w:ind w:right="28"/>
              <w:spacing w:after="0"/>
              <w:rPr>
                <w:sz w:val="20"/>
                <w:szCs w:val="20"/>
                <w:color w:val="auto"/>
              </w:rPr>
            </w:pPr>
            <w:r>
              <w:rPr>
                <w:rFonts w:ascii="Arial" w:cs="Arial" w:eastAsia="Arial" w:hAnsi="Arial"/>
                <w:sz w:val="14"/>
                <w:szCs w:val="14"/>
                <w:color w:val="auto"/>
              </w:rPr>
              <w:t>7,391</w:t>
            </w:r>
          </w:p>
        </w:tc>
        <w:tc>
          <w:tcPr>
            <w:tcW w:w="0" w:type="dxa"/>
            <w:vAlign w:val="bottom"/>
          </w:tcPr>
          <w:p>
            <w:pPr>
              <w:spacing w:after="0"/>
              <w:rPr>
                <w:sz w:val="1"/>
                <w:szCs w:val="1"/>
                <w:color w:val="auto"/>
              </w:rPr>
            </w:pPr>
          </w:p>
        </w:tc>
      </w:tr>
      <w:tr>
        <w:trPr>
          <w:trHeight w:val="264"/>
        </w:trPr>
        <w:tc>
          <w:tcPr>
            <w:tcW w:w="606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012E6C"/>
              </w:rPr>
              <w:t>James D. Taiclet, Jr.</w:t>
            </w:r>
          </w:p>
        </w:tc>
        <w:tc>
          <w:tcPr>
            <w:tcW w:w="3060" w:type="dxa"/>
            <w:vAlign w:val="bottom"/>
            <w:tcBorders>
              <w:bottom w:val="single" w:sz="8" w:color="959595"/>
            </w:tcBorders>
          </w:tcPr>
          <w:p>
            <w:pPr>
              <w:jc w:val="right"/>
              <w:ind w:right="8"/>
              <w:spacing w:after="0"/>
              <w:rPr>
                <w:sz w:val="20"/>
                <w:szCs w:val="20"/>
                <w:color w:val="auto"/>
              </w:rPr>
            </w:pPr>
            <w:r>
              <w:rPr>
                <w:rFonts w:ascii="Arial" w:cs="Arial" w:eastAsia="Arial" w:hAnsi="Arial"/>
                <w:sz w:val="14"/>
                <w:szCs w:val="14"/>
                <w:color w:val="auto"/>
              </w:rPr>
              <w:t>449</w:t>
            </w:r>
          </w:p>
        </w:tc>
        <w:tc>
          <w:tcPr>
            <w:tcW w:w="360" w:type="dxa"/>
            <w:vAlign w:val="bottom"/>
            <w:tcBorders>
              <w:bottom w:val="single" w:sz="8" w:color="959595"/>
            </w:tcBorders>
          </w:tcPr>
          <w:p>
            <w:pPr>
              <w:spacing w:after="0"/>
              <w:rPr>
                <w:sz w:val="22"/>
                <w:szCs w:val="22"/>
                <w:color w:val="auto"/>
              </w:rPr>
            </w:pPr>
          </w:p>
        </w:tc>
        <w:tc>
          <w:tcPr>
            <w:tcW w:w="760" w:type="dxa"/>
            <w:vAlign w:val="bottom"/>
            <w:tcBorders>
              <w:bottom w:val="single" w:sz="8" w:color="959595"/>
            </w:tcBorders>
          </w:tcPr>
          <w:p>
            <w:pPr>
              <w:jc w:val="right"/>
              <w:ind w:right="9"/>
              <w:spacing w:after="0"/>
              <w:rPr>
                <w:sz w:val="20"/>
                <w:szCs w:val="20"/>
                <w:color w:val="auto"/>
              </w:rPr>
            </w:pPr>
            <w:r>
              <w:rPr>
                <w:rFonts w:ascii="Arial" w:cs="Arial" w:eastAsia="Arial" w:hAnsi="Arial"/>
                <w:sz w:val="14"/>
                <w:szCs w:val="14"/>
                <w:color w:val="auto"/>
              </w:rPr>
              <w:t>535</w:t>
            </w:r>
          </w:p>
        </w:tc>
        <w:tc>
          <w:tcPr>
            <w:tcW w:w="440" w:type="dxa"/>
            <w:vAlign w:val="bottom"/>
            <w:tcBorders>
              <w:bottom w:val="single" w:sz="8" w:color="959595"/>
            </w:tcBorders>
          </w:tcPr>
          <w:p>
            <w:pPr>
              <w:ind w:left="60"/>
              <w:spacing w:after="0"/>
              <w:rPr>
                <w:sz w:val="20"/>
                <w:szCs w:val="20"/>
                <w:color w:val="auto"/>
              </w:rPr>
            </w:pPr>
            <w:r>
              <w:rPr>
                <w:rFonts w:ascii="Arial" w:cs="Arial" w:eastAsia="Arial" w:hAnsi="Arial"/>
                <w:sz w:val="12"/>
                <w:szCs w:val="12"/>
                <w:color w:val="auto"/>
              </w:rPr>
              <w:t>4</w:t>
            </w:r>
          </w:p>
        </w:tc>
        <w:tc>
          <w:tcPr>
            <w:tcW w:w="740" w:type="dxa"/>
            <w:vAlign w:val="bottom"/>
            <w:tcBorders>
              <w:bottom w:val="single" w:sz="8" w:color="959595"/>
            </w:tcBorders>
          </w:tcPr>
          <w:p>
            <w:pPr>
              <w:jc w:val="right"/>
              <w:ind w:right="28"/>
              <w:spacing w:after="0"/>
              <w:rPr>
                <w:sz w:val="20"/>
                <w:szCs w:val="20"/>
                <w:color w:val="auto"/>
              </w:rPr>
            </w:pPr>
            <w:r>
              <w:rPr>
                <w:rFonts w:ascii="Arial" w:cs="Arial" w:eastAsia="Arial" w:hAnsi="Arial"/>
                <w:sz w:val="14"/>
                <w:szCs w:val="14"/>
                <w:color w:val="auto"/>
              </w:rPr>
              <w:t>984</w:t>
            </w:r>
          </w:p>
        </w:tc>
        <w:tc>
          <w:tcPr>
            <w:tcW w:w="0" w:type="dxa"/>
            <w:vAlign w:val="bottom"/>
          </w:tcPr>
          <w:p>
            <w:pPr>
              <w:spacing w:after="0"/>
              <w:rPr>
                <w:sz w:val="1"/>
                <w:szCs w:val="1"/>
                <w:color w:val="auto"/>
              </w:rPr>
            </w:pPr>
          </w:p>
        </w:tc>
      </w:tr>
      <w:tr>
        <w:trPr>
          <w:trHeight w:val="264"/>
        </w:trPr>
        <w:tc>
          <w:tcPr>
            <w:tcW w:w="606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012E6C"/>
              </w:rPr>
              <w:t>Bruce L. Tanner</w:t>
            </w:r>
          </w:p>
        </w:tc>
        <w:tc>
          <w:tcPr>
            <w:tcW w:w="3060" w:type="dxa"/>
            <w:vAlign w:val="bottom"/>
            <w:tcBorders>
              <w:bottom w:val="single" w:sz="8" w:color="959595"/>
            </w:tcBorders>
          </w:tcPr>
          <w:p>
            <w:pPr>
              <w:jc w:val="right"/>
              <w:ind w:right="8"/>
              <w:spacing w:after="0"/>
              <w:rPr>
                <w:sz w:val="20"/>
                <w:szCs w:val="20"/>
                <w:color w:val="auto"/>
              </w:rPr>
            </w:pPr>
            <w:r>
              <w:rPr>
                <w:rFonts w:ascii="Arial" w:cs="Arial" w:eastAsia="Arial" w:hAnsi="Arial"/>
                <w:sz w:val="14"/>
                <w:szCs w:val="14"/>
                <w:color w:val="auto"/>
              </w:rPr>
              <w:t>297,722</w:t>
            </w:r>
          </w:p>
        </w:tc>
        <w:tc>
          <w:tcPr>
            <w:tcW w:w="360" w:type="dxa"/>
            <w:vAlign w:val="bottom"/>
            <w:tcBorders>
              <w:bottom w:val="single" w:sz="8" w:color="959595"/>
            </w:tcBorders>
          </w:tcPr>
          <w:p>
            <w:pPr>
              <w:spacing w:after="0"/>
              <w:rPr>
                <w:sz w:val="22"/>
                <w:szCs w:val="22"/>
                <w:color w:val="auto"/>
              </w:rPr>
            </w:pPr>
          </w:p>
        </w:tc>
        <w:tc>
          <w:tcPr>
            <w:tcW w:w="760" w:type="dxa"/>
            <w:vAlign w:val="bottom"/>
            <w:tcBorders>
              <w:bottom w:val="single" w:sz="8" w:color="959595"/>
            </w:tcBorders>
          </w:tcPr>
          <w:p>
            <w:pPr>
              <w:jc w:val="right"/>
              <w:ind w:right="9"/>
              <w:spacing w:after="0"/>
              <w:rPr>
                <w:sz w:val="20"/>
                <w:szCs w:val="20"/>
                <w:color w:val="auto"/>
              </w:rPr>
            </w:pPr>
            <w:r>
              <w:rPr>
                <w:rFonts w:ascii="Arial" w:cs="Arial" w:eastAsia="Arial" w:hAnsi="Arial"/>
                <w:sz w:val="14"/>
                <w:szCs w:val="14"/>
                <w:color w:val="auto"/>
              </w:rPr>
              <w:t>19,070</w:t>
            </w:r>
          </w:p>
        </w:tc>
        <w:tc>
          <w:tcPr>
            <w:tcW w:w="440" w:type="dxa"/>
            <w:vAlign w:val="bottom"/>
            <w:tcBorders>
              <w:bottom w:val="single" w:sz="8" w:color="959595"/>
            </w:tcBorders>
          </w:tcPr>
          <w:p>
            <w:pPr>
              <w:ind w:left="60"/>
              <w:spacing w:after="0"/>
              <w:rPr>
                <w:sz w:val="20"/>
                <w:szCs w:val="20"/>
                <w:color w:val="auto"/>
              </w:rPr>
            </w:pPr>
            <w:r>
              <w:rPr>
                <w:rFonts w:ascii="Arial" w:cs="Arial" w:eastAsia="Arial" w:hAnsi="Arial"/>
                <w:sz w:val="12"/>
                <w:szCs w:val="12"/>
                <w:color w:val="auto"/>
              </w:rPr>
              <w:t>6,7,8</w:t>
            </w:r>
          </w:p>
        </w:tc>
        <w:tc>
          <w:tcPr>
            <w:tcW w:w="740" w:type="dxa"/>
            <w:vAlign w:val="bottom"/>
            <w:tcBorders>
              <w:bottom w:val="single" w:sz="8" w:color="959595"/>
            </w:tcBorders>
          </w:tcPr>
          <w:p>
            <w:pPr>
              <w:jc w:val="right"/>
              <w:ind w:right="28"/>
              <w:spacing w:after="0"/>
              <w:rPr>
                <w:sz w:val="20"/>
                <w:szCs w:val="20"/>
                <w:color w:val="auto"/>
              </w:rPr>
            </w:pPr>
            <w:r>
              <w:rPr>
                <w:rFonts w:ascii="Arial" w:cs="Arial" w:eastAsia="Arial" w:hAnsi="Arial"/>
                <w:sz w:val="14"/>
                <w:szCs w:val="14"/>
                <w:color w:val="auto"/>
              </w:rPr>
              <w:t>316,792</w:t>
            </w:r>
          </w:p>
        </w:tc>
        <w:tc>
          <w:tcPr>
            <w:tcW w:w="0" w:type="dxa"/>
            <w:vAlign w:val="bottom"/>
          </w:tcPr>
          <w:p>
            <w:pPr>
              <w:spacing w:after="0"/>
              <w:rPr>
                <w:sz w:val="1"/>
                <w:szCs w:val="1"/>
                <w:color w:val="auto"/>
              </w:rPr>
            </w:pPr>
          </w:p>
        </w:tc>
      </w:tr>
      <w:tr>
        <w:trPr>
          <w:trHeight w:val="171"/>
        </w:trPr>
        <w:tc>
          <w:tcPr>
            <w:tcW w:w="6060" w:type="dxa"/>
            <w:vAlign w:val="bottom"/>
          </w:tcPr>
          <w:p>
            <w:pPr>
              <w:ind w:left="40"/>
              <w:spacing w:after="0"/>
              <w:rPr>
                <w:sz w:val="20"/>
                <w:szCs w:val="20"/>
                <w:color w:val="auto"/>
              </w:rPr>
            </w:pPr>
            <w:r>
              <w:rPr>
                <w:rFonts w:ascii="Arial" w:cs="Arial" w:eastAsia="Arial" w:hAnsi="Arial"/>
                <w:sz w:val="14"/>
                <w:szCs w:val="14"/>
                <w:b w:val="1"/>
                <w:bCs w:val="1"/>
                <w:color w:val="012E6C"/>
              </w:rPr>
              <w:t>All directors, nominees and executive officers as a group</w:t>
            </w:r>
          </w:p>
        </w:tc>
        <w:tc>
          <w:tcPr>
            <w:tcW w:w="3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6060" w:type="dxa"/>
            <w:vAlign w:val="bottom"/>
          </w:tcPr>
          <w:p>
            <w:pPr>
              <w:ind w:left="40"/>
              <w:spacing w:after="0"/>
              <w:rPr>
                <w:sz w:val="20"/>
                <w:szCs w:val="20"/>
                <w:color w:val="auto"/>
              </w:rPr>
            </w:pPr>
            <w:r>
              <w:rPr>
                <w:rFonts w:ascii="Arial" w:cs="Arial" w:eastAsia="Arial" w:hAnsi="Arial"/>
                <w:sz w:val="14"/>
                <w:szCs w:val="14"/>
                <w:b w:val="1"/>
                <w:bCs w:val="1"/>
                <w:color w:val="012E6C"/>
              </w:rPr>
              <w:t>(22 individuals including those named above)</w:t>
            </w:r>
          </w:p>
        </w:tc>
        <w:tc>
          <w:tcPr>
            <w:tcW w:w="3060" w:type="dxa"/>
            <w:vAlign w:val="bottom"/>
          </w:tcPr>
          <w:p>
            <w:pPr>
              <w:jc w:val="right"/>
              <w:ind w:right="8"/>
              <w:spacing w:after="0"/>
              <w:rPr>
                <w:sz w:val="20"/>
                <w:szCs w:val="20"/>
                <w:color w:val="auto"/>
              </w:rPr>
            </w:pPr>
            <w:r>
              <w:rPr>
                <w:rFonts w:ascii="Arial" w:cs="Arial" w:eastAsia="Arial" w:hAnsi="Arial"/>
                <w:sz w:val="14"/>
                <w:szCs w:val="14"/>
                <w:color w:val="auto"/>
              </w:rPr>
              <w:t>806,096</w:t>
            </w:r>
          </w:p>
        </w:tc>
        <w:tc>
          <w:tcPr>
            <w:tcW w:w="360" w:type="dxa"/>
            <w:vAlign w:val="bottom"/>
          </w:tcPr>
          <w:p>
            <w:pPr>
              <w:spacing w:after="0"/>
              <w:rPr>
                <w:sz w:val="17"/>
                <w:szCs w:val="17"/>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188,544</w:t>
            </w:r>
          </w:p>
        </w:tc>
        <w:tc>
          <w:tcPr>
            <w:tcW w:w="44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994,640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 w:lineRule="exact"/>
        <w:rPr>
          <w:sz w:val="20"/>
          <w:szCs w:val="20"/>
          <w:color w:val="auto"/>
        </w:rPr>
      </w:pPr>
    </w:p>
    <w:p>
      <w:pPr>
        <w:spacing w:after="0"/>
        <w:tabs>
          <w:tab w:leader="none" w:pos="200" w:val="left"/>
        </w:tabs>
        <w:rPr>
          <w:sz w:val="20"/>
          <w:szCs w:val="20"/>
          <w:color w:val="auto"/>
        </w:rPr>
      </w:pPr>
      <w:r>
        <w:rPr>
          <w:rFonts w:ascii="Arial" w:cs="Arial" w:eastAsia="Arial" w:hAnsi="Arial"/>
          <w:sz w:val="14"/>
          <w:szCs w:val="14"/>
          <w:color w:val="auto"/>
        </w:rPr>
        <w:t>*</w:t>
        <w:tab/>
        <w:t>Does not include unvested PSUs.</w:t>
      </w:r>
    </w:p>
    <w:p>
      <w:pPr>
        <w:spacing w:after="0" w:line="123" w:lineRule="exact"/>
        <w:rPr>
          <w:sz w:val="20"/>
          <w:szCs w:val="20"/>
          <w:color w:val="auto"/>
        </w:rPr>
      </w:pPr>
    </w:p>
    <w:p>
      <w:pPr>
        <w:ind w:left="340" w:right="100" w:hanging="332"/>
        <w:spacing w:after="0"/>
        <w:tabs>
          <w:tab w:leader="none" w:pos="340" w:val="left"/>
        </w:tabs>
        <w:numPr>
          <w:ilvl w:val="0"/>
          <w:numId w:val="88"/>
        </w:numPr>
        <w:rPr>
          <w:rFonts w:ascii="Arial" w:cs="Arial" w:eastAsia="Arial" w:hAnsi="Arial"/>
          <w:sz w:val="24"/>
          <w:szCs w:val="24"/>
          <w:color w:val="auto"/>
          <w:vertAlign w:val="superscript"/>
        </w:rPr>
      </w:pPr>
      <w:r>
        <w:rPr>
          <w:rFonts w:ascii="Arial" w:cs="Arial" w:eastAsia="Arial" w:hAnsi="Arial"/>
          <w:sz w:val="14"/>
          <w:szCs w:val="14"/>
          <w:color w:val="auto"/>
        </w:rPr>
        <w:t>Includes common stock not currently owned but which could be acquired within 60 days following January 31, 2019 through the exercise of stock options for Ms. Hewson 142,369; Mr. Carvalho 65,471; and Mr. Tanner 216,744. Includes shares payable at termination with respect to vested stock units credited under the Directors Equity Plan for which a director has elected payment in stock for Mr. Archibald 25,375; Mr. Burritt 483; Mr. Carlson 749; Mr. Ellis 18,807; Ms. Hollub 242; Mr. Johnson 449; Mr. Ralston 23,572; and Mr. Taiclet 449. Units for which a director has elected payment in cash are reported in the “Stock Units” column. There are no voting rights associated with stock units.</w:t>
      </w:r>
    </w:p>
    <w:p>
      <w:pPr>
        <w:spacing w:after="0" w:line="226" w:lineRule="exact"/>
        <w:rPr>
          <w:rFonts w:ascii="Arial" w:cs="Arial" w:eastAsia="Arial" w:hAnsi="Arial"/>
          <w:sz w:val="24"/>
          <w:szCs w:val="24"/>
          <w:color w:val="auto"/>
          <w:vertAlign w:val="superscript"/>
        </w:rPr>
      </w:pPr>
    </w:p>
    <w:p>
      <w:pPr>
        <w:ind w:left="340" w:right="420" w:hanging="332"/>
        <w:spacing w:after="0" w:line="203" w:lineRule="auto"/>
        <w:tabs>
          <w:tab w:leader="none" w:pos="340" w:val="left"/>
        </w:tabs>
        <w:numPr>
          <w:ilvl w:val="0"/>
          <w:numId w:val="88"/>
        </w:numPr>
        <w:rPr>
          <w:rFonts w:ascii="Arial" w:cs="Arial" w:eastAsia="Arial" w:hAnsi="Arial"/>
          <w:sz w:val="24"/>
          <w:szCs w:val="24"/>
          <w:color w:val="auto"/>
          <w:vertAlign w:val="superscript"/>
        </w:rPr>
      </w:pPr>
      <w:r>
        <w:rPr>
          <w:rFonts w:ascii="Arial" w:cs="Arial" w:eastAsia="Arial" w:hAnsi="Arial"/>
          <w:sz w:val="14"/>
          <w:szCs w:val="14"/>
          <w:color w:val="auto"/>
        </w:rPr>
        <w:t>Includes shares attributable to the participant’s account in the Lockheed Martin Salaried Savings Plan for Mr. Ambrose 296; Mr. Bennett 9,034; Mr. Carvalho 11,365; Mr. Edwards 4,877; Ms. Hewson 481; Mr. St. John 20; and Mr. Tanner 2,560. Participants have voting power and investment power over the shares.</w:t>
      </w:r>
    </w:p>
    <w:p>
      <w:pPr>
        <w:spacing w:after="0" w:line="7" w:lineRule="exact"/>
        <w:rPr>
          <w:rFonts w:ascii="Arial" w:cs="Arial" w:eastAsia="Arial" w:hAnsi="Arial"/>
          <w:sz w:val="24"/>
          <w:szCs w:val="24"/>
          <w:color w:val="auto"/>
          <w:vertAlign w:val="superscript"/>
        </w:rPr>
      </w:pPr>
    </w:p>
    <w:p>
      <w:pPr>
        <w:ind w:left="340" w:hanging="332"/>
        <w:spacing w:after="0"/>
        <w:tabs>
          <w:tab w:leader="none" w:pos="340" w:val="left"/>
        </w:tabs>
        <w:numPr>
          <w:ilvl w:val="0"/>
          <w:numId w:val="88"/>
        </w:numPr>
        <w:rPr>
          <w:rFonts w:ascii="Arial" w:cs="Arial" w:eastAsia="Arial" w:hAnsi="Arial"/>
          <w:sz w:val="24"/>
          <w:szCs w:val="24"/>
          <w:color w:val="auto"/>
          <w:vertAlign w:val="superscript"/>
        </w:rPr>
      </w:pPr>
      <w:r>
        <w:rPr>
          <w:rFonts w:ascii="Arial" w:cs="Arial" w:eastAsia="Arial" w:hAnsi="Arial"/>
          <w:sz w:val="14"/>
          <w:szCs w:val="14"/>
          <w:color w:val="auto"/>
        </w:rPr>
        <w:t>Represents shares beneficially owned by Mr. Falk and his spouse through a family limited partnership.</w:t>
      </w:r>
    </w:p>
    <w:p>
      <w:pPr>
        <w:spacing w:after="0" w:line="107" w:lineRule="exact"/>
        <w:rPr>
          <w:rFonts w:ascii="Arial" w:cs="Arial" w:eastAsia="Arial" w:hAnsi="Arial"/>
          <w:sz w:val="24"/>
          <w:szCs w:val="24"/>
          <w:color w:val="auto"/>
          <w:vertAlign w:val="superscript"/>
        </w:rPr>
      </w:pPr>
    </w:p>
    <w:p>
      <w:pPr>
        <w:ind w:left="340" w:right="80" w:hanging="332"/>
        <w:spacing w:after="0" w:line="211" w:lineRule="auto"/>
        <w:tabs>
          <w:tab w:leader="none" w:pos="340" w:val="left"/>
        </w:tabs>
        <w:numPr>
          <w:ilvl w:val="0"/>
          <w:numId w:val="88"/>
        </w:numPr>
        <w:rPr>
          <w:rFonts w:ascii="Arial" w:cs="Arial" w:eastAsia="Arial" w:hAnsi="Arial"/>
          <w:sz w:val="24"/>
          <w:szCs w:val="24"/>
          <w:color w:val="auto"/>
          <w:vertAlign w:val="superscript"/>
        </w:rPr>
      </w:pPr>
      <w:r>
        <w:rPr>
          <w:rFonts w:ascii="Arial" w:cs="Arial" w:eastAsia="Arial" w:hAnsi="Arial"/>
          <w:sz w:val="14"/>
          <w:szCs w:val="14"/>
          <w:color w:val="auto"/>
        </w:rPr>
        <w:t>Represents stock units under the Directors Equity Plan for which directors have elected to receive distributions of units in the form of cash and unvested stock units credited on January 31, 2019 (annual equity award) for Mr. Akerson 3,861; Mr. Archibald 178; Mr. Burritt 8,670; Mr. Carlson 1,932; Mr. Ellis 1,660; Mr. Falk 10,349; Ms. Gordon 1,898; Ms. Hollub 535; Mr. Johnson 535; Mr. Ralston 178; and Mr. Taiclet 535. There are no voting rights associated with stock units.</w:t>
      </w:r>
    </w:p>
    <w:p>
      <w:pPr>
        <w:spacing w:after="0" w:line="91" w:lineRule="exact"/>
        <w:rPr>
          <w:rFonts w:ascii="Arial" w:cs="Arial" w:eastAsia="Arial" w:hAnsi="Arial"/>
          <w:sz w:val="24"/>
          <w:szCs w:val="24"/>
          <w:color w:val="auto"/>
          <w:vertAlign w:val="superscript"/>
        </w:rPr>
      </w:pPr>
    </w:p>
    <w:p>
      <w:pPr>
        <w:ind w:left="340" w:right="80" w:hanging="332"/>
        <w:spacing w:after="0" w:line="203" w:lineRule="auto"/>
        <w:tabs>
          <w:tab w:leader="none" w:pos="340" w:val="left"/>
        </w:tabs>
        <w:numPr>
          <w:ilvl w:val="0"/>
          <w:numId w:val="88"/>
        </w:numPr>
        <w:rPr>
          <w:rFonts w:ascii="Arial" w:cs="Arial" w:eastAsia="Arial" w:hAnsi="Arial"/>
          <w:sz w:val="24"/>
          <w:szCs w:val="24"/>
          <w:color w:val="auto"/>
          <w:vertAlign w:val="superscript"/>
        </w:rPr>
      </w:pPr>
      <w:r>
        <w:rPr>
          <w:rFonts w:ascii="Arial" w:cs="Arial" w:eastAsia="Arial" w:hAnsi="Arial"/>
          <w:sz w:val="14"/>
          <w:szCs w:val="14"/>
          <w:color w:val="auto"/>
        </w:rPr>
        <w:t>Represents stock units under the Directors Deferred Compensation Plan representing deferred cash compensation for Mr. Burritt 6,707; Mr. Carlson 372 and Ms. Hollub 261. The stock units (including dividend equivalents credited as stock units) are distributed in the form of cash. There are no voting rights associated with stock units.</w:t>
      </w:r>
    </w:p>
    <w:p>
      <w:pPr>
        <w:spacing w:after="0" w:line="89" w:lineRule="exact"/>
        <w:rPr>
          <w:rFonts w:ascii="Arial" w:cs="Arial" w:eastAsia="Arial" w:hAnsi="Arial"/>
          <w:sz w:val="24"/>
          <w:szCs w:val="24"/>
          <w:color w:val="auto"/>
          <w:vertAlign w:val="superscript"/>
        </w:rPr>
      </w:pPr>
    </w:p>
    <w:p>
      <w:pPr>
        <w:ind w:left="340" w:right="480" w:hanging="332"/>
        <w:spacing w:after="0" w:line="203" w:lineRule="auto"/>
        <w:tabs>
          <w:tab w:leader="none" w:pos="340" w:val="left"/>
        </w:tabs>
        <w:numPr>
          <w:ilvl w:val="0"/>
          <w:numId w:val="88"/>
        </w:numPr>
        <w:rPr>
          <w:rFonts w:ascii="Arial" w:cs="Arial" w:eastAsia="Arial" w:hAnsi="Arial"/>
          <w:sz w:val="24"/>
          <w:szCs w:val="24"/>
          <w:color w:val="auto"/>
          <w:vertAlign w:val="superscript"/>
        </w:rPr>
      </w:pPr>
      <w:r>
        <w:rPr>
          <w:rFonts w:ascii="Arial" w:cs="Arial" w:eastAsia="Arial" w:hAnsi="Arial"/>
          <w:sz w:val="14"/>
          <w:szCs w:val="14"/>
          <w:color w:val="auto"/>
        </w:rPr>
        <w:t>Includes stock units attributable to the participant’s account under the DMICP (including any units credited under the LTIP awards) for Mr. Ambrose 11,461; Mr. Bennett 13,895; Mr. Carvalho 1,017; Ms. Hewson 8,768; Mr. St. John 133; and Mr. Tanner 6,330. Although most of the units will be distributed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356870</wp:posOffset>
            </wp:positionV>
            <wp:extent cx="1440815" cy="3257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440815" cy="32575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808080"/>
        </w:rPr>
        <w:t>72</w:t>
      </w:r>
    </w:p>
    <w:p>
      <w:pPr>
        <w:sectPr>
          <w:pgSz w:w="11900" w:h="16838" w:orient="portrait"/>
          <w:cols w:equalWidth="0" w:num="1">
            <w:col w:w="11420"/>
          </w:cols>
          <w:pgMar w:left="240" w:top="341" w:right="239" w:bottom="1440" w:gutter="0" w:footer="0" w:header="0"/>
          <w:type w:val="continuous"/>
        </w:sectPr>
      </w:pPr>
    </w:p>
    <w:bookmarkStart w:id="75" w:name="page76"/>
    <w:bookmarkEnd w:id="75"/>
    <w:p>
      <w:pPr>
        <w:jc w:val="right"/>
        <w:spacing w:after="0"/>
        <w:rPr>
          <w:sz w:val="20"/>
          <w:szCs w:val="20"/>
          <w:color w:val="auto"/>
        </w:rPr>
      </w:pPr>
      <w:r>
        <w:rPr>
          <w:rFonts w:ascii="Arial" w:cs="Arial" w:eastAsia="Arial" w:hAnsi="Arial"/>
          <w:sz w:val="15"/>
          <w:szCs w:val="15"/>
          <w:color w:val="003478"/>
        </w:rPr>
        <w:t>Security Ownership of Management and Certain Beneficial Owners</w:t>
      </w:r>
    </w:p>
    <w:p>
      <w:pPr>
        <w:spacing w:after="0" w:line="364" w:lineRule="exact"/>
        <w:rPr>
          <w:sz w:val="20"/>
          <w:szCs w:val="20"/>
          <w:color w:val="auto"/>
        </w:rPr>
      </w:pPr>
    </w:p>
    <w:p>
      <w:pPr>
        <w:ind w:left="340" w:right="240"/>
        <w:spacing w:after="0" w:line="441" w:lineRule="auto"/>
        <w:rPr>
          <w:sz w:val="20"/>
          <w:szCs w:val="20"/>
          <w:color w:val="auto"/>
        </w:rPr>
      </w:pPr>
      <w:r>
        <w:rPr>
          <w:rFonts w:ascii="Arial" w:cs="Arial" w:eastAsia="Arial" w:hAnsi="Arial"/>
          <w:sz w:val="14"/>
          <w:szCs w:val="14"/>
          <w:color w:val="auto"/>
        </w:rPr>
        <w:t>termination or retirement in shares of stock, none of the units are convertible into shares of stock within 60 days of January 31, 2019. There are no voting rights associated with stock units.</w:t>
      </w:r>
    </w:p>
    <w:p>
      <w:pPr>
        <w:spacing w:after="0" w:line="3" w:lineRule="exact"/>
        <w:rPr>
          <w:sz w:val="20"/>
          <w:szCs w:val="20"/>
          <w:color w:val="auto"/>
        </w:rPr>
      </w:pPr>
    </w:p>
    <w:p>
      <w:pPr>
        <w:ind w:left="340" w:right="140" w:hanging="332"/>
        <w:spacing w:after="0" w:line="218" w:lineRule="auto"/>
        <w:tabs>
          <w:tab w:leader="none" w:pos="340" w:val="left"/>
        </w:tabs>
        <w:numPr>
          <w:ilvl w:val="0"/>
          <w:numId w:val="89"/>
        </w:numPr>
        <w:rPr>
          <w:rFonts w:ascii="Arial" w:cs="Arial" w:eastAsia="Arial" w:hAnsi="Arial"/>
          <w:sz w:val="24"/>
          <w:szCs w:val="24"/>
          <w:color w:val="auto"/>
          <w:vertAlign w:val="superscript"/>
        </w:rPr>
      </w:pPr>
      <w:r>
        <w:rPr>
          <w:rFonts w:ascii="Arial" w:cs="Arial" w:eastAsia="Arial" w:hAnsi="Arial"/>
          <w:sz w:val="14"/>
          <w:szCs w:val="14"/>
          <w:color w:val="auto"/>
        </w:rPr>
        <w:t>Includes stock units attributable to the participant’s account under the NQSSP for Mr. Ambrose 2,746; Mr. Bennett 3,846; Mr. Carvalho 319; Mr. Edwards 1,050; Ms. Hewson 3,450; Mr. St. John 19; and Mr. Tanner 4,363. Amounts credited to a participant’s account in the NQSSP are distributed in cash following termination of employment. There are no voting rights associated with stock units.</w:t>
      </w:r>
    </w:p>
    <w:p>
      <w:pPr>
        <w:spacing w:after="0" w:line="91" w:lineRule="exact"/>
        <w:rPr>
          <w:rFonts w:ascii="Arial" w:cs="Arial" w:eastAsia="Arial" w:hAnsi="Arial"/>
          <w:sz w:val="24"/>
          <w:szCs w:val="24"/>
          <w:color w:val="auto"/>
          <w:vertAlign w:val="superscript"/>
        </w:rPr>
      </w:pPr>
    </w:p>
    <w:p>
      <w:pPr>
        <w:ind w:left="340" w:right="180" w:hanging="332"/>
        <w:spacing w:after="0" w:line="203" w:lineRule="auto"/>
        <w:tabs>
          <w:tab w:leader="none" w:pos="340" w:val="left"/>
        </w:tabs>
        <w:numPr>
          <w:ilvl w:val="0"/>
          <w:numId w:val="89"/>
        </w:numPr>
        <w:rPr>
          <w:rFonts w:ascii="Arial" w:cs="Arial" w:eastAsia="Arial" w:hAnsi="Arial"/>
          <w:sz w:val="24"/>
          <w:szCs w:val="24"/>
          <w:color w:val="auto"/>
          <w:vertAlign w:val="superscript"/>
        </w:rPr>
      </w:pPr>
      <w:r>
        <w:rPr>
          <w:rFonts w:ascii="Arial" w:cs="Arial" w:eastAsia="Arial" w:hAnsi="Arial"/>
          <w:sz w:val="14"/>
          <w:szCs w:val="14"/>
          <w:color w:val="auto"/>
        </w:rPr>
        <w:t>Includes unvested RSUs for Mr. Ambrose 6,032; Mr. Bennett 6,731; Mr. Carvalho 6,731; Mr. Edwards 6,051; Ms. Hewson 23,322; Mr. St. John 4,768; and Mr. Tanner 8,377. Each RSU represents a contingent right to receive one share of common stock. There are no voting rights associated with RSUs.</w:t>
      </w:r>
    </w:p>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012E6C"/>
        </w:rPr>
        <w:t>Security Ownership of Certain Beneficial Owners</w:t>
      </w:r>
    </w:p>
    <w:p>
      <w:pPr>
        <w:spacing w:after="0" w:line="25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following table shows information regarding each person known to be a “beneficial owner” of more than 5% of our common stock. For purposes of this table, beneficial ownership of securities generally means the power to vote or dispose of securities, or the right to acquire securities that may be voted or disposed of, regardless of any economic interest in the securities. All information shown is based on information reported by the filer on a Schedule 13G filed with the SEC on the dates indicated in the footnotes to this table.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740" w:type="dxa"/>
            <w:vAlign w:val="bottom"/>
            <w:vMerge w:val="restart"/>
            <w:shd w:val="clear" w:color="auto" w:fill="ECECEC"/>
          </w:tcPr>
          <w:p>
            <w:pPr>
              <w:ind w:left="40"/>
              <w:spacing w:after="0"/>
              <w:rPr>
                <w:sz w:val="20"/>
                <w:szCs w:val="20"/>
                <w:color w:val="auto"/>
              </w:rPr>
            </w:pPr>
            <w:r>
              <w:rPr>
                <w:rFonts w:ascii="Arial" w:cs="Arial" w:eastAsia="Arial" w:hAnsi="Arial"/>
                <w:sz w:val="13"/>
                <w:szCs w:val="13"/>
                <w:color w:val="auto"/>
              </w:rPr>
              <w:t>Name and Address</w:t>
            </w:r>
          </w:p>
        </w:tc>
        <w:tc>
          <w:tcPr>
            <w:tcW w:w="4180" w:type="dxa"/>
            <w:vAlign w:val="bottom"/>
            <w:shd w:val="clear" w:color="auto" w:fill="ECECEC"/>
          </w:tcPr>
          <w:p>
            <w:pPr>
              <w:jc w:val="right"/>
              <w:ind w:right="151"/>
              <w:spacing w:after="0"/>
              <w:rPr>
                <w:sz w:val="20"/>
                <w:szCs w:val="20"/>
                <w:color w:val="auto"/>
              </w:rPr>
            </w:pPr>
            <w:r>
              <w:rPr>
                <w:rFonts w:ascii="Arial" w:cs="Arial" w:eastAsia="Arial" w:hAnsi="Arial"/>
                <w:sz w:val="13"/>
                <w:szCs w:val="13"/>
                <w:color w:val="auto"/>
              </w:rPr>
              <w:t>Amount of</w:t>
            </w:r>
          </w:p>
        </w:tc>
        <w:tc>
          <w:tcPr>
            <w:tcW w:w="1360" w:type="dxa"/>
            <w:vAlign w:val="bottom"/>
            <w:shd w:val="clear" w:color="auto" w:fill="ECECEC"/>
          </w:tcPr>
          <w:p>
            <w:pPr>
              <w:jc w:val="right"/>
              <w:spacing w:after="0"/>
              <w:rPr>
                <w:sz w:val="20"/>
                <w:szCs w:val="20"/>
                <w:color w:val="auto"/>
              </w:rPr>
            </w:pPr>
            <w:r>
              <w:rPr>
                <w:rFonts w:ascii="Arial" w:cs="Arial" w:eastAsia="Arial" w:hAnsi="Arial"/>
                <w:sz w:val="13"/>
                <w:szCs w:val="13"/>
                <w:color w:val="auto"/>
              </w:rPr>
              <w:t>Percent of</w:t>
            </w:r>
          </w:p>
        </w:tc>
        <w:tc>
          <w:tcPr>
            <w:tcW w:w="0" w:type="dxa"/>
            <w:vAlign w:val="bottom"/>
          </w:tcPr>
          <w:p>
            <w:pPr>
              <w:spacing w:after="0"/>
              <w:rPr>
                <w:sz w:val="1"/>
                <w:szCs w:val="1"/>
                <w:color w:val="auto"/>
              </w:rPr>
            </w:pPr>
          </w:p>
        </w:tc>
      </w:tr>
      <w:tr>
        <w:trPr>
          <w:trHeight w:val="178"/>
        </w:trPr>
        <w:tc>
          <w:tcPr>
            <w:tcW w:w="5740" w:type="dxa"/>
            <w:vAlign w:val="bottom"/>
            <w:tcBorders>
              <w:bottom w:val="single" w:sz="8" w:color="959595"/>
            </w:tcBorders>
            <w:vMerge w:val="continue"/>
            <w:shd w:val="clear" w:color="auto" w:fill="ECECEC"/>
          </w:tcPr>
          <w:p>
            <w:pPr>
              <w:spacing w:after="0"/>
              <w:rPr>
                <w:sz w:val="15"/>
                <w:szCs w:val="15"/>
                <w:color w:val="auto"/>
              </w:rPr>
            </w:pPr>
          </w:p>
        </w:tc>
        <w:tc>
          <w:tcPr>
            <w:tcW w:w="4180" w:type="dxa"/>
            <w:vAlign w:val="bottom"/>
            <w:tcBorders>
              <w:bottom w:val="single" w:sz="8" w:color="959595"/>
            </w:tcBorders>
            <w:shd w:val="clear" w:color="auto" w:fill="ECECEC"/>
          </w:tcPr>
          <w:p>
            <w:pPr>
              <w:jc w:val="right"/>
              <w:ind w:right="151"/>
              <w:spacing w:after="0"/>
              <w:rPr>
                <w:sz w:val="20"/>
                <w:szCs w:val="20"/>
                <w:color w:val="auto"/>
              </w:rPr>
            </w:pPr>
            <w:r>
              <w:rPr>
                <w:rFonts w:ascii="Arial" w:cs="Arial" w:eastAsia="Arial" w:hAnsi="Arial"/>
                <w:sz w:val="13"/>
                <w:szCs w:val="13"/>
                <w:color w:val="auto"/>
              </w:rPr>
              <w:t>Common Stock</w:t>
            </w:r>
          </w:p>
        </w:tc>
        <w:tc>
          <w:tcPr>
            <w:tcW w:w="1360" w:type="dxa"/>
            <w:vAlign w:val="bottom"/>
            <w:tcBorders>
              <w:bottom w:val="single" w:sz="8" w:color="959595"/>
            </w:tcBorders>
            <w:shd w:val="clear" w:color="auto" w:fill="ECECEC"/>
          </w:tcPr>
          <w:p>
            <w:pPr>
              <w:jc w:val="right"/>
              <w:spacing w:after="0"/>
              <w:rPr>
                <w:sz w:val="20"/>
                <w:szCs w:val="20"/>
                <w:color w:val="auto"/>
              </w:rPr>
            </w:pPr>
            <w:r>
              <w:rPr>
                <w:rFonts w:ascii="Arial" w:cs="Arial" w:eastAsia="Arial" w:hAnsi="Arial"/>
                <w:sz w:val="13"/>
                <w:szCs w:val="13"/>
                <w:color w:val="auto"/>
              </w:rPr>
              <w:t>Outstanding Shares</w:t>
            </w:r>
          </w:p>
        </w:tc>
        <w:tc>
          <w:tcPr>
            <w:tcW w:w="0" w:type="dxa"/>
            <w:vAlign w:val="bottom"/>
          </w:tcPr>
          <w:p>
            <w:pPr>
              <w:spacing w:after="0"/>
              <w:rPr>
                <w:sz w:val="1"/>
                <w:szCs w:val="1"/>
                <w:color w:val="auto"/>
              </w:rPr>
            </w:pPr>
          </w:p>
        </w:tc>
      </w:tr>
      <w:tr>
        <w:trPr>
          <w:trHeight w:val="175"/>
        </w:trPr>
        <w:tc>
          <w:tcPr>
            <w:tcW w:w="5740" w:type="dxa"/>
            <w:vAlign w:val="bottom"/>
          </w:tcPr>
          <w:p>
            <w:pPr>
              <w:ind w:left="40"/>
              <w:spacing w:after="0"/>
              <w:rPr>
                <w:sz w:val="20"/>
                <w:szCs w:val="20"/>
                <w:color w:val="auto"/>
              </w:rPr>
            </w:pPr>
            <w:r>
              <w:rPr>
                <w:rFonts w:ascii="Arial" w:cs="Arial" w:eastAsia="Arial" w:hAnsi="Arial"/>
                <w:sz w:val="14"/>
                <w:szCs w:val="14"/>
                <w:color w:val="auto"/>
              </w:rPr>
              <w:t>State Street Corporation and State Street</w:t>
            </w:r>
          </w:p>
        </w:tc>
        <w:tc>
          <w:tcPr>
            <w:tcW w:w="4180" w:type="dxa"/>
            <w:vAlign w:val="bottom"/>
          </w:tcPr>
          <w:p>
            <w:pPr>
              <w:jc w:val="right"/>
              <w:ind w:right="151"/>
              <w:spacing w:after="0"/>
              <w:rPr>
                <w:sz w:val="20"/>
                <w:szCs w:val="20"/>
                <w:color w:val="auto"/>
              </w:rPr>
            </w:pPr>
            <w:r>
              <w:rPr>
                <w:rFonts w:ascii="Arial" w:cs="Arial" w:eastAsia="Arial" w:hAnsi="Arial"/>
                <w:sz w:val="14"/>
                <w:szCs w:val="14"/>
                <w:color w:val="auto"/>
              </w:rPr>
              <w:t>44,672,698</w:t>
            </w:r>
          </w:p>
        </w:tc>
        <w:tc>
          <w:tcPr>
            <w:tcW w:w="1360" w:type="dxa"/>
            <w:vAlign w:val="bottom"/>
          </w:tcPr>
          <w:p>
            <w:pPr>
              <w:jc w:val="right"/>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63"/>
        </w:trPr>
        <w:tc>
          <w:tcPr>
            <w:tcW w:w="5740" w:type="dxa"/>
            <w:vAlign w:val="bottom"/>
          </w:tcPr>
          <w:p>
            <w:pPr>
              <w:ind w:left="40"/>
              <w:spacing w:after="0" w:line="164" w:lineRule="exact"/>
              <w:rPr>
                <w:sz w:val="20"/>
                <w:szCs w:val="20"/>
                <w:color w:val="auto"/>
              </w:rPr>
            </w:pPr>
            <w:r>
              <w:rPr>
                <w:rFonts w:ascii="Arial" w:cs="Arial" w:eastAsia="Arial" w:hAnsi="Arial"/>
                <w:sz w:val="12"/>
                <w:szCs w:val="12"/>
                <w:color w:val="auto"/>
              </w:rPr>
              <w:t>Bank and Trust Company</w:t>
            </w:r>
            <w:r>
              <w:rPr>
                <w:rFonts w:ascii="Arial" w:cs="Arial" w:eastAsia="Arial" w:hAnsi="Arial"/>
                <w:sz w:val="18"/>
                <w:szCs w:val="18"/>
                <w:color w:val="auto"/>
                <w:vertAlign w:val="superscript"/>
              </w:rPr>
              <w:t>(1)</w:t>
            </w:r>
          </w:p>
        </w:tc>
        <w:tc>
          <w:tcPr>
            <w:tcW w:w="4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tcPr>
          <w:p>
            <w:pPr>
              <w:ind w:left="40"/>
              <w:spacing w:after="0"/>
              <w:rPr>
                <w:sz w:val="20"/>
                <w:szCs w:val="20"/>
                <w:color w:val="auto"/>
              </w:rPr>
            </w:pPr>
            <w:r>
              <w:rPr>
                <w:rFonts w:ascii="Arial" w:cs="Arial" w:eastAsia="Arial" w:hAnsi="Arial"/>
                <w:sz w:val="14"/>
                <w:szCs w:val="14"/>
                <w:color w:val="auto"/>
              </w:rPr>
              <w:t>State Street Financial Center</w:t>
            </w:r>
          </w:p>
        </w:tc>
        <w:tc>
          <w:tcPr>
            <w:tcW w:w="4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tcPr>
          <w:p>
            <w:pPr>
              <w:ind w:left="40"/>
              <w:spacing w:after="0"/>
              <w:rPr>
                <w:sz w:val="20"/>
                <w:szCs w:val="20"/>
                <w:color w:val="auto"/>
              </w:rPr>
            </w:pPr>
            <w:r>
              <w:rPr>
                <w:rFonts w:ascii="Arial" w:cs="Arial" w:eastAsia="Arial" w:hAnsi="Arial"/>
                <w:sz w:val="14"/>
                <w:szCs w:val="14"/>
                <w:color w:val="auto"/>
              </w:rPr>
              <w:t>One Lincoln Street</w:t>
            </w:r>
          </w:p>
        </w:tc>
        <w:tc>
          <w:tcPr>
            <w:tcW w:w="4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5740" w:type="dxa"/>
            <w:vAlign w:val="bottom"/>
            <w:tcBorders>
              <w:bottom w:val="single" w:sz="8" w:color="959595"/>
            </w:tcBorders>
          </w:tcPr>
          <w:p>
            <w:pPr>
              <w:ind w:left="40"/>
              <w:spacing w:after="0"/>
              <w:rPr>
                <w:sz w:val="20"/>
                <w:szCs w:val="20"/>
                <w:color w:val="auto"/>
              </w:rPr>
            </w:pPr>
            <w:r>
              <w:rPr>
                <w:rFonts w:ascii="Arial" w:cs="Arial" w:eastAsia="Arial" w:hAnsi="Arial"/>
                <w:sz w:val="14"/>
                <w:szCs w:val="14"/>
                <w:color w:val="auto"/>
              </w:rPr>
              <w:t>Boston, MA 02111</w:t>
            </w:r>
          </w:p>
        </w:tc>
        <w:tc>
          <w:tcPr>
            <w:tcW w:w="4180" w:type="dxa"/>
            <w:vAlign w:val="bottom"/>
            <w:tcBorders>
              <w:bottom w:val="single" w:sz="8" w:color="959595"/>
            </w:tcBorders>
          </w:tcPr>
          <w:p>
            <w:pPr>
              <w:spacing w:after="0"/>
              <w:rPr>
                <w:sz w:val="17"/>
                <w:szCs w:val="17"/>
                <w:color w:val="auto"/>
              </w:rPr>
            </w:pPr>
          </w:p>
        </w:tc>
        <w:tc>
          <w:tcPr>
            <w:tcW w:w="1360" w:type="dxa"/>
            <w:vAlign w:val="bottom"/>
            <w:tcBorders>
              <w:bottom w:val="single" w:sz="8" w:color="959595"/>
            </w:tcBorders>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5740" w:type="dxa"/>
            <w:vAlign w:val="bottom"/>
          </w:tcPr>
          <w:p>
            <w:pPr>
              <w:ind w:left="40"/>
              <w:spacing w:after="0" w:line="173" w:lineRule="exact"/>
              <w:rPr>
                <w:sz w:val="20"/>
                <w:szCs w:val="20"/>
                <w:color w:val="auto"/>
              </w:rPr>
            </w:pPr>
            <w:r>
              <w:rPr>
                <w:rFonts w:ascii="Arial" w:cs="Arial" w:eastAsia="Arial" w:hAnsi="Arial"/>
                <w:sz w:val="13"/>
                <w:szCs w:val="13"/>
                <w:color w:val="auto"/>
              </w:rPr>
              <w:t>The Vanguard Group</w:t>
            </w:r>
            <w:r>
              <w:rPr>
                <w:rFonts w:ascii="Arial" w:cs="Arial" w:eastAsia="Arial" w:hAnsi="Arial"/>
                <w:sz w:val="20"/>
                <w:szCs w:val="20"/>
                <w:color w:val="auto"/>
                <w:vertAlign w:val="superscript"/>
              </w:rPr>
              <w:t>(2)</w:t>
            </w:r>
          </w:p>
        </w:tc>
        <w:tc>
          <w:tcPr>
            <w:tcW w:w="4180" w:type="dxa"/>
            <w:vAlign w:val="bottom"/>
          </w:tcPr>
          <w:p>
            <w:pPr>
              <w:jc w:val="right"/>
              <w:ind w:right="151"/>
              <w:spacing w:after="0"/>
              <w:rPr>
                <w:sz w:val="20"/>
                <w:szCs w:val="20"/>
                <w:color w:val="auto"/>
              </w:rPr>
            </w:pPr>
            <w:r>
              <w:rPr>
                <w:rFonts w:ascii="Arial" w:cs="Arial" w:eastAsia="Arial" w:hAnsi="Arial"/>
                <w:sz w:val="14"/>
                <w:szCs w:val="14"/>
                <w:color w:val="auto"/>
              </w:rPr>
              <w:t>21,665,266</w:t>
            </w:r>
          </w:p>
        </w:tc>
        <w:tc>
          <w:tcPr>
            <w:tcW w:w="1360" w:type="dxa"/>
            <w:vAlign w:val="bottom"/>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62"/>
        </w:trPr>
        <w:tc>
          <w:tcPr>
            <w:tcW w:w="5740" w:type="dxa"/>
            <w:vAlign w:val="bottom"/>
          </w:tcPr>
          <w:p>
            <w:pPr>
              <w:ind w:left="40"/>
              <w:spacing w:after="0"/>
              <w:rPr>
                <w:sz w:val="20"/>
                <w:szCs w:val="20"/>
                <w:color w:val="auto"/>
              </w:rPr>
            </w:pPr>
            <w:r>
              <w:rPr>
                <w:rFonts w:ascii="Arial" w:cs="Arial" w:eastAsia="Arial" w:hAnsi="Arial"/>
                <w:sz w:val="14"/>
                <w:szCs w:val="14"/>
                <w:color w:val="auto"/>
              </w:rPr>
              <w:t>100 Vanguard Boulevard</w:t>
            </w:r>
          </w:p>
        </w:tc>
        <w:tc>
          <w:tcPr>
            <w:tcW w:w="4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5740" w:type="dxa"/>
            <w:vAlign w:val="bottom"/>
            <w:tcBorders>
              <w:bottom w:val="single" w:sz="8" w:color="959595"/>
            </w:tcBorders>
          </w:tcPr>
          <w:p>
            <w:pPr>
              <w:ind w:left="40"/>
              <w:spacing w:after="0"/>
              <w:rPr>
                <w:sz w:val="20"/>
                <w:szCs w:val="20"/>
                <w:color w:val="auto"/>
              </w:rPr>
            </w:pPr>
            <w:r>
              <w:rPr>
                <w:rFonts w:ascii="Arial" w:cs="Arial" w:eastAsia="Arial" w:hAnsi="Arial"/>
                <w:sz w:val="14"/>
                <w:szCs w:val="14"/>
                <w:color w:val="auto"/>
              </w:rPr>
              <w:t>Malvern, PA 19355</w:t>
            </w:r>
          </w:p>
        </w:tc>
        <w:tc>
          <w:tcPr>
            <w:tcW w:w="4180" w:type="dxa"/>
            <w:vAlign w:val="bottom"/>
            <w:tcBorders>
              <w:bottom w:val="single" w:sz="8" w:color="959595"/>
            </w:tcBorders>
          </w:tcPr>
          <w:p>
            <w:pPr>
              <w:spacing w:after="0"/>
              <w:rPr>
                <w:sz w:val="17"/>
                <w:szCs w:val="17"/>
                <w:color w:val="auto"/>
              </w:rPr>
            </w:pPr>
          </w:p>
        </w:tc>
        <w:tc>
          <w:tcPr>
            <w:tcW w:w="1360" w:type="dxa"/>
            <w:vAlign w:val="bottom"/>
            <w:tcBorders>
              <w:bottom w:val="single" w:sz="8" w:color="959595"/>
            </w:tcBorders>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5740" w:type="dxa"/>
            <w:vAlign w:val="bottom"/>
          </w:tcPr>
          <w:p>
            <w:pPr>
              <w:ind w:left="40"/>
              <w:spacing w:after="0" w:line="173" w:lineRule="exact"/>
              <w:rPr>
                <w:sz w:val="20"/>
                <w:szCs w:val="20"/>
                <w:color w:val="auto"/>
              </w:rPr>
            </w:pPr>
            <w:r>
              <w:rPr>
                <w:rFonts w:ascii="Arial" w:cs="Arial" w:eastAsia="Arial" w:hAnsi="Arial"/>
                <w:sz w:val="13"/>
                <w:szCs w:val="13"/>
                <w:color w:val="auto"/>
              </w:rPr>
              <w:t>BlackRock, Inc.</w:t>
            </w:r>
            <w:r>
              <w:rPr>
                <w:rFonts w:ascii="Arial" w:cs="Arial" w:eastAsia="Arial" w:hAnsi="Arial"/>
                <w:sz w:val="20"/>
                <w:szCs w:val="20"/>
                <w:color w:val="auto"/>
                <w:vertAlign w:val="superscript"/>
              </w:rPr>
              <w:t>(3)</w:t>
            </w:r>
          </w:p>
        </w:tc>
        <w:tc>
          <w:tcPr>
            <w:tcW w:w="4180" w:type="dxa"/>
            <w:vAlign w:val="bottom"/>
          </w:tcPr>
          <w:p>
            <w:pPr>
              <w:jc w:val="right"/>
              <w:ind w:right="151"/>
              <w:spacing w:after="0"/>
              <w:rPr>
                <w:sz w:val="20"/>
                <w:szCs w:val="20"/>
                <w:color w:val="auto"/>
              </w:rPr>
            </w:pPr>
            <w:r>
              <w:rPr>
                <w:rFonts w:ascii="Arial" w:cs="Arial" w:eastAsia="Arial" w:hAnsi="Arial"/>
                <w:sz w:val="14"/>
                <w:szCs w:val="14"/>
                <w:color w:val="auto"/>
              </w:rPr>
              <w:t>18,811,944</w:t>
            </w:r>
          </w:p>
        </w:tc>
        <w:tc>
          <w:tcPr>
            <w:tcW w:w="1360" w:type="dxa"/>
            <w:vAlign w:val="bottom"/>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62"/>
        </w:trPr>
        <w:tc>
          <w:tcPr>
            <w:tcW w:w="5740" w:type="dxa"/>
            <w:vAlign w:val="bottom"/>
          </w:tcPr>
          <w:p>
            <w:pPr>
              <w:ind w:left="40"/>
              <w:spacing w:after="0"/>
              <w:rPr>
                <w:sz w:val="20"/>
                <w:szCs w:val="20"/>
                <w:color w:val="auto"/>
              </w:rPr>
            </w:pPr>
            <w:r>
              <w:rPr>
                <w:rFonts w:ascii="Arial" w:cs="Arial" w:eastAsia="Arial" w:hAnsi="Arial"/>
                <w:sz w:val="14"/>
                <w:szCs w:val="14"/>
                <w:color w:val="auto"/>
              </w:rPr>
              <w:t>55 East 52nd Street</w:t>
            </w:r>
          </w:p>
        </w:tc>
        <w:tc>
          <w:tcPr>
            <w:tcW w:w="4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5740" w:type="dxa"/>
            <w:vAlign w:val="bottom"/>
            <w:tcBorders>
              <w:bottom w:val="single" w:sz="8" w:color="959595"/>
            </w:tcBorders>
          </w:tcPr>
          <w:p>
            <w:pPr>
              <w:ind w:left="40"/>
              <w:spacing w:after="0"/>
              <w:rPr>
                <w:sz w:val="20"/>
                <w:szCs w:val="20"/>
                <w:color w:val="auto"/>
              </w:rPr>
            </w:pPr>
            <w:r>
              <w:rPr>
                <w:rFonts w:ascii="Arial" w:cs="Arial" w:eastAsia="Arial" w:hAnsi="Arial"/>
                <w:sz w:val="14"/>
                <w:szCs w:val="14"/>
                <w:color w:val="auto"/>
              </w:rPr>
              <w:t>New York, NY 10055</w:t>
            </w:r>
          </w:p>
        </w:tc>
        <w:tc>
          <w:tcPr>
            <w:tcW w:w="4180" w:type="dxa"/>
            <w:vAlign w:val="bottom"/>
            <w:tcBorders>
              <w:bottom w:val="single" w:sz="8" w:color="959595"/>
            </w:tcBorders>
          </w:tcPr>
          <w:p>
            <w:pPr>
              <w:spacing w:after="0"/>
              <w:rPr>
                <w:sz w:val="17"/>
                <w:szCs w:val="17"/>
                <w:color w:val="auto"/>
              </w:rPr>
            </w:pPr>
          </w:p>
        </w:tc>
        <w:tc>
          <w:tcPr>
            <w:tcW w:w="1360" w:type="dxa"/>
            <w:vAlign w:val="bottom"/>
            <w:tcBorders>
              <w:bottom w:val="single" w:sz="8" w:color="959595"/>
            </w:tcBorders>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5740" w:type="dxa"/>
            <w:vAlign w:val="bottom"/>
          </w:tcPr>
          <w:p>
            <w:pPr>
              <w:ind w:left="40"/>
              <w:spacing w:after="0" w:line="173" w:lineRule="exact"/>
              <w:rPr>
                <w:sz w:val="20"/>
                <w:szCs w:val="20"/>
                <w:color w:val="auto"/>
              </w:rPr>
            </w:pPr>
            <w:r>
              <w:rPr>
                <w:rFonts w:ascii="Arial" w:cs="Arial" w:eastAsia="Arial" w:hAnsi="Arial"/>
                <w:sz w:val="13"/>
                <w:szCs w:val="13"/>
                <w:color w:val="auto"/>
              </w:rPr>
              <w:t>Capital World Investors</w:t>
            </w:r>
            <w:r>
              <w:rPr>
                <w:rFonts w:ascii="Arial" w:cs="Arial" w:eastAsia="Arial" w:hAnsi="Arial"/>
                <w:sz w:val="20"/>
                <w:szCs w:val="20"/>
                <w:color w:val="auto"/>
                <w:vertAlign w:val="superscript"/>
              </w:rPr>
              <w:t>(4)</w:t>
            </w:r>
          </w:p>
        </w:tc>
        <w:tc>
          <w:tcPr>
            <w:tcW w:w="4180" w:type="dxa"/>
            <w:vAlign w:val="bottom"/>
          </w:tcPr>
          <w:p>
            <w:pPr>
              <w:jc w:val="right"/>
              <w:ind w:right="151"/>
              <w:spacing w:after="0"/>
              <w:rPr>
                <w:sz w:val="20"/>
                <w:szCs w:val="20"/>
                <w:color w:val="auto"/>
              </w:rPr>
            </w:pPr>
            <w:r>
              <w:rPr>
                <w:rFonts w:ascii="Arial" w:cs="Arial" w:eastAsia="Arial" w:hAnsi="Arial"/>
                <w:sz w:val="14"/>
                <w:szCs w:val="14"/>
                <w:color w:val="auto"/>
              </w:rPr>
              <w:t>17,727,367</w:t>
            </w:r>
          </w:p>
        </w:tc>
        <w:tc>
          <w:tcPr>
            <w:tcW w:w="1360" w:type="dxa"/>
            <w:vAlign w:val="bottom"/>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62"/>
        </w:trPr>
        <w:tc>
          <w:tcPr>
            <w:tcW w:w="5740" w:type="dxa"/>
            <w:vAlign w:val="bottom"/>
          </w:tcPr>
          <w:p>
            <w:pPr>
              <w:ind w:left="40"/>
              <w:spacing w:after="0"/>
              <w:rPr>
                <w:sz w:val="20"/>
                <w:szCs w:val="20"/>
                <w:color w:val="auto"/>
              </w:rPr>
            </w:pPr>
            <w:r>
              <w:rPr>
                <w:rFonts w:ascii="Arial" w:cs="Arial" w:eastAsia="Arial" w:hAnsi="Arial"/>
                <w:sz w:val="14"/>
                <w:szCs w:val="14"/>
                <w:color w:val="auto"/>
              </w:rPr>
              <w:t>333 South Hope Street</w:t>
            </w:r>
          </w:p>
        </w:tc>
        <w:tc>
          <w:tcPr>
            <w:tcW w:w="4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5740" w:type="dxa"/>
            <w:vAlign w:val="bottom"/>
          </w:tcPr>
          <w:p>
            <w:pPr>
              <w:ind w:left="40"/>
              <w:spacing w:after="0"/>
              <w:rPr>
                <w:sz w:val="20"/>
                <w:szCs w:val="20"/>
                <w:color w:val="auto"/>
              </w:rPr>
            </w:pPr>
            <w:r>
              <w:rPr>
                <w:rFonts w:ascii="Arial" w:cs="Arial" w:eastAsia="Arial" w:hAnsi="Arial"/>
                <w:sz w:val="14"/>
                <w:szCs w:val="14"/>
                <w:color w:val="auto"/>
              </w:rPr>
              <w:t>Los Angeles, CA 90071</w:t>
            </w:r>
          </w:p>
        </w:tc>
        <w:tc>
          <w:tcPr>
            <w:tcW w:w="4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6089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pacing w:after="0" w:line="2" w:lineRule="exact"/>
        <w:rPr>
          <w:sz w:val="20"/>
          <w:szCs w:val="20"/>
          <w:color w:val="auto"/>
        </w:rPr>
      </w:pPr>
    </w:p>
    <w:p>
      <w:pPr>
        <w:ind w:left="340" w:right="120" w:hanging="332"/>
        <w:spacing w:after="0" w:line="243" w:lineRule="auto"/>
        <w:tabs>
          <w:tab w:leader="none" w:pos="340" w:val="left"/>
        </w:tabs>
        <w:numPr>
          <w:ilvl w:val="0"/>
          <w:numId w:val="90"/>
        </w:numPr>
        <w:rPr>
          <w:rFonts w:ascii="Arial" w:cs="Arial" w:eastAsia="Arial" w:hAnsi="Arial"/>
          <w:sz w:val="24"/>
          <w:szCs w:val="24"/>
          <w:color w:val="auto"/>
          <w:vertAlign w:val="superscript"/>
        </w:rPr>
      </w:pPr>
      <w:r>
        <w:rPr>
          <w:rFonts w:ascii="Arial" w:cs="Arial" w:eastAsia="Arial" w:hAnsi="Arial"/>
          <w:sz w:val="14"/>
          <w:szCs w:val="14"/>
          <w:color w:val="auto"/>
        </w:rPr>
        <w:t>As reported on a Schedule 13G filed on February 13, 2019 by State Street Corporation on behalf of itself and specified direct and indirect subsidiaries (State Street) in their various fiduciary and other capacities. State Street had shared voting power with respect to 43,921,063 shares and shared dispositive power with respect to 44,670,166 shares. State Street Bank and Trust Company (SSBTC) is the trustee and State Street Global Advisors (SSGA) is the independent fiduciary and/or investment manager for Lockheed Martin common stock held in a master trust for Lockheed Martin benefit plans which trust owns 12.23 percent of the common stock of the Corporation. SSBTC beneficially owns 36,286,137 of the 44,672,698 shares held by State Street of which 34,795,277 shares are held in its capacity as trustee for Lockheed Martin employee benefit plans and had shared voting power over 34,795,277 shares and shared dispositive power over 1,490,860 shares. SSGA beneficially owns 39,525,406 shares of the 44,672,698 shares held by State Street of which 34,795,277 were held by SSGA as independent fiduciary and/or investment manager for Lockheed Martin employee benefit plans and had shared voting power over 4,232,283 shares and shared dispositive power over 39,524,742 shares.</w:t>
      </w:r>
    </w:p>
    <w:p>
      <w:pPr>
        <w:spacing w:after="0" w:line="38" w:lineRule="exact"/>
        <w:rPr>
          <w:rFonts w:ascii="Arial" w:cs="Arial" w:eastAsia="Arial" w:hAnsi="Arial"/>
          <w:sz w:val="24"/>
          <w:szCs w:val="24"/>
          <w:color w:val="auto"/>
          <w:vertAlign w:val="superscript"/>
        </w:rPr>
      </w:pPr>
    </w:p>
    <w:p>
      <w:pPr>
        <w:ind w:left="340" w:right="20" w:hanging="332"/>
        <w:spacing w:after="0" w:line="203" w:lineRule="auto"/>
        <w:tabs>
          <w:tab w:leader="none" w:pos="340" w:val="left"/>
        </w:tabs>
        <w:numPr>
          <w:ilvl w:val="0"/>
          <w:numId w:val="90"/>
        </w:numPr>
        <w:rPr>
          <w:rFonts w:ascii="Arial" w:cs="Arial" w:eastAsia="Arial" w:hAnsi="Arial"/>
          <w:sz w:val="24"/>
          <w:szCs w:val="24"/>
          <w:color w:val="auto"/>
          <w:vertAlign w:val="superscript"/>
        </w:rPr>
      </w:pPr>
      <w:r>
        <w:rPr>
          <w:rFonts w:ascii="Arial" w:cs="Arial" w:eastAsia="Arial" w:hAnsi="Arial"/>
          <w:sz w:val="14"/>
          <w:szCs w:val="14"/>
          <w:color w:val="auto"/>
        </w:rPr>
        <w:t>As reported on a Schedule 13G/A filed on February 11, 2019 by The Vanguard Group. The Vanguard Group had sole dispositive power with respect to 21,313,151 shares and sole voting power over 300,692 shares.</w:t>
      </w:r>
    </w:p>
    <w:p>
      <w:pPr>
        <w:spacing w:after="0" w:line="35" w:lineRule="exact"/>
        <w:rPr>
          <w:rFonts w:ascii="Arial" w:cs="Arial" w:eastAsia="Arial" w:hAnsi="Arial"/>
          <w:sz w:val="24"/>
          <w:szCs w:val="24"/>
          <w:color w:val="auto"/>
          <w:vertAlign w:val="superscript"/>
        </w:rPr>
      </w:pPr>
    </w:p>
    <w:p>
      <w:pPr>
        <w:ind w:left="340" w:right="340" w:hanging="332"/>
        <w:spacing w:after="0" w:line="203" w:lineRule="auto"/>
        <w:tabs>
          <w:tab w:leader="none" w:pos="340" w:val="left"/>
        </w:tabs>
        <w:numPr>
          <w:ilvl w:val="0"/>
          <w:numId w:val="90"/>
        </w:numPr>
        <w:rPr>
          <w:rFonts w:ascii="Arial" w:cs="Arial" w:eastAsia="Arial" w:hAnsi="Arial"/>
          <w:sz w:val="24"/>
          <w:szCs w:val="24"/>
          <w:color w:val="auto"/>
          <w:vertAlign w:val="superscript"/>
        </w:rPr>
      </w:pPr>
      <w:r>
        <w:rPr>
          <w:rFonts w:ascii="Arial" w:cs="Arial" w:eastAsia="Arial" w:hAnsi="Arial"/>
          <w:sz w:val="14"/>
          <w:szCs w:val="14"/>
          <w:color w:val="auto"/>
        </w:rPr>
        <w:t>As reported on a Schedule 13G/A filed on February 6, 2019 by BlackRock, Inc. BlackRock, Inc. and its subsidiaries had sole dispositive power with respect to 18,811,944 shares and sole voting power over 17,119,809 shares.</w:t>
      </w:r>
    </w:p>
    <w:p>
      <w:pPr>
        <w:spacing w:after="0" w:line="35" w:lineRule="exact"/>
        <w:rPr>
          <w:rFonts w:ascii="Arial" w:cs="Arial" w:eastAsia="Arial" w:hAnsi="Arial"/>
          <w:sz w:val="24"/>
          <w:szCs w:val="24"/>
          <w:color w:val="auto"/>
          <w:vertAlign w:val="superscript"/>
        </w:rPr>
      </w:pPr>
    </w:p>
    <w:p>
      <w:pPr>
        <w:ind w:left="340" w:right="180" w:hanging="332"/>
        <w:spacing w:after="0" w:line="203" w:lineRule="auto"/>
        <w:tabs>
          <w:tab w:leader="none" w:pos="340" w:val="left"/>
        </w:tabs>
        <w:numPr>
          <w:ilvl w:val="0"/>
          <w:numId w:val="90"/>
        </w:numPr>
        <w:rPr>
          <w:rFonts w:ascii="Arial" w:cs="Arial" w:eastAsia="Arial" w:hAnsi="Arial"/>
          <w:sz w:val="24"/>
          <w:szCs w:val="24"/>
          <w:color w:val="auto"/>
          <w:vertAlign w:val="superscript"/>
        </w:rPr>
      </w:pPr>
      <w:r>
        <w:rPr>
          <w:rFonts w:ascii="Arial" w:cs="Arial" w:eastAsia="Arial" w:hAnsi="Arial"/>
          <w:sz w:val="14"/>
          <w:szCs w:val="14"/>
          <w:color w:val="auto"/>
        </w:rPr>
        <w:t>As reported on a Schedule 13G/A filed on February 12, 2019 by Capital World Investors (Capital World), a division of Capital Research and Management Company. Capital World had sole voting and dispositive power with respect to such shares.</w:t>
      </w:r>
    </w:p>
    <w:p>
      <w:pPr>
        <w:spacing w:after="0" w:line="7" w:lineRule="exact"/>
        <w:rPr>
          <w:sz w:val="20"/>
          <w:szCs w:val="20"/>
          <w:color w:val="auto"/>
        </w:rPr>
      </w:pPr>
    </w:p>
    <w:p>
      <w:pPr>
        <w:spacing w:after="0"/>
        <w:rPr>
          <w:sz w:val="20"/>
          <w:szCs w:val="20"/>
          <w:color w:val="auto"/>
        </w:rPr>
      </w:pPr>
      <w:r>
        <w:rPr>
          <w:rFonts w:ascii="Arial" w:cs="Arial" w:eastAsia="Arial" w:hAnsi="Arial"/>
          <w:sz w:val="43"/>
          <w:szCs w:val="43"/>
          <w:color w:val="012E6C"/>
        </w:rPr>
        <w:t>Section 16(a) Beneficial Ownership Reporting Compliance</w:t>
      </w:r>
    </w:p>
    <w:p>
      <w:pPr>
        <w:spacing w:after="0" w:line="37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Section 16(a) of the Securities Exchange Act of 1934, as amended, requires that our executive officers and directors (and persons who own more than 10% of our equity securities) file reports of ownership and changes in ownership with the SEC, the NYSE and with us. Based solely on our review of copies of forms and written representations from reporting persons, the Corporation has determined that no reporting person known to it was delinquent with respect to their reporting obligations during 2018.</w:t>
      </w:r>
    </w:p>
    <w:p>
      <w:pPr>
        <w:spacing w:after="0" w:line="200" w:lineRule="exact"/>
        <w:rPr>
          <w:sz w:val="20"/>
          <w:szCs w:val="20"/>
          <w:color w:val="auto"/>
        </w:rPr>
      </w:pPr>
    </w:p>
    <w:p>
      <w:pPr>
        <w:spacing w:after="0" w:line="260" w:lineRule="exact"/>
        <w:rPr>
          <w:sz w:val="20"/>
          <w:szCs w:val="20"/>
          <w:color w:val="auto"/>
        </w:rPr>
      </w:pPr>
    </w:p>
    <w:p>
      <w:pPr>
        <w:ind w:left="40"/>
        <w:spacing w:after="0"/>
        <w:tabs>
          <w:tab w:leader="none" w:pos="9420" w:val="left"/>
          <w:tab w:leader="none" w:pos="1122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2019 Proxy Statement</w:t>
      </w:r>
      <w:r>
        <w:rPr>
          <w:sz w:val="20"/>
          <w:szCs w:val="20"/>
          <w:color w:val="auto"/>
        </w:rPr>
        <w:tab/>
      </w:r>
      <w:r>
        <w:rPr>
          <w:rFonts w:ascii="Arial" w:cs="Arial" w:eastAsia="Arial" w:hAnsi="Arial"/>
          <w:sz w:val="14"/>
          <w:szCs w:val="14"/>
          <w:b w:val="1"/>
          <w:bCs w:val="1"/>
          <w:color w:val="808080"/>
        </w:rPr>
        <w:t>73</w:t>
      </w:r>
    </w:p>
    <w:p>
      <w:pPr>
        <w:sectPr>
          <w:pgSz w:w="11900" w:h="16838" w:orient="portrait"/>
          <w:cols w:equalWidth="0" w:num="1">
            <w:col w:w="11420"/>
          </w:cols>
          <w:pgMar w:left="240" w:top="278" w:right="2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89"/>
        </w:trPr>
        <w:tc>
          <w:tcPr>
            <w:tcW w:w="1500" w:type="dxa"/>
            <w:vAlign w:val="bottom"/>
            <w:shd w:val="clear" w:color="auto" w:fill="475C90"/>
          </w:tcPr>
          <w:p>
            <w:pPr>
              <w:spacing w:after="0"/>
              <w:rPr>
                <w:sz w:val="16"/>
                <w:szCs w:val="16"/>
                <w:color w:val="auto"/>
              </w:rPr>
            </w:pPr>
          </w:p>
        </w:tc>
        <w:tc>
          <w:tcPr>
            <w:tcW w:w="7660" w:type="dxa"/>
            <w:vAlign w:val="bottom"/>
            <w:tcBorders>
              <w:right w:val="single" w:sz="8" w:color="475C90"/>
            </w:tcBorders>
            <w:shd w:val="clear" w:color="auto" w:fill="475C90"/>
          </w:tcPr>
          <w:p>
            <w:pPr>
              <w:spacing w:after="0"/>
              <w:rPr>
                <w:sz w:val="16"/>
                <w:szCs w:val="16"/>
                <w:color w:val="auto"/>
              </w:rPr>
            </w:pPr>
          </w:p>
        </w:tc>
        <w:tc>
          <w:tcPr>
            <w:tcW w:w="2260" w:type="dxa"/>
            <w:vAlign w:val="bottom"/>
            <w:shd w:val="clear" w:color="auto" w:fill="475C90"/>
          </w:tcPr>
          <w:p>
            <w:pPr>
              <w:spacing w:after="0"/>
              <w:rPr>
                <w:sz w:val="16"/>
                <w:szCs w:val="16"/>
                <w:color w:val="auto"/>
              </w:rPr>
            </w:pPr>
          </w:p>
        </w:tc>
        <w:tc>
          <w:tcPr>
            <w:tcW w:w="0" w:type="dxa"/>
            <w:vAlign w:val="bottom"/>
          </w:tcPr>
          <w:p>
            <w:pPr>
              <w:spacing w:after="0"/>
              <w:rPr>
                <w:sz w:val="1"/>
                <w:szCs w:val="1"/>
                <w:color w:val="auto"/>
              </w:rPr>
            </w:pPr>
          </w:p>
        </w:tc>
      </w:tr>
      <w:tr>
        <w:trPr>
          <w:trHeight w:val="500"/>
        </w:trPr>
        <w:tc>
          <w:tcPr>
            <w:tcW w:w="1500" w:type="dxa"/>
            <w:vAlign w:val="bottom"/>
            <w:shd w:val="clear" w:color="auto" w:fill="E6E7EF"/>
          </w:tcPr>
          <w:p>
            <w:pPr>
              <w:jc w:val="right"/>
              <w:spacing w:after="0"/>
              <w:rPr>
                <w:sz w:val="20"/>
                <w:szCs w:val="20"/>
                <w:color w:val="auto"/>
              </w:rPr>
            </w:pPr>
            <w:r>
              <w:rPr>
                <w:rFonts w:ascii="Arial" w:cs="Arial" w:eastAsia="Arial" w:hAnsi="Arial"/>
                <w:sz w:val="20"/>
                <w:szCs w:val="20"/>
                <w:color w:val="012E6C"/>
              </w:rPr>
              <w:t>Proposal</w:t>
            </w:r>
          </w:p>
        </w:tc>
        <w:tc>
          <w:tcPr>
            <w:tcW w:w="7660" w:type="dxa"/>
            <w:vAlign w:val="bottom"/>
            <w:tcBorders>
              <w:right w:val="single" w:sz="8" w:color="012E6C"/>
            </w:tcBorders>
          </w:tcPr>
          <w:p>
            <w:pPr>
              <w:ind w:left="100"/>
              <w:spacing w:after="0"/>
              <w:rPr>
                <w:sz w:val="20"/>
                <w:szCs w:val="20"/>
                <w:color w:val="auto"/>
              </w:rPr>
            </w:pPr>
            <w:r>
              <w:rPr>
                <w:rFonts w:ascii="Arial" w:cs="Arial" w:eastAsia="Arial" w:hAnsi="Arial"/>
                <w:sz w:val="29"/>
                <w:szCs w:val="29"/>
                <w:b w:val="1"/>
                <w:bCs w:val="1"/>
                <w:color w:val="012E6C"/>
              </w:rPr>
              <w:t>Stockholder Proposal to Amend the Proxy Access</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500" w:type="dxa"/>
            <w:vAlign w:val="bottom"/>
            <w:shd w:val="clear" w:color="auto" w:fill="E6E7EF"/>
          </w:tcPr>
          <w:p>
            <w:pPr>
              <w:jc w:val="right"/>
              <w:spacing w:after="0"/>
              <w:rPr>
                <w:sz w:val="20"/>
                <w:szCs w:val="20"/>
                <w:color w:val="auto"/>
              </w:rPr>
            </w:pPr>
            <w:r>
              <w:rPr>
                <w:rFonts w:ascii="Arial" w:cs="Arial" w:eastAsia="Arial" w:hAnsi="Arial"/>
                <w:sz w:val="29"/>
                <w:szCs w:val="29"/>
                <w:color w:val="012E6C"/>
              </w:rPr>
              <w:t>4</w:t>
            </w:r>
          </w:p>
        </w:tc>
        <w:tc>
          <w:tcPr>
            <w:tcW w:w="7660" w:type="dxa"/>
            <w:vAlign w:val="bottom"/>
            <w:tcBorders>
              <w:right w:val="single" w:sz="8" w:color="012E6C"/>
            </w:tcBorders>
          </w:tcPr>
          <w:p>
            <w:pPr>
              <w:ind w:left="100"/>
              <w:spacing w:after="0"/>
              <w:rPr>
                <w:sz w:val="20"/>
                <w:szCs w:val="20"/>
                <w:color w:val="auto"/>
              </w:rPr>
            </w:pPr>
            <w:r>
              <w:rPr>
                <w:rFonts w:ascii="Arial" w:cs="Arial" w:eastAsia="Arial" w:hAnsi="Arial"/>
                <w:sz w:val="29"/>
                <w:szCs w:val="29"/>
                <w:b w:val="1"/>
                <w:bCs w:val="1"/>
                <w:color w:val="012E6C"/>
              </w:rPr>
              <w:t>Bylaw</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500" w:type="dxa"/>
            <w:vAlign w:val="bottom"/>
            <w:shd w:val="clear" w:color="auto" w:fill="E6E7EF"/>
          </w:tcPr>
          <w:p>
            <w:pPr>
              <w:spacing w:after="0"/>
              <w:rPr>
                <w:sz w:val="24"/>
                <w:szCs w:val="24"/>
                <w:color w:val="auto"/>
              </w:rPr>
            </w:pPr>
          </w:p>
        </w:tc>
        <w:tc>
          <w:tcPr>
            <w:tcW w:w="7660" w:type="dxa"/>
            <w:vAlign w:val="bottom"/>
            <w:tcBorders>
              <w:right w:val="single" w:sz="8" w:color="012E6C"/>
            </w:tcBorders>
          </w:tcPr>
          <w:p>
            <w:pPr>
              <w:ind w:left="100"/>
              <w:spacing w:after="0"/>
              <w:rPr>
                <w:sz w:val="20"/>
                <w:szCs w:val="20"/>
                <w:color w:val="auto"/>
              </w:rPr>
            </w:pPr>
            <w:r>
              <w:rPr>
                <w:rFonts w:ascii="Arial" w:cs="Arial" w:eastAsia="Arial" w:hAnsi="Arial"/>
                <w:sz w:val="17"/>
                <w:szCs w:val="17"/>
                <w:color w:val="012E6C"/>
              </w:rPr>
              <w:t>•  Existing proxy access bylaw adopted following extensive stockholder engagement.</w:t>
            </w:r>
          </w:p>
        </w:tc>
        <w:tc>
          <w:tcPr>
            <w:tcW w:w="2260" w:type="dxa"/>
            <w:vAlign w:val="bottom"/>
          </w:tcPr>
          <w:p>
            <w:pPr>
              <w:ind w:left="180"/>
              <w:spacing w:after="0"/>
              <w:rPr>
                <w:sz w:val="20"/>
                <w:szCs w:val="20"/>
                <w:color w:val="auto"/>
              </w:rPr>
            </w:pPr>
            <w:r>
              <w:rPr>
                <w:rFonts w:ascii="Arial" w:cs="Arial" w:eastAsia="Arial" w:hAnsi="Arial"/>
                <w:sz w:val="17"/>
                <w:szCs w:val="17"/>
                <w:color w:val="012E6C"/>
              </w:rPr>
              <w:t>The Board unanimously</w:t>
            </w:r>
          </w:p>
        </w:tc>
        <w:tc>
          <w:tcPr>
            <w:tcW w:w="0" w:type="dxa"/>
            <w:vAlign w:val="bottom"/>
          </w:tcPr>
          <w:p>
            <w:pPr>
              <w:spacing w:after="0"/>
              <w:rPr>
                <w:sz w:val="1"/>
                <w:szCs w:val="1"/>
                <w:color w:val="auto"/>
              </w:rPr>
            </w:pPr>
          </w:p>
        </w:tc>
      </w:tr>
      <w:tr>
        <w:trPr>
          <w:trHeight w:val="231"/>
        </w:trPr>
        <w:tc>
          <w:tcPr>
            <w:tcW w:w="1500" w:type="dxa"/>
            <w:vAlign w:val="bottom"/>
            <w:shd w:val="clear" w:color="auto" w:fill="E6E7EF"/>
          </w:tcPr>
          <w:p>
            <w:pPr>
              <w:spacing w:after="0"/>
              <w:rPr>
                <w:sz w:val="20"/>
                <w:szCs w:val="20"/>
                <w:color w:val="auto"/>
              </w:rPr>
            </w:pPr>
          </w:p>
        </w:tc>
        <w:tc>
          <w:tcPr>
            <w:tcW w:w="7660" w:type="dxa"/>
            <w:vAlign w:val="bottom"/>
            <w:tcBorders>
              <w:right w:val="single" w:sz="8" w:color="012E6C"/>
            </w:tcBorders>
          </w:tcPr>
          <w:p>
            <w:pPr>
              <w:ind w:left="100"/>
              <w:spacing w:after="0"/>
              <w:rPr>
                <w:sz w:val="20"/>
                <w:szCs w:val="20"/>
                <w:color w:val="auto"/>
              </w:rPr>
            </w:pPr>
            <w:r>
              <w:rPr>
                <w:rFonts w:ascii="Arial" w:cs="Arial" w:eastAsia="Arial" w:hAnsi="Arial"/>
                <w:sz w:val="17"/>
                <w:szCs w:val="17"/>
                <w:color w:val="012E6C"/>
              </w:rPr>
              <w:t>•  Proxy access bylaw provides stockholders with meaningful proxy access.</w:t>
            </w:r>
          </w:p>
        </w:tc>
        <w:tc>
          <w:tcPr>
            <w:tcW w:w="2260" w:type="dxa"/>
            <w:vAlign w:val="bottom"/>
          </w:tcPr>
          <w:p>
            <w:pPr>
              <w:ind w:left="180"/>
              <w:spacing w:after="0"/>
              <w:rPr>
                <w:sz w:val="20"/>
                <w:szCs w:val="20"/>
                <w:color w:val="auto"/>
              </w:rPr>
            </w:pPr>
            <w:r>
              <w:rPr>
                <w:rFonts w:ascii="Arial" w:cs="Arial" w:eastAsia="Arial" w:hAnsi="Arial"/>
                <w:sz w:val="17"/>
                <w:szCs w:val="17"/>
                <w:color w:val="012E6C"/>
              </w:rPr>
              <w:t>recommends that</w:t>
            </w:r>
          </w:p>
        </w:tc>
        <w:tc>
          <w:tcPr>
            <w:tcW w:w="0" w:type="dxa"/>
            <w:vAlign w:val="bottom"/>
          </w:tcPr>
          <w:p>
            <w:pPr>
              <w:spacing w:after="0"/>
              <w:rPr>
                <w:sz w:val="1"/>
                <w:szCs w:val="1"/>
                <w:color w:val="auto"/>
              </w:rPr>
            </w:pPr>
          </w:p>
        </w:tc>
      </w:tr>
      <w:tr>
        <w:trPr>
          <w:trHeight w:val="147"/>
        </w:trPr>
        <w:tc>
          <w:tcPr>
            <w:tcW w:w="1500" w:type="dxa"/>
            <w:vAlign w:val="bottom"/>
            <w:shd w:val="clear" w:color="auto" w:fill="E6E7EF"/>
          </w:tcPr>
          <w:p>
            <w:pPr>
              <w:spacing w:after="0"/>
              <w:rPr>
                <w:sz w:val="12"/>
                <w:szCs w:val="12"/>
                <w:color w:val="auto"/>
              </w:rPr>
            </w:pPr>
          </w:p>
        </w:tc>
        <w:tc>
          <w:tcPr>
            <w:tcW w:w="7660" w:type="dxa"/>
            <w:vAlign w:val="bottom"/>
            <w:tcBorders>
              <w:right w:val="single" w:sz="8" w:color="012E6C"/>
            </w:tcBorders>
            <w:vMerge w:val="restart"/>
          </w:tcPr>
          <w:p>
            <w:pPr>
              <w:ind w:left="100"/>
              <w:spacing w:after="0"/>
              <w:rPr>
                <w:sz w:val="20"/>
                <w:szCs w:val="20"/>
                <w:color w:val="auto"/>
              </w:rPr>
            </w:pPr>
            <w:r>
              <w:rPr>
                <w:rFonts w:ascii="Arial" w:cs="Arial" w:eastAsia="Arial" w:hAnsi="Arial"/>
                <w:sz w:val="17"/>
                <w:szCs w:val="17"/>
                <w:color w:val="012E6C"/>
              </w:rPr>
              <w:t>•  Proxy access bylaw reflects current best practices.</w:t>
            </w:r>
          </w:p>
        </w:tc>
        <w:tc>
          <w:tcPr>
            <w:tcW w:w="2260" w:type="dxa"/>
            <w:vAlign w:val="bottom"/>
          </w:tcPr>
          <w:p>
            <w:pPr>
              <w:ind w:left="180"/>
              <w:spacing w:after="0" w:line="147" w:lineRule="exact"/>
              <w:rPr>
                <w:sz w:val="20"/>
                <w:szCs w:val="20"/>
                <w:color w:val="auto"/>
              </w:rPr>
            </w:pPr>
            <w:r>
              <w:rPr>
                <w:rFonts w:ascii="Arial" w:cs="Arial" w:eastAsia="Arial" w:hAnsi="Arial"/>
                <w:sz w:val="17"/>
                <w:szCs w:val="17"/>
                <w:color w:val="012E6C"/>
              </w:rPr>
              <w:t>you vote AGAINST</w:t>
            </w:r>
          </w:p>
        </w:tc>
        <w:tc>
          <w:tcPr>
            <w:tcW w:w="0" w:type="dxa"/>
            <w:vAlign w:val="bottom"/>
          </w:tcPr>
          <w:p>
            <w:pPr>
              <w:spacing w:after="0"/>
              <w:rPr>
                <w:sz w:val="1"/>
                <w:szCs w:val="1"/>
                <w:color w:val="auto"/>
              </w:rPr>
            </w:pPr>
          </w:p>
        </w:tc>
      </w:tr>
      <w:tr>
        <w:trPr>
          <w:trHeight w:val="231"/>
        </w:trPr>
        <w:tc>
          <w:tcPr>
            <w:tcW w:w="1500" w:type="dxa"/>
            <w:vAlign w:val="bottom"/>
            <w:shd w:val="clear" w:color="auto" w:fill="E6E7EF"/>
          </w:tcPr>
          <w:p>
            <w:pPr>
              <w:spacing w:after="0"/>
              <w:rPr>
                <w:sz w:val="20"/>
                <w:szCs w:val="20"/>
                <w:color w:val="auto"/>
              </w:rPr>
            </w:pPr>
          </w:p>
        </w:tc>
        <w:tc>
          <w:tcPr>
            <w:tcW w:w="7660" w:type="dxa"/>
            <w:vAlign w:val="bottom"/>
            <w:tcBorders>
              <w:right w:val="single" w:sz="8" w:color="012E6C"/>
            </w:tcBorders>
            <w:vMerge w:val="continue"/>
          </w:tcPr>
          <w:p>
            <w:pPr>
              <w:spacing w:after="0"/>
              <w:rPr>
                <w:sz w:val="20"/>
                <w:szCs w:val="20"/>
                <w:color w:val="auto"/>
              </w:rPr>
            </w:pPr>
          </w:p>
        </w:tc>
        <w:tc>
          <w:tcPr>
            <w:tcW w:w="2260" w:type="dxa"/>
            <w:vAlign w:val="bottom"/>
          </w:tcPr>
          <w:p>
            <w:pPr>
              <w:ind w:left="180"/>
              <w:spacing w:after="0"/>
              <w:rPr>
                <w:sz w:val="20"/>
                <w:szCs w:val="20"/>
                <w:color w:val="auto"/>
              </w:rPr>
            </w:pPr>
            <w:r>
              <w:rPr>
                <w:rFonts w:ascii="Arial" w:cs="Arial" w:eastAsia="Arial" w:hAnsi="Arial"/>
                <w:sz w:val="17"/>
                <w:szCs w:val="17"/>
                <w:color w:val="012E6C"/>
              </w:rPr>
              <w:t>Proposal 4.</w:t>
            </w:r>
          </w:p>
        </w:tc>
        <w:tc>
          <w:tcPr>
            <w:tcW w:w="0" w:type="dxa"/>
            <w:vAlign w:val="bottom"/>
          </w:tcPr>
          <w:p>
            <w:pPr>
              <w:spacing w:after="0"/>
              <w:rPr>
                <w:sz w:val="1"/>
                <w:szCs w:val="1"/>
                <w:color w:val="auto"/>
              </w:rPr>
            </w:pPr>
          </w:p>
        </w:tc>
      </w:tr>
      <w:tr>
        <w:trPr>
          <w:trHeight w:val="270"/>
        </w:trPr>
        <w:tc>
          <w:tcPr>
            <w:tcW w:w="1500" w:type="dxa"/>
            <w:vAlign w:val="bottom"/>
            <w:shd w:val="clear" w:color="auto" w:fill="E6E7EF"/>
          </w:tcPr>
          <w:p>
            <w:pPr>
              <w:spacing w:after="0"/>
              <w:rPr>
                <w:sz w:val="23"/>
                <w:szCs w:val="23"/>
                <w:color w:val="auto"/>
              </w:rPr>
            </w:pPr>
          </w:p>
        </w:tc>
        <w:tc>
          <w:tcPr>
            <w:tcW w:w="7660" w:type="dxa"/>
            <w:vAlign w:val="bottom"/>
            <w:tcBorders>
              <w:right w:val="single" w:sz="8" w:color="012E6C"/>
            </w:tcBorders>
          </w:tcPr>
          <w:p>
            <w:pPr>
              <w:ind w:left="100"/>
              <w:spacing w:after="0"/>
              <w:rPr>
                <w:sz w:val="20"/>
                <w:szCs w:val="20"/>
                <w:color w:val="auto"/>
              </w:rPr>
            </w:pPr>
            <w:r>
              <w:rPr>
                <w:rFonts w:ascii="Arial" w:cs="Arial" w:eastAsia="Arial" w:hAnsi="Arial"/>
                <w:sz w:val="17"/>
                <w:szCs w:val="17"/>
                <w:color w:val="012E6C"/>
              </w:rPr>
              <w:t>•  Stockholder aggregation limit is consistent with market practice and appropriate.</w:t>
            </w:r>
          </w:p>
        </w:tc>
        <w:tc>
          <w:tcPr>
            <w:tcW w:w="2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1500" w:type="dxa"/>
            <w:vAlign w:val="bottom"/>
            <w:tcBorders>
              <w:bottom w:val="single" w:sz="8" w:color="012E6C"/>
            </w:tcBorders>
            <w:shd w:val="clear" w:color="auto" w:fill="E6E7EF"/>
          </w:tcPr>
          <w:p>
            <w:pPr>
              <w:spacing w:after="0"/>
              <w:rPr>
                <w:sz w:val="22"/>
                <w:szCs w:val="22"/>
                <w:color w:val="auto"/>
              </w:rPr>
            </w:pPr>
          </w:p>
        </w:tc>
        <w:tc>
          <w:tcPr>
            <w:tcW w:w="7660" w:type="dxa"/>
            <w:vAlign w:val="bottom"/>
            <w:tcBorders>
              <w:bottom w:val="single" w:sz="8" w:color="012E6C"/>
              <w:right w:val="single" w:sz="8" w:color="012E6C"/>
            </w:tcBorders>
          </w:tcPr>
          <w:p>
            <w:pPr>
              <w:spacing w:after="0"/>
              <w:rPr>
                <w:sz w:val="22"/>
                <w:szCs w:val="22"/>
                <w:color w:val="auto"/>
              </w:rPr>
            </w:pPr>
          </w:p>
        </w:tc>
        <w:tc>
          <w:tcPr>
            <w:tcW w:w="2260" w:type="dxa"/>
            <w:vAlign w:val="bottom"/>
            <w:tcBorders>
              <w:bottom w:val="single" w:sz="8" w:color="012E6C"/>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5879465</wp:posOffset>
            </wp:positionH>
            <wp:positionV relativeFrom="paragraph">
              <wp:posOffset>-1285875</wp:posOffset>
            </wp:positionV>
            <wp:extent cx="351790" cy="3517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51790" cy="351790"/>
                    </a:xfrm>
                    <a:prstGeom prst="rect">
                      <a:avLst/>
                    </a:prstGeom>
                    <a:noFill/>
                  </pic:spPr>
                </pic:pic>
              </a:graphicData>
            </a:graphic>
          </wp:anchor>
        </w:drawing>
      </w:r>
    </w:p>
    <w:p>
      <w:pPr>
        <w:spacing w:after="0" w:line="79"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 xml:space="preserve">Mr. John </w:t>
      </w:r>
      <w:r>
        <w:rPr>
          <w:rFonts w:ascii="Arial" w:cs="Arial" w:eastAsia="Arial" w:hAnsi="Arial"/>
          <w:sz w:val="17"/>
          <w:szCs w:val="17"/>
          <w:color w:val="auto"/>
        </w:rPr>
        <w:t>Chevedden, 2215 Nelson Avenue, No. 205, Redondo Beach, California 90278, the beneficial owner of no less than 100 shares of common</w:t>
      </w:r>
      <w:r>
        <w:rPr>
          <w:rFonts w:ascii="Arial" w:cs="Arial" w:eastAsia="Arial" w:hAnsi="Arial"/>
          <w:sz w:val="18"/>
          <w:szCs w:val="18"/>
          <w:color w:val="auto"/>
        </w:rPr>
        <w:t xml:space="preserve"> </w:t>
      </w:r>
      <w:r>
        <w:rPr>
          <w:rFonts w:ascii="Arial" w:cs="Arial" w:eastAsia="Arial" w:hAnsi="Arial"/>
          <w:sz w:val="17"/>
          <w:szCs w:val="17"/>
          <w:color w:val="auto"/>
        </w:rPr>
        <w:t>stock of the Corporation having a market value greater than $2,000, has notified the Corporation that he intends to present the following proposal at this year’s Annual Meeting:</w:t>
      </w:r>
    </w:p>
    <w:p>
      <w:pPr>
        <w:spacing w:after="0" w:line="172" w:lineRule="exact"/>
        <w:rPr>
          <w:sz w:val="20"/>
          <w:szCs w:val="20"/>
          <w:color w:val="auto"/>
        </w:rPr>
      </w:pPr>
    </w:p>
    <w:p>
      <w:pPr>
        <w:jc w:val="center"/>
        <w:ind w:left="340"/>
        <w:spacing w:after="0"/>
        <w:rPr>
          <w:sz w:val="20"/>
          <w:szCs w:val="20"/>
          <w:color w:val="auto"/>
        </w:rPr>
      </w:pPr>
      <w:r>
        <w:rPr>
          <w:rFonts w:ascii="Arial" w:cs="Arial" w:eastAsia="Arial" w:hAnsi="Arial"/>
          <w:sz w:val="17"/>
          <w:szCs w:val="17"/>
          <w:color w:val="auto"/>
        </w:rPr>
        <w:t>Proposal 4 - Shareholder Proxy Access Enhancement</w:t>
      </w:r>
    </w:p>
    <w:p>
      <w:pPr>
        <w:spacing w:after="0" w:line="35" w:lineRule="exact"/>
        <w:rPr>
          <w:sz w:val="20"/>
          <w:szCs w:val="20"/>
          <w:color w:val="auto"/>
        </w:rPr>
      </w:pPr>
    </w:p>
    <w:p>
      <w:pPr>
        <w:ind w:left="340" w:right="40"/>
        <w:spacing w:after="0" w:line="277" w:lineRule="auto"/>
        <w:rPr>
          <w:sz w:val="20"/>
          <w:szCs w:val="20"/>
          <w:color w:val="auto"/>
        </w:rPr>
      </w:pPr>
      <w:r>
        <w:rPr>
          <w:rFonts w:ascii="Arial" w:cs="Arial" w:eastAsia="Arial" w:hAnsi="Arial"/>
          <w:sz w:val="17"/>
          <w:szCs w:val="17"/>
          <w:color w:val="auto"/>
        </w:rPr>
        <w:t>RESOLVED: Stockholders ask the board of directors to amend its proxy access bylaw provisions and any associated documents, to include the following change for the purpose of decreasing the average amount of Company common stock the average member of a nominating group would be required to hold for 3-years to satisfy the aggregate ownership requirements to form a nominating group:</w:t>
      </w:r>
    </w:p>
    <w:p>
      <w:pPr>
        <w:spacing w:after="0" w:line="173" w:lineRule="exact"/>
        <w:rPr>
          <w:sz w:val="20"/>
          <w:szCs w:val="20"/>
          <w:color w:val="auto"/>
        </w:rPr>
      </w:pPr>
    </w:p>
    <w:p>
      <w:pPr>
        <w:ind w:left="340" w:right="580"/>
        <w:spacing w:after="0" w:line="308" w:lineRule="auto"/>
        <w:rPr>
          <w:sz w:val="20"/>
          <w:szCs w:val="20"/>
          <w:color w:val="auto"/>
        </w:rPr>
      </w:pPr>
      <w:r>
        <w:rPr>
          <w:rFonts w:ascii="Arial" w:cs="Arial" w:eastAsia="Arial" w:hAnsi="Arial"/>
          <w:sz w:val="17"/>
          <w:szCs w:val="17"/>
          <w:color w:val="auto"/>
        </w:rPr>
        <w:t>No limitation shall be placed on the number of stockholders that can aggregate their shares to achieve the 3% of common stock required to nominate directors under our Company’s proxy access provisions.</w:t>
      </w:r>
    </w:p>
    <w:p>
      <w:pPr>
        <w:spacing w:after="0" w:line="147" w:lineRule="exact"/>
        <w:rPr>
          <w:sz w:val="20"/>
          <w:szCs w:val="20"/>
          <w:color w:val="auto"/>
        </w:rPr>
      </w:pPr>
    </w:p>
    <w:p>
      <w:pPr>
        <w:jc w:val="both"/>
        <w:ind w:left="340" w:right="60"/>
        <w:spacing w:after="0" w:line="286" w:lineRule="auto"/>
        <w:rPr>
          <w:sz w:val="20"/>
          <w:szCs w:val="20"/>
          <w:color w:val="auto"/>
        </w:rPr>
      </w:pPr>
      <w:r>
        <w:rPr>
          <w:rFonts w:ascii="Arial" w:cs="Arial" w:eastAsia="Arial" w:hAnsi="Arial"/>
          <w:sz w:val="17"/>
          <w:szCs w:val="17"/>
          <w:color w:val="auto"/>
        </w:rPr>
        <w:t>Proxy access for shareholders enables shareholders to put competing director candidates on the company ballot to see if they can get more votes than some of management’s director candidates. A competitive election is good for everyone. This proposal can help ensue that our management will nominate directors with outstanding qualifications in order to avoid giving shareholders a reason to exercise their right to use proxy access.</w:t>
      </w:r>
    </w:p>
    <w:p>
      <w:pPr>
        <w:spacing w:after="0" w:line="166" w:lineRule="exact"/>
        <w:rPr>
          <w:sz w:val="20"/>
          <w:szCs w:val="20"/>
          <w:color w:val="auto"/>
        </w:rPr>
      </w:pPr>
    </w:p>
    <w:p>
      <w:pPr>
        <w:ind w:left="340" w:right="140"/>
        <w:spacing w:after="0" w:line="286" w:lineRule="auto"/>
        <w:rPr>
          <w:sz w:val="20"/>
          <w:szCs w:val="20"/>
          <w:color w:val="auto"/>
        </w:rPr>
      </w:pPr>
      <w:r>
        <w:rPr>
          <w:rFonts w:ascii="Arial" w:cs="Arial" w:eastAsia="Arial" w:hAnsi="Arial"/>
          <w:sz w:val="17"/>
          <w:szCs w:val="17"/>
          <w:color w:val="auto"/>
        </w:rPr>
        <w:t>Even if the 20 largest public pension funds were able to aggregate their shares, they would not meet the current 3% criteria for a continuous 3-years at most companies according to the Council of Institutional Investors. This proposal addresses the situation that our company now has with proxy access potentially for only the largest shareholders who are the least unlikely shareholders to make use of it.</w:t>
      </w:r>
    </w:p>
    <w:p>
      <w:pPr>
        <w:spacing w:after="0" w:line="166" w:lineRule="exact"/>
        <w:rPr>
          <w:sz w:val="20"/>
          <w:szCs w:val="20"/>
          <w:color w:val="auto"/>
        </w:rPr>
      </w:pPr>
    </w:p>
    <w:p>
      <w:pPr>
        <w:ind w:left="340" w:right="20"/>
        <w:spacing w:after="0" w:line="308" w:lineRule="auto"/>
        <w:rPr>
          <w:sz w:val="20"/>
          <w:szCs w:val="20"/>
          <w:color w:val="auto"/>
        </w:rPr>
      </w:pPr>
      <w:r>
        <w:rPr>
          <w:rFonts w:ascii="Arial" w:cs="Arial" w:eastAsia="Arial" w:hAnsi="Arial"/>
          <w:sz w:val="17"/>
          <w:szCs w:val="17"/>
          <w:color w:val="auto"/>
        </w:rPr>
        <w:t>Since no group of shareholders at any U.S. company has yet to make use of proxy access, it is important to make sure that the current limitation of 20 shareholders is not a deterrent to shareholders using proxy access.</w:t>
      </w:r>
    </w:p>
    <w:p>
      <w:pPr>
        <w:spacing w:after="0" w:line="147" w:lineRule="exact"/>
        <w:rPr>
          <w:sz w:val="20"/>
          <w:szCs w:val="20"/>
          <w:color w:val="auto"/>
        </w:rPr>
      </w:pPr>
    </w:p>
    <w:p>
      <w:pPr>
        <w:ind w:left="340" w:right="40"/>
        <w:spacing w:after="0" w:line="276" w:lineRule="auto"/>
        <w:rPr>
          <w:sz w:val="20"/>
          <w:szCs w:val="20"/>
          <w:color w:val="auto"/>
        </w:rPr>
      </w:pPr>
      <w:r>
        <w:rPr>
          <w:rFonts w:ascii="Arial" w:cs="Arial" w:eastAsia="Arial" w:hAnsi="Arial"/>
          <w:sz w:val="17"/>
          <w:szCs w:val="17"/>
          <w:color w:val="auto"/>
        </w:rPr>
        <w:t>A more practical proxy access right would give shareholders a position of strength to ask why we have one person in the dual role of Chairman and CEO. And this is exacerbated by having a seemingly weak Lead Director. Long-tenured Nolan Archibald (16-years) is Lead Director. Independence is all-important in a Lead Director and long-tenure is the opposite of independence in a director. Mr. Archibald is also a long-tenured Lead Director at Huntsman Corporation which has had flat stock performance during the last 5 years. Mr. Archibald also received the highest negative votes at Lockheed Martin in 2018.</w:t>
      </w:r>
    </w:p>
    <w:p>
      <w:pPr>
        <w:spacing w:after="0" w:line="173" w:lineRule="exact"/>
        <w:rPr>
          <w:sz w:val="20"/>
          <w:szCs w:val="20"/>
          <w:color w:val="auto"/>
        </w:rPr>
      </w:pPr>
    </w:p>
    <w:p>
      <w:pPr>
        <w:jc w:val="center"/>
        <w:ind w:left="340"/>
        <w:spacing w:after="0"/>
        <w:rPr>
          <w:sz w:val="20"/>
          <w:szCs w:val="20"/>
          <w:color w:val="auto"/>
        </w:rPr>
      </w:pPr>
      <w:r>
        <w:rPr>
          <w:rFonts w:ascii="Arial" w:cs="Arial" w:eastAsia="Arial" w:hAnsi="Arial"/>
          <w:sz w:val="17"/>
          <w:szCs w:val="17"/>
          <w:color w:val="auto"/>
        </w:rPr>
        <w:t>Please vote yes:</w:t>
      </w:r>
    </w:p>
    <w:p>
      <w:pPr>
        <w:spacing w:after="0" w:line="35" w:lineRule="exact"/>
        <w:rPr>
          <w:sz w:val="20"/>
          <w:szCs w:val="20"/>
          <w:color w:val="auto"/>
        </w:rPr>
      </w:pPr>
    </w:p>
    <w:p>
      <w:pPr>
        <w:jc w:val="center"/>
        <w:ind w:left="34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8"/>
          <w:szCs w:val="18"/>
          <w:b w:val="1"/>
          <w:bCs w:val="1"/>
          <w:color w:val="auto"/>
        </w:rPr>
        <w:t>hareholder Proxy Access Enhancement - Proposal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417195</wp:posOffset>
            </wp:positionV>
            <wp:extent cx="1440815" cy="3257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44081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808080"/>
        </w:rPr>
        <w:t>74</w:t>
      </w:r>
    </w:p>
    <w:p>
      <w:pPr>
        <w:sectPr>
          <w:pgSz w:w="11900" w:h="16838" w:orient="portrait"/>
          <w:cols w:equalWidth="0" w:num="1">
            <w:col w:w="11420"/>
          </w:cols>
          <w:pgMar w:left="240" w:top="626"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5"/>
          <w:szCs w:val="15"/>
          <w:color w:val="003478"/>
        </w:rPr>
        <w:t xml:space="preserve">Proposal 4: </w:t>
      </w:r>
      <w:r>
        <w:rPr>
          <w:rFonts w:ascii="Arial" w:cs="Arial" w:eastAsia="Arial" w:hAnsi="Arial"/>
          <w:sz w:val="15"/>
          <w:szCs w:val="15"/>
          <w:color w:val="012E6C"/>
        </w:rPr>
        <w:t>Stockholder Proposal to Amend the Proxy Access Bylaw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325755</wp:posOffset>
            </wp:positionV>
            <wp:extent cx="7246620" cy="60629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6062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0"/>
        <w:spacing w:after="0"/>
        <w:rPr>
          <w:sz w:val="20"/>
          <w:szCs w:val="20"/>
          <w:color w:val="auto"/>
        </w:rPr>
      </w:pPr>
      <w:r>
        <w:rPr>
          <w:rFonts w:ascii="Arial" w:cs="Arial" w:eastAsia="Arial" w:hAnsi="Arial"/>
          <w:sz w:val="29"/>
          <w:szCs w:val="29"/>
          <w:b w:val="1"/>
          <w:bCs w:val="1"/>
          <w:color w:val="012E6C"/>
        </w:rPr>
        <w:t>Board of Directors Statement in Opposition to Proposal 4</w:t>
      </w:r>
    </w:p>
    <w:p>
      <w:pPr>
        <w:spacing w:after="0" w:line="236" w:lineRule="exact"/>
        <w:rPr>
          <w:sz w:val="20"/>
          <w:szCs w:val="20"/>
          <w:color w:val="auto"/>
        </w:rPr>
      </w:pPr>
    </w:p>
    <w:p>
      <w:pPr>
        <w:ind w:left="80"/>
        <w:spacing w:after="0"/>
        <w:rPr>
          <w:sz w:val="20"/>
          <w:szCs w:val="20"/>
          <w:color w:val="auto"/>
        </w:rPr>
      </w:pPr>
      <w:r>
        <w:rPr>
          <w:rFonts w:ascii="Arial" w:cs="Arial" w:eastAsia="Arial" w:hAnsi="Arial"/>
          <w:sz w:val="17"/>
          <w:szCs w:val="17"/>
          <w:color w:val="auto"/>
        </w:rPr>
        <w:t>The Board has considered this stockholder proposal and recommends that stockholders vote AGAINST this proposal for the following reasons:</w:t>
      </w:r>
    </w:p>
    <w:p>
      <w:pPr>
        <w:spacing w:after="0" w:line="210" w:lineRule="exact"/>
        <w:rPr>
          <w:sz w:val="20"/>
          <w:szCs w:val="20"/>
          <w:color w:val="auto"/>
        </w:rPr>
      </w:pPr>
    </w:p>
    <w:p>
      <w:pPr>
        <w:ind w:left="320" w:right="80" w:hanging="163"/>
        <w:spacing w:after="0" w:line="237" w:lineRule="auto"/>
        <w:tabs>
          <w:tab w:leader="none" w:pos="408" w:val="left"/>
        </w:tabs>
        <w:numPr>
          <w:ilvl w:val="0"/>
          <w:numId w:val="91"/>
        </w:numPr>
        <w:rPr>
          <w:rFonts w:ascii="Arial" w:cs="Arial" w:eastAsia="Arial" w:hAnsi="Arial"/>
          <w:sz w:val="17"/>
          <w:szCs w:val="17"/>
          <w:color w:val="012E6C"/>
        </w:rPr>
      </w:pPr>
      <w:r>
        <w:rPr>
          <w:rFonts w:ascii="Arial" w:cs="Arial" w:eastAsia="Arial" w:hAnsi="Arial"/>
          <w:sz w:val="17"/>
          <w:szCs w:val="17"/>
          <w:color w:val="auto"/>
        </w:rPr>
        <w:t>Our existing proxy access bylaw is aligned with current best practices and provides stockholders with meaningful proxy access without imposing undue burdens and costs on the Corporation. Our proxy access bylaw provision permits an eligible stockholder, or a group of up to 20 stockholders who together have owned at least 3% of the Corporation's outstanding common stock continuously for at least three years, to nominate for election by the stockholders up to the greater of two directors or 20% of the number of directors in office at the time of the proxy access deadline. The feature of our proxy access provision that enables a group of up to 20 stockholders to aggregate their shares to reach the 3% ownership requirement is designed to make proxy access available to stockholders who do not individually meet the 3% threshold by allowing them to form groups. The 20-stockholder limit on groups is intended to ensure that the proxy access provision is available to groups of stockholders who have a reasonably sufficient economic stake in Lockheed Martin, and to protect the proxy access process from becoming unduly burdensome and expensive to administer.</w:t>
      </w:r>
    </w:p>
    <w:p>
      <w:pPr>
        <w:spacing w:after="0" w:line="180" w:lineRule="exact"/>
        <w:rPr>
          <w:rFonts w:ascii="Arial" w:cs="Arial" w:eastAsia="Arial" w:hAnsi="Arial"/>
          <w:sz w:val="17"/>
          <w:szCs w:val="17"/>
          <w:color w:val="012E6C"/>
        </w:rPr>
      </w:pPr>
    </w:p>
    <w:p>
      <w:pPr>
        <w:ind w:left="320" w:right="120" w:hanging="163"/>
        <w:spacing w:after="0"/>
        <w:tabs>
          <w:tab w:leader="none" w:pos="408" w:val="left"/>
        </w:tabs>
        <w:numPr>
          <w:ilvl w:val="0"/>
          <w:numId w:val="91"/>
        </w:numPr>
        <w:rPr>
          <w:rFonts w:ascii="Arial" w:cs="Arial" w:eastAsia="Arial" w:hAnsi="Arial"/>
          <w:sz w:val="17"/>
          <w:szCs w:val="17"/>
          <w:color w:val="012E6C"/>
        </w:rPr>
      </w:pPr>
      <w:r>
        <w:rPr>
          <w:rFonts w:ascii="Arial" w:cs="Arial" w:eastAsia="Arial" w:hAnsi="Arial"/>
          <w:sz w:val="17"/>
          <w:szCs w:val="17"/>
          <w:color w:val="auto"/>
        </w:rPr>
        <w:t>Our proxy access bylaw was the result of considerable discussion and consideration by our Board following engagement with many of our largest stockholders. Before proactively adopting proxy access in 2016, we reached out to more than 20 of our largest stockholders to solicit their opinions and recommendations. The Board considered this feedback, including our stockholders' views relating to the aggregation limit and the need to strike an appropriate balance, when approving our existing formulation of proxy access. The Board regularly reviews its corporate governance policies, including the Corporation's proxy access framework, and continues to believe that the Corporation's form of proxy access bylaw strikes an appropriate balance and is aligned with best practices.</w:t>
      </w:r>
    </w:p>
    <w:p>
      <w:pPr>
        <w:spacing w:after="0" w:line="177" w:lineRule="exact"/>
        <w:rPr>
          <w:rFonts w:ascii="Arial" w:cs="Arial" w:eastAsia="Arial" w:hAnsi="Arial"/>
          <w:sz w:val="17"/>
          <w:szCs w:val="17"/>
          <w:color w:val="012E6C"/>
        </w:rPr>
      </w:pPr>
    </w:p>
    <w:p>
      <w:pPr>
        <w:ind w:left="320" w:right="340" w:hanging="163"/>
        <w:spacing w:after="0" w:line="253" w:lineRule="auto"/>
        <w:tabs>
          <w:tab w:leader="none" w:pos="408" w:val="left"/>
        </w:tabs>
        <w:numPr>
          <w:ilvl w:val="0"/>
          <w:numId w:val="91"/>
        </w:numPr>
        <w:rPr>
          <w:rFonts w:ascii="Arial" w:cs="Arial" w:eastAsia="Arial" w:hAnsi="Arial"/>
          <w:sz w:val="17"/>
          <w:szCs w:val="17"/>
          <w:color w:val="012E6C"/>
        </w:rPr>
      </w:pPr>
      <w:r>
        <w:rPr>
          <w:rFonts w:ascii="Arial" w:cs="Arial" w:eastAsia="Arial" w:hAnsi="Arial"/>
          <w:sz w:val="17"/>
          <w:szCs w:val="17"/>
          <w:color w:val="auto"/>
        </w:rPr>
        <w:t>Our proxy access bylaw and aggregation limit are consistent with current proxy access provisions of the overwhelming majority of companies that have adopted proxy access bylaws. According to a recent survey of public companies that have adopted or modified proxy access since January 1, 2015, more than 90% have adopted a 20-stockholder aggregation limit.</w:t>
      </w:r>
    </w:p>
    <w:p>
      <w:pPr>
        <w:spacing w:after="0" w:line="165" w:lineRule="exact"/>
        <w:rPr>
          <w:rFonts w:ascii="Arial" w:cs="Arial" w:eastAsia="Arial" w:hAnsi="Arial"/>
          <w:sz w:val="17"/>
          <w:szCs w:val="17"/>
          <w:color w:val="012E6C"/>
        </w:rPr>
      </w:pPr>
    </w:p>
    <w:p>
      <w:pPr>
        <w:ind w:left="320" w:right="40" w:hanging="163"/>
        <w:spacing w:after="0" w:line="239" w:lineRule="auto"/>
        <w:tabs>
          <w:tab w:leader="none" w:pos="408" w:val="left"/>
        </w:tabs>
        <w:numPr>
          <w:ilvl w:val="0"/>
          <w:numId w:val="91"/>
        </w:numPr>
        <w:rPr>
          <w:rFonts w:ascii="Arial" w:cs="Arial" w:eastAsia="Arial" w:hAnsi="Arial"/>
          <w:sz w:val="17"/>
          <w:szCs w:val="17"/>
          <w:color w:val="012E6C"/>
        </w:rPr>
      </w:pPr>
      <w:r>
        <w:rPr>
          <w:rFonts w:ascii="Arial" w:cs="Arial" w:eastAsia="Arial" w:hAnsi="Arial"/>
          <w:sz w:val="17"/>
          <w:szCs w:val="17"/>
          <w:color w:val="auto"/>
        </w:rPr>
        <w:t>The 20-stockholder aggregation limit is not a meaningful impediment to Lockheed Martin stockholders who wish to satisfy the 3% requirement by combining their shares. The largest 20 institutional stockholders of the Corporation as a group held approximately 40% of our outstanding shares according to their filings with the Securities and Exchange Commission, including several who individually owned more than 3% and more than 50 who owned more than 0.15% (which is the average ownership needed for 20 stockholders to aggregate to 3%). Accordingly, numerous combinations of our top stockholders could aggregate their holdings to reach 3% ownership. In addition, our proxy access bylaw counts individual funds within the same fund family (under common management and investment control) as a single stockholder for purposes of the aggregation limit, making it easier to satisfy the 3% requirement.</w:t>
      </w:r>
    </w:p>
    <w:p>
      <w:pPr>
        <w:spacing w:after="0" w:line="176" w:lineRule="exact"/>
        <w:rPr>
          <w:rFonts w:ascii="Arial" w:cs="Arial" w:eastAsia="Arial" w:hAnsi="Arial"/>
          <w:sz w:val="17"/>
          <w:szCs w:val="17"/>
          <w:color w:val="012E6C"/>
        </w:rPr>
      </w:pPr>
    </w:p>
    <w:p>
      <w:pPr>
        <w:ind w:left="320" w:right="80" w:hanging="163"/>
        <w:spacing w:after="0" w:line="237" w:lineRule="auto"/>
        <w:tabs>
          <w:tab w:leader="none" w:pos="408" w:val="left"/>
        </w:tabs>
        <w:numPr>
          <w:ilvl w:val="0"/>
          <w:numId w:val="91"/>
        </w:numPr>
        <w:rPr>
          <w:rFonts w:ascii="Arial" w:cs="Arial" w:eastAsia="Arial" w:hAnsi="Arial"/>
          <w:sz w:val="17"/>
          <w:szCs w:val="17"/>
          <w:color w:val="012E6C"/>
        </w:rPr>
      </w:pPr>
      <w:r>
        <w:rPr>
          <w:rFonts w:ascii="Arial" w:cs="Arial" w:eastAsia="Arial" w:hAnsi="Arial"/>
          <w:sz w:val="17"/>
          <w:szCs w:val="17"/>
          <w:color w:val="auto"/>
        </w:rPr>
        <w:t>We have a long-standing commitment to sound corporate governance practices and an active investor engagement program. At the direction of the Board, the Corporation engages directly with its stockholders throughout the year to seek their views on an array of issues, including corporate governance matters. In addition to adopting proxy access, following engagement with many of our largest stockholders, in December 2017 the Board proactively amended the Corporation's Bylaws to provide that the stockholders have the power to amend the Corporation's Bylaws. Stockholders also have the right to call a special meeting. Our Board has also demonstrated its commitment to Board refreshment and to the election of highly qualified independent directors who bring diverse perspectives to our Board with skills that are aligned with our long-term business strategy. All directors are elected annually by our stockholders and we provide for majority voting for directors with a resignation policy. Over the past five years six new independent directors have been added to the Board and the average tenure of the Board has decreased to six years. In 2019, the Board also elected a new independent Lead Director to replace Nolan Archibald when he retires from the Board at the Annual Meeting.</w:t>
      </w:r>
    </w:p>
    <w:p>
      <w:pPr>
        <w:spacing w:after="0" w:line="177" w:lineRule="exact"/>
        <w:rPr>
          <w:sz w:val="20"/>
          <w:szCs w:val="20"/>
          <w:color w:val="auto"/>
        </w:rPr>
      </w:pPr>
    </w:p>
    <w:p>
      <w:pPr>
        <w:ind w:left="80" w:right="540"/>
        <w:spacing w:after="0" w:line="275" w:lineRule="auto"/>
        <w:rPr>
          <w:sz w:val="20"/>
          <w:szCs w:val="20"/>
          <w:color w:val="auto"/>
        </w:rPr>
      </w:pPr>
      <w:r>
        <w:rPr>
          <w:rFonts w:ascii="Arial" w:cs="Arial" w:eastAsia="Arial" w:hAnsi="Arial"/>
          <w:sz w:val="17"/>
          <w:szCs w:val="17"/>
          <w:color w:val="auto"/>
        </w:rPr>
        <w:t>The Board will continue to review best corporate governance practices and adopt those practices and procedures that it believes, in light of the circumstances, serve the best interests of the Corporation and our stockholders.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9380" w:val="left"/>
          <w:tab w:leader="none" w:pos="1118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2019 Proxy Statement</w:t>
      </w:r>
      <w:r>
        <w:rPr>
          <w:sz w:val="20"/>
          <w:szCs w:val="20"/>
          <w:color w:val="auto"/>
        </w:rPr>
        <w:tab/>
      </w:r>
      <w:r>
        <w:rPr>
          <w:rFonts w:ascii="Arial" w:cs="Arial" w:eastAsia="Arial" w:hAnsi="Arial"/>
          <w:sz w:val="14"/>
          <w:szCs w:val="14"/>
          <w:b w:val="1"/>
          <w:bCs w:val="1"/>
          <w:color w:val="808080"/>
        </w:rPr>
        <w:t>75</w:t>
      </w:r>
    </w:p>
    <w:p>
      <w:pPr>
        <w:sectPr>
          <w:pgSz w:w="11900" w:h="16838" w:orient="portrait"/>
          <w:cols w:equalWidth="0" w:num="1">
            <w:col w:w="11380"/>
          </w:cols>
          <w:pgMar w:left="280" w:top="292" w:right="239" w:bottom="1440" w:gutter="0" w:footer="0" w:header="0"/>
        </w:sectPr>
      </w:pPr>
    </w:p>
    <w:bookmarkStart w:id="78" w:name="page79"/>
    <w:bookmarkEnd w:id="78"/>
    <w:p>
      <w:pPr>
        <w:spacing w:after="0"/>
        <w:rPr>
          <w:sz w:val="20"/>
          <w:szCs w:val="20"/>
          <w:color w:val="auto"/>
        </w:rPr>
      </w:pPr>
      <w:r>
        <w:rPr>
          <w:rFonts w:ascii="Arial" w:cs="Arial" w:eastAsia="Arial" w:hAnsi="Arial"/>
          <w:sz w:val="43"/>
          <w:szCs w:val="43"/>
          <w:color w:val="012E6C"/>
        </w:rPr>
        <w:t>Questions and Answers About the Annual Meeting</w:t>
      </w:r>
    </w:p>
    <w:p>
      <w:pPr>
        <w:spacing w:after="0" w:line="341" w:lineRule="exact"/>
        <w:rPr>
          <w:sz w:val="20"/>
          <w:szCs w:val="20"/>
          <w:color w:val="auto"/>
        </w:rPr>
      </w:pPr>
    </w:p>
    <w:p>
      <w:pPr>
        <w:spacing w:after="0"/>
        <w:rPr>
          <w:sz w:val="20"/>
          <w:szCs w:val="20"/>
          <w:color w:val="auto"/>
        </w:rPr>
      </w:pPr>
      <w:r>
        <w:rPr>
          <w:rFonts w:ascii="Arial" w:cs="Arial" w:eastAsia="Arial" w:hAnsi="Arial"/>
          <w:sz w:val="29"/>
          <w:szCs w:val="29"/>
          <w:b w:val="1"/>
          <w:bCs w:val="1"/>
          <w:color w:val="012E6C"/>
        </w:rPr>
        <w:t>Do I need an admission ticket to attend the Annual Meeting?</w:t>
      </w:r>
    </w:p>
    <w:p>
      <w:pPr>
        <w:spacing w:after="0" w:line="25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Yes. You (and one family member guest) must present both an admission ticket and valid, government-issued photographic identification to attend the Annual Meeting. Please follow the advance registration instructions on page 82. Anyone not presenting an admission ticket and valid, government-issued photographic identification, will not be admitted into the Annual Meeting.</w:t>
      </w:r>
    </w:p>
    <w:p>
      <w:pPr>
        <w:spacing w:after="0" w:line="136" w:lineRule="exact"/>
        <w:rPr>
          <w:sz w:val="20"/>
          <w:szCs w:val="20"/>
          <w:color w:val="auto"/>
        </w:rPr>
      </w:pPr>
    </w:p>
    <w:p>
      <w:pPr>
        <w:spacing w:after="0"/>
        <w:rPr>
          <w:sz w:val="20"/>
          <w:szCs w:val="20"/>
          <w:color w:val="auto"/>
        </w:rPr>
      </w:pPr>
      <w:r>
        <w:rPr>
          <w:rFonts w:ascii="Arial" w:cs="Arial" w:eastAsia="Arial" w:hAnsi="Arial"/>
          <w:sz w:val="29"/>
          <w:szCs w:val="29"/>
          <w:b w:val="1"/>
          <w:bCs w:val="1"/>
          <w:color w:val="012E6C"/>
        </w:rPr>
        <w:t>Who is entitled to vote at the Annual Meeting?</w:t>
      </w:r>
    </w:p>
    <w:p>
      <w:pPr>
        <w:spacing w:after="0" w:line="250"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Holders of our common stock at the close of business on February 22, 2019 (the “Record Date”) are entitled to attend and vote their shares at the Annual Meeting. As of the Record Date, there were 282,807,688 shares outstanding. Each share outstanding on the Record Date is entitled to one vote on each proposal presented at the Annual Meeting. This includes shares held through Lockheed Martin Direct Invest, our dividend reinvestment and stock purchase plan, and through our employee benefit plans. Your proxy card shows the number of shares held in your account(s) as of the Record Date.</w:t>
      </w:r>
    </w:p>
    <w:p>
      <w:pPr>
        <w:spacing w:after="0" w:line="143" w:lineRule="exact"/>
        <w:rPr>
          <w:sz w:val="20"/>
          <w:szCs w:val="20"/>
          <w:color w:val="auto"/>
        </w:rPr>
      </w:pPr>
    </w:p>
    <w:p>
      <w:pPr>
        <w:ind w:right="240"/>
        <w:spacing w:after="0" w:line="297" w:lineRule="auto"/>
        <w:rPr>
          <w:sz w:val="20"/>
          <w:szCs w:val="20"/>
          <w:color w:val="auto"/>
        </w:rPr>
      </w:pPr>
      <w:r>
        <w:rPr>
          <w:rFonts w:ascii="Arial" w:cs="Arial" w:eastAsia="Arial" w:hAnsi="Arial"/>
          <w:sz w:val="29"/>
          <w:szCs w:val="29"/>
          <w:b w:val="1"/>
          <w:bCs w:val="1"/>
          <w:color w:val="012E6C"/>
        </w:rPr>
        <w:t>What is the difference between holding shares as a registered stockholder and as a beneficial owner?</w:t>
      </w:r>
    </w:p>
    <w:p>
      <w:pPr>
        <w:spacing w:after="0" w:line="95"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If your shares are registered directly in your name with our transfer agent, Computershare Trust Company, N.A. (Computershare), you are considered the “registered stockholder” of those shares. We mail the Proxy Materials and our Annual Report to you directly.</w:t>
      </w:r>
    </w:p>
    <w:p>
      <w:pPr>
        <w:spacing w:after="0" w:line="14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If your shares are held in a stock brokerage account or by a bank or other nominee (street name), you are considered the “beneficial owner” of the shares that are registered in street name. In this case, the Proxy Materials and our Annual Report were forwarded to you by your broker, bank or other nominee. As the beneficial owner, you have the right to direct your broker, bank or other nominee how to vote your shares by following the voting instructions included in the mailing.</w:t>
      </w:r>
    </w:p>
    <w:p>
      <w:pPr>
        <w:spacing w:after="0" w:line="17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Employees with shares allocated to an employee benefit plan account will vote shares allocated to their benefit plan account electronically and will not receive a paper mailing for those shares. Employees should review the information on procedures for voting by plan participants on page 78.</w:t>
      </w:r>
    </w:p>
    <w:p>
      <w:pPr>
        <w:spacing w:after="0" w:line="117" w:lineRule="exact"/>
        <w:rPr>
          <w:sz w:val="20"/>
          <w:szCs w:val="20"/>
          <w:color w:val="auto"/>
        </w:rPr>
      </w:pPr>
    </w:p>
    <w:p>
      <w:pPr>
        <w:spacing w:after="0"/>
        <w:rPr>
          <w:sz w:val="20"/>
          <w:szCs w:val="20"/>
          <w:color w:val="auto"/>
        </w:rPr>
      </w:pPr>
      <w:r>
        <w:rPr>
          <w:rFonts w:ascii="Arial" w:cs="Arial" w:eastAsia="Arial" w:hAnsi="Arial"/>
          <w:sz w:val="29"/>
          <w:szCs w:val="29"/>
          <w:b w:val="1"/>
          <w:bCs w:val="1"/>
          <w:color w:val="012E6C"/>
        </w:rPr>
        <w:t>What am I voting on and what are the Board voting recommendations?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Our stockholders will be voting on the following proposals if properly presented:</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40" w:type="dxa"/>
            <w:vAlign w:val="bottom"/>
            <w:vMerge w:val="restart"/>
            <w:shd w:val="clear" w:color="auto" w:fill="ECECEC"/>
          </w:tcPr>
          <w:p>
            <w:pPr>
              <w:ind w:left="40"/>
              <w:spacing w:after="0"/>
              <w:rPr>
                <w:sz w:val="20"/>
                <w:szCs w:val="20"/>
                <w:color w:val="auto"/>
              </w:rPr>
            </w:pPr>
            <w:r>
              <w:rPr>
                <w:rFonts w:ascii="Arial" w:cs="Arial" w:eastAsia="Arial" w:hAnsi="Arial"/>
                <w:sz w:val="13"/>
                <w:szCs w:val="13"/>
                <w:color w:val="auto"/>
              </w:rPr>
              <w:t>Proposal</w:t>
            </w:r>
          </w:p>
        </w:tc>
        <w:tc>
          <w:tcPr>
            <w:tcW w:w="7300" w:type="dxa"/>
            <w:vAlign w:val="bottom"/>
            <w:vMerge w:val="restart"/>
            <w:shd w:val="clear" w:color="auto" w:fill="ECECEC"/>
          </w:tcPr>
          <w:p>
            <w:pPr>
              <w:ind w:left="220"/>
              <w:spacing w:after="0"/>
              <w:rPr>
                <w:sz w:val="20"/>
                <w:szCs w:val="20"/>
                <w:color w:val="auto"/>
              </w:rPr>
            </w:pPr>
            <w:r>
              <w:rPr>
                <w:rFonts w:ascii="Arial" w:cs="Arial" w:eastAsia="Arial" w:hAnsi="Arial"/>
                <w:sz w:val="13"/>
                <w:szCs w:val="13"/>
                <w:color w:val="auto"/>
              </w:rPr>
              <w:t>Description</w:t>
            </w:r>
          </w:p>
        </w:tc>
        <w:tc>
          <w:tcPr>
            <w:tcW w:w="2920" w:type="dxa"/>
            <w:vAlign w:val="bottom"/>
            <w:shd w:val="clear" w:color="auto" w:fill="ECECEC"/>
          </w:tcPr>
          <w:p>
            <w:pPr>
              <w:jc w:val="right"/>
              <w:ind w:right="71"/>
              <w:spacing w:after="0"/>
              <w:rPr>
                <w:sz w:val="20"/>
                <w:szCs w:val="20"/>
                <w:color w:val="auto"/>
              </w:rPr>
            </w:pPr>
            <w:r>
              <w:rPr>
                <w:rFonts w:ascii="Arial" w:cs="Arial" w:eastAsia="Arial" w:hAnsi="Arial"/>
                <w:sz w:val="13"/>
                <w:szCs w:val="13"/>
                <w:color w:val="auto"/>
              </w:rPr>
              <w:t>Board Voting</w:t>
            </w:r>
          </w:p>
        </w:tc>
        <w:tc>
          <w:tcPr>
            <w:tcW w:w="460" w:type="dxa"/>
            <w:vAlign w:val="bottom"/>
            <w:vMerge w:val="restart"/>
            <w:shd w:val="clear" w:color="auto" w:fill="ECECEC"/>
          </w:tcPr>
          <w:p>
            <w:pPr>
              <w:jc w:val="right"/>
              <w:spacing w:after="0"/>
              <w:rPr>
                <w:sz w:val="20"/>
                <w:szCs w:val="20"/>
                <w:color w:val="auto"/>
              </w:rPr>
            </w:pPr>
            <w:r>
              <w:rPr>
                <w:rFonts w:ascii="Arial" w:cs="Arial" w:eastAsia="Arial" w:hAnsi="Arial"/>
                <w:sz w:val="13"/>
                <w:szCs w:val="13"/>
                <w:color w:val="auto"/>
              </w:rPr>
              <w:t>Page</w:t>
            </w:r>
          </w:p>
        </w:tc>
        <w:tc>
          <w:tcPr>
            <w:tcW w:w="0" w:type="dxa"/>
            <w:vAlign w:val="bottom"/>
          </w:tcPr>
          <w:p>
            <w:pPr>
              <w:spacing w:after="0"/>
              <w:rPr>
                <w:sz w:val="1"/>
                <w:szCs w:val="1"/>
                <w:color w:val="auto"/>
              </w:rPr>
            </w:pPr>
          </w:p>
        </w:tc>
      </w:tr>
      <w:tr>
        <w:trPr>
          <w:trHeight w:val="178"/>
        </w:trPr>
        <w:tc>
          <w:tcPr>
            <w:tcW w:w="740" w:type="dxa"/>
            <w:vAlign w:val="bottom"/>
            <w:tcBorders>
              <w:bottom w:val="single" w:sz="8" w:color="959595"/>
            </w:tcBorders>
            <w:vMerge w:val="continue"/>
            <w:shd w:val="clear" w:color="auto" w:fill="ECECEC"/>
          </w:tcPr>
          <w:p>
            <w:pPr>
              <w:spacing w:after="0"/>
              <w:rPr>
                <w:sz w:val="15"/>
                <w:szCs w:val="15"/>
                <w:color w:val="auto"/>
              </w:rPr>
            </w:pPr>
          </w:p>
        </w:tc>
        <w:tc>
          <w:tcPr>
            <w:tcW w:w="7300" w:type="dxa"/>
            <w:vAlign w:val="bottom"/>
            <w:tcBorders>
              <w:bottom w:val="single" w:sz="8" w:color="959595"/>
            </w:tcBorders>
            <w:vMerge w:val="continue"/>
            <w:shd w:val="clear" w:color="auto" w:fill="ECECEC"/>
          </w:tcPr>
          <w:p>
            <w:pPr>
              <w:spacing w:after="0"/>
              <w:rPr>
                <w:sz w:val="15"/>
                <w:szCs w:val="15"/>
                <w:color w:val="auto"/>
              </w:rPr>
            </w:pPr>
          </w:p>
        </w:tc>
        <w:tc>
          <w:tcPr>
            <w:tcW w:w="2920" w:type="dxa"/>
            <w:vAlign w:val="bottom"/>
            <w:tcBorders>
              <w:bottom w:val="single" w:sz="8" w:color="959595"/>
            </w:tcBorders>
            <w:shd w:val="clear" w:color="auto" w:fill="ECECEC"/>
          </w:tcPr>
          <w:p>
            <w:pPr>
              <w:jc w:val="right"/>
              <w:ind w:right="71"/>
              <w:spacing w:after="0"/>
              <w:rPr>
                <w:sz w:val="20"/>
                <w:szCs w:val="20"/>
                <w:color w:val="auto"/>
              </w:rPr>
            </w:pPr>
            <w:r>
              <w:rPr>
                <w:rFonts w:ascii="Arial" w:cs="Arial" w:eastAsia="Arial" w:hAnsi="Arial"/>
                <w:sz w:val="13"/>
                <w:szCs w:val="13"/>
                <w:color w:val="auto"/>
              </w:rPr>
              <w:t>Recommendations</w:t>
            </w:r>
          </w:p>
        </w:tc>
        <w:tc>
          <w:tcPr>
            <w:tcW w:w="460" w:type="dxa"/>
            <w:vAlign w:val="bottom"/>
            <w:tcBorders>
              <w:bottom w:val="single" w:sz="8" w:color="959595"/>
            </w:tcBorders>
            <w:vMerge w:val="continue"/>
            <w:shd w:val="clear" w:color="auto" w:fill="ECECEC"/>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40" w:type="dxa"/>
            <w:vAlign w:val="bottom"/>
          </w:tcPr>
          <w:p>
            <w:pPr>
              <w:ind w:left="40"/>
              <w:spacing w:after="0"/>
              <w:rPr>
                <w:sz w:val="20"/>
                <w:szCs w:val="20"/>
                <w:color w:val="auto"/>
              </w:rPr>
            </w:pPr>
            <w:r>
              <w:rPr>
                <w:rFonts w:ascii="Arial" w:cs="Arial" w:eastAsia="Arial" w:hAnsi="Arial"/>
                <w:sz w:val="14"/>
                <w:szCs w:val="14"/>
                <w:b w:val="1"/>
                <w:bCs w:val="1"/>
                <w:color w:val="auto"/>
              </w:rPr>
              <w:t>1</w:t>
            </w:r>
          </w:p>
        </w:tc>
        <w:tc>
          <w:tcPr>
            <w:tcW w:w="7300" w:type="dxa"/>
            <w:vAlign w:val="bottom"/>
          </w:tcPr>
          <w:p>
            <w:pPr>
              <w:ind w:left="220"/>
              <w:spacing w:after="0"/>
              <w:rPr>
                <w:sz w:val="20"/>
                <w:szCs w:val="20"/>
                <w:color w:val="auto"/>
              </w:rPr>
            </w:pPr>
            <w:r>
              <w:rPr>
                <w:rFonts w:ascii="Arial" w:cs="Arial" w:eastAsia="Arial" w:hAnsi="Arial"/>
                <w:sz w:val="14"/>
                <w:szCs w:val="14"/>
                <w:color w:val="auto"/>
              </w:rPr>
              <w:t>Election of Directors</w:t>
            </w:r>
          </w:p>
        </w:tc>
        <w:tc>
          <w:tcPr>
            <w:tcW w:w="2920" w:type="dxa"/>
            <w:vAlign w:val="bottom"/>
          </w:tcPr>
          <w:p>
            <w:pPr>
              <w:jc w:val="right"/>
              <w:ind w:right="111"/>
              <w:spacing w:after="0"/>
              <w:rPr>
                <w:sz w:val="20"/>
                <w:szCs w:val="20"/>
                <w:color w:val="auto"/>
              </w:rPr>
            </w:pPr>
            <w:r>
              <w:rPr>
                <w:rFonts w:ascii="Arial" w:cs="Arial" w:eastAsia="Arial" w:hAnsi="Arial"/>
                <w:sz w:val="14"/>
                <w:szCs w:val="14"/>
                <w:b w:val="1"/>
                <w:bCs w:val="1"/>
                <w:color w:val="auto"/>
              </w:rPr>
              <w:t>FOR ALL DIRECTOR-</w:t>
            </w:r>
          </w:p>
        </w:tc>
        <w:tc>
          <w:tcPr>
            <w:tcW w:w="46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3"/>
        </w:trPr>
        <w:tc>
          <w:tcPr>
            <w:tcW w:w="740" w:type="dxa"/>
            <w:vAlign w:val="bottom"/>
            <w:tcBorders>
              <w:bottom w:val="single" w:sz="8" w:color="959595"/>
            </w:tcBorders>
          </w:tcPr>
          <w:p>
            <w:pPr>
              <w:spacing w:after="0"/>
              <w:rPr>
                <w:sz w:val="17"/>
                <w:szCs w:val="17"/>
                <w:color w:val="auto"/>
              </w:rPr>
            </w:pPr>
          </w:p>
        </w:tc>
        <w:tc>
          <w:tcPr>
            <w:tcW w:w="7300" w:type="dxa"/>
            <w:vAlign w:val="bottom"/>
            <w:tcBorders>
              <w:bottom w:val="single" w:sz="8" w:color="959595"/>
            </w:tcBorders>
          </w:tcPr>
          <w:p>
            <w:pPr>
              <w:spacing w:after="0"/>
              <w:rPr>
                <w:sz w:val="17"/>
                <w:szCs w:val="17"/>
                <w:color w:val="auto"/>
              </w:rPr>
            </w:pPr>
          </w:p>
        </w:tc>
        <w:tc>
          <w:tcPr>
            <w:tcW w:w="2920" w:type="dxa"/>
            <w:vAlign w:val="bottom"/>
            <w:tcBorders>
              <w:bottom w:val="single" w:sz="8" w:color="959595"/>
            </w:tcBorders>
          </w:tcPr>
          <w:p>
            <w:pPr>
              <w:jc w:val="right"/>
              <w:ind w:right="71"/>
              <w:spacing w:after="0"/>
              <w:rPr>
                <w:sz w:val="20"/>
                <w:szCs w:val="20"/>
                <w:color w:val="auto"/>
              </w:rPr>
            </w:pPr>
            <w:r>
              <w:rPr>
                <w:rFonts w:ascii="Arial" w:cs="Arial" w:eastAsia="Arial" w:hAnsi="Arial"/>
                <w:sz w:val="14"/>
                <w:szCs w:val="14"/>
                <w:b w:val="1"/>
                <w:bCs w:val="1"/>
                <w:color w:val="auto"/>
              </w:rPr>
              <w:t>NOMINEES</w:t>
            </w:r>
          </w:p>
        </w:tc>
        <w:tc>
          <w:tcPr>
            <w:tcW w:w="460" w:type="dxa"/>
            <w:vAlign w:val="bottom"/>
            <w:tcBorders>
              <w:bottom w:val="single" w:sz="8" w:color="959595"/>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4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auto"/>
              </w:rPr>
              <w:t>2</w:t>
            </w:r>
          </w:p>
        </w:tc>
        <w:tc>
          <w:tcPr>
            <w:tcW w:w="7300" w:type="dxa"/>
            <w:vAlign w:val="bottom"/>
            <w:tcBorders>
              <w:bottom w:val="single" w:sz="8" w:color="959595"/>
            </w:tcBorders>
          </w:tcPr>
          <w:p>
            <w:pPr>
              <w:ind w:left="220"/>
              <w:spacing w:after="0"/>
              <w:rPr>
                <w:sz w:val="20"/>
                <w:szCs w:val="20"/>
                <w:color w:val="auto"/>
              </w:rPr>
            </w:pPr>
            <w:r>
              <w:rPr>
                <w:rFonts w:ascii="Arial" w:cs="Arial" w:eastAsia="Arial" w:hAnsi="Arial"/>
                <w:sz w:val="14"/>
                <w:szCs w:val="14"/>
                <w:color w:val="auto"/>
              </w:rPr>
              <w:t>Ratification of Appointment of Ernst &amp; Young LLP as Independent Auditors for 2019</w:t>
            </w:r>
          </w:p>
        </w:tc>
        <w:tc>
          <w:tcPr>
            <w:tcW w:w="2920" w:type="dxa"/>
            <w:vAlign w:val="bottom"/>
            <w:tcBorders>
              <w:bottom w:val="single" w:sz="8" w:color="959595"/>
            </w:tcBorders>
          </w:tcPr>
          <w:p>
            <w:pPr>
              <w:jc w:val="right"/>
              <w:ind w:right="71"/>
              <w:spacing w:after="0"/>
              <w:rPr>
                <w:sz w:val="20"/>
                <w:szCs w:val="20"/>
                <w:color w:val="auto"/>
              </w:rPr>
            </w:pPr>
            <w:r>
              <w:rPr>
                <w:rFonts w:ascii="Arial" w:cs="Arial" w:eastAsia="Arial" w:hAnsi="Arial"/>
                <w:sz w:val="14"/>
                <w:szCs w:val="14"/>
                <w:b w:val="1"/>
                <w:bCs w:val="1"/>
                <w:color w:val="auto"/>
              </w:rPr>
              <w:t>FOR</w:t>
            </w:r>
          </w:p>
        </w:tc>
        <w:tc>
          <w:tcPr>
            <w:tcW w:w="4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10"/>
        </w:trPr>
        <w:tc>
          <w:tcPr>
            <w:tcW w:w="74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auto"/>
              </w:rPr>
              <w:t>3</w:t>
            </w:r>
          </w:p>
        </w:tc>
        <w:tc>
          <w:tcPr>
            <w:tcW w:w="7300" w:type="dxa"/>
            <w:vAlign w:val="bottom"/>
            <w:tcBorders>
              <w:bottom w:val="single" w:sz="8" w:color="959595"/>
            </w:tcBorders>
          </w:tcPr>
          <w:p>
            <w:pPr>
              <w:ind w:left="220"/>
              <w:spacing w:after="0"/>
              <w:rPr>
                <w:sz w:val="20"/>
                <w:szCs w:val="20"/>
                <w:color w:val="auto"/>
              </w:rPr>
            </w:pPr>
            <w:r>
              <w:rPr>
                <w:rFonts w:ascii="Arial" w:cs="Arial" w:eastAsia="Arial" w:hAnsi="Arial"/>
                <w:sz w:val="14"/>
                <w:szCs w:val="14"/>
                <w:color w:val="auto"/>
              </w:rPr>
              <w:t>Advisory Vote to Approve the Compensation of our Named Executive Officers (Say-on-Pay)</w:t>
            </w:r>
          </w:p>
        </w:tc>
        <w:tc>
          <w:tcPr>
            <w:tcW w:w="2920" w:type="dxa"/>
            <w:vAlign w:val="bottom"/>
            <w:tcBorders>
              <w:bottom w:val="single" w:sz="8" w:color="959595"/>
            </w:tcBorders>
          </w:tcPr>
          <w:p>
            <w:pPr>
              <w:jc w:val="right"/>
              <w:ind w:right="71"/>
              <w:spacing w:after="0"/>
              <w:rPr>
                <w:sz w:val="20"/>
                <w:szCs w:val="20"/>
                <w:color w:val="auto"/>
              </w:rPr>
            </w:pPr>
            <w:r>
              <w:rPr>
                <w:rFonts w:ascii="Arial" w:cs="Arial" w:eastAsia="Arial" w:hAnsi="Arial"/>
                <w:sz w:val="14"/>
                <w:szCs w:val="14"/>
                <w:b w:val="1"/>
                <w:bCs w:val="1"/>
                <w:color w:val="auto"/>
              </w:rPr>
              <w:t>FOR</w:t>
            </w:r>
          </w:p>
        </w:tc>
        <w:tc>
          <w:tcPr>
            <w:tcW w:w="4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10"/>
        </w:trPr>
        <w:tc>
          <w:tcPr>
            <w:tcW w:w="74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auto"/>
              </w:rPr>
              <w:t>4</w:t>
            </w:r>
          </w:p>
        </w:tc>
        <w:tc>
          <w:tcPr>
            <w:tcW w:w="7300" w:type="dxa"/>
            <w:vAlign w:val="bottom"/>
            <w:tcBorders>
              <w:bottom w:val="single" w:sz="8" w:color="959595"/>
            </w:tcBorders>
          </w:tcPr>
          <w:p>
            <w:pPr>
              <w:ind w:left="220"/>
              <w:spacing w:after="0"/>
              <w:rPr>
                <w:sz w:val="20"/>
                <w:szCs w:val="20"/>
                <w:color w:val="auto"/>
              </w:rPr>
            </w:pPr>
            <w:r>
              <w:rPr>
                <w:rFonts w:ascii="Arial" w:cs="Arial" w:eastAsia="Arial" w:hAnsi="Arial"/>
                <w:sz w:val="14"/>
                <w:szCs w:val="14"/>
                <w:color w:val="auto"/>
              </w:rPr>
              <w:t>Stockholder Proposal to Amend the Proxy Access Bylaw</w:t>
            </w:r>
          </w:p>
        </w:tc>
        <w:tc>
          <w:tcPr>
            <w:tcW w:w="2920" w:type="dxa"/>
            <w:vAlign w:val="bottom"/>
            <w:tcBorders>
              <w:bottom w:val="single" w:sz="8" w:color="959595"/>
            </w:tcBorders>
          </w:tcPr>
          <w:p>
            <w:pPr>
              <w:jc w:val="right"/>
              <w:ind w:right="71"/>
              <w:spacing w:after="0"/>
              <w:rPr>
                <w:sz w:val="20"/>
                <w:szCs w:val="20"/>
                <w:color w:val="auto"/>
              </w:rPr>
            </w:pPr>
            <w:r>
              <w:rPr>
                <w:rFonts w:ascii="Arial" w:cs="Arial" w:eastAsia="Arial" w:hAnsi="Arial"/>
                <w:sz w:val="14"/>
                <w:szCs w:val="14"/>
                <w:b w:val="1"/>
                <w:bCs w:val="1"/>
                <w:color w:val="auto"/>
              </w:rPr>
              <w:t>AGAINST</w:t>
            </w:r>
          </w:p>
        </w:tc>
        <w:tc>
          <w:tcPr>
            <w:tcW w:w="4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394335</wp:posOffset>
            </wp:positionV>
            <wp:extent cx="1440815" cy="3257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44081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808080"/>
        </w:rPr>
        <w:t>76</w:t>
      </w:r>
    </w:p>
    <w:p>
      <w:pPr>
        <w:sectPr>
          <w:pgSz w:w="11900" w:h="16838" w:orient="portrait"/>
          <w:cols w:equalWidth="0" w:num="1">
            <w:col w:w="11420"/>
          </w:cols>
          <w:pgMar w:left="240" w:top="341"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5"/>
          <w:szCs w:val="15"/>
          <w:color w:val="003478"/>
        </w:rPr>
        <w:t>Questions and Answers About the Annual Meeting</w:t>
      </w:r>
    </w:p>
    <w:p>
      <w:pPr>
        <w:spacing w:after="0" w:line="334" w:lineRule="exact"/>
        <w:rPr>
          <w:sz w:val="20"/>
          <w:szCs w:val="20"/>
          <w:color w:val="auto"/>
        </w:rPr>
      </w:pPr>
    </w:p>
    <w:p>
      <w:pPr>
        <w:spacing w:after="0"/>
        <w:rPr>
          <w:sz w:val="20"/>
          <w:szCs w:val="20"/>
          <w:color w:val="auto"/>
        </w:rPr>
      </w:pPr>
      <w:r>
        <w:rPr>
          <w:rFonts w:ascii="Arial" w:cs="Arial" w:eastAsia="Arial" w:hAnsi="Arial"/>
          <w:sz w:val="29"/>
          <w:szCs w:val="29"/>
          <w:b w:val="1"/>
          <w:bCs w:val="1"/>
          <w:color w:val="012E6C"/>
        </w:rPr>
        <w:t>Can other matters be decided at the Annual Meeting?</w:t>
      </w:r>
    </w:p>
    <w:p>
      <w:pPr>
        <w:spacing w:after="0" w:line="25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At the time this Proxy Statement went to press, we were not aware of any other matters to be presented at the Annual Meeting. If other matters are properly presented for consideration at the Annual Meeting, the proxy holders appointed by our Board (who are named on your proxy card if you are a registered stockholder) will have the discretion to vote on those matters in accordance with their best judgment on behalf of stockholders who provide a valid proxy by Internet, by telephone or by mail if you received it by mail.</w:t>
      </w:r>
    </w:p>
    <w:p>
      <w:pPr>
        <w:spacing w:after="0" w:line="142" w:lineRule="exact"/>
        <w:rPr>
          <w:sz w:val="20"/>
          <w:szCs w:val="20"/>
          <w:color w:val="auto"/>
        </w:rPr>
      </w:pPr>
    </w:p>
    <w:p>
      <w:pPr>
        <w:spacing w:after="0"/>
        <w:rPr>
          <w:sz w:val="20"/>
          <w:szCs w:val="20"/>
          <w:color w:val="auto"/>
        </w:rPr>
      </w:pPr>
      <w:r>
        <w:rPr>
          <w:rFonts w:ascii="Arial" w:cs="Arial" w:eastAsia="Arial" w:hAnsi="Arial"/>
          <w:sz w:val="29"/>
          <w:szCs w:val="29"/>
          <w:b w:val="1"/>
          <w:bCs w:val="1"/>
          <w:color w:val="012E6C"/>
        </w:rPr>
        <w:t>What is the procedure for voting?</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If your shares are registered in your name, you can vote using any of the methods described below.</w:t>
      </w:r>
    </w:p>
    <w:p>
      <w:pPr>
        <w:spacing w:after="0" w:line="237" w:lineRule="exact"/>
        <w:rPr>
          <w:sz w:val="20"/>
          <w:szCs w:val="20"/>
          <w:color w:val="auto"/>
        </w:rPr>
      </w:pPr>
    </w:p>
    <w:p>
      <w:pPr>
        <w:ind w:left="260" w:right="120" w:hanging="130"/>
        <w:spacing w:after="0" w:line="286" w:lineRule="auto"/>
        <w:tabs>
          <w:tab w:leader="none" w:pos="260" w:val="left"/>
        </w:tabs>
        <w:numPr>
          <w:ilvl w:val="0"/>
          <w:numId w:val="92"/>
        </w:numPr>
        <w:rPr>
          <w:rFonts w:ascii="Arial" w:cs="Arial" w:eastAsia="Arial" w:hAnsi="Arial"/>
          <w:sz w:val="17"/>
          <w:szCs w:val="17"/>
          <w:color w:val="012E6C"/>
        </w:rPr>
      </w:pPr>
      <w:r>
        <w:rPr>
          <w:rFonts w:ascii="Arial" w:cs="Arial" w:eastAsia="Arial" w:hAnsi="Arial"/>
          <w:sz w:val="17"/>
          <w:szCs w:val="17"/>
          <w:color w:val="auto"/>
        </w:rPr>
        <w:t>If your shares are held in the name of a broker, bank, or other nominee, your nominee will provide you with instructions on the procedure for voting your shares. Employees with shares allocated to an employee benefit plan account should review the information on procedures for voting by employees on page 78.</w:t>
      </w:r>
    </w:p>
    <w:p>
      <w:pPr>
        <w:spacing w:after="0" w:line="165" w:lineRule="exact"/>
        <w:rPr>
          <w:rFonts w:ascii="Arial" w:cs="Arial" w:eastAsia="Arial" w:hAnsi="Arial"/>
          <w:sz w:val="17"/>
          <w:szCs w:val="17"/>
          <w:color w:val="012E6C"/>
        </w:rPr>
      </w:pPr>
    </w:p>
    <w:p>
      <w:pPr>
        <w:ind w:left="260" w:right="100" w:hanging="130"/>
        <w:spacing w:after="0" w:line="308" w:lineRule="auto"/>
        <w:tabs>
          <w:tab w:leader="none" w:pos="260" w:val="left"/>
        </w:tabs>
        <w:numPr>
          <w:ilvl w:val="0"/>
          <w:numId w:val="92"/>
        </w:numPr>
        <w:rPr>
          <w:rFonts w:ascii="Arial" w:cs="Arial" w:eastAsia="Arial" w:hAnsi="Arial"/>
          <w:sz w:val="17"/>
          <w:szCs w:val="17"/>
          <w:color w:val="012E6C"/>
        </w:rPr>
      </w:pPr>
      <w:r>
        <w:rPr>
          <w:rFonts w:ascii="Arial" w:cs="Arial" w:eastAsia="Arial" w:hAnsi="Arial"/>
          <w:sz w:val="17"/>
          <w:szCs w:val="17"/>
          <w:color w:val="auto"/>
        </w:rPr>
        <w:t>If you hold shares in multiple accounts, you may receive multiple Proxy Material packages (electronically and/or by mail). Please be sure to vote all of your Lockheed Martin shares in each of your accounts in accordance with the voting instructions you receive.</w:t>
      </w:r>
    </w:p>
    <w:p>
      <w:pPr>
        <w:spacing w:after="0" w:line="131" w:lineRule="exact"/>
        <w:rPr>
          <w:sz w:val="20"/>
          <w:szCs w:val="20"/>
          <w:color w:val="auto"/>
        </w:rPr>
      </w:pPr>
    </w:p>
    <w:p>
      <w:pPr>
        <w:spacing w:after="0"/>
        <w:rPr>
          <w:sz w:val="20"/>
          <w:szCs w:val="20"/>
          <w:color w:val="auto"/>
        </w:rPr>
      </w:pPr>
      <w:r>
        <w:rPr>
          <w:rFonts w:ascii="Arial" w:cs="Arial" w:eastAsia="Arial" w:hAnsi="Arial"/>
          <w:sz w:val="25"/>
          <w:szCs w:val="25"/>
          <w:color w:val="475C90"/>
        </w:rPr>
        <w:t>By Internet or Telephone</w:t>
      </w:r>
    </w:p>
    <w:p>
      <w:pPr>
        <w:spacing w:after="0" w:line="242"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color w:val="auto"/>
        </w:rPr>
        <w:t xml:space="preserve">You can vote your shares via the Internet at </w:t>
      </w:r>
      <w:r>
        <w:rPr>
          <w:rFonts w:ascii="Arial" w:cs="Arial" w:eastAsia="Arial" w:hAnsi="Arial"/>
          <w:sz w:val="17"/>
          <w:szCs w:val="17"/>
          <w:i w:val="1"/>
          <w:iCs w:val="1"/>
          <w:color w:val="auto"/>
        </w:rPr>
        <w:t>www.investorvote.com</w:t>
      </w:r>
      <w:r>
        <w:rPr>
          <w:rFonts w:ascii="Arial" w:cs="Arial" w:eastAsia="Arial" w:hAnsi="Arial"/>
          <w:sz w:val="17"/>
          <w:szCs w:val="17"/>
          <w:color w:val="auto"/>
        </w:rPr>
        <w:t>. Please have your proxy card in hand when you go online. You will have an opportunity to confirm your voting selections before your vote is recorded.</w:t>
      </w:r>
    </w:p>
    <w:p>
      <w:pPr>
        <w:spacing w:after="0" w:line="147"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You can vote your shares by telephone by calling toll free 1-800-652-8683 within the U.S., Canada, and Puerto Rico, or 1-781-575-2300 from other locations. Please have your proxy card in hand when you call. You will have an opportunity to confirm your voting selections before your vote is recorded.</w:t>
      </w:r>
    </w:p>
    <w:p>
      <w:pPr>
        <w:spacing w:after="0" w:line="166"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Internet and telephone voting facilities for registered stockholders will be available 24 hours a day until 1:00 a.m., EDT, on April 25, 2019. If you vote your shares on the Internet or by telephone, you do not have to return your proxy card.</w:t>
      </w:r>
    </w:p>
    <w:p>
      <w:pPr>
        <w:spacing w:after="0" w:line="14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availability of Internet and telephone voting for beneficial owners will depend on the voting processes of your broker, bank or other nominee. You should follow the voting instructions in the materials that you received from your nominee.</w:t>
      </w:r>
    </w:p>
    <w:p>
      <w:pPr>
        <w:spacing w:after="0" w:line="131" w:lineRule="exact"/>
        <w:rPr>
          <w:sz w:val="20"/>
          <w:szCs w:val="20"/>
          <w:color w:val="auto"/>
        </w:rPr>
      </w:pPr>
    </w:p>
    <w:p>
      <w:pPr>
        <w:spacing w:after="0"/>
        <w:rPr>
          <w:sz w:val="20"/>
          <w:szCs w:val="20"/>
          <w:color w:val="auto"/>
        </w:rPr>
      </w:pPr>
      <w:r>
        <w:rPr>
          <w:rFonts w:ascii="Arial" w:cs="Arial" w:eastAsia="Arial" w:hAnsi="Arial"/>
          <w:sz w:val="25"/>
          <w:szCs w:val="25"/>
          <w:color w:val="475C90"/>
        </w:rPr>
        <w:t>By Mail</w:t>
      </w:r>
    </w:p>
    <w:p>
      <w:pPr>
        <w:spacing w:after="0" w:line="242"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If you received your Proxy Materials by mail, mark, date and sign the proxy card and return it in the postage prepaid envelope provided. If voting instructions are provided, shares represented by the proxy card will be voted in accordance with the voting instructions.</w:t>
      </w:r>
    </w:p>
    <w:p>
      <w:pPr>
        <w:spacing w:after="0" w:line="147"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If you want to vote in accordance with the Board’s recommendations, sign, date and return the proxy card without marking it. The named proxy holders will vote signed but unmarked proxy cards in accordance with the Board’s recommendations.</w:t>
      </w:r>
    </w:p>
    <w:p>
      <w:pPr>
        <w:spacing w:after="0" w:line="147" w:lineRule="exact"/>
        <w:rPr>
          <w:sz w:val="20"/>
          <w:szCs w:val="20"/>
          <w:color w:val="auto"/>
        </w:rPr>
      </w:pPr>
    </w:p>
    <w:p>
      <w:pPr>
        <w:ind w:right="840"/>
        <w:spacing w:after="0" w:line="308" w:lineRule="auto"/>
        <w:rPr>
          <w:sz w:val="20"/>
          <w:szCs w:val="20"/>
          <w:color w:val="auto"/>
        </w:rPr>
      </w:pPr>
      <w:r>
        <w:rPr>
          <w:rFonts w:ascii="Arial" w:cs="Arial" w:eastAsia="Arial" w:hAnsi="Arial"/>
          <w:sz w:val="17"/>
          <w:szCs w:val="17"/>
          <w:color w:val="auto"/>
        </w:rPr>
        <w:t>If you are a registered stockholder, and the postage prepaid envelope is missing, please mail your completed proxy card to Lockheed Martin Corporation, c/o Computershare Investor Services, P.O. Box 43116, Providence, RI 02940.</w:t>
      </w:r>
    </w:p>
    <w:p>
      <w:pPr>
        <w:spacing w:after="0" w:line="131" w:lineRule="exact"/>
        <w:rPr>
          <w:sz w:val="20"/>
          <w:szCs w:val="20"/>
          <w:color w:val="auto"/>
        </w:rPr>
      </w:pPr>
    </w:p>
    <w:p>
      <w:pPr>
        <w:spacing w:after="0"/>
        <w:rPr>
          <w:sz w:val="20"/>
          <w:szCs w:val="20"/>
          <w:color w:val="auto"/>
        </w:rPr>
      </w:pPr>
      <w:r>
        <w:rPr>
          <w:rFonts w:ascii="Arial" w:cs="Arial" w:eastAsia="Arial" w:hAnsi="Arial"/>
          <w:sz w:val="25"/>
          <w:szCs w:val="25"/>
          <w:color w:val="475C90"/>
        </w:rPr>
        <w:t>In Person at the Annual Meeting</w:t>
      </w:r>
    </w:p>
    <w:p>
      <w:pPr>
        <w:spacing w:after="0" w:line="242"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All registered stockholders can vote in person at the Annual Meeting. Voting your proxy electronically via the Internet, by telephone or by mail does not limit your right to vote at the Annual Meeting.</w:t>
      </w:r>
    </w:p>
    <w:p>
      <w:pPr>
        <w:spacing w:after="0" w:line="147" w:lineRule="exact"/>
        <w:rPr>
          <w:sz w:val="20"/>
          <w:szCs w:val="20"/>
          <w:color w:val="auto"/>
        </w:rPr>
      </w:pPr>
    </w:p>
    <w:p>
      <w:pPr>
        <w:ind w:left="260" w:right="20" w:hanging="130"/>
        <w:spacing w:after="0" w:line="308" w:lineRule="auto"/>
        <w:tabs>
          <w:tab w:leader="none" w:pos="260" w:val="left"/>
        </w:tabs>
        <w:numPr>
          <w:ilvl w:val="0"/>
          <w:numId w:val="93"/>
        </w:numPr>
        <w:rPr>
          <w:rFonts w:ascii="Arial" w:cs="Arial" w:eastAsia="Arial" w:hAnsi="Arial"/>
          <w:sz w:val="17"/>
          <w:szCs w:val="17"/>
          <w:color w:val="012E6C"/>
        </w:rPr>
      </w:pPr>
      <w:r>
        <w:rPr>
          <w:rFonts w:ascii="Arial" w:cs="Arial" w:eastAsia="Arial" w:hAnsi="Arial"/>
          <w:sz w:val="17"/>
          <w:szCs w:val="17"/>
          <w:color w:val="auto"/>
        </w:rPr>
        <w:t>Designating a proxy. You also can choose to be represented by another person at the Annual Meeting by executing a legally valid proxy designating that person to vote on your behalf. You must properly pre-register your designee by following the instructions on page 82.</w:t>
      </w:r>
    </w:p>
    <w:p>
      <w:pPr>
        <w:spacing w:after="0" w:line="146" w:lineRule="exact"/>
        <w:rPr>
          <w:rFonts w:ascii="Arial" w:cs="Arial" w:eastAsia="Arial" w:hAnsi="Arial"/>
          <w:sz w:val="17"/>
          <w:szCs w:val="17"/>
          <w:color w:val="012E6C"/>
        </w:rPr>
      </w:pPr>
    </w:p>
    <w:p>
      <w:pPr>
        <w:ind w:left="260" w:right="580" w:hanging="130"/>
        <w:spacing w:after="0" w:line="308" w:lineRule="auto"/>
        <w:tabs>
          <w:tab w:leader="none" w:pos="260" w:val="left"/>
        </w:tabs>
        <w:numPr>
          <w:ilvl w:val="0"/>
          <w:numId w:val="93"/>
        </w:numPr>
        <w:rPr>
          <w:rFonts w:ascii="Arial" w:cs="Arial" w:eastAsia="Arial" w:hAnsi="Arial"/>
          <w:sz w:val="17"/>
          <w:szCs w:val="17"/>
          <w:color w:val="012E6C"/>
        </w:rPr>
      </w:pPr>
      <w:r>
        <w:rPr>
          <w:rFonts w:ascii="Arial" w:cs="Arial" w:eastAsia="Arial" w:hAnsi="Arial"/>
          <w:sz w:val="17"/>
          <w:szCs w:val="17"/>
          <w:color w:val="auto"/>
        </w:rPr>
        <w:t>Beneficial owners. If you are a beneficial owner of shares, you must obtain a legally valid proxy from your broker, bank or other nominee and present it to the inspectors of election with your ballot to be able to vote at the Annual Meeting.</w:t>
      </w:r>
    </w:p>
    <w:p>
      <w:pPr>
        <w:spacing w:after="0" w:line="147"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A legal proxy is an authorization from you (if you are a registered stockholder), or your broker, bank or other nominee (if you are a beneficial owner) to vote the shares held in your name or in the nominee’s name that satisfies Maryland law and the SEC requirements for proxies.</w:t>
      </w:r>
    </w:p>
    <w:p>
      <w:pPr>
        <w:sectPr>
          <w:pgSz w:w="11900" w:h="16838" w:orient="portrait"/>
          <w:cols w:equalWidth="0" w:num="1">
            <w:col w:w="11420"/>
          </w:cols>
          <w:pgMar w:left="240" w:top="278" w:right="23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ind w:left="40"/>
        <w:spacing w:after="0"/>
        <w:tabs>
          <w:tab w:leader="none" w:pos="9420" w:val="left"/>
          <w:tab w:leader="none" w:pos="1122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2019 Proxy Statement</w:t>
      </w:r>
      <w:r>
        <w:rPr>
          <w:sz w:val="20"/>
          <w:szCs w:val="20"/>
          <w:color w:val="auto"/>
        </w:rPr>
        <w:tab/>
      </w:r>
      <w:r>
        <w:rPr>
          <w:rFonts w:ascii="Arial" w:cs="Arial" w:eastAsia="Arial" w:hAnsi="Arial"/>
          <w:sz w:val="14"/>
          <w:szCs w:val="14"/>
          <w:b w:val="1"/>
          <w:bCs w:val="1"/>
          <w:color w:val="808080"/>
        </w:rPr>
        <w:t>77</w:t>
      </w:r>
    </w:p>
    <w:p>
      <w:pPr>
        <w:sectPr>
          <w:pgSz w:w="11900" w:h="16838" w:orient="portrait"/>
          <w:cols w:equalWidth="0" w:num="1">
            <w:col w:w="11420"/>
          </w:cols>
          <w:pgMar w:left="240" w:top="278" w:right="239"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15"/>
          <w:szCs w:val="15"/>
          <w:color w:val="003478"/>
        </w:rPr>
        <w:t>Questions and Answers About the Annual Meeting</w:t>
      </w:r>
    </w:p>
    <w:p>
      <w:pPr>
        <w:spacing w:after="0" w:line="334" w:lineRule="exact"/>
        <w:rPr>
          <w:sz w:val="20"/>
          <w:szCs w:val="20"/>
          <w:color w:val="auto"/>
        </w:rPr>
      </w:pPr>
    </w:p>
    <w:p>
      <w:pPr>
        <w:spacing w:after="0"/>
        <w:rPr>
          <w:sz w:val="20"/>
          <w:szCs w:val="20"/>
          <w:color w:val="auto"/>
        </w:rPr>
      </w:pPr>
      <w:r>
        <w:rPr>
          <w:rFonts w:ascii="Arial" w:cs="Arial" w:eastAsia="Arial" w:hAnsi="Arial"/>
          <w:sz w:val="29"/>
          <w:szCs w:val="29"/>
          <w:b w:val="1"/>
          <w:bCs w:val="1"/>
          <w:color w:val="012E6C"/>
        </w:rPr>
        <w:t>Can I change my proxy vote?</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Yes. If you are a registered stockholder, you can change your proxy vote or revoke your proxy at any time before the Annual Meeting by:</w:t>
      </w:r>
    </w:p>
    <w:p>
      <w:pPr>
        <w:spacing w:after="0" w:line="237" w:lineRule="exact"/>
        <w:rPr>
          <w:sz w:val="20"/>
          <w:szCs w:val="20"/>
          <w:color w:val="auto"/>
        </w:rPr>
      </w:pPr>
    </w:p>
    <w:p>
      <w:pPr>
        <w:ind w:left="260" w:hanging="130"/>
        <w:spacing w:after="0"/>
        <w:tabs>
          <w:tab w:leader="none" w:pos="260" w:val="left"/>
        </w:tabs>
        <w:numPr>
          <w:ilvl w:val="0"/>
          <w:numId w:val="94"/>
        </w:numPr>
        <w:rPr>
          <w:rFonts w:ascii="Arial" w:cs="Arial" w:eastAsia="Arial" w:hAnsi="Arial"/>
          <w:sz w:val="17"/>
          <w:szCs w:val="17"/>
          <w:color w:val="012E6C"/>
        </w:rPr>
      </w:pPr>
      <w:r>
        <w:rPr>
          <w:rFonts w:ascii="Arial" w:cs="Arial" w:eastAsia="Arial" w:hAnsi="Arial"/>
          <w:sz w:val="17"/>
          <w:szCs w:val="17"/>
          <w:color w:val="auto"/>
        </w:rPr>
        <w:t>Returning a signed proxy card with a later date;</w:t>
      </w:r>
    </w:p>
    <w:p>
      <w:pPr>
        <w:spacing w:after="0" w:line="236" w:lineRule="exact"/>
        <w:rPr>
          <w:rFonts w:ascii="Arial" w:cs="Arial" w:eastAsia="Arial" w:hAnsi="Arial"/>
          <w:sz w:val="17"/>
          <w:szCs w:val="17"/>
          <w:color w:val="012E6C"/>
        </w:rPr>
      </w:pPr>
    </w:p>
    <w:p>
      <w:pPr>
        <w:ind w:left="260" w:hanging="130"/>
        <w:spacing w:after="0"/>
        <w:tabs>
          <w:tab w:leader="none" w:pos="260" w:val="left"/>
        </w:tabs>
        <w:numPr>
          <w:ilvl w:val="0"/>
          <w:numId w:val="94"/>
        </w:numPr>
        <w:rPr>
          <w:rFonts w:ascii="Arial" w:cs="Arial" w:eastAsia="Arial" w:hAnsi="Arial"/>
          <w:sz w:val="17"/>
          <w:szCs w:val="17"/>
          <w:color w:val="012E6C"/>
        </w:rPr>
      </w:pPr>
      <w:r>
        <w:rPr>
          <w:rFonts w:ascii="Arial" w:cs="Arial" w:eastAsia="Arial" w:hAnsi="Arial"/>
          <w:sz w:val="17"/>
          <w:szCs w:val="17"/>
          <w:color w:val="auto"/>
        </w:rPr>
        <w:t>Authorizing a new vote electronically through the Internet or by telephone;</w:t>
      </w:r>
    </w:p>
    <w:p>
      <w:pPr>
        <w:spacing w:after="0" w:line="236" w:lineRule="exact"/>
        <w:rPr>
          <w:rFonts w:ascii="Arial" w:cs="Arial" w:eastAsia="Arial" w:hAnsi="Arial"/>
          <w:sz w:val="17"/>
          <w:szCs w:val="17"/>
          <w:color w:val="012E6C"/>
        </w:rPr>
      </w:pPr>
    </w:p>
    <w:p>
      <w:pPr>
        <w:ind w:left="260" w:right="320" w:hanging="130"/>
        <w:spacing w:after="0" w:line="308" w:lineRule="auto"/>
        <w:tabs>
          <w:tab w:leader="none" w:pos="260" w:val="left"/>
        </w:tabs>
        <w:numPr>
          <w:ilvl w:val="0"/>
          <w:numId w:val="94"/>
        </w:numPr>
        <w:rPr>
          <w:rFonts w:ascii="Arial" w:cs="Arial" w:eastAsia="Arial" w:hAnsi="Arial"/>
          <w:sz w:val="17"/>
          <w:szCs w:val="17"/>
          <w:color w:val="012E6C"/>
        </w:rPr>
      </w:pPr>
      <w:r>
        <w:rPr>
          <w:rFonts w:ascii="Arial" w:cs="Arial" w:eastAsia="Arial" w:hAnsi="Arial"/>
          <w:sz w:val="17"/>
          <w:szCs w:val="17"/>
          <w:color w:val="auto"/>
        </w:rPr>
        <w:t>Delivering a written revocation of your proxy to Lockheed Martin Corporation, Attention: Senior Vice President, General Counsel and Corporate Secretary, 6801 Rockledge Drive, Bethesda, MD 20817, before your original proxy is voted at the Annual Meeting; or</w:t>
      </w:r>
    </w:p>
    <w:p>
      <w:pPr>
        <w:spacing w:after="0" w:line="146" w:lineRule="exact"/>
        <w:rPr>
          <w:rFonts w:ascii="Arial" w:cs="Arial" w:eastAsia="Arial" w:hAnsi="Arial"/>
          <w:sz w:val="17"/>
          <w:szCs w:val="17"/>
          <w:color w:val="012E6C"/>
        </w:rPr>
      </w:pPr>
    </w:p>
    <w:p>
      <w:pPr>
        <w:ind w:left="260" w:hanging="130"/>
        <w:spacing w:after="0"/>
        <w:tabs>
          <w:tab w:leader="none" w:pos="260" w:val="left"/>
        </w:tabs>
        <w:numPr>
          <w:ilvl w:val="0"/>
          <w:numId w:val="94"/>
        </w:numPr>
        <w:rPr>
          <w:rFonts w:ascii="Arial" w:cs="Arial" w:eastAsia="Arial" w:hAnsi="Arial"/>
          <w:sz w:val="17"/>
          <w:szCs w:val="17"/>
          <w:color w:val="012E6C"/>
        </w:rPr>
      </w:pPr>
      <w:r>
        <w:rPr>
          <w:rFonts w:ascii="Arial" w:cs="Arial" w:eastAsia="Arial" w:hAnsi="Arial"/>
          <w:sz w:val="17"/>
          <w:szCs w:val="17"/>
          <w:color w:val="auto"/>
        </w:rPr>
        <w:t>Submitting a written ballot at the Annual Meeting.</w:t>
      </w:r>
    </w:p>
    <w:p>
      <w:pPr>
        <w:spacing w:after="0" w:line="23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If you are a beneficial owner of shares, you can submit new voting instructions by contacting your broker, bank or other nominee. You also can vote in person at the Annual Meeting if you obtain a legal proxy from your bank, broker or other nominee (the registered stockholder) as described in the answer to the previous question.</w:t>
      </w:r>
    </w:p>
    <w:p>
      <w:pPr>
        <w:spacing w:after="0" w:line="16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Your personal attendance at the Annual Meeting does not revoke your proxy. Unless you vote at the Annual Meeting, your last valid proxy prior to or at the Annual Meeting will be used to cast your vote.</w:t>
      </w:r>
    </w:p>
    <w:p>
      <w:pPr>
        <w:spacing w:after="0" w:line="117" w:lineRule="exact"/>
        <w:rPr>
          <w:sz w:val="20"/>
          <w:szCs w:val="20"/>
          <w:color w:val="auto"/>
        </w:rPr>
      </w:pPr>
    </w:p>
    <w:p>
      <w:pPr>
        <w:spacing w:after="0"/>
        <w:rPr>
          <w:sz w:val="20"/>
          <w:szCs w:val="20"/>
          <w:color w:val="auto"/>
        </w:rPr>
      </w:pPr>
      <w:r>
        <w:rPr>
          <w:rFonts w:ascii="Arial" w:cs="Arial" w:eastAsia="Arial" w:hAnsi="Arial"/>
          <w:sz w:val="29"/>
          <w:szCs w:val="29"/>
          <w:b w:val="1"/>
          <w:bCs w:val="1"/>
          <w:color w:val="012E6C"/>
        </w:rPr>
        <w:t>What if I return my proxy card but do not provide voting instructions?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Proxies that are signed and returned but do not contain voting instructions will be voted:</w:t>
      </w:r>
    </w:p>
    <w:p>
      <w:pPr>
        <w:spacing w:after="0" w:line="235" w:lineRule="exact"/>
        <w:rPr>
          <w:sz w:val="20"/>
          <w:szCs w:val="20"/>
          <w:color w:val="auto"/>
        </w:rPr>
      </w:pPr>
    </w:p>
    <w:p>
      <w:pPr>
        <w:ind w:left="260" w:hanging="130"/>
        <w:spacing w:after="0"/>
        <w:tabs>
          <w:tab w:leader="none" w:pos="260" w:val="left"/>
        </w:tabs>
        <w:numPr>
          <w:ilvl w:val="0"/>
          <w:numId w:val="95"/>
        </w:numPr>
        <w:rPr>
          <w:rFonts w:ascii="Arial" w:cs="Arial" w:eastAsia="Arial" w:hAnsi="Arial"/>
          <w:sz w:val="17"/>
          <w:szCs w:val="17"/>
          <w:color w:val="012E6C"/>
        </w:rPr>
      </w:pPr>
      <w:r>
        <w:rPr>
          <w:rFonts w:ascii="Arial" w:cs="Arial" w:eastAsia="Arial" w:hAnsi="Arial"/>
          <w:sz w:val="17"/>
          <w:szCs w:val="17"/>
          <w:b w:val="1"/>
          <w:bCs w:val="1"/>
          <w:color w:val="auto"/>
        </w:rPr>
        <w:t xml:space="preserve">FOR </w:t>
      </w:r>
      <w:r>
        <w:rPr>
          <w:rFonts w:ascii="Arial" w:cs="Arial" w:eastAsia="Arial" w:hAnsi="Arial"/>
          <w:sz w:val="17"/>
          <w:szCs w:val="17"/>
          <w:color w:val="auto"/>
        </w:rPr>
        <w:t>the election of the 10 director-nominees listed in this proxy statement (Proposal 1);</w:t>
      </w:r>
    </w:p>
    <w:p>
      <w:pPr>
        <w:spacing w:after="0" w:line="236" w:lineRule="exact"/>
        <w:rPr>
          <w:rFonts w:ascii="Arial" w:cs="Arial" w:eastAsia="Arial" w:hAnsi="Arial"/>
          <w:sz w:val="17"/>
          <w:szCs w:val="17"/>
          <w:color w:val="012E6C"/>
        </w:rPr>
      </w:pPr>
    </w:p>
    <w:p>
      <w:pPr>
        <w:ind w:left="260" w:right="280" w:hanging="130"/>
        <w:spacing w:after="0" w:line="311" w:lineRule="auto"/>
        <w:tabs>
          <w:tab w:leader="none" w:pos="260" w:val="left"/>
        </w:tabs>
        <w:numPr>
          <w:ilvl w:val="0"/>
          <w:numId w:val="95"/>
        </w:numPr>
        <w:rPr>
          <w:rFonts w:ascii="Arial" w:cs="Arial" w:eastAsia="Arial" w:hAnsi="Arial"/>
          <w:sz w:val="17"/>
          <w:szCs w:val="17"/>
          <w:color w:val="012E6C"/>
        </w:rPr>
      </w:pPr>
      <w:r>
        <w:rPr>
          <w:rFonts w:ascii="Arial" w:cs="Arial" w:eastAsia="Arial" w:hAnsi="Arial"/>
          <w:sz w:val="17"/>
          <w:szCs w:val="17"/>
          <w:b w:val="1"/>
          <w:bCs w:val="1"/>
          <w:color w:val="auto"/>
        </w:rPr>
        <w:t xml:space="preserve">FOR </w:t>
      </w:r>
      <w:r>
        <w:rPr>
          <w:rFonts w:ascii="Arial" w:cs="Arial" w:eastAsia="Arial" w:hAnsi="Arial"/>
          <w:sz w:val="17"/>
          <w:szCs w:val="17"/>
          <w:color w:val="auto"/>
        </w:rPr>
        <w:t>the ratification of the appointment of Ernst &amp; Young LLP, an independent registered public accounting firm, as independent auditors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2019 fiscal year (Proposal 2);</w:t>
      </w:r>
    </w:p>
    <w:p>
      <w:pPr>
        <w:spacing w:after="0" w:line="141" w:lineRule="exact"/>
        <w:rPr>
          <w:rFonts w:ascii="Arial" w:cs="Arial" w:eastAsia="Arial" w:hAnsi="Arial"/>
          <w:sz w:val="17"/>
          <w:szCs w:val="17"/>
          <w:color w:val="012E6C"/>
        </w:rPr>
      </w:pPr>
    </w:p>
    <w:p>
      <w:pPr>
        <w:ind w:left="260" w:hanging="130"/>
        <w:spacing w:after="0"/>
        <w:tabs>
          <w:tab w:leader="none" w:pos="260" w:val="left"/>
        </w:tabs>
        <w:numPr>
          <w:ilvl w:val="0"/>
          <w:numId w:val="95"/>
        </w:numPr>
        <w:rPr>
          <w:rFonts w:ascii="Arial" w:cs="Arial" w:eastAsia="Arial" w:hAnsi="Arial"/>
          <w:sz w:val="17"/>
          <w:szCs w:val="17"/>
          <w:color w:val="012E6C"/>
        </w:rPr>
      </w:pPr>
      <w:r>
        <w:rPr>
          <w:rFonts w:ascii="Arial" w:cs="Arial" w:eastAsia="Arial" w:hAnsi="Arial"/>
          <w:sz w:val="17"/>
          <w:szCs w:val="17"/>
          <w:b w:val="1"/>
          <w:bCs w:val="1"/>
          <w:color w:val="auto"/>
        </w:rPr>
        <w:t xml:space="preserve">FOR </w:t>
      </w:r>
      <w:r>
        <w:rPr>
          <w:rFonts w:ascii="Arial" w:cs="Arial" w:eastAsia="Arial" w:hAnsi="Arial"/>
          <w:sz w:val="17"/>
          <w:szCs w:val="17"/>
          <w:color w:val="auto"/>
        </w:rPr>
        <w:t>the advisory vote to approve the compensation of our named executive officers (Say-on-Pay) (Proposal 3);</w:t>
      </w:r>
    </w:p>
    <w:p>
      <w:pPr>
        <w:spacing w:after="0" w:line="236" w:lineRule="exact"/>
        <w:rPr>
          <w:rFonts w:ascii="Arial" w:cs="Arial" w:eastAsia="Arial" w:hAnsi="Arial"/>
          <w:sz w:val="17"/>
          <w:szCs w:val="17"/>
          <w:color w:val="012E6C"/>
        </w:rPr>
      </w:pPr>
    </w:p>
    <w:p>
      <w:pPr>
        <w:ind w:left="260" w:hanging="130"/>
        <w:spacing w:after="0"/>
        <w:tabs>
          <w:tab w:leader="none" w:pos="260" w:val="left"/>
        </w:tabs>
        <w:numPr>
          <w:ilvl w:val="0"/>
          <w:numId w:val="95"/>
        </w:numPr>
        <w:rPr>
          <w:rFonts w:ascii="Arial" w:cs="Arial" w:eastAsia="Arial" w:hAnsi="Arial"/>
          <w:sz w:val="17"/>
          <w:szCs w:val="17"/>
          <w:color w:val="012E6C"/>
        </w:rPr>
      </w:pPr>
      <w:r>
        <w:rPr>
          <w:rFonts w:ascii="Arial" w:cs="Arial" w:eastAsia="Arial" w:hAnsi="Arial"/>
          <w:sz w:val="17"/>
          <w:szCs w:val="17"/>
          <w:b w:val="1"/>
          <w:bCs w:val="1"/>
          <w:color w:val="auto"/>
        </w:rPr>
        <w:t xml:space="preserve">AGAINST </w:t>
      </w:r>
      <w:r>
        <w:rPr>
          <w:rFonts w:ascii="Arial" w:cs="Arial" w:eastAsia="Arial" w:hAnsi="Arial"/>
          <w:sz w:val="17"/>
          <w:szCs w:val="17"/>
          <w:color w:val="auto"/>
        </w:rPr>
        <w:t>the stockholder proposal to amend the proxy access bylaw (Proposal 4); and</w:t>
      </w:r>
    </w:p>
    <w:p>
      <w:pPr>
        <w:spacing w:after="0" w:line="238" w:lineRule="exact"/>
        <w:rPr>
          <w:rFonts w:ascii="Arial" w:cs="Arial" w:eastAsia="Arial" w:hAnsi="Arial"/>
          <w:sz w:val="17"/>
          <w:szCs w:val="17"/>
          <w:color w:val="012E6C"/>
        </w:rPr>
      </w:pPr>
    </w:p>
    <w:p>
      <w:pPr>
        <w:ind w:left="260" w:hanging="130"/>
        <w:spacing w:after="0"/>
        <w:tabs>
          <w:tab w:leader="none" w:pos="260" w:val="left"/>
        </w:tabs>
        <w:numPr>
          <w:ilvl w:val="0"/>
          <w:numId w:val="95"/>
        </w:numPr>
        <w:rPr>
          <w:rFonts w:ascii="Arial" w:cs="Arial" w:eastAsia="Arial" w:hAnsi="Arial"/>
          <w:sz w:val="17"/>
          <w:szCs w:val="17"/>
          <w:color w:val="012E6C"/>
        </w:rPr>
      </w:pPr>
      <w:r>
        <w:rPr>
          <w:rFonts w:ascii="Arial" w:cs="Arial" w:eastAsia="Arial" w:hAnsi="Arial"/>
          <w:sz w:val="17"/>
          <w:szCs w:val="17"/>
          <w:color w:val="auto"/>
        </w:rPr>
        <w:t>In the best judgment of the named proxy holders if any other matters are properly brought before the Annual Meeting.</w:t>
      </w:r>
    </w:p>
    <w:p>
      <w:pPr>
        <w:spacing w:after="0" w:line="207" w:lineRule="exact"/>
        <w:rPr>
          <w:sz w:val="20"/>
          <w:szCs w:val="20"/>
          <w:color w:val="auto"/>
        </w:rPr>
      </w:pPr>
    </w:p>
    <w:p>
      <w:pPr>
        <w:ind w:right="1400"/>
        <w:spacing w:after="0" w:line="297" w:lineRule="auto"/>
        <w:rPr>
          <w:sz w:val="20"/>
          <w:szCs w:val="20"/>
          <w:color w:val="auto"/>
        </w:rPr>
      </w:pPr>
      <w:r>
        <w:rPr>
          <w:rFonts w:ascii="Arial" w:cs="Arial" w:eastAsia="Arial" w:hAnsi="Arial"/>
          <w:sz w:val="29"/>
          <w:szCs w:val="29"/>
          <w:b w:val="1"/>
          <w:bCs w:val="1"/>
          <w:color w:val="012E6C"/>
        </w:rPr>
        <w:t>How do I vote if I participate in one of the Corporation’s 401(k) or defined contribution plans?</w:t>
      </w:r>
    </w:p>
    <w:p>
      <w:pPr>
        <w:spacing w:after="0" w:line="9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As a participant in one of our employee 401(k) or defined contribution plans, you can direct the plan trustees how to vote shares allocated to your account(s) on a proxy voting direction or instruction card, electronically through the Internet or by telephone. Most active employees who participate in these benefit plans will receive an email notification announcing Internet availability of the Proxy Materials and how to submit voting directions.</w:t>
      </w:r>
    </w:p>
    <w:p>
      <w:pPr>
        <w:spacing w:after="0" w:line="166"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If you do not provide timely directions to the plan trustee, shares allocated to your account(s) will be voted by the plan trustee depending on the terms of your plan or other legal requirements.</w:t>
      </w:r>
    </w:p>
    <w:p>
      <w:pPr>
        <w:spacing w:after="0" w:line="147"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Plan participants may attend the Annual Meeting, but may not vote plan shares at the Annual Meeting. If you wish to vote, whether you plan to attend the Annual Meeting or not, you should direct the trustee of your plan(s) how you wish to vote your plan shares no later than 11:59 p.m., EDT, on April 22, 2019.</w:t>
      </w:r>
    </w:p>
    <w:p>
      <w:pPr>
        <w:spacing w:after="0" w:line="136" w:lineRule="exact"/>
        <w:rPr>
          <w:sz w:val="20"/>
          <w:szCs w:val="20"/>
          <w:color w:val="auto"/>
        </w:rPr>
      </w:pPr>
    </w:p>
    <w:p>
      <w:pPr>
        <w:spacing w:after="0"/>
        <w:rPr>
          <w:sz w:val="20"/>
          <w:szCs w:val="20"/>
          <w:color w:val="auto"/>
        </w:rPr>
      </w:pPr>
      <w:r>
        <w:rPr>
          <w:rFonts w:ascii="Arial" w:cs="Arial" w:eastAsia="Arial" w:hAnsi="Arial"/>
          <w:sz w:val="29"/>
          <w:szCs w:val="29"/>
          <w:b w:val="1"/>
          <w:bCs w:val="1"/>
          <w:color w:val="012E6C"/>
        </w:rPr>
        <w:t>How many shares must be present to hold the Annual Meeting?</w:t>
      </w:r>
    </w:p>
    <w:p>
      <w:pPr>
        <w:spacing w:after="0" w:line="250"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In order for us to lawfully conduct business at our Annual Meeting, a majority of the shares outstanding and entitled to vote as of the Record Date, must be present in person or by proxy. This is referred to as a quorum. Your shares are counted as present at the Annual Meeting if you attend the Annual Meeting and vote in person or abstain from voting, or if you properly return a proxy by Internet, by telephone or by mail in advance of the Annual Meeting and do not revoke the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375285</wp:posOffset>
            </wp:positionV>
            <wp:extent cx="1440815" cy="3257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440815" cy="325755"/>
                    </a:xfrm>
                    <a:prstGeom prst="rect">
                      <a:avLst/>
                    </a:prstGeom>
                    <a:noFill/>
                  </pic:spPr>
                </pic:pic>
              </a:graphicData>
            </a:graphic>
          </wp:anchor>
        </w:drawing>
      </w:r>
    </w:p>
    <w:p>
      <w:pPr>
        <w:sectPr>
          <w:pgSz w:w="11900" w:h="16838" w:orient="portrait"/>
          <w:cols w:equalWidth="0" w:num="1">
            <w:col w:w="11360"/>
          </w:cols>
          <w:pgMar w:left="240" w:top="278"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808080"/>
        </w:rPr>
        <w:t>78</w:t>
      </w:r>
    </w:p>
    <w:p>
      <w:pPr>
        <w:sectPr>
          <w:pgSz w:w="11900" w:h="16838" w:orient="portrait"/>
          <w:cols w:equalWidth="0" w:num="1">
            <w:col w:w="11360"/>
          </w:cols>
          <w:pgMar w:left="240" w:top="278" w:right="299" w:bottom="1440" w:gutter="0" w:footer="0" w:header="0"/>
          <w:type w:val="continuous"/>
        </w:sectPr>
      </w:pPr>
    </w:p>
    <w:bookmarkStart w:id="81" w:name="page82"/>
    <w:bookmarkEnd w:id="81"/>
    <w:p>
      <w:pPr>
        <w:jc w:val="right"/>
        <w:spacing w:after="0"/>
        <w:rPr>
          <w:sz w:val="20"/>
          <w:szCs w:val="20"/>
          <w:color w:val="auto"/>
        </w:rPr>
      </w:pPr>
      <w:r>
        <w:rPr>
          <w:rFonts w:ascii="Arial" w:cs="Arial" w:eastAsia="Arial" w:hAnsi="Arial"/>
          <w:sz w:val="15"/>
          <w:szCs w:val="15"/>
          <w:color w:val="003478"/>
        </w:rPr>
        <w:t>Questions and Answers About the Annual Meeting</w:t>
      </w:r>
    </w:p>
    <w:p>
      <w:pPr>
        <w:spacing w:after="0" w:line="334" w:lineRule="exact"/>
        <w:rPr>
          <w:sz w:val="20"/>
          <w:szCs w:val="20"/>
          <w:color w:val="auto"/>
        </w:rPr>
      </w:pPr>
    </w:p>
    <w:p>
      <w:pPr>
        <w:spacing w:after="0"/>
        <w:rPr>
          <w:sz w:val="20"/>
          <w:szCs w:val="20"/>
          <w:color w:val="auto"/>
        </w:rPr>
      </w:pPr>
      <w:r>
        <w:rPr>
          <w:rFonts w:ascii="Arial" w:cs="Arial" w:eastAsia="Arial" w:hAnsi="Arial"/>
          <w:sz w:val="29"/>
          <w:szCs w:val="29"/>
          <w:b w:val="1"/>
          <w:bCs w:val="1"/>
          <w:color w:val="012E6C"/>
        </w:rPr>
        <w:t>Will my shares be voted if I don’t provide my proxy or instruction card?</w:t>
      </w:r>
    </w:p>
    <w:p>
      <w:pPr>
        <w:spacing w:after="0" w:line="234" w:lineRule="exact"/>
        <w:rPr>
          <w:sz w:val="20"/>
          <w:szCs w:val="20"/>
          <w:color w:val="auto"/>
        </w:rPr>
      </w:pPr>
    </w:p>
    <w:p>
      <w:pPr>
        <w:spacing w:after="0"/>
        <w:rPr>
          <w:sz w:val="20"/>
          <w:szCs w:val="20"/>
          <w:color w:val="auto"/>
        </w:rPr>
      </w:pPr>
      <w:r>
        <w:rPr>
          <w:rFonts w:ascii="Arial" w:cs="Arial" w:eastAsia="Arial" w:hAnsi="Arial"/>
          <w:sz w:val="25"/>
          <w:szCs w:val="25"/>
          <w:color w:val="475C90"/>
        </w:rPr>
        <w:t>Registered Stockholders</w:t>
      </w:r>
    </w:p>
    <w:p>
      <w:pPr>
        <w:spacing w:after="0" w:line="242"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If your shares are registered in your name, your shares will not be voted unless you provide a proxy by Internet, by telephone, by mail, or vote in person at the Annual Meeting.</w:t>
      </w:r>
    </w:p>
    <w:p>
      <w:pPr>
        <w:spacing w:after="0" w:line="131" w:lineRule="exact"/>
        <w:rPr>
          <w:sz w:val="20"/>
          <w:szCs w:val="20"/>
          <w:color w:val="auto"/>
        </w:rPr>
      </w:pPr>
    </w:p>
    <w:p>
      <w:pPr>
        <w:spacing w:after="0"/>
        <w:rPr>
          <w:sz w:val="20"/>
          <w:szCs w:val="20"/>
          <w:color w:val="auto"/>
        </w:rPr>
      </w:pPr>
      <w:r>
        <w:rPr>
          <w:rFonts w:ascii="Arial" w:cs="Arial" w:eastAsia="Arial" w:hAnsi="Arial"/>
          <w:sz w:val="25"/>
          <w:szCs w:val="25"/>
          <w:color w:val="475C90"/>
        </w:rPr>
        <w:t>Plan Participants</w:t>
      </w:r>
    </w:p>
    <w:p>
      <w:pPr>
        <w:spacing w:after="0" w:line="242"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If you are a participant in one of our employee 401(k) or defined contribution plans and you do not provide timely directions to the plan trustee, shares allocated to your account(s) will be voted by the plan trustee depending on the terms of your plan and other legal requirements.</w:t>
      </w:r>
    </w:p>
    <w:p>
      <w:pPr>
        <w:spacing w:after="0" w:line="131" w:lineRule="exact"/>
        <w:rPr>
          <w:sz w:val="20"/>
          <w:szCs w:val="20"/>
          <w:color w:val="auto"/>
        </w:rPr>
      </w:pPr>
    </w:p>
    <w:p>
      <w:pPr>
        <w:spacing w:after="0"/>
        <w:rPr>
          <w:sz w:val="20"/>
          <w:szCs w:val="20"/>
          <w:color w:val="auto"/>
        </w:rPr>
      </w:pPr>
      <w:r>
        <w:rPr>
          <w:rFonts w:ascii="Arial" w:cs="Arial" w:eastAsia="Arial" w:hAnsi="Arial"/>
          <w:sz w:val="25"/>
          <w:szCs w:val="25"/>
          <w:color w:val="475C90"/>
        </w:rPr>
        <w:t>Beneficial Owners</w:t>
      </w:r>
    </w:p>
    <w:p>
      <w:pPr>
        <w:spacing w:after="0" w:line="242"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If you hold shares through an account with a broker and you do not provide voting instructions, under NYSE rules, your broker may vote your shares on routine matters only. The ratification of the appointment of Ernst &amp; Young LLP (Proposal 2) is considered a routine matter, and your nominee can therefore vote your shares on that Proposal even if you do not provide voting instructions. Proposals 1, 3 and 4 are not considered routine matters, and your nominee cannot vote your shares on those Proposals unless you provide voting instructions. Votes withheld by brokers in the absence of voting instructions from a beneficial owner are referred to as “broker non-votes.”</w:t>
      </w:r>
    </w:p>
    <w:p>
      <w:pPr>
        <w:spacing w:after="0" w:line="157" w:lineRule="exact"/>
        <w:rPr>
          <w:sz w:val="20"/>
          <w:szCs w:val="20"/>
          <w:color w:val="auto"/>
        </w:rPr>
      </w:pPr>
    </w:p>
    <w:p>
      <w:pPr>
        <w:spacing w:after="0"/>
        <w:rPr>
          <w:sz w:val="20"/>
          <w:szCs w:val="20"/>
          <w:color w:val="auto"/>
        </w:rPr>
      </w:pPr>
      <w:r>
        <w:rPr>
          <w:rFonts w:ascii="Arial" w:cs="Arial" w:eastAsia="Arial" w:hAnsi="Arial"/>
          <w:sz w:val="25"/>
          <w:szCs w:val="25"/>
          <w:color w:val="475C90"/>
        </w:rPr>
        <w:t>Multiple Forms of Ownership</w:t>
      </w:r>
    </w:p>
    <w:p>
      <w:pPr>
        <w:spacing w:after="0" w:line="242"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Corporation cannot provide a single proxy or instruction card for stockholders who own shares in multiple forms as registered stockholders, plan participants or beneficial owners. As a result, if your shares are held in multiple types of accounts, you must submit your votes for each type of account in accordance with the instructions you receive for that account.</w:t>
      </w:r>
    </w:p>
    <w:p>
      <w:pPr>
        <w:spacing w:after="0" w:line="136" w:lineRule="exact"/>
        <w:rPr>
          <w:sz w:val="20"/>
          <w:szCs w:val="20"/>
          <w:color w:val="auto"/>
        </w:rPr>
      </w:pPr>
    </w:p>
    <w:p>
      <w:pPr>
        <w:spacing w:after="0"/>
        <w:rPr>
          <w:sz w:val="20"/>
          <w:szCs w:val="20"/>
          <w:color w:val="auto"/>
        </w:rPr>
      </w:pPr>
      <w:r>
        <w:rPr>
          <w:rFonts w:ascii="Arial" w:cs="Arial" w:eastAsia="Arial" w:hAnsi="Arial"/>
          <w:sz w:val="29"/>
          <w:szCs w:val="29"/>
          <w:b w:val="1"/>
          <w:bCs w:val="1"/>
          <w:color w:val="012E6C"/>
        </w:rPr>
        <w:t>What is the vote required for each proposal?</w:t>
      </w:r>
    </w:p>
    <w:p>
      <w:pPr>
        <w:spacing w:after="0" w:line="250" w:lineRule="exact"/>
        <w:rPr>
          <w:sz w:val="20"/>
          <w:szCs w:val="20"/>
          <w:color w:val="auto"/>
        </w:rPr>
      </w:pPr>
    </w:p>
    <w:p>
      <w:pPr>
        <w:jc w:val="both"/>
        <w:ind w:right="540"/>
        <w:spacing w:after="0" w:line="286" w:lineRule="auto"/>
        <w:rPr>
          <w:sz w:val="20"/>
          <w:szCs w:val="20"/>
          <w:color w:val="auto"/>
        </w:rPr>
      </w:pPr>
      <w:r>
        <w:rPr>
          <w:rFonts w:ascii="Arial" w:cs="Arial" w:eastAsia="Arial" w:hAnsi="Arial"/>
          <w:sz w:val="17"/>
          <w:szCs w:val="17"/>
          <w:color w:val="auto"/>
        </w:rPr>
        <w:t>For Proposal 1, the votes that stockholders cast “FOR” a director-nominee must exceed the votes that stockholders cast “AGAINST” a director-nominee to approve the election of each director-nominee. For each of Proposals 2, 3 and 4 the affirmative vote of a majority of the votes cast is required to approve the proposal.</w:t>
      </w:r>
    </w:p>
    <w:p>
      <w:pPr>
        <w:spacing w:after="0" w:line="166"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“Votes cast” excludes broker non-votes and generally excludes abstentions. Proposals 2, 3 and 4 are advisory and non-binding. However, the Board will review the voting results on these proposals and take the results into account when making future decisions regarding these matters.</w:t>
      </w:r>
    </w:p>
    <w:p>
      <w:pPr>
        <w:spacing w:after="0" w:line="117" w:lineRule="exact"/>
        <w:rPr>
          <w:sz w:val="20"/>
          <w:szCs w:val="20"/>
          <w:color w:val="auto"/>
        </w:rPr>
      </w:pPr>
    </w:p>
    <w:p>
      <w:pPr>
        <w:spacing w:after="0"/>
        <w:rPr>
          <w:sz w:val="20"/>
          <w:szCs w:val="20"/>
          <w:color w:val="auto"/>
        </w:rPr>
      </w:pPr>
      <w:r>
        <w:rPr>
          <w:rFonts w:ascii="Arial" w:cs="Arial" w:eastAsia="Arial" w:hAnsi="Arial"/>
          <w:sz w:val="29"/>
          <w:szCs w:val="29"/>
          <w:b w:val="1"/>
          <w:bCs w:val="1"/>
          <w:color w:val="012E6C"/>
        </w:rPr>
        <w:t>What is the effect of an abstention?</w:t>
      </w:r>
    </w:p>
    <w:p>
      <w:pPr>
        <w:spacing w:after="0" w:line="250"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A stockholder who abstains on some or all matters is considered present for purposes of determining if a quorum is present at the Annual Meeting, but an abstention is not counted as a vote cast under Maryland law. Accordingly, an abstention has no effect on the vote on any proposal.</w:t>
      </w:r>
    </w:p>
    <w:p>
      <w:pPr>
        <w:spacing w:after="0" w:line="117" w:lineRule="exact"/>
        <w:rPr>
          <w:sz w:val="20"/>
          <w:szCs w:val="20"/>
          <w:color w:val="auto"/>
        </w:rPr>
      </w:pPr>
    </w:p>
    <w:p>
      <w:pPr>
        <w:spacing w:after="0"/>
        <w:rPr>
          <w:sz w:val="20"/>
          <w:szCs w:val="20"/>
          <w:color w:val="auto"/>
        </w:rPr>
      </w:pPr>
      <w:r>
        <w:rPr>
          <w:rFonts w:ascii="Arial" w:cs="Arial" w:eastAsia="Arial" w:hAnsi="Arial"/>
          <w:sz w:val="29"/>
          <w:szCs w:val="29"/>
          <w:b w:val="1"/>
          <w:bCs w:val="1"/>
          <w:color w:val="012E6C"/>
        </w:rPr>
        <w:t>What is the effect of a broker non-vote?</w:t>
      </w:r>
    </w:p>
    <w:p>
      <w:pPr>
        <w:spacing w:after="0" w:line="250"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If a broker casts a vote on Proposal 2 (Ratification of Auditors), the vote will be included in determining whether a quorum exists for holding the meeting. The broker does not have authority to vote on the other proposals absent directions from the beneficial owner.</w:t>
      </w:r>
    </w:p>
    <w:p>
      <w:pPr>
        <w:spacing w:after="0" w:line="14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As a result, if the beneficial owner does not vote on Proposals 1, 3 or 4 so that there is a “broker non-vote” on those items, the broker non-votes do not count as votes cast for that proposal and have no effect on the proposal. Thus, a broker non-vote on these proposals will not impact our ability to obtain a quorum, will not affect the outcome with respect to the election of directors and will not otherwise affect the outcome of the vote on a proposal that requires the affirmative vote of a majority of the votes cast on the proposal.</w:t>
      </w:r>
    </w:p>
    <w:p>
      <w:pPr>
        <w:spacing w:after="0" w:line="142" w:lineRule="exact"/>
        <w:rPr>
          <w:sz w:val="20"/>
          <w:szCs w:val="20"/>
          <w:color w:val="auto"/>
        </w:rPr>
      </w:pPr>
    </w:p>
    <w:p>
      <w:pPr>
        <w:spacing w:after="0"/>
        <w:rPr>
          <w:sz w:val="20"/>
          <w:szCs w:val="20"/>
          <w:color w:val="auto"/>
        </w:rPr>
      </w:pPr>
      <w:r>
        <w:rPr>
          <w:rFonts w:ascii="Arial" w:cs="Arial" w:eastAsia="Arial" w:hAnsi="Arial"/>
          <w:sz w:val="29"/>
          <w:szCs w:val="29"/>
          <w:b w:val="1"/>
          <w:bCs w:val="1"/>
          <w:color w:val="012E6C"/>
        </w:rPr>
        <w:t>Who will count the votes?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Representatives of Computershare will tabulate the votes and act as inspectors of election for the Annual Meeting.</w:t>
      </w:r>
    </w:p>
    <w:p>
      <w:pPr>
        <w:sectPr>
          <w:pgSz w:w="11900" w:h="16838" w:orient="portrait"/>
          <w:cols w:equalWidth="0" w:num="1">
            <w:col w:w="11420"/>
          </w:cols>
          <w:pgMar w:left="240" w:top="278" w:right="2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ind w:left="40"/>
        <w:spacing w:after="0"/>
        <w:tabs>
          <w:tab w:leader="none" w:pos="9420" w:val="left"/>
          <w:tab w:leader="none" w:pos="1122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2019 Proxy Statement</w:t>
      </w:r>
      <w:r>
        <w:rPr>
          <w:sz w:val="20"/>
          <w:szCs w:val="20"/>
          <w:color w:val="auto"/>
        </w:rPr>
        <w:tab/>
      </w:r>
      <w:r>
        <w:rPr>
          <w:rFonts w:ascii="Arial" w:cs="Arial" w:eastAsia="Arial" w:hAnsi="Arial"/>
          <w:sz w:val="14"/>
          <w:szCs w:val="14"/>
          <w:b w:val="1"/>
          <w:bCs w:val="1"/>
          <w:color w:val="808080"/>
        </w:rPr>
        <w:t>79</w:t>
      </w:r>
    </w:p>
    <w:p>
      <w:pPr>
        <w:sectPr>
          <w:pgSz w:w="11900" w:h="16838" w:orient="portrait"/>
          <w:cols w:equalWidth="0" w:num="1">
            <w:col w:w="11420"/>
          </w:cols>
          <w:pgMar w:left="240" w:top="278" w:right="239" w:bottom="1440" w:gutter="0" w:footer="0" w:header="0"/>
          <w:type w:val="continuous"/>
        </w:sectPr>
      </w:pPr>
    </w:p>
    <w:bookmarkStart w:id="82" w:name="page83"/>
    <w:bookmarkEnd w:id="82"/>
    <w:p>
      <w:pPr>
        <w:spacing w:after="0"/>
        <w:rPr>
          <w:sz w:val="20"/>
          <w:szCs w:val="20"/>
          <w:color w:val="auto"/>
        </w:rPr>
      </w:pPr>
      <w:r>
        <w:rPr>
          <w:rFonts w:ascii="Arial" w:cs="Arial" w:eastAsia="Arial" w:hAnsi="Arial"/>
          <w:sz w:val="15"/>
          <w:szCs w:val="15"/>
          <w:color w:val="003478"/>
        </w:rPr>
        <w:t>Questions and Answers About the Annual Meeting</w:t>
      </w:r>
    </w:p>
    <w:p>
      <w:pPr>
        <w:spacing w:after="0" w:line="334" w:lineRule="exact"/>
        <w:rPr>
          <w:sz w:val="20"/>
          <w:szCs w:val="20"/>
          <w:color w:val="auto"/>
        </w:rPr>
      </w:pPr>
    </w:p>
    <w:p>
      <w:pPr>
        <w:spacing w:after="0"/>
        <w:rPr>
          <w:sz w:val="20"/>
          <w:szCs w:val="20"/>
          <w:color w:val="auto"/>
        </w:rPr>
      </w:pPr>
      <w:r>
        <w:rPr>
          <w:rFonts w:ascii="Arial" w:cs="Arial" w:eastAsia="Arial" w:hAnsi="Arial"/>
          <w:sz w:val="29"/>
          <w:szCs w:val="29"/>
          <w:b w:val="1"/>
          <w:bCs w:val="1"/>
          <w:color w:val="012E6C"/>
        </w:rPr>
        <w:t>Where can I find the voting results of the Annual Meeting?</w:t>
      </w:r>
    </w:p>
    <w:p>
      <w:pPr>
        <w:spacing w:after="0" w:line="250"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color w:val="auto"/>
        </w:rPr>
        <w:t>The preliminary voting results will be announced at the Annual Meeting. The final voting results will be tallied by the inspectors of election and disclosed by the Corporation in a Current Report on Form 8-K filed with the SEC within four business days following the Annual Meeting.</w:t>
      </w:r>
    </w:p>
    <w:p>
      <w:pPr>
        <w:spacing w:after="0" w:line="117" w:lineRule="exact"/>
        <w:rPr>
          <w:sz w:val="20"/>
          <w:szCs w:val="20"/>
          <w:color w:val="auto"/>
        </w:rPr>
      </w:pPr>
    </w:p>
    <w:p>
      <w:pPr>
        <w:spacing w:after="0"/>
        <w:rPr>
          <w:sz w:val="20"/>
          <w:szCs w:val="20"/>
          <w:color w:val="auto"/>
        </w:rPr>
      </w:pPr>
      <w:r>
        <w:rPr>
          <w:rFonts w:ascii="Arial" w:cs="Arial" w:eastAsia="Arial" w:hAnsi="Arial"/>
          <w:sz w:val="29"/>
          <w:szCs w:val="29"/>
          <w:b w:val="1"/>
          <w:bCs w:val="1"/>
          <w:color w:val="012E6C"/>
        </w:rPr>
        <w:t>What is “householding” and how does it affect me?</w:t>
      </w:r>
    </w:p>
    <w:p>
      <w:pPr>
        <w:spacing w:after="0" w:line="250"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We have adopted a procedure approved by the SEC called “householding.” Under this procedure, we send only one Annual Report and Proxy Statement to eligible stockholders who share a single address, unless we have received instructions to the contrary from any stockholder at that address. This practice is designed to reduce our printing and postage costs. Stockholders who participate in householding will continue to receive separate proxy cards. We do not use householding for any other stockholder mailings, such as dividend checks, Forms 1099 or account statements.</w:t>
      </w:r>
    </w:p>
    <w:p>
      <w:pPr>
        <w:spacing w:after="0" w:line="212" w:lineRule="exact"/>
        <w:rPr>
          <w:sz w:val="20"/>
          <w:szCs w:val="20"/>
          <w:color w:val="auto"/>
        </w:rPr>
      </w:pPr>
    </w:p>
    <w:p>
      <w:pPr>
        <w:ind w:left="40" w:right="40"/>
        <w:spacing w:after="0" w:line="242" w:lineRule="auto"/>
        <w:rPr>
          <w:sz w:val="20"/>
          <w:szCs w:val="20"/>
          <w:color w:val="auto"/>
        </w:rPr>
      </w:pPr>
      <w:r>
        <w:rPr>
          <w:rFonts w:ascii="Arial" w:cs="Arial" w:eastAsia="Arial" w:hAnsi="Arial"/>
          <w:sz w:val="17"/>
          <w:szCs w:val="17"/>
          <w:color w:val="auto"/>
        </w:rPr>
        <w:t>If you are eligible for householding, but received multiple copies of the Annual Report and Proxy Statement and prefer to receive only a single copy of each of these documents for your household, please contact Computershare, Shareholder Relations, P.O. Box 505000, Louisville, KY 40233, or call 1-877-498-8861. If you are a registered stockholder residing at an address with other registered stockholders and wish to receive a separate Annual Report or Proxy Statement at this time or in the future, we will provide you with a separate copy. To obtain this copy, please contact Computershare as indicated above. If you own shares through a broker, bank, or other nominee, you should contact the nominee concerning householding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-624205</wp:posOffset>
            </wp:positionV>
            <wp:extent cx="7246620" cy="6343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634365"/>
                    </a:xfrm>
                    <a:prstGeom prst="rect">
                      <a:avLst/>
                    </a:prstGeom>
                    <a:noFill/>
                  </pic:spPr>
                </pic:pic>
              </a:graphicData>
            </a:graphic>
          </wp:anchor>
        </w:drawing>
      </w:r>
    </w:p>
    <w:p>
      <w:pPr>
        <w:spacing w:after="0" w:line="59" w:lineRule="exact"/>
        <w:rPr>
          <w:sz w:val="20"/>
          <w:szCs w:val="20"/>
          <w:color w:val="auto"/>
        </w:rPr>
      </w:pPr>
    </w:p>
    <w:p>
      <w:pPr>
        <w:spacing w:after="0"/>
        <w:rPr>
          <w:sz w:val="20"/>
          <w:szCs w:val="20"/>
          <w:color w:val="auto"/>
        </w:rPr>
      </w:pPr>
      <w:r>
        <w:rPr>
          <w:rFonts w:ascii="Arial" w:cs="Arial" w:eastAsia="Arial" w:hAnsi="Arial"/>
          <w:sz w:val="29"/>
          <w:szCs w:val="29"/>
          <w:b w:val="1"/>
          <w:bCs w:val="1"/>
          <w:color w:val="012E6C"/>
        </w:rPr>
        <w:t>Can I receive a copy of the Annual Report?</w:t>
      </w:r>
    </w:p>
    <w:p>
      <w:pPr>
        <w:spacing w:after="0" w:line="250"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Yes. We will provide a copy of our Annual Report without charge, upon written request, to any registered or beneficial owner of common stock entitled to vote at the Annual Meeting. Requests should be made in writing addressed to Investor Relations, Lockheed Martin Corporation, 6801 Rockledge Drive, Bethesda, MD 20817, by calling Lockheed Martin Stockholder Direct at 1-800-568-9758, or by accessing the Corporation’s website at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www.lockheedmartin.com/investor</w:t>
      </w:r>
      <w:r>
        <w:rPr>
          <w:rFonts w:ascii="Arial" w:cs="Arial" w:eastAsia="Arial" w:hAnsi="Arial"/>
          <w:sz w:val="17"/>
          <w:szCs w:val="17"/>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29"/>
          <w:szCs w:val="29"/>
          <w:b w:val="1"/>
          <w:bCs w:val="1"/>
          <w:color w:val="012E6C"/>
        </w:rPr>
        <w:t>Can I view the Proxy Statement and Annual Report on the Internet?</w:t>
      </w:r>
    </w:p>
    <w:p>
      <w:pPr>
        <w:spacing w:after="0" w:line="25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 xml:space="preserve">Yes. The Proxy Statement and Annual Report are available on the Internet at </w:t>
      </w:r>
      <w:r>
        <w:rPr>
          <w:rFonts w:ascii="Arial" w:cs="Arial" w:eastAsia="Arial" w:hAnsi="Arial"/>
          <w:sz w:val="17"/>
          <w:szCs w:val="17"/>
          <w:i w:val="1"/>
          <w:iCs w:val="1"/>
          <w:color w:val="auto"/>
        </w:rPr>
        <w:t>www.edocumentview.com/LMT</w:t>
      </w:r>
      <w:r>
        <w:rPr>
          <w:rFonts w:ascii="Arial" w:cs="Arial" w:eastAsia="Arial" w:hAnsi="Arial"/>
          <w:sz w:val="17"/>
          <w:szCs w:val="17"/>
          <w:color w:val="auto"/>
        </w:rPr>
        <w:t xml:space="preserve">. Subject to the “householding” procedures above, all stockholders will receive paper copies of the Proxy Statement, proxy card and Annual Report by mail unless the stockholder has consented to electronic delivery or is an employee with shares allocated in an employee benefit plan. The SEC also maintains a website at </w:t>
      </w:r>
      <w:r>
        <w:rPr>
          <w:rFonts w:ascii="Arial" w:cs="Arial" w:eastAsia="Arial" w:hAnsi="Arial"/>
          <w:sz w:val="17"/>
          <w:szCs w:val="17"/>
          <w:i w:val="1"/>
          <w:iCs w:val="1"/>
          <w:color w:val="auto"/>
        </w:rPr>
        <w:t xml:space="preserve">www.sec.gov </w:t>
      </w:r>
      <w:r>
        <w:rPr>
          <w:rFonts w:ascii="Arial" w:cs="Arial" w:eastAsia="Arial" w:hAnsi="Arial"/>
          <w:sz w:val="17"/>
          <w:szCs w:val="17"/>
          <w:color w:val="auto"/>
        </w:rPr>
        <w:t>that contains reports, proxy statements, and other information regarding Lockheed Martin.</w:t>
      </w:r>
    </w:p>
    <w:p>
      <w:pPr>
        <w:spacing w:after="0" w:line="142" w:lineRule="exact"/>
        <w:rPr>
          <w:sz w:val="20"/>
          <w:szCs w:val="20"/>
          <w:color w:val="auto"/>
        </w:rPr>
      </w:pPr>
    </w:p>
    <w:p>
      <w:pPr>
        <w:ind w:right="600"/>
        <w:spacing w:after="0" w:line="297" w:lineRule="auto"/>
        <w:rPr>
          <w:sz w:val="20"/>
          <w:szCs w:val="20"/>
          <w:color w:val="auto"/>
        </w:rPr>
      </w:pPr>
      <w:r>
        <w:rPr>
          <w:rFonts w:ascii="Arial" w:cs="Arial" w:eastAsia="Arial" w:hAnsi="Arial"/>
          <w:sz w:val="29"/>
          <w:szCs w:val="29"/>
          <w:b w:val="1"/>
          <w:bCs w:val="1"/>
          <w:color w:val="012E6C"/>
        </w:rPr>
        <w:t>Can I choose to receive the Proxy Statement and Annual Report on the Internet instead of receiving them by mail?</w:t>
      </w:r>
    </w:p>
    <w:p>
      <w:pPr>
        <w:spacing w:after="0" w:line="136" w:lineRule="exact"/>
        <w:rPr>
          <w:sz w:val="20"/>
          <w:szCs w:val="20"/>
          <w:color w:val="auto"/>
        </w:rPr>
      </w:pPr>
    </w:p>
    <w:p>
      <w:pPr>
        <w:ind w:left="120" w:right="40"/>
        <w:spacing w:after="0" w:line="246" w:lineRule="auto"/>
        <w:rPr>
          <w:sz w:val="20"/>
          <w:szCs w:val="20"/>
          <w:color w:val="auto"/>
        </w:rPr>
      </w:pPr>
      <w:r>
        <w:rPr>
          <w:rFonts w:ascii="Arial" w:cs="Arial" w:eastAsia="Arial" w:hAnsi="Arial"/>
          <w:sz w:val="17"/>
          <w:szCs w:val="17"/>
          <w:color w:val="auto"/>
        </w:rPr>
        <w:t xml:space="preserve">Yes. If you are a registered stockholder or beneficial owner, you can elect to receive future Annual Reports and Proxy Statements on the Internet only and not receive copies in the mail by visiting Shareholder Services at </w:t>
      </w:r>
      <w:r>
        <w:rPr>
          <w:rFonts w:ascii="Arial" w:cs="Arial" w:eastAsia="Arial" w:hAnsi="Arial"/>
          <w:sz w:val="17"/>
          <w:szCs w:val="17"/>
          <w:i w:val="1"/>
          <w:iCs w:val="1"/>
          <w:color w:val="auto"/>
        </w:rPr>
        <w:t>www.lockheedmartin.com/investor</w:t>
      </w:r>
      <w:r>
        <w:rPr>
          <w:rFonts w:ascii="Arial" w:cs="Arial" w:eastAsia="Arial" w:hAnsi="Arial"/>
          <w:sz w:val="17"/>
          <w:szCs w:val="17"/>
          <w:color w:val="auto"/>
        </w:rPr>
        <w:t xml:space="preserve"> and completing the online consent form. Your request for electronic transmission will remain in effect for all future Annual Reports and Proxy Statements, unless withdrawn. Withdrawal procedures also are available on this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-507365</wp:posOffset>
            </wp:positionV>
            <wp:extent cx="7246620" cy="5143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514350"/>
                    </a:xfrm>
                    <a:prstGeom prst="rect">
                      <a:avLst/>
                    </a:prstGeom>
                    <a:noFill/>
                  </pic:spPr>
                </pic:pic>
              </a:graphicData>
            </a:graphic>
          </wp:anchor>
        </w:drawing>
      </w:r>
    </w:p>
    <w:p>
      <w:pPr>
        <w:spacing w:after="0" w:line="83"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Most active employees who participate in the Corporation’s 401(k) and defined contribution plans will receive an email notification announcing Internet availability of the Proxy Materials. A paper copy will not be provided unless requested by the employee following the instruction in the email notification.</w:t>
      </w:r>
    </w:p>
    <w:p>
      <w:pPr>
        <w:spacing w:after="0" w:line="117" w:lineRule="exact"/>
        <w:rPr>
          <w:sz w:val="20"/>
          <w:szCs w:val="20"/>
          <w:color w:val="auto"/>
        </w:rPr>
      </w:pPr>
    </w:p>
    <w:p>
      <w:pPr>
        <w:spacing w:after="0"/>
        <w:rPr>
          <w:sz w:val="20"/>
          <w:szCs w:val="20"/>
          <w:color w:val="auto"/>
        </w:rPr>
      </w:pPr>
      <w:r>
        <w:rPr>
          <w:rFonts w:ascii="Arial" w:cs="Arial" w:eastAsia="Arial" w:hAnsi="Arial"/>
          <w:sz w:val="29"/>
          <w:szCs w:val="29"/>
          <w:b w:val="1"/>
          <w:bCs w:val="1"/>
          <w:color w:val="012E6C"/>
        </w:rPr>
        <w:t>Who pays the cost of this proxy solicitation?</w:t>
      </w:r>
    </w:p>
    <w:p>
      <w:pPr>
        <w:spacing w:after="0" w:line="250"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Corporation pays the cost of soliciting proxies on behalf of the Board for the Annual Meeting. We may solicit proxies by Internet, by telephone, by mail or in person. We may make arrangements with brokerage houses and other custodians, nominees and fiduciaries to send Proxy Materials to beneficial owners on our behalf. We reimburse them for their reasonable expenses. We have retained Morrow Sodali LLC, 470 West Avenue, Stamford, CT 06902 to aid in the solicitation of proxies and to verify related records for a fee of $45,000, plus expenses. To the extent necessary to ensure sufficient representation at the Annual Meeting, we may request the return of proxies by mail, express delivery, courier, telephone, Internet or other means. Stockholders are requested to return their proxies without delay.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379730</wp:posOffset>
            </wp:positionV>
            <wp:extent cx="1440815" cy="3257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44081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808080"/>
        </w:rPr>
        <w:t>80</w:t>
      </w:r>
    </w:p>
    <w:p>
      <w:pPr>
        <w:sectPr>
          <w:pgSz w:w="11900" w:h="16838" w:orient="portrait"/>
          <w:cols w:equalWidth="0" w:num="1">
            <w:col w:w="11420"/>
          </w:cols>
          <w:pgMar w:left="240" w:top="278"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5"/>
          <w:szCs w:val="15"/>
          <w:color w:val="003478"/>
        </w:rPr>
        <w:t>Questions and Answers About the Annual Meeting</w:t>
      </w:r>
    </w:p>
    <w:p>
      <w:pPr>
        <w:spacing w:after="0" w:line="334" w:lineRule="exact"/>
        <w:rPr>
          <w:sz w:val="20"/>
          <w:szCs w:val="20"/>
          <w:color w:val="auto"/>
        </w:rPr>
      </w:pPr>
    </w:p>
    <w:p>
      <w:pPr>
        <w:ind w:right="200"/>
        <w:spacing w:after="0" w:line="297" w:lineRule="auto"/>
        <w:rPr>
          <w:sz w:val="20"/>
          <w:szCs w:val="20"/>
          <w:color w:val="auto"/>
        </w:rPr>
      </w:pPr>
      <w:r>
        <w:rPr>
          <w:rFonts w:ascii="Arial" w:cs="Arial" w:eastAsia="Arial" w:hAnsi="Arial"/>
          <w:sz w:val="29"/>
          <w:szCs w:val="29"/>
          <w:b w:val="1"/>
          <w:bCs w:val="1"/>
          <w:color w:val="012E6C"/>
        </w:rPr>
        <w:t>How do I submit a proposal or nomination for the Annual Meeting of Stockholders in 2020?</w:t>
      </w:r>
    </w:p>
    <w:p>
      <w:pPr>
        <w:spacing w:after="0" w:line="93" w:lineRule="exact"/>
        <w:rPr>
          <w:sz w:val="20"/>
          <w:szCs w:val="20"/>
          <w:color w:val="auto"/>
        </w:rPr>
      </w:pPr>
    </w:p>
    <w:p>
      <w:pPr>
        <w:ind w:right="20"/>
        <w:spacing w:after="0" w:line="288" w:lineRule="auto"/>
        <w:rPr>
          <w:sz w:val="20"/>
          <w:szCs w:val="20"/>
          <w:color w:val="auto"/>
        </w:rPr>
      </w:pPr>
      <w:r>
        <w:rPr>
          <w:rFonts w:ascii="Arial" w:cs="Arial" w:eastAsia="Arial" w:hAnsi="Arial"/>
          <w:sz w:val="17"/>
          <w:szCs w:val="17"/>
          <w:b w:val="1"/>
          <w:bCs w:val="1"/>
          <w:color w:val="auto"/>
        </w:rPr>
        <w:t xml:space="preserve">Address to Submit a Stockholder Proposal: </w:t>
      </w:r>
      <w:r>
        <w:rPr>
          <w:rFonts w:ascii="Arial" w:cs="Arial" w:eastAsia="Arial" w:hAnsi="Arial"/>
          <w:sz w:val="17"/>
          <w:szCs w:val="17"/>
          <w:color w:val="auto"/>
        </w:rPr>
        <w:t>Any stockholder who wishes to submit a proposal or nominate a director for consideration at the 2020</w:t>
      </w:r>
      <w:r>
        <w:rPr>
          <w:rFonts w:ascii="Arial" w:cs="Arial" w:eastAsia="Arial" w:hAnsi="Arial"/>
          <w:sz w:val="17"/>
          <w:szCs w:val="17"/>
          <w:b w:val="1"/>
          <w:bCs w:val="1"/>
          <w:color w:val="auto"/>
        </w:rPr>
        <w:t xml:space="preserve"> </w:t>
      </w:r>
      <w:r>
        <w:rPr>
          <w:rFonts w:ascii="Arial" w:cs="Arial" w:eastAsia="Arial" w:hAnsi="Arial"/>
          <w:sz w:val="17"/>
          <w:szCs w:val="17"/>
          <w:color w:val="auto"/>
        </w:rPr>
        <w:t>Annual Meeting must send their proposal to Lockheed Martin Corporation, Attention: Senior Vice President, General Counsel and Corporate Secretary, 6801 Rockledge Drive, Bethesda, MD 20817.</w:t>
      </w:r>
    </w:p>
    <w:p>
      <w:pPr>
        <w:spacing w:after="0" w:line="161" w:lineRule="exact"/>
        <w:rPr>
          <w:sz w:val="20"/>
          <w:szCs w:val="20"/>
          <w:color w:val="auto"/>
        </w:rPr>
      </w:pPr>
    </w:p>
    <w:p>
      <w:pPr>
        <w:ind w:right="120"/>
        <w:spacing w:after="0" w:line="288" w:lineRule="auto"/>
        <w:rPr>
          <w:sz w:val="20"/>
          <w:szCs w:val="20"/>
          <w:color w:val="auto"/>
        </w:rPr>
      </w:pPr>
      <w:r>
        <w:rPr>
          <w:rFonts w:ascii="Arial" w:cs="Arial" w:eastAsia="Arial" w:hAnsi="Arial"/>
          <w:sz w:val="17"/>
          <w:szCs w:val="17"/>
          <w:b w:val="1"/>
          <w:bCs w:val="1"/>
          <w:color w:val="auto"/>
        </w:rPr>
        <w:t xml:space="preserve">Deadline and Submission Requirements for Stockholder Proposals: </w:t>
      </w:r>
      <w:r>
        <w:rPr>
          <w:rFonts w:ascii="Arial" w:cs="Arial" w:eastAsia="Arial" w:hAnsi="Arial"/>
          <w:sz w:val="17"/>
          <w:szCs w:val="17"/>
          <w:color w:val="auto"/>
        </w:rPr>
        <w:t>There are separate requirements for stockholder proposals under SEC Rule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14a-8 and proposals under our proxy access provision as stated below. A copy of our Bylaws can be found at </w:t>
      </w:r>
      <w:r>
        <w:rPr>
          <w:rFonts w:ascii="Arial" w:cs="Arial" w:eastAsia="Arial" w:hAnsi="Arial"/>
          <w:sz w:val="17"/>
          <w:szCs w:val="17"/>
          <w:i w:val="1"/>
          <w:iCs w:val="1"/>
          <w:color w:val="auto"/>
        </w:rPr>
        <w:t>www.lockheedmartin.com/corporate-governance.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129540</wp:posOffset>
            </wp:positionV>
            <wp:extent cx="2821305" cy="1714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821305" cy="171450"/>
                    </a:xfrm>
                    <a:prstGeom prst="rect">
                      <a:avLst/>
                    </a:prstGeom>
                    <a:noFill/>
                  </pic:spPr>
                </pic:pic>
              </a:graphicData>
            </a:graphic>
          </wp:anchor>
        </w:drawing>
      </w:r>
    </w:p>
    <w:p>
      <w:pPr>
        <w:sectPr>
          <w:pgSz w:w="11900" w:h="16838" w:orient="portrait"/>
          <w:cols w:equalWidth="0" w:num="1">
            <w:col w:w="11420"/>
          </w:cols>
          <w:pgMar w:left="240" w:top="278" w:right="239" w:bottom="1440" w:gutter="0" w:footer="0" w:header="0"/>
        </w:sect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660" w:type="dxa"/>
            <w:vAlign w:val="bottom"/>
            <w:shd w:val="clear" w:color="auto" w:fill="CCCCCC"/>
          </w:tcPr>
          <w:p>
            <w:pPr>
              <w:ind w:left="1160"/>
              <w:spacing w:after="0"/>
              <w:rPr>
                <w:sz w:val="20"/>
                <w:szCs w:val="20"/>
                <w:color w:val="auto"/>
              </w:rPr>
            </w:pPr>
            <w:r>
              <w:rPr>
                <w:rFonts w:ascii="Arial" w:cs="Arial" w:eastAsia="Arial" w:hAnsi="Arial"/>
                <w:sz w:val="17"/>
                <w:szCs w:val="17"/>
                <w:b w:val="1"/>
                <w:bCs w:val="1"/>
                <w:color w:val="auto"/>
              </w:rPr>
              <w:t>Type of Proposal</w:t>
            </w:r>
          </w:p>
        </w:tc>
        <w:tc>
          <w:tcPr>
            <w:tcW w:w="360" w:type="dxa"/>
            <w:vAlign w:val="bottom"/>
          </w:tcPr>
          <w:p>
            <w:pPr>
              <w:spacing w:after="0"/>
              <w:rPr>
                <w:sz w:val="23"/>
                <w:szCs w:val="23"/>
                <w:color w:val="auto"/>
              </w:rPr>
            </w:pPr>
          </w:p>
        </w:tc>
        <w:tc>
          <w:tcPr>
            <w:tcW w:w="2620" w:type="dxa"/>
            <w:vAlign w:val="bottom"/>
            <w:shd w:val="clear" w:color="auto" w:fill="959595"/>
          </w:tcPr>
          <w:p>
            <w:pPr>
              <w:ind w:left="960"/>
              <w:spacing w:after="0"/>
              <w:rPr>
                <w:sz w:val="20"/>
                <w:szCs w:val="20"/>
                <w:color w:val="auto"/>
              </w:rPr>
            </w:pPr>
            <w:r>
              <w:rPr>
                <w:rFonts w:ascii="Arial" w:cs="Arial" w:eastAsia="Arial" w:hAnsi="Arial"/>
                <w:sz w:val="17"/>
                <w:szCs w:val="17"/>
                <w:b w:val="1"/>
                <w:bCs w:val="1"/>
                <w:color w:val="FFFFFF"/>
              </w:rPr>
              <w:t>Deadline</w:t>
            </w:r>
          </w:p>
        </w:tc>
      </w:tr>
      <w:tr>
        <w:trPr>
          <w:trHeight w:val="296"/>
        </w:trPr>
        <w:tc>
          <w:tcPr>
            <w:tcW w:w="3660" w:type="dxa"/>
            <w:vAlign w:val="bottom"/>
          </w:tcPr>
          <w:p>
            <w:pPr>
              <w:ind w:left="40"/>
              <w:spacing w:after="0"/>
              <w:rPr>
                <w:sz w:val="20"/>
                <w:szCs w:val="20"/>
                <w:color w:val="auto"/>
              </w:rPr>
            </w:pPr>
            <w:r>
              <w:rPr>
                <w:rFonts w:ascii="Arial" w:cs="Arial" w:eastAsia="Arial" w:hAnsi="Arial"/>
                <w:sz w:val="17"/>
                <w:szCs w:val="17"/>
                <w:b w:val="1"/>
                <w:bCs w:val="1"/>
                <w:color w:val="auto"/>
              </w:rPr>
              <w:t xml:space="preserve">Stockholder Proposal </w:t>
            </w:r>
            <w:r>
              <w:rPr>
                <w:rFonts w:ascii="Arial" w:cs="Arial" w:eastAsia="Arial" w:hAnsi="Arial"/>
                <w:sz w:val="17"/>
                <w:szCs w:val="17"/>
                <w:color w:val="auto"/>
              </w:rPr>
              <w:t>to be included in our</w:t>
            </w:r>
          </w:p>
        </w:tc>
        <w:tc>
          <w:tcPr>
            <w:tcW w:w="360" w:type="dxa"/>
            <w:vAlign w:val="bottom"/>
          </w:tcPr>
          <w:p>
            <w:pPr>
              <w:spacing w:after="0"/>
              <w:rPr>
                <w:sz w:val="24"/>
                <w:szCs w:val="24"/>
                <w:color w:val="auto"/>
              </w:rPr>
            </w:pPr>
          </w:p>
        </w:tc>
        <w:tc>
          <w:tcPr>
            <w:tcW w:w="2620" w:type="dxa"/>
            <w:vAlign w:val="bottom"/>
          </w:tcPr>
          <w:p>
            <w:pPr>
              <w:ind w:left="20"/>
              <w:spacing w:after="0"/>
              <w:rPr>
                <w:sz w:val="20"/>
                <w:szCs w:val="20"/>
                <w:color w:val="auto"/>
              </w:rPr>
            </w:pPr>
            <w:r>
              <w:rPr>
                <w:rFonts w:ascii="Arial" w:cs="Arial" w:eastAsia="Arial" w:hAnsi="Arial"/>
                <w:sz w:val="17"/>
                <w:szCs w:val="17"/>
                <w:color w:val="auto"/>
              </w:rPr>
              <w:t>November 16, 2019</w:t>
            </w:r>
          </w:p>
        </w:tc>
      </w:tr>
      <w:tr>
        <w:trPr>
          <w:trHeight w:val="231"/>
        </w:trPr>
        <w:tc>
          <w:tcPr>
            <w:tcW w:w="3660" w:type="dxa"/>
            <w:vAlign w:val="bottom"/>
          </w:tcPr>
          <w:p>
            <w:pPr>
              <w:ind w:left="40"/>
              <w:spacing w:after="0"/>
              <w:rPr>
                <w:sz w:val="20"/>
                <w:szCs w:val="20"/>
                <w:color w:val="auto"/>
              </w:rPr>
            </w:pPr>
            <w:r>
              <w:rPr>
                <w:rFonts w:ascii="Arial" w:cs="Arial" w:eastAsia="Arial" w:hAnsi="Arial"/>
                <w:sz w:val="17"/>
                <w:szCs w:val="17"/>
                <w:color w:val="auto"/>
              </w:rPr>
              <w:t>proxy statement and proxy card</w:t>
            </w:r>
          </w:p>
        </w:tc>
        <w:tc>
          <w:tcPr>
            <w:tcW w:w="360" w:type="dxa"/>
            <w:vAlign w:val="bottom"/>
          </w:tcPr>
          <w:p>
            <w:pPr>
              <w:spacing w:after="0"/>
              <w:rPr>
                <w:sz w:val="20"/>
                <w:szCs w:val="20"/>
                <w:color w:val="auto"/>
              </w:rPr>
            </w:pPr>
          </w:p>
        </w:tc>
        <w:tc>
          <w:tcPr>
            <w:tcW w:w="26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2466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ind w:left="1089"/>
        <w:spacing w:after="0"/>
        <w:rPr>
          <w:sz w:val="20"/>
          <w:szCs w:val="20"/>
          <w:color w:val="auto"/>
        </w:rPr>
      </w:pPr>
      <w:r>
        <w:rPr>
          <w:rFonts w:ascii="Arial" w:cs="Arial" w:eastAsia="Arial" w:hAnsi="Arial"/>
          <w:sz w:val="17"/>
          <w:szCs w:val="17"/>
          <w:b w:val="1"/>
          <w:bCs w:val="1"/>
          <w:color w:val="FFFFFF"/>
        </w:rPr>
        <w:t>Submission Requirements</w:t>
      </w:r>
    </w:p>
    <w:p>
      <w:pPr>
        <w:spacing w:after="0" w:line="117" w:lineRule="exact"/>
        <w:rPr>
          <w:sz w:val="20"/>
          <w:szCs w:val="20"/>
          <w:color w:val="auto"/>
        </w:rPr>
      </w:pPr>
    </w:p>
    <w:p>
      <w:pPr>
        <w:ind w:left="129" w:right="380" w:hanging="129"/>
        <w:spacing w:after="0" w:line="253" w:lineRule="auto"/>
        <w:tabs>
          <w:tab w:leader="none" w:pos="214" w:val="left"/>
        </w:tabs>
        <w:numPr>
          <w:ilvl w:val="0"/>
          <w:numId w:val="96"/>
        </w:numPr>
        <w:rPr>
          <w:rFonts w:ascii="Arial" w:cs="Arial" w:eastAsia="Arial" w:hAnsi="Arial"/>
          <w:sz w:val="17"/>
          <w:szCs w:val="17"/>
          <w:color w:val="012E6C"/>
        </w:rPr>
      </w:pPr>
      <w:r>
        <w:rPr>
          <w:rFonts w:ascii="Arial" w:cs="Arial" w:eastAsia="Arial" w:hAnsi="Arial"/>
          <w:sz w:val="17"/>
          <w:szCs w:val="17"/>
          <w:color w:val="auto"/>
        </w:rPr>
        <w:t xml:space="preserve">Must comply with applicable SEC Rules (including SEC Rule 14a-8); see also Staff Legal Bulletin 14, which may be found at </w:t>
      </w:r>
      <w:r>
        <w:rPr>
          <w:rFonts w:ascii="Arial" w:cs="Arial" w:eastAsia="Arial" w:hAnsi="Arial"/>
          <w:sz w:val="17"/>
          <w:szCs w:val="17"/>
          <w:i w:val="1"/>
          <w:iCs w:val="1"/>
          <w:color w:val="auto"/>
        </w:rPr>
        <w:t>www.sec.gov</w:t>
      </w:r>
    </w:p>
    <w:p>
      <w:pPr>
        <w:spacing w:after="0" w:line="57" w:lineRule="exact"/>
        <w:rPr>
          <w:rFonts w:ascii="Arial" w:cs="Arial" w:eastAsia="Arial" w:hAnsi="Arial"/>
          <w:sz w:val="17"/>
          <w:szCs w:val="17"/>
          <w:color w:val="012E6C"/>
        </w:rPr>
      </w:pPr>
    </w:p>
    <w:p>
      <w:pPr>
        <w:ind w:left="129" w:right="560" w:hanging="129"/>
        <w:spacing w:after="0" w:line="275" w:lineRule="auto"/>
        <w:tabs>
          <w:tab w:leader="none" w:pos="214" w:val="left"/>
        </w:tabs>
        <w:numPr>
          <w:ilvl w:val="0"/>
          <w:numId w:val="96"/>
        </w:numPr>
        <w:rPr>
          <w:rFonts w:ascii="Arial" w:cs="Arial" w:eastAsia="Arial" w:hAnsi="Arial"/>
          <w:sz w:val="17"/>
          <w:szCs w:val="17"/>
          <w:color w:val="012E6C"/>
        </w:rPr>
      </w:pPr>
      <w:r>
        <w:rPr>
          <w:rFonts w:ascii="Arial" w:cs="Arial" w:eastAsia="Arial" w:hAnsi="Arial"/>
          <w:sz w:val="17"/>
          <w:szCs w:val="17"/>
          <w:color w:val="auto"/>
        </w:rPr>
        <w:t>Must provide the information required under our Bylaws, including Section 1.10</w:t>
      </w:r>
    </w:p>
    <w:p>
      <w:pPr>
        <w:spacing w:after="0" w:line="158" w:lineRule="exact"/>
        <w:rPr>
          <w:sz w:val="20"/>
          <w:szCs w:val="20"/>
          <w:color w:val="auto"/>
        </w:rPr>
      </w:pPr>
    </w:p>
    <w:p>
      <w:pPr>
        <w:sectPr>
          <w:pgSz w:w="11900" w:h="16838" w:orient="portrait"/>
          <w:cols w:equalWidth="0" w:num="2">
            <w:col w:w="6640" w:space="391"/>
            <w:col w:w="4389"/>
          </w:cols>
          <w:pgMar w:left="240" w:top="278" w:right="239" w:bottom="1440" w:gutter="0" w:footer="0" w:header="0"/>
          <w:type w:val="continuous"/>
        </w:sectPr>
      </w:pPr>
    </w:p>
    <w:p>
      <w:pPr>
        <w:ind w:left="40" w:right="60"/>
        <w:spacing w:after="0" w:line="255" w:lineRule="auto"/>
        <w:rPr>
          <w:sz w:val="20"/>
          <w:szCs w:val="20"/>
          <w:color w:val="auto"/>
        </w:rPr>
      </w:pPr>
      <w:r>
        <w:rPr>
          <w:rFonts w:ascii="Arial" w:cs="Arial" w:eastAsia="Arial" w:hAnsi="Arial"/>
          <w:sz w:val="17"/>
          <w:szCs w:val="17"/>
          <w:b w:val="1"/>
          <w:bCs w:val="1"/>
          <w:color w:val="auto"/>
        </w:rPr>
        <w:t xml:space="preserve">Proxy Access Nominee </w:t>
      </w:r>
      <w:r>
        <w:rPr>
          <w:rFonts w:ascii="Arial" w:cs="Arial" w:eastAsia="Arial" w:hAnsi="Arial"/>
          <w:sz w:val="17"/>
          <w:szCs w:val="17"/>
          <w:color w:val="auto"/>
        </w:rPr>
        <w:t>- stockholder</w:t>
      </w:r>
      <w:r>
        <w:rPr>
          <w:rFonts w:ascii="Arial" w:cs="Arial" w:eastAsia="Arial" w:hAnsi="Arial"/>
          <w:sz w:val="17"/>
          <w:szCs w:val="17"/>
          <w:b w:val="1"/>
          <w:bCs w:val="1"/>
          <w:color w:val="auto"/>
        </w:rPr>
        <w:t xml:space="preserve"> </w:t>
      </w:r>
      <w:r>
        <w:rPr>
          <w:rFonts w:ascii="Arial" w:cs="Arial" w:eastAsia="Arial" w:hAnsi="Arial"/>
          <w:sz w:val="17"/>
          <w:szCs w:val="17"/>
          <w:color w:val="auto"/>
        </w:rPr>
        <w:t>nomination of director to be included in our proxy statement and proxy card</w:t>
      </w:r>
    </w:p>
    <w:p>
      <w:pPr>
        <w:spacing w:after="0" w:line="20" w:lineRule="exact"/>
        <w:rPr>
          <w:sz w:val="20"/>
          <w:szCs w:val="20"/>
          <w:color w:val="auto"/>
        </w:rPr>
      </w:pPr>
      <w:r>
        <w:rPr>
          <w:sz w:val="20"/>
          <w:szCs w:val="20"/>
          <w:color w:val="auto"/>
        </w:rPr>
        <w:br w:type="column"/>
      </w:r>
    </w:p>
    <w:p>
      <w:pPr>
        <w:ind w:right="240"/>
        <w:spacing w:after="0" w:line="253" w:lineRule="auto"/>
        <w:rPr>
          <w:sz w:val="20"/>
          <w:szCs w:val="20"/>
          <w:color w:val="auto"/>
        </w:rPr>
      </w:pPr>
      <w:r>
        <w:rPr>
          <w:rFonts w:ascii="Arial" w:cs="Arial" w:eastAsia="Arial" w:hAnsi="Arial"/>
          <w:sz w:val="17"/>
          <w:szCs w:val="17"/>
          <w:color w:val="auto"/>
        </w:rPr>
        <w:t>Must be received between October 17, 2019 and November 16,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71120</wp:posOffset>
            </wp:positionV>
            <wp:extent cx="72466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60"/>
        <w:spacing w:after="0" w:line="275" w:lineRule="auto"/>
        <w:rPr>
          <w:sz w:val="20"/>
          <w:szCs w:val="20"/>
          <w:color w:val="auto"/>
        </w:rPr>
      </w:pPr>
      <w:r>
        <w:rPr>
          <w:rFonts w:ascii="Arial" w:cs="Arial" w:eastAsia="Arial" w:hAnsi="Arial"/>
          <w:sz w:val="17"/>
          <w:szCs w:val="17"/>
          <w:color w:val="auto"/>
        </w:rPr>
        <w:t>Must provide the information required under our Bylaws, including Section 1.11</w:t>
      </w:r>
    </w:p>
    <w:p>
      <w:pPr>
        <w:spacing w:after="0" w:line="373" w:lineRule="exact"/>
        <w:rPr>
          <w:sz w:val="20"/>
          <w:szCs w:val="20"/>
          <w:color w:val="auto"/>
        </w:rPr>
      </w:pPr>
    </w:p>
    <w:p>
      <w:pPr>
        <w:sectPr>
          <w:pgSz w:w="11900" w:h="16838" w:orient="portrait"/>
          <w:cols w:equalWidth="0" w:num="3">
            <w:col w:w="3320" w:space="720"/>
            <w:col w:w="2240" w:space="720"/>
            <w:col w:w="4420"/>
          </w:cols>
          <w:pgMar w:left="240" w:top="278" w:right="239" w:bottom="1440" w:gutter="0" w:footer="0" w:header="0"/>
          <w:type w:val="continuous"/>
        </w:sectPr>
      </w:pPr>
    </w:p>
    <w:p>
      <w:pPr>
        <w:spacing w:after="0" w:line="28" w:lineRule="exact"/>
        <w:rPr>
          <w:sz w:val="20"/>
          <w:szCs w:val="20"/>
          <w:color w:val="auto"/>
        </w:rPr>
      </w:pPr>
    </w:p>
    <w:p>
      <w:pPr>
        <w:ind w:left="40"/>
        <w:spacing w:after="0" w:line="255" w:lineRule="auto"/>
        <w:rPr>
          <w:sz w:val="20"/>
          <w:szCs w:val="20"/>
          <w:color w:val="auto"/>
        </w:rPr>
      </w:pPr>
      <w:r>
        <w:rPr>
          <w:rFonts w:ascii="Arial" w:cs="Arial" w:eastAsia="Arial" w:hAnsi="Arial"/>
          <w:sz w:val="17"/>
          <w:szCs w:val="17"/>
          <w:b w:val="1"/>
          <w:bCs w:val="1"/>
          <w:color w:val="auto"/>
        </w:rPr>
        <w:t xml:space="preserve">Stockholder Proposal or Director Nominee </w:t>
      </w:r>
      <w:r>
        <w:rPr>
          <w:rFonts w:ascii="Arial" w:cs="Arial" w:eastAsia="Arial" w:hAnsi="Arial"/>
          <w:sz w:val="17"/>
          <w:szCs w:val="17"/>
          <w:color w:val="auto"/>
        </w:rPr>
        <w:t>not intended to be included in our</w:t>
      </w:r>
      <w:r>
        <w:rPr>
          <w:rFonts w:ascii="Arial" w:cs="Arial" w:eastAsia="Arial" w:hAnsi="Arial"/>
          <w:sz w:val="17"/>
          <w:szCs w:val="17"/>
          <w:b w:val="1"/>
          <w:bCs w:val="1"/>
          <w:color w:val="auto"/>
        </w:rPr>
        <w:t xml:space="preserve"> </w:t>
      </w:r>
      <w:r>
        <w:rPr>
          <w:rFonts w:ascii="Arial" w:cs="Arial" w:eastAsia="Arial" w:hAnsi="Arial"/>
          <w:sz w:val="17"/>
          <w:szCs w:val="17"/>
          <w:color w:val="auto"/>
        </w:rPr>
        <w:t>proxy statement and proxy card</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right="240"/>
        <w:spacing w:after="0" w:line="253" w:lineRule="auto"/>
        <w:rPr>
          <w:sz w:val="20"/>
          <w:szCs w:val="20"/>
          <w:color w:val="auto"/>
        </w:rPr>
      </w:pPr>
      <w:r>
        <w:rPr>
          <w:rFonts w:ascii="Arial" w:cs="Arial" w:eastAsia="Arial" w:hAnsi="Arial"/>
          <w:sz w:val="17"/>
          <w:szCs w:val="17"/>
          <w:color w:val="auto"/>
        </w:rPr>
        <w:t>Must be received between October 17, 2019 and November 16,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71120</wp:posOffset>
            </wp:positionV>
            <wp:extent cx="72466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Must provide the information required under our Bylaws, including Section 1.10</w:t>
      </w:r>
    </w:p>
    <w:p>
      <w:pPr>
        <w:spacing w:after="0" w:line="373" w:lineRule="exact"/>
        <w:rPr>
          <w:sz w:val="20"/>
          <w:szCs w:val="20"/>
          <w:color w:val="auto"/>
        </w:rPr>
      </w:pPr>
    </w:p>
    <w:p>
      <w:pPr>
        <w:sectPr>
          <w:pgSz w:w="11900" w:h="16838" w:orient="portrait"/>
          <w:cols w:equalWidth="0" w:num="3">
            <w:col w:w="3340" w:space="700"/>
            <w:col w:w="2240" w:space="720"/>
            <w:col w:w="4420"/>
          </w:cols>
          <w:pgMar w:left="240" w:top="278" w:right="2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29"/>
          <w:szCs w:val="29"/>
          <w:b w:val="1"/>
          <w:bCs w:val="1"/>
          <w:color w:val="012E6C"/>
        </w:rPr>
        <w:t>How can I contact the Corporation’s non-management directors?</w:t>
      </w:r>
    </w:p>
    <w:p>
      <w:pPr>
        <w:spacing w:after="0" w:line="25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Stockholders and all interested parties may communicate with the Lead Director or with the non-management directors as a group. If you wish to raise a question or concern to the Lead Director or the non-management directors as a group, you may do so by writing to the Lead Director by email at </w:t>
      </w:r>
      <w:r>
        <w:rPr>
          <w:rFonts w:ascii="Arial" w:cs="Arial" w:eastAsia="Arial" w:hAnsi="Arial"/>
          <w:sz w:val="17"/>
          <w:szCs w:val="17"/>
          <w:i w:val="1"/>
          <w:iCs w:val="1"/>
          <w:color w:val="auto"/>
        </w:rPr>
        <w:t>Lead.Director@lmco.com</w:t>
      </w:r>
      <w:r>
        <w:rPr>
          <w:rFonts w:ascii="Arial" w:cs="Arial" w:eastAsia="Arial" w:hAnsi="Arial"/>
          <w:sz w:val="17"/>
          <w:szCs w:val="17"/>
          <w:color w:val="auto"/>
        </w:rPr>
        <w:t>. You also may write to the Lead Director or Non-Management Directors, c/o Senior Vice President, General Counsel and</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Corporate Secretary, Lockheed Martin Corporation, 6801 Rockledge Drive, Bethesda, MD 20817.</w:t>
      </w:r>
    </w:p>
    <w:p>
      <w:pPr>
        <w:spacing w:after="0" w:line="17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Our Senior Vice President, General Counsel and Corporate Secretary or her delegate reviews all correspondence sent to the Board. The Board has authorized our Senior Vice President, General Counsel and Corporate Secretary or her delegate to respond to correspondence regarding routine stockholder matters and services (e.g., stock transfers, dividends, etc.). Correspondence from stockholders relating to accounting, internal controls or auditing matters are brought to the attention of the Audit Committee. All other correspondence is forwarded to the Lead Director who determines whether distribution to a Board committee or to the full Board for review is appropriate. Any director may, at any time, review a log of all correspondence addressed to the Board and request copies of such correspondence.</w:t>
      </w:r>
    </w:p>
    <w:p>
      <w:pPr>
        <w:spacing w:after="0" w:line="149" w:lineRule="exact"/>
        <w:rPr>
          <w:sz w:val="20"/>
          <w:szCs w:val="20"/>
          <w:color w:val="auto"/>
        </w:rPr>
      </w:pPr>
    </w:p>
    <w:p>
      <w:pPr>
        <w:spacing w:after="0"/>
        <w:rPr>
          <w:sz w:val="20"/>
          <w:szCs w:val="20"/>
          <w:color w:val="auto"/>
        </w:rPr>
      </w:pPr>
      <w:r>
        <w:rPr>
          <w:rFonts w:ascii="Arial" w:cs="Arial" w:eastAsia="Arial" w:hAnsi="Arial"/>
          <w:sz w:val="29"/>
          <w:szCs w:val="29"/>
          <w:b w:val="1"/>
          <w:bCs w:val="1"/>
          <w:color w:val="012E6C"/>
        </w:rPr>
        <w:t>Can I find additional information on the Corporation’s website?</w:t>
      </w:r>
    </w:p>
    <w:p>
      <w:pPr>
        <w:spacing w:after="0" w:line="250"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 xml:space="preserve">Yes. Although the information contained on our website is not part of this Proxy Statement, you will find information about the Corporation and our corporate governance practices at </w:t>
      </w:r>
      <w:r>
        <w:rPr>
          <w:rFonts w:ascii="Arial" w:cs="Arial" w:eastAsia="Arial" w:hAnsi="Arial"/>
          <w:sz w:val="17"/>
          <w:szCs w:val="17"/>
          <w:i w:val="1"/>
          <w:iCs w:val="1"/>
          <w:color w:val="auto"/>
        </w:rPr>
        <w:t>www.lockheedmartin.com/corporate-governance</w:t>
      </w:r>
      <w:r>
        <w:rPr>
          <w:rFonts w:ascii="Arial" w:cs="Arial" w:eastAsia="Arial" w:hAnsi="Arial"/>
          <w:sz w:val="17"/>
          <w:szCs w:val="17"/>
          <w:color w:val="auto"/>
        </w:rPr>
        <w:t>. Our website contains information about our Board, Board committees, Charter, Bylaws, Code of Conduct, Governance Guidelines and information about insider transactions. Stockholders may obtain, without charge, hard copies of the above documents by writing to Investor Relations, Lockheed Martin Corporation, 6801 Rockledge Drive, Bethesda, MD 20817.</w:t>
      </w:r>
    </w:p>
    <w:p>
      <w:pPr>
        <w:spacing w:after="0" w:line="200" w:lineRule="exact"/>
        <w:rPr>
          <w:sz w:val="20"/>
          <w:szCs w:val="20"/>
          <w:color w:val="auto"/>
        </w:rPr>
      </w:pPr>
    </w:p>
    <w:p>
      <w:pPr>
        <w:spacing w:after="0" w:line="261" w:lineRule="exact"/>
        <w:rPr>
          <w:sz w:val="20"/>
          <w:szCs w:val="20"/>
          <w:color w:val="auto"/>
        </w:rPr>
      </w:pPr>
    </w:p>
    <w:p>
      <w:pPr>
        <w:ind w:left="40"/>
        <w:spacing w:after="0"/>
        <w:tabs>
          <w:tab w:leader="none" w:pos="9420" w:val="left"/>
          <w:tab w:leader="none" w:pos="1122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2019 Proxy Statement</w:t>
      </w:r>
      <w:r>
        <w:rPr>
          <w:sz w:val="20"/>
          <w:szCs w:val="20"/>
          <w:color w:val="auto"/>
        </w:rPr>
        <w:tab/>
      </w:r>
      <w:r>
        <w:rPr>
          <w:rFonts w:ascii="Arial" w:cs="Arial" w:eastAsia="Arial" w:hAnsi="Arial"/>
          <w:sz w:val="14"/>
          <w:szCs w:val="14"/>
          <w:b w:val="1"/>
          <w:bCs w:val="1"/>
          <w:color w:val="808080"/>
        </w:rPr>
        <w:t>81</w:t>
      </w:r>
    </w:p>
    <w:p>
      <w:pPr>
        <w:sectPr>
          <w:pgSz w:w="11900" w:h="16838" w:orient="portrait"/>
          <w:cols w:equalWidth="0" w:num="1">
            <w:col w:w="11420"/>
          </w:cols>
          <w:pgMar w:left="240" w:top="278" w:right="239" w:bottom="1440" w:gutter="0" w:footer="0" w:header="0"/>
          <w:type w:val="continuous"/>
        </w:sectPr>
      </w:pPr>
    </w:p>
    <w:bookmarkStart w:id="84" w:name="page85"/>
    <w:bookmarkEnd w:id="84"/>
    <w:p>
      <w:pPr>
        <w:spacing w:after="0"/>
        <w:rPr>
          <w:sz w:val="20"/>
          <w:szCs w:val="20"/>
          <w:color w:val="auto"/>
        </w:rPr>
      </w:pPr>
      <w:r>
        <w:rPr>
          <w:rFonts w:ascii="Arial" w:cs="Arial" w:eastAsia="Arial" w:hAnsi="Arial"/>
          <w:sz w:val="43"/>
          <w:szCs w:val="43"/>
          <w:color w:val="012E6C"/>
        </w:rPr>
        <w:t>Attending the Annual Meeting</w:t>
      </w:r>
    </w:p>
    <w:p>
      <w:pPr>
        <w:spacing w:after="0" w:line="341" w:lineRule="exact"/>
        <w:rPr>
          <w:sz w:val="20"/>
          <w:szCs w:val="20"/>
          <w:color w:val="auto"/>
        </w:rPr>
      </w:pPr>
    </w:p>
    <w:p>
      <w:pPr>
        <w:spacing w:after="0"/>
        <w:rPr>
          <w:sz w:val="20"/>
          <w:szCs w:val="20"/>
          <w:color w:val="auto"/>
        </w:rPr>
      </w:pPr>
      <w:r>
        <w:rPr>
          <w:rFonts w:ascii="Arial" w:cs="Arial" w:eastAsia="Arial" w:hAnsi="Arial"/>
          <w:sz w:val="29"/>
          <w:szCs w:val="29"/>
          <w:b w:val="1"/>
          <w:bCs w:val="1"/>
          <w:color w:val="012E6C"/>
        </w:rPr>
        <w:t>Location</w:t>
      </w:r>
    </w:p>
    <w:p>
      <w:pPr>
        <w:spacing w:after="0" w:line="250"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The meeting location, parking details and directions are provided on the back cover of this Proxy Statement. No parking is available at the Center for Leadership Excellence. If you plan to drive, proceed to the parking lot and a shuttle will take you to the Auditorium. Please plan additional time in your schedule for the shuttle. Shuttle service will begin at 7:15 a.m. The Annual Meeting will begin promptly at 8:00 a.m.</w:t>
      </w:r>
    </w:p>
    <w:p>
      <w:pPr>
        <w:spacing w:after="0" w:line="136" w:lineRule="exact"/>
        <w:rPr>
          <w:sz w:val="20"/>
          <w:szCs w:val="20"/>
          <w:color w:val="auto"/>
        </w:rPr>
      </w:pPr>
    </w:p>
    <w:p>
      <w:pPr>
        <w:spacing w:after="0"/>
        <w:rPr>
          <w:sz w:val="20"/>
          <w:szCs w:val="20"/>
          <w:color w:val="auto"/>
        </w:rPr>
      </w:pPr>
      <w:r>
        <w:rPr>
          <w:rFonts w:ascii="Arial" w:cs="Arial" w:eastAsia="Arial" w:hAnsi="Arial"/>
          <w:sz w:val="29"/>
          <w:szCs w:val="29"/>
          <w:b w:val="1"/>
          <w:bCs w:val="1"/>
          <w:color w:val="012E6C"/>
        </w:rPr>
        <w:t>Admission to the Annual Meeting</w:t>
      </w:r>
    </w:p>
    <w:p>
      <w:pPr>
        <w:spacing w:after="0" w:line="25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Attendance at the Annual Meeting is limited to Lockheed Martin stockholders as of the Record Date (or a named and properly authorized representative), and one family member guest. We reserve the right to limit the number of non-stockholder, family member guests who may attend the Annual Meeting. All attendees must pre-register. An admission ticket will be mailed to you.</w:t>
      </w:r>
    </w:p>
    <w:p>
      <w:pPr>
        <w:spacing w:after="0" w:line="150" w:lineRule="exact"/>
        <w:rPr>
          <w:sz w:val="20"/>
          <w:szCs w:val="20"/>
          <w:color w:val="auto"/>
        </w:rPr>
      </w:pPr>
    </w:p>
    <w:p>
      <w:pPr>
        <w:spacing w:after="0"/>
        <w:rPr>
          <w:sz w:val="20"/>
          <w:szCs w:val="20"/>
          <w:color w:val="auto"/>
        </w:rPr>
      </w:pPr>
      <w:r>
        <w:rPr>
          <w:rFonts w:ascii="Arial" w:cs="Arial" w:eastAsia="Arial" w:hAnsi="Arial"/>
          <w:sz w:val="25"/>
          <w:szCs w:val="25"/>
          <w:color w:val="475C90"/>
        </w:rPr>
        <w:t>Security Check</w:t>
      </w:r>
    </w:p>
    <w:p>
      <w:pPr>
        <w:spacing w:after="0" w:line="242"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For security reasons, an admission ticket and valid, government-issued photographic identification (such as a driver’s license or passport) are required to enter the Annual Meeting. You also will be required to enter through a security check point before being granted access into the Annual Meeting. All hand-carried items will be subject to inspection and will be screened at the door. Cameras, cell phones, electronic devices, bags, briefcases and packages will not be permitted in the meeting. The Corporation may implement additional security procedures to ensure the safety of the meeting attendees.</w:t>
      </w:r>
    </w:p>
    <w:p>
      <w:pPr>
        <w:spacing w:after="0" w:line="157" w:lineRule="exact"/>
        <w:rPr>
          <w:sz w:val="20"/>
          <w:szCs w:val="20"/>
          <w:color w:val="auto"/>
        </w:rPr>
      </w:pPr>
    </w:p>
    <w:p>
      <w:pPr>
        <w:spacing w:after="0"/>
        <w:rPr>
          <w:sz w:val="20"/>
          <w:szCs w:val="20"/>
          <w:color w:val="auto"/>
        </w:rPr>
      </w:pPr>
      <w:r>
        <w:rPr>
          <w:rFonts w:ascii="Arial" w:cs="Arial" w:eastAsia="Arial" w:hAnsi="Arial"/>
          <w:sz w:val="25"/>
          <w:szCs w:val="25"/>
          <w:color w:val="475C90"/>
        </w:rPr>
        <w:t>Registration Deadline</w:t>
      </w:r>
    </w:p>
    <w:p>
      <w:pPr>
        <w:spacing w:after="0" w:line="24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If you would like to attend the Annual Meeting, please follow the instructions below to pre-register. You are permitted one guest who must be a family member. You must also pre-register your guest and provide his or her name and address. Your request to pre-register must be received by Friday, April 19, 2019. An admission ticket will be mailed to you.</w:t>
      </w:r>
    </w:p>
    <w:p>
      <w:pPr>
        <w:spacing w:after="0" w:line="136" w:lineRule="exact"/>
        <w:rPr>
          <w:sz w:val="20"/>
          <w:szCs w:val="20"/>
          <w:color w:val="auto"/>
        </w:rPr>
      </w:pPr>
    </w:p>
    <w:p>
      <w:pPr>
        <w:spacing w:after="0"/>
        <w:rPr>
          <w:sz w:val="20"/>
          <w:szCs w:val="20"/>
          <w:color w:val="auto"/>
        </w:rPr>
      </w:pPr>
      <w:r>
        <w:rPr>
          <w:rFonts w:ascii="Arial" w:cs="Arial" w:eastAsia="Arial" w:hAnsi="Arial"/>
          <w:sz w:val="29"/>
          <w:szCs w:val="29"/>
          <w:b w:val="1"/>
          <w:bCs w:val="1"/>
          <w:color w:val="012E6C"/>
        </w:rPr>
        <w:t>Advance Registration Instructions</w:t>
      </w:r>
    </w:p>
    <w:p>
      <w:pPr>
        <w:spacing w:after="0" w:line="248" w:lineRule="exact"/>
        <w:rPr>
          <w:sz w:val="20"/>
          <w:szCs w:val="20"/>
          <w:color w:val="auto"/>
        </w:rPr>
      </w:pPr>
    </w:p>
    <w:p>
      <w:pPr>
        <w:ind w:left="260" w:right="120" w:hanging="130"/>
        <w:spacing w:after="0" w:line="288" w:lineRule="auto"/>
        <w:tabs>
          <w:tab w:leader="none" w:pos="260" w:val="left"/>
        </w:tabs>
        <w:numPr>
          <w:ilvl w:val="0"/>
          <w:numId w:val="97"/>
        </w:numPr>
        <w:rPr>
          <w:rFonts w:ascii="Arial" w:cs="Arial" w:eastAsia="Arial" w:hAnsi="Arial"/>
          <w:sz w:val="17"/>
          <w:szCs w:val="17"/>
          <w:color w:val="012E6C"/>
        </w:rPr>
      </w:pPr>
      <w:r>
        <w:rPr>
          <w:rFonts w:ascii="Arial" w:cs="Arial" w:eastAsia="Arial" w:hAnsi="Arial"/>
          <w:sz w:val="17"/>
          <w:szCs w:val="17"/>
          <w:b w:val="1"/>
          <w:bCs w:val="1"/>
          <w:color w:val="012E6C"/>
        </w:rPr>
        <w:t xml:space="preserve">Registered Stockholders. </w:t>
      </w:r>
      <w:r>
        <w:rPr>
          <w:rFonts w:ascii="Arial" w:cs="Arial" w:eastAsia="Arial" w:hAnsi="Arial"/>
          <w:sz w:val="17"/>
          <w:szCs w:val="17"/>
          <w:color w:val="000000"/>
        </w:rPr>
        <w:t>If you are a registered stockholder (your shares are held in your name), you must pre-register and obtain an admission</w:t>
      </w:r>
      <w:r>
        <w:rPr>
          <w:rFonts w:ascii="Arial" w:cs="Arial" w:eastAsia="Arial" w:hAnsi="Arial"/>
          <w:sz w:val="17"/>
          <w:szCs w:val="17"/>
          <w:b w:val="1"/>
          <w:bCs w:val="1"/>
          <w:color w:val="012E6C"/>
        </w:rPr>
        <w:t xml:space="preserve"> </w:t>
      </w:r>
      <w:r>
        <w:rPr>
          <w:rFonts w:ascii="Arial" w:cs="Arial" w:eastAsia="Arial" w:hAnsi="Arial"/>
          <w:sz w:val="17"/>
          <w:szCs w:val="17"/>
          <w:color w:val="000000"/>
        </w:rPr>
        <w:t>ticket by (i) checking the appropriate box on the Internet voting site, (ii) following the prompts on the telephone voting site or (iii) marking the appropriate box on your proxy card.</w:t>
      </w:r>
    </w:p>
    <w:p>
      <w:pPr>
        <w:spacing w:after="0" w:line="160" w:lineRule="exact"/>
        <w:rPr>
          <w:rFonts w:ascii="Arial" w:cs="Arial" w:eastAsia="Arial" w:hAnsi="Arial"/>
          <w:sz w:val="17"/>
          <w:szCs w:val="17"/>
          <w:color w:val="012E6C"/>
        </w:rPr>
      </w:pPr>
    </w:p>
    <w:p>
      <w:pPr>
        <w:ind w:left="260" w:right="100" w:hanging="130"/>
        <w:spacing w:after="0" w:line="280" w:lineRule="auto"/>
        <w:tabs>
          <w:tab w:leader="none" w:pos="260" w:val="left"/>
        </w:tabs>
        <w:numPr>
          <w:ilvl w:val="0"/>
          <w:numId w:val="97"/>
        </w:numPr>
        <w:rPr>
          <w:rFonts w:ascii="Arial" w:cs="Arial" w:eastAsia="Arial" w:hAnsi="Arial"/>
          <w:sz w:val="17"/>
          <w:szCs w:val="17"/>
          <w:color w:val="012E6C"/>
        </w:rPr>
      </w:pPr>
      <w:r>
        <w:rPr>
          <w:rFonts w:ascii="Arial" w:cs="Arial" w:eastAsia="Arial" w:hAnsi="Arial"/>
          <w:sz w:val="17"/>
          <w:szCs w:val="17"/>
          <w:b w:val="1"/>
          <w:bCs w:val="1"/>
          <w:color w:val="012E6C"/>
        </w:rPr>
        <w:t xml:space="preserve">401(k) Participants. </w:t>
      </w:r>
      <w:r>
        <w:rPr>
          <w:rFonts w:ascii="Arial" w:cs="Arial" w:eastAsia="Arial" w:hAnsi="Arial"/>
          <w:sz w:val="17"/>
          <w:szCs w:val="17"/>
          <w:color w:val="000000"/>
        </w:rPr>
        <w:t>If you are a participant in the Lockheed Martin 401(k) or defined contribution plans, and you received a notice of Internet</w:t>
      </w:r>
      <w:r>
        <w:rPr>
          <w:rFonts w:ascii="Arial" w:cs="Arial" w:eastAsia="Arial" w:hAnsi="Arial"/>
          <w:sz w:val="17"/>
          <w:szCs w:val="17"/>
          <w:b w:val="1"/>
          <w:bCs w:val="1"/>
          <w:color w:val="012E6C"/>
        </w:rPr>
        <w:t xml:space="preserve"> </w:t>
      </w:r>
      <w:r>
        <w:rPr>
          <w:rFonts w:ascii="Arial" w:cs="Arial" w:eastAsia="Arial" w:hAnsi="Arial"/>
          <w:sz w:val="17"/>
          <w:szCs w:val="17"/>
          <w:color w:val="000000"/>
        </w:rPr>
        <w:t>availability of Proxy Materials or you received your Proxy Materials by email, you must pre-register to attend the Annual Meeting (but may not vote plan shares at the meeting). You must pre-register and obtain an admission ticket by (i) checking the appropriate box on the Internet voting site, (ii) following the prompts on the telephone voting site, or (iii) marking the appropriate box on your proxy voting direction card.</w:t>
      </w:r>
    </w:p>
    <w:p>
      <w:pPr>
        <w:spacing w:after="0" w:line="168" w:lineRule="exact"/>
        <w:rPr>
          <w:rFonts w:ascii="Arial" w:cs="Arial" w:eastAsia="Arial" w:hAnsi="Arial"/>
          <w:sz w:val="17"/>
          <w:szCs w:val="17"/>
          <w:color w:val="012E6C"/>
        </w:rPr>
      </w:pPr>
    </w:p>
    <w:p>
      <w:pPr>
        <w:ind w:left="260" w:right="80" w:hanging="130"/>
        <w:spacing w:after="0" w:line="276" w:lineRule="auto"/>
        <w:tabs>
          <w:tab w:leader="none" w:pos="260" w:val="left"/>
        </w:tabs>
        <w:numPr>
          <w:ilvl w:val="0"/>
          <w:numId w:val="97"/>
        </w:numPr>
        <w:rPr>
          <w:rFonts w:ascii="Arial" w:cs="Arial" w:eastAsia="Arial" w:hAnsi="Arial"/>
          <w:sz w:val="17"/>
          <w:szCs w:val="17"/>
          <w:color w:val="012E6C"/>
        </w:rPr>
      </w:pPr>
      <w:r>
        <w:rPr>
          <w:rFonts w:ascii="Arial" w:cs="Arial" w:eastAsia="Arial" w:hAnsi="Arial"/>
          <w:sz w:val="17"/>
          <w:szCs w:val="17"/>
          <w:b w:val="1"/>
          <w:bCs w:val="1"/>
          <w:color w:val="012E6C"/>
        </w:rPr>
        <w:t xml:space="preserve">Beneficial Owners. </w:t>
      </w:r>
      <w:r>
        <w:rPr>
          <w:rFonts w:ascii="Arial" w:cs="Arial" w:eastAsia="Arial" w:hAnsi="Arial"/>
          <w:sz w:val="17"/>
          <w:szCs w:val="17"/>
          <w:color w:val="000000"/>
        </w:rPr>
        <w:t>If you are a beneficial owner (your shares are held through a broker, bank or other nominee), you must pre-register and obtain</w:t>
      </w:r>
      <w:r>
        <w:rPr>
          <w:rFonts w:ascii="Arial" w:cs="Arial" w:eastAsia="Arial" w:hAnsi="Arial"/>
          <w:sz w:val="17"/>
          <w:szCs w:val="17"/>
          <w:b w:val="1"/>
          <w:bCs w:val="1"/>
          <w:color w:val="012E6C"/>
        </w:rPr>
        <w:t xml:space="preserve"> </w:t>
      </w:r>
      <w:r>
        <w:rPr>
          <w:rFonts w:ascii="Arial" w:cs="Arial" w:eastAsia="Arial" w:hAnsi="Arial"/>
          <w:sz w:val="17"/>
          <w:szCs w:val="17"/>
          <w:color w:val="000000"/>
        </w:rPr>
        <w:t xml:space="preserve">an admission ticket by contacting the Corporation at: </w:t>
      </w:r>
      <w:r>
        <w:rPr>
          <w:rFonts w:ascii="Arial" w:cs="Arial" w:eastAsia="Arial" w:hAnsi="Arial"/>
          <w:sz w:val="17"/>
          <w:szCs w:val="17"/>
          <w:b w:val="1"/>
          <w:bCs w:val="1"/>
          <w:color w:val="000000"/>
        </w:rPr>
        <w:t>Lockheed Martin Corporation, Office of the Corporate Secretary, Mail Point 700, 6801</w:t>
      </w:r>
      <w:r>
        <w:rPr>
          <w:rFonts w:ascii="Arial" w:cs="Arial" w:eastAsia="Arial" w:hAnsi="Arial"/>
          <w:sz w:val="17"/>
          <w:szCs w:val="17"/>
          <w:color w:val="000000"/>
        </w:rPr>
        <w:t xml:space="preserve"> </w:t>
      </w:r>
      <w:r>
        <w:rPr>
          <w:rFonts w:ascii="Arial" w:cs="Arial" w:eastAsia="Arial" w:hAnsi="Arial"/>
          <w:sz w:val="17"/>
          <w:szCs w:val="17"/>
          <w:b w:val="1"/>
          <w:bCs w:val="1"/>
          <w:color w:val="000000"/>
        </w:rPr>
        <w:t>Rockledge Drive, Bethesda, MD 20817, or faxing a request to (301) 897-6960</w:t>
      </w:r>
      <w:r>
        <w:rPr>
          <w:rFonts w:ascii="Arial" w:cs="Arial" w:eastAsia="Arial" w:hAnsi="Arial"/>
          <w:sz w:val="17"/>
          <w:szCs w:val="17"/>
          <w:color w:val="000000"/>
        </w:rPr>
        <w:t>. Provide your name, mailing address and evidence of your stock</w:t>
      </w:r>
      <w:r>
        <w:rPr>
          <w:rFonts w:ascii="Arial" w:cs="Arial" w:eastAsia="Arial" w:hAnsi="Arial"/>
          <w:sz w:val="17"/>
          <w:szCs w:val="17"/>
          <w:b w:val="1"/>
          <w:bCs w:val="1"/>
          <w:color w:val="000000"/>
        </w:rPr>
        <w:t xml:space="preserve"> </w:t>
      </w:r>
      <w:r>
        <w:rPr>
          <w:rFonts w:ascii="Arial" w:cs="Arial" w:eastAsia="Arial" w:hAnsi="Arial"/>
          <w:sz w:val="17"/>
          <w:szCs w:val="17"/>
          <w:color w:val="000000"/>
        </w:rPr>
        <w:t>ownership as of the Record Date. A copy of your brokerage or bank statement will suffice as evidence of ownership, or you can obtain a letter from your broker or bank.</w:t>
      </w:r>
    </w:p>
    <w:p>
      <w:pPr>
        <w:spacing w:after="0" w:line="172" w:lineRule="exact"/>
        <w:rPr>
          <w:rFonts w:ascii="Arial" w:cs="Arial" w:eastAsia="Arial" w:hAnsi="Arial"/>
          <w:sz w:val="17"/>
          <w:szCs w:val="17"/>
          <w:color w:val="012E6C"/>
        </w:rPr>
      </w:pPr>
    </w:p>
    <w:p>
      <w:pPr>
        <w:ind w:left="260" w:right="40" w:hanging="130"/>
        <w:spacing w:after="0" w:line="280" w:lineRule="auto"/>
        <w:tabs>
          <w:tab w:leader="none" w:pos="260" w:val="left"/>
        </w:tabs>
        <w:numPr>
          <w:ilvl w:val="0"/>
          <w:numId w:val="97"/>
        </w:numPr>
        <w:rPr>
          <w:rFonts w:ascii="Arial" w:cs="Arial" w:eastAsia="Arial" w:hAnsi="Arial"/>
          <w:sz w:val="17"/>
          <w:szCs w:val="17"/>
          <w:b w:val="1"/>
          <w:bCs w:val="1"/>
          <w:color w:val="012E6C"/>
        </w:rPr>
      </w:pPr>
      <w:r>
        <w:rPr>
          <w:rFonts w:ascii="Arial" w:cs="Arial" w:eastAsia="Arial" w:hAnsi="Arial"/>
          <w:sz w:val="17"/>
          <w:szCs w:val="17"/>
          <w:b w:val="1"/>
          <w:bCs w:val="1"/>
          <w:color w:val="012E6C"/>
        </w:rPr>
        <w:t>Stockholder Proponent</w:t>
      </w:r>
      <w:r>
        <w:rPr>
          <w:rFonts w:ascii="Arial" w:cs="Arial" w:eastAsia="Arial" w:hAnsi="Arial"/>
          <w:sz w:val="17"/>
          <w:szCs w:val="17"/>
          <w:b w:val="1"/>
          <w:bCs w:val="1"/>
          <w:color w:val="000000"/>
        </w:rPr>
        <w:t>.</w:t>
      </w:r>
      <w:r>
        <w:rPr>
          <w:rFonts w:ascii="Arial" w:cs="Arial" w:eastAsia="Arial" w:hAnsi="Arial"/>
          <w:sz w:val="17"/>
          <w:szCs w:val="17"/>
          <w:b w:val="1"/>
          <w:bCs w:val="1"/>
          <w:color w:val="012E6C"/>
        </w:rPr>
        <w:t xml:space="preserve"> </w:t>
      </w:r>
      <w:r>
        <w:rPr>
          <w:rFonts w:ascii="Arial" w:cs="Arial" w:eastAsia="Arial" w:hAnsi="Arial"/>
          <w:sz w:val="17"/>
          <w:szCs w:val="17"/>
          <w:color w:val="000000"/>
        </w:rPr>
        <w:t>If you are a stockholder proponent and have submitted a proposal that will be presented at the Annual Meeting, you must</w:t>
      </w:r>
      <w:r>
        <w:rPr>
          <w:rFonts w:ascii="Arial" w:cs="Arial" w:eastAsia="Arial" w:hAnsi="Arial"/>
          <w:sz w:val="17"/>
          <w:szCs w:val="17"/>
          <w:b w:val="1"/>
          <w:bCs w:val="1"/>
          <w:color w:val="012E6C"/>
        </w:rPr>
        <w:t xml:space="preserve"> </w:t>
      </w:r>
      <w:r>
        <w:rPr>
          <w:rFonts w:ascii="Arial" w:cs="Arial" w:eastAsia="Arial" w:hAnsi="Arial"/>
          <w:sz w:val="17"/>
          <w:szCs w:val="17"/>
          <w:color w:val="000000"/>
        </w:rPr>
        <w:t>pre-register and obtain an admission ticket by contacting the Corporation at</w:t>
      </w:r>
      <w:r>
        <w:rPr>
          <w:rFonts w:ascii="Arial" w:cs="Arial" w:eastAsia="Arial" w:hAnsi="Arial"/>
          <w:sz w:val="17"/>
          <w:szCs w:val="17"/>
          <w:b w:val="1"/>
          <w:bCs w:val="1"/>
          <w:color w:val="000000"/>
        </w:rPr>
        <w:t>: Lockheed Martin Corporation, Office of the Corporate Secretary,</w:t>
      </w:r>
    </w:p>
    <w:p>
      <w:pPr>
        <w:ind w:left="260"/>
        <w:spacing w:after="0"/>
        <w:rPr>
          <w:rFonts w:ascii="Arial" w:cs="Arial" w:eastAsia="Arial" w:hAnsi="Arial"/>
          <w:sz w:val="17"/>
          <w:szCs w:val="17"/>
          <w:b w:val="1"/>
          <w:bCs w:val="1"/>
          <w:color w:val="012E6C"/>
        </w:rPr>
      </w:pPr>
      <w:r>
        <w:rPr>
          <w:rFonts w:ascii="Arial" w:cs="Arial" w:eastAsia="Arial" w:hAnsi="Arial"/>
          <w:sz w:val="17"/>
          <w:szCs w:val="17"/>
          <w:b w:val="1"/>
          <w:bCs w:val="1"/>
          <w:color w:val="auto"/>
        </w:rPr>
        <w:t>Mail Point 700, 6801 Rockledge Drive, Bethesda, MD 20817, or faxing a request to (301) 897-6960.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403225</wp:posOffset>
            </wp:positionV>
            <wp:extent cx="1440815" cy="3257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44081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808080"/>
        </w:rPr>
        <w:t>82</w:t>
      </w:r>
    </w:p>
    <w:p>
      <w:pPr>
        <w:sectPr>
          <w:pgSz w:w="11900" w:h="16838" w:orient="portrait"/>
          <w:cols w:equalWidth="0" w:num="1">
            <w:col w:w="11420"/>
          </w:cols>
          <w:pgMar w:left="240" w:top="341" w:right="239" w:bottom="1440" w:gutter="0" w:footer="0" w:header="0"/>
        </w:sectPr>
      </w:pPr>
    </w:p>
    <w:bookmarkStart w:id="85" w:name="page86"/>
    <w:bookmarkEnd w:id="85"/>
    <w:p>
      <w:pPr>
        <w:spacing w:after="0"/>
        <w:rPr>
          <w:sz w:val="20"/>
          <w:szCs w:val="20"/>
          <w:color w:val="auto"/>
        </w:rPr>
      </w:pPr>
      <w:r>
        <w:rPr>
          <w:rFonts w:ascii="Arial" w:cs="Arial" w:eastAsia="Arial" w:hAnsi="Arial"/>
          <w:sz w:val="43"/>
          <w:szCs w:val="43"/>
          <w:color w:val="012E6C"/>
        </w:rPr>
        <w:t>Additional Information and Other Matters</w:t>
      </w:r>
    </w:p>
    <w:p>
      <w:pPr>
        <w:spacing w:after="0" w:line="341" w:lineRule="exact"/>
        <w:rPr>
          <w:sz w:val="20"/>
          <w:szCs w:val="20"/>
          <w:color w:val="auto"/>
        </w:rPr>
      </w:pPr>
    </w:p>
    <w:p>
      <w:pPr>
        <w:ind w:right="300"/>
        <w:spacing w:after="0" w:line="297" w:lineRule="auto"/>
        <w:rPr>
          <w:sz w:val="20"/>
          <w:szCs w:val="20"/>
          <w:color w:val="auto"/>
        </w:rPr>
      </w:pPr>
      <w:r>
        <w:rPr>
          <w:rFonts w:ascii="Arial" w:cs="Arial" w:eastAsia="Arial" w:hAnsi="Arial"/>
          <w:sz w:val="29"/>
          <w:szCs w:val="29"/>
          <w:b w:val="1"/>
          <w:bCs w:val="1"/>
          <w:color w:val="012E6C"/>
        </w:rPr>
        <w:t>Appendix A: Definition of Non-GAAP (Generally Accepted Accounting Principles) Measures</w:t>
      </w:r>
    </w:p>
    <w:p>
      <w:pPr>
        <w:spacing w:after="0" w:line="9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This Proxy Statement contains Non-GAAP financial measures (as defined by SEC Regulation G). While we believe that these Non-GAAP financial measures may be useful in evaluating Lockheed Martin, this information should be considered supplemental and is not a substitute for financial information prepared in accordance with GAAP. In addition, our definitions for Non-GAAP measures may differ from similarly titled measures used by other companies or analysts.</w:t>
      </w:r>
    </w:p>
    <w:p>
      <w:pPr>
        <w:spacing w:after="0" w:line="156" w:lineRule="exact"/>
        <w:rPr>
          <w:sz w:val="20"/>
          <w:szCs w:val="20"/>
          <w:color w:val="auto"/>
        </w:rPr>
      </w:pPr>
    </w:p>
    <w:p>
      <w:pPr>
        <w:spacing w:after="0"/>
        <w:rPr>
          <w:sz w:val="20"/>
          <w:szCs w:val="20"/>
          <w:color w:val="auto"/>
        </w:rPr>
      </w:pPr>
      <w:r>
        <w:rPr>
          <w:rFonts w:ascii="Arial" w:cs="Arial" w:eastAsia="Arial" w:hAnsi="Arial"/>
          <w:sz w:val="25"/>
          <w:szCs w:val="25"/>
          <w:color w:val="475C90"/>
        </w:rPr>
        <w:t>Segment Operating Profit</w:t>
      </w:r>
    </w:p>
    <w:p>
      <w:pPr>
        <w:spacing w:after="0" w:line="242"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Segment Operating Profit represents the total earnings from our business segments before unallocated income and expense, interest expense, other non-operating income and expense, and income tax expense. This measure is used by our senior management in evaluating the performance of our business segments. The caption “Total Unallocated Items” reconciles Segment Operating Profit to Consolidated Operating Profit. We use Segment Operating Profit as a performance goal in the annual incentive plan.</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0620" w:type="dxa"/>
            <w:vAlign w:val="bottom"/>
            <w:tcBorders>
              <w:bottom w:val="single" w:sz="8" w:color="ECECEC"/>
              <w:right w:val="single" w:sz="8" w:color="ECECEC"/>
            </w:tcBorders>
            <w:shd w:val="clear" w:color="auto" w:fill="ECECEC"/>
          </w:tcPr>
          <w:p>
            <w:pPr>
              <w:spacing w:after="0"/>
              <w:rPr>
                <w:sz w:val="22"/>
                <w:szCs w:val="22"/>
                <w:color w:val="auto"/>
              </w:rPr>
            </w:pPr>
          </w:p>
        </w:tc>
        <w:tc>
          <w:tcPr>
            <w:tcW w:w="780" w:type="dxa"/>
            <w:vAlign w:val="bottom"/>
            <w:tcBorders>
              <w:bottom w:val="single" w:sz="8" w:color="959595"/>
            </w:tcBorders>
            <w:shd w:val="clear" w:color="auto" w:fill="ECECEC"/>
          </w:tcPr>
          <w:p>
            <w:pPr>
              <w:jc w:val="right"/>
              <w:ind w:right="53"/>
              <w:spacing w:after="0"/>
              <w:rPr>
                <w:sz w:val="20"/>
                <w:szCs w:val="20"/>
                <w:color w:val="auto"/>
              </w:rPr>
            </w:pPr>
            <w:r>
              <w:rPr>
                <w:rFonts w:ascii="Arial" w:cs="Arial" w:eastAsia="Arial" w:hAnsi="Arial"/>
                <w:sz w:val="13"/>
                <w:szCs w:val="13"/>
                <w:color w:val="auto"/>
              </w:rPr>
              <w:t>2018</w:t>
            </w:r>
          </w:p>
        </w:tc>
        <w:tc>
          <w:tcPr>
            <w:tcW w:w="20" w:type="dxa"/>
            <w:vAlign w:val="bottom"/>
          </w:tcPr>
          <w:p>
            <w:pPr>
              <w:spacing w:after="0"/>
              <w:rPr>
                <w:sz w:val="22"/>
                <w:szCs w:val="22"/>
                <w:color w:val="auto"/>
              </w:rPr>
            </w:pPr>
          </w:p>
        </w:tc>
      </w:tr>
      <w:tr>
        <w:trPr>
          <w:trHeight w:val="243"/>
        </w:trPr>
        <w:tc>
          <w:tcPr>
            <w:tcW w:w="10620" w:type="dxa"/>
            <w:vAlign w:val="bottom"/>
            <w:tcBorders>
              <w:right w:val="single" w:sz="8" w:color="ECECEC"/>
            </w:tcBorders>
            <w:shd w:val="clear" w:color="auto" w:fill="ECECEC"/>
          </w:tcPr>
          <w:p>
            <w:pPr>
              <w:spacing w:after="0"/>
              <w:rPr>
                <w:sz w:val="21"/>
                <w:szCs w:val="21"/>
                <w:color w:val="auto"/>
              </w:rPr>
            </w:pPr>
          </w:p>
        </w:tc>
        <w:tc>
          <w:tcPr>
            <w:tcW w:w="780" w:type="dxa"/>
            <w:vAlign w:val="bottom"/>
            <w:shd w:val="clear" w:color="auto" w:fill="ECECEC"/>
          </w:tcPr>
          <w:p>
            <w:pPr>
              <w:jc w:val="right"/>
              <w:ind w:right="53"/>
              <w:spacing w:after="0"/>
              <w:rPr>
                <w:sz w:val="20"/>
                <w:szCs w:val="20"/>
                <w:color w:val="auto"/>
              </w:rPr>
            </w:pPr>
            <w:r>
              <w:rPr>
                <w:rFonts w:ascii="Arial" w:cs="Arial" w:eastAsia="Arial" w:hAnsi="Arial"/>
                <w:sz w:val="13"/>
                <w:szCs w:val="13"/>
                <w:color w:val="auto"/>
              </w:rPr>
              <w:t>Profit</w:t>
            </w:r>
          </w:p>
        </w:tc>
        <w:tc>
          <w:tcPr>
            <w:tcW w:w="20" w:type="dxa"/>
            <w:vAlign w:val="bottom"/>
          </w:tcPr>
          <w:p>
            <w:pPr>
              <w:spacing w:after="0"/>
              <w:rPr>
                <w:sz w:val="21"/>
                <w:szCs w:val="21"/>
                <w:color w:val="auto"/>
              </w:rPr>
            </w:pPr>
          </w:p>
        </w:tc>
      </w:tr>
      <w:tr>
        <w:trPr>
          <w:trHeight w:val="224"/>
        </w:trPr>
        <w:tc>
          <w:tcPr>
            <w:tcW w:w="10620" w:type="dxa"/>
            <w:vAlign w:val="bottom"/>
            <w:tcBorders>
              <w:bottom w:val="single" w:sz="8" w:color="959595"/>
              <w:right w:val="single" w:sz="8" w:color="ECECEC"/>
            </w:tcBorders>
            <w:shd w:val="clear" w:color="auto" w:fill="ECECEC"/>
          </w:tcPr>
          <w:p>
            <w:pPr>
              <w:ind w:left="40"/>
              <w:spacing w:after="0"/>
              <w:rPr>
                <w:sz w:val="20"/>
                <w:szCs w:val="20"/>
                <w:color w:val="auto"/>
              </w:rPr>
            </w:pPr>
            <w:r>
              <w:rPr>
                <w:rFonts w:ascii="Arial" w:cs="Arial" w:eastAsia="Arial" w:hAnsi="Arial"/>
                <w:sz w:val="13"/>
                <w:szCs w:val="13"/>
                <w:color w:val="auto"/>
              </w:rPr>
              <w:t>($M)</w:t>
            </w:r>
          </w:p>
        </w:tc>
        <w:tc>
          <w:tcPr>
            <w:tcW w:w="780" w:type="dxa"/>
            <w:vAlign w:val="bottom"/>
            <w:tcBorders>
              <w:bottom w:val="single" w:sz="8" w:color="959595"/>
            </w:tcBorders>
            <w:shd w:val="clear" w:color="auto" w:fill="ECECEC"/>
          </w:tcPr>
          <w:p>
            <w:pPr>
              <w:jc w:val="right"/>
              <w:ind w:right="53"/>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9"/>
                <w:szCs w:val="19"/>
                <w:color w:val="auto"/>
              </w:rPr>
            </w:pPr>
          </w:p>
        </w:tc>
      </w:tr>
      <w:tr>
        <w:trPr>
          <w:trHeight w:val="212"/>
        </w:trPr>
        <w:tc>
          <w:tcPr>
            <w:tcW w:w="10620" w:type="dxa"/>
            <w:vAlign w:val="bottom"/>
            <w:tcBorders>
              <w:bottom w:val="single" w:sz="8" w:color="959595"/>
            </w:tcBorders>
          </w:tcPr>
          <w:p>
            <w:pPr>
              <w:ind w:left="40"/>
              <w:spacing w:after="0"/>
              <w:rPr>
                <w:sz w:val="20"/>
                <w:szCs w:val="20"/>
                <w:color w:val="auto"/>
              </w:rPr>
            </w:pPr>
            <w:r>
              <w:rPr>
                <w:rFonts w:ascii="Arial" w:cs="Arial" w:eastAsia="Arial" w:hAnsi="Arial"/>
                <w:sz w:val="14"/>
                <w:szCs w:val="14"/>
                <w:color w:val="auto"/>
              </w:rPr>
              <w:t>Segment Operating Profit (Non-GAAP)</w:t>
            </w:r>
          </w:p>
        </w:tc>
        <w:tc>
          <w:tcPr>
            <w:tcW w:w="780" w:type="dxa"/>
            <w:vAlign w:val="bottom"/>
            <w:tcBorders>
              <w:bottom w:val="single" w:sz="8" w:color="959595"/>
            </w:tcBorders>
          </w:tcPr>
          <w:p>
            <w:pPr>
              <w:jc w:val="right"/>
              <w:ind w:right="53"/>
              <w:spacing w:after="0"/>
              <w:rPr>
                <w:sz w:val="20"/>
                <w:szCs w:val="20"/>
                <w:color w:val="auto"/>
              </w:rPr>
            </w:pPr>
            <w:r>
              <w:rPr>
                <w:rFonts w:ascii="Arial" w:cs="Arial" w:eastAsia="Arial" w:hAnsi="Arial"/>
                <w:sz w:val="14"/>
                <w:szCs w:val="14"/>
                <w:color w:val="auto"/>
              </w:rPr>
              <w:t>5,877</w:t>
            </w:r>
          </w:p>
        </w:tc>
        <w:tc>
          <w:tcPr>
            <w:tcW w:w="20" w:type="dxa"/>
            <w:vAlign w:val="bottom"/>
          </w:tcPr>
          <w:p>
            <w:pPr>
              <w:spacing w:after="0"/>
              <w:rPr>
                <w:sz w:val="18"/>
                <w:szCs w:val="18"/>
                <w:color w:val="auto"/>
              </w:rPr>
            </w:pPr>
          </w:p>
        </w:tc>
      </w:tr>
      <w:tr>
        <w:trPr>
          <w:trHeight w:val="210"/>
        </w:trPr>
        <w:tc>
          <w:tcPr>
            <w:tcW w:w="10620" w:type="dxa"/>
            <w:vAlign w:val="bottom"/>
          </w:tcPr>
          <w:p>
            <w:pPr>
              <w:ind w:left="40"/>
              <w:spacing w:after="0"/>
              <w:rPr>
                <w:sz w:val="20"/>
                <w:szCs w:val="20"/>
                <w:color w:val="auto"/>
              </w:rPr>
            </w:pPr>
            <w:r>
              <w:rPr>
                <w:rFonts w:ascii="Arial" w:cs="Arial" w:eastAsia="Arial" w:hAnsi="Arial"/>
                <w:sz w:val="14"/>
                <w:szCs w:val="14"/>
                <w:color w:val="auto"/>
              </w:rPr>
              <w:t>Total Unallocated Items</w:t>
            </w: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1,457</w:t>
            </w:r>
          </w:p>
        </w:tc>
        <w:tc>
          <w:tcPr>
            <w:tcW w:w="20" w:type="dxa"/>
            <w:vAlign w:val="bottom"/>
          </w:tcPr>
          <w:p>
            <w:pPr>
              <w:spacing w:after="0"/>
              <w:rPr>
                <w:sz w:val="18"/>
                <w:szCs w:val="18"/>
                <w:color w:val="auto"/>
              </w:rPr>
            </w:pPr>
          </w:p>
        </w:tc>
      </w:tr>
      <w:tr>
        <w:trPr>
          <w:trHeight w:val="213"/>
        </w:trPr>
        <w:tc>
          <w:tcPr>
            <w:tcW w:w="10620" w:type="dxa"/>
            <w:vAlign w:val="bottom"/>
            <w:tcBorders>
              <w:top w:val="single" w:sz="8" w:color="959595"/>
              <w:bottom w:val="single" w:sz="8" w:color="959595"/>
              <w:right w:val="single" w:sz="8" w:color="auto"/>
            </w:tcBorders>
          </w:tcPr>
          <w:p>
            <w:pPr>
              <w:ind w:left="40"/>
              <w:spacing w:after="0"/>
              <w:rPr>
                <w:sz w:val="20"/>
                <w:szCs w:val="20"/>
                <w:color w:val="auto"/>
              </w:rPr>
            </w:pPr>
            <w:r>
              <w:rPr>
                <w:rFonts w:ascii="Arial" w:cs="Arial" w:eastAsia="Arial" w:hAnsi="Arial"/>
                <w:sz w:val="14"/>
                <w:szCs w:val="14"/>
                <w:b w:val="1"/>
                <w:bCs w:val="1"/>
                <w:color w:val="auto"/>
              </w:rPr>
              <w:t>Consolidated Operating Profit (GAAP)</w:t>
            </w:r>
          </w:p>
        </w:tc>
        <w:tc>
          <w:tcPr>
            <w:tcW w:w="78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7,334</w:t>
            </w:r>
          </w:p>
        </w:tc>
        <w:tc>
          <w:tcPr>
            <w:tcW w:w="20" w:type="dxa"/>
            <w:vAlign w:val="bottom"/>
            <w:tcBorders>
              <w:top w:val="single" w:sz="8" w:color="auto"/>
              <w:bottom w:val="single" w:sz="8" w:color="auto"/>
            </w:tcBorders>
            <w:shd w:val="clear" w:color="auto" w:fill="000000"/>
          </w:tcPr>
          <w:p>
            <w:pPr>
              <w:spacing w:after="0"/>
              <w:rPr>
                <w:sz w:val="18"/>
                <w:szCs w:val="18"/>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25"/>
          <w:szCs w:val="25"/>
          <w:color w:val="475C90"/>
        </w:rPr>
        <w:t>Return on Invested Capital (ROIC)</w:t>
      </w:r>
    </w:p>
    <w:p>
      <w:pPr>
        <w:spacing w:after="0" w:line="242" w:lineRule="exact"/>
        <w:rPr>
          <w:sz w:val="20"/>
          <w:szCs w:val="20"/>
          <w:color w:val="auto"/>
        </w:rPr>
      </w:pPr>
    </w:p>
    <w:p>
      <w:pPr>
        <w:jc w:val="both"/>
        <w:ind w:right="220"/>
        <w:spacing w:after="0" w:line="308" w:lineRule="auto"/>
        <w:rPr>
          <w:sz w:val="20"/>
          <w:szCs w:val="20"/>
          <w:color w:val="auto"/>
        </w:rPr>
      </w:pPr>
      <w:r>
        <w:rPr>
          <w:rFonts w:ascii="Arial" w:cs="Arial" w:eastAsia="Arial" w:hAnsi="Arial"/>
          <w:sz w:val="17"/>
          <w:szCs w:val="17"/>
          <w:color w:val="auto"/>
        </w:rPr>
        <w:t>ROIC is defined as net earnings plus after-tax interest expense divided by average invested capital (total equity plus debt) after adjusting total equity by adding back adjustments related to the Corporation’s post-retirement benefit plans. We use ROIC as a performance measure for LTIP and PSUs.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20" w:type="dxa"/>
            <w:vAlign w:val="bottom"/>
            <w:vMerge w:val="restart"/>
            <w:shd w:val="clear" w:color="auto" w:fill="ECECEC"/>
          </w:tcPr>
          <w:p>
            <w:pPr>
              <w:ind w:left="40"/>
              <w:spacing w:after="0"/>
              <w:rPr>
                <w:sz w:val="20"/>
                <w:szCs w:val="20"/>
                <w:color w:val="auto"/>
              </w:rPr>
            </w:pPr>
            <w:r>
              <w:rPr>
                <w:rFonts w:ascii="Arial" w:cs="Arial" w:eastAsia="Arial" w:hAnsi="Arial"/>
                <w:sz w:val="13"/>
                <w:szCs w:val="13"/>
                <w:color w:val="auto"/>
              </w:rPr>
              <w:t>ROIC Calculation ($M)</w:t>
            </w:r>
          </w:p>
        </w:tc>
        <w:tc>
          <w:tcPr>
            <w:tcW w:w="2760" w:type="dxa"/>
            <w:vAlign w:val="bottom"/>
            <w:shd w:val="clear" w:color="auto" w:fill="ECECEC"/>
          </w:tcPr>
          <w:p>
            <w:pPr>
              <w:spacing w:after="0"/>
              <w:rPr>
                <w:sz w:val="12"/>
                <w:szCs w:val="12"/>
                <w:color w:val="auto"/>
              </w:rPr>
            </w:pPr>
          </w:p>
        </w:tc>
        <w:tc>
          <w:tcPr>
            <w:tcW w:w="840" w:type="dxa"/>
            <w:vAlign w:val="bottom"/>
            <w:shd w:val="clear" w:color="auto" w:fill="ECECEC"/>
          </w:tcPr>
          <w:p>
            <w:pPr>
              <w:jc w:val="right"/>
              <w:ind w:right="130"/>
              <w:spacing w:after="0"/>
              <w:rPr>
                <w:sz w:val="20"/>
                <w:szCs w:val="20"/>
                <w:color w:val="auto"/>
              </w:rPr>
            </w:pPr>
            <w:r>
              <w:rPr>
                <w:rFonts w:ascii="Arial" w:cs="Arial" w:eastAsia="Arial" w:hAnsi="Arial"/>
                <w:sz w:val="13"/>
                <w:szCs w:val="13"/>
                <w:color w:val="auto"/>
                <w:w w:val="94"/>
              </w:rPr>
              <w:t>Three-Year</w:t>
            </w:r>
          </w:p>
        </w:tc>
        <w:tc>
          <w:tcPr>
            <w:tcW w:w="0" w:type="dxa"/>
            <w:vAlign w:val="bottom"/>
          </w:tcPr>
          <w:p>
            <w:pPr>
              <w:spacing w:after="0"/>
              <w:rPr>
                <w:sz w:val="1"/>
                <w:szCs w:val="1"/>
                <w:color w:val="auto"/>
              </w:rPr>
            </w:pPr>
          </w:p>
        </w:tc>
      </w:tr>
      <w:tr>
        <w:trPr>
          <w:trHeight w:val="198"/>
        </w:trPr>
        <w:tc>
          <w:tcPr>
            <w:tcW w:w="7820" w:type="dxa"/>
            <w:vAlign w:val="bottom"/>
            <w:tcBorders>
              <w:bottom w:val="single" w:sz="8" w:color="ECECEC"/>
            </w:tcBorders>
            <w:vMerge w:val="continue"/>
            <w:shd w:val="clear" w:color="auto" w:fill="ECECEC"/>
          </w:tcPr>
          <w:p>
            <w:pPr>
              <w:spacing w:after="0"/>
              <w:rPr>
                <w:sz w:val="17"/>
                <w:szCs w:val="17"/>
                <w:color w:val="auto"/>
              </w:rPr>
            </w:pPr>
          </w:p>
        </w:tc>
        <w:tc>
          <w:tcPr>
            <w:tcW w:w="2760" w:type="dxa"/>
            <w:vAlign w:val="bottom"/>
            <w:tcBorders>
              <w:bottom w:val="single" w:sz="8" w:color="ECECEC"/>
            </w:tcBorders>
            <w:shd w:val="clear" w:color="auto" w:fill="ECECEC"/>
          </w:tcPr>
          <w:p>
            <w:pPr>
              <w:spacing w:after="0"/>
              <w:rPr>
                <w:sz w:val="17"/>
                <w:szCs w:val="17"/>
                <w:color w:val="auto"/>
              </w:rPr>
            </w:pPr>
          </w:p>
        </w:tc>
        <w:tc>
          <w:tcPr>
            <w:tcW w:w="840" w:type="dxa"/>
            <w:vAlign w:val="bottom"/>
            <w:tcBorders>
              <w:bottom w:val="single" w:sz="8" w:color="ECECEC"/>
            </w:tcBorders>
            <w:shd w:val="clear" w:color="auto" w:fill="ECECEC"/>
          </w:tcPr>
          <w:p>
            <w:pPr>
              <w:jc w:val="right"/>
              <w:ind w:right="90"/>
              <w:spacing w:after="0"/>
              <w:rPr>
                <w:sz w:val="20"/>
                <w:szCs w:val="20"/>
                <w:color w:val="auto"/>
              </w:rPr>
            </w:pPr>
            <w:r>
              <w:rPr>
                <w:rFonts w:ascii="Arial" w:cs="Arial" w:eastAsia="Arial" w:hAnsi="Arial"/>
                <w:sz w:val="13"/>
                <w:szCs w:val="13"/>
                <w:color w:val="auto"/>
              </w:rPr>
              <w:t>2016–2018</w:t>
            </w:r>
          </w:p>
        </w:tc>
        <w:tc>
          <w:tcPr>
            <w:tcW w:w="0" w:type="dxa"/>
            <w:vAlign w:val="bottom"/>
          </w:tcPr>
          <w:p>
            <w:pPr>
              <w:spacing w:after="0"/>
              <w:rPr>
                <w:sz w:val="1"/>
                <w:szCs w:val="1"/>
                <w:color w:val="auto"/>
              </w:rPr>
            </w:pPr>
          </w:p>
        </w:tc>
      </w:tr>
      <w:tr>
        <w:trPr>
          <w:trHeight w:val="237"/>
        </w:trPr>
        <w:tc>
          <w:tcPr>
            <w:tcW w:w="7820" w:type="dxa"/>
            <w:vAlign w:val="bottom"/>
            <w:tcBorders>
              <w:top w:val="single" w:sz="8" w:color="959595"/>
              <w:bottom w:val="single" w:sz="8" w:color="959595"/>
            </w:tcBorders>
          </w:tcPr>
          <w:p>
            <w:pPr>
              <w:ind w:left="40"/>
              <w:spacing w:after="0" w:line="236" w:lineRule="exact"/>
              <w:rPr>
                <w:sz w:val="20"/>
                <w:szCs w:val="20"/>
                <w:color w:val="auto"/>
              </w:rPr>
            </w:pPr>
            <w:r>
              <w:rPr>
                <w:rFonts w:ascii="Arial" w:cs="Arial" w:eastAsia="Arial" w:hAnsi="Arial"/>
                <w:sz w:val="14"/>
                <w:szCs w:val="14"/>
                <w:color w:val="auto"/>
              </w:rPr>
              <w:t>Net Earnings</w:t>
            </w:r>
            <w:r>
              <w:rPr>
                <w:rFonts w:ascii="Arial" w:cs="Arial" w:eastAsia="Arial" w:hAnsi="Arial"/>
                <w:sz w:val="23"/>
                <w:szCs w:val="23"/>
                <w:color w:val="auto"/>
                <w:vertAlign w:val="superscript"/>
              </w:rPr>
              <w:t>(a)</w:t>
            </w:r>
          </w:p>
        </w:tc>
        <w:tc>
          <w:tcPr>
            <w:tcW w:w="2760" w:type="dxa"/>
            <w:vAlign w:val="bottom"/>
            <w:tcBorders>
              <w:top w:val="single" w:sz="8" w:color="959595"/>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959595"/>
              <w:bottom w:val="single" w:sz="8" w:color="959595"/>
            </w:tcBorders>
          </w:tcPr>
          <w:p>
            <w:pPr>
              <w:jc w:val="right"/>
              <w:ind w:right="90"/>
              <w:spacing w:after="0"/>
              <w:rPr>
                <w:sz w:val="20"/>
                <w:szCs w:val="20"/>
                <w:color w:val="auto"/>
              </w:rPr>
            </w:pPr>
            <w:r>
              <w:rPr>
                <w:rFonts w:ascii="Arial" w:cs="Arial" w:eastAsia="Arial" w:hAnsi="Arial"/>
                <w:sz w:val="14"/>
                <w:szCs w:val="14"/>
                <w:color w:val="auto"/>
              </w:rPr>
              <w:t>4,117</w:t>
            </w:r>
          </w:p>
        </w:tc>
        <w:tc>
          <w:tcPr>
            <w:tcW w:w="0" w:type="dxa"/>
            <w:vAlign w:val="bottom"/>
          </w:tcPr>
          <w:p>
            <w:pPr>
              <w:spacing w:after="0"/>
              <w:rPr>
                <w:sz w:val="1"/>
                <w:szCs w:val="1"/>
                <w:color w:val="auto"/>
              </w:rPr>
            </w:pPr>
          </w:p>
        </w:tc>
      </w:tr>
      <w:tr>
        <w:trPr>
          <w:trHeight w:val="237"/>
        </w:trPr>
        <w:tc>
          <w:tcPr>
            <w:tcW w:w="7820" w:type="dxa"/>
            <w:vAlign w:val="bottom"/>
            <w:tcBorders>
              <w:bottom w:val="single" w:sz="8" w:color="959595"/>
            </w:tcBorders>
          </w:tcPr>
          <w:p>
            <w:pPr>
              <w:ind w:left="40"/>
              <w:spacing w:after="0" w:line="236" w:lineRule="exact"/>
              <w:rPr>
                <w:sz w:val="20"/>
                <w:szCs w:val="20"/>
                <w:color w:val="auto"/>
              </w:rPr>
            </w:pPr>
            <w:r>
              <w:rPr>
                <w:rFonts w:ascii="Arial" w:cs="Arial" w:eastAsia="Arial" w:hAnsi="Arial"/>
                <w:sz w:val="14"/>
                <w:szCs w:val="14"/>
                <w:color w:val="auto"/>
              </w:rPr>
              <w:t>Adjustments for DTA Charge and ASU 2016-09</w:t>
            </w:r>
            <w:r>
              <w:rPr>
                <w:rFonts w:ascii="Arial" w:cs="Arial" w:eastAsia="Arial" w:hAnsi="Arial"/>
                <w:sz w:val="23"/>
                <w:szCs w:val="23"/>
                <w:color w:val="auto"/>
                <w:vertAlign w:val="superscript"/>
              </w:rPr>
              <w:t>(g)</w:t>
            </w:r>
          </w:p>
        </w:tc>
        <w:tc>
          <w:tcPr>
            <w:tcW w:w="2760" w:type="dxa"/>
            <w:vAlign w:val="bottom"/>
            <w:tcBorders>
              <w:bottom w:val="single" w:sz="8" w:color="959595"/>
            </w:tcBorders>
          </w:tcPr>
          <w:p>
            <w:pPr>
              <w:spacing w:after="0"/>
              <w:rPr>
                <w:sz w:val="20"/>
                <w:szCs w:val="20"/>
                <w:color w:val="auto"/>
              </w:rPr>
            </w:pPr>
          </w:p>
        </w:tc>
        <w:tc>
          <w:tcPr>
            <w:tcW w:w="840" w:type="dxa"/>
            <w:vAlign w:val="bottom"/>
            <w:tcBorders>
              <w:bottom w:val="single" w:sz="8" w:color="959595"/>
            </w:tcBorders>
          </w:tcPr>
          <w:p>
            <w:pPr>
              <w:jc w:val="right"/>
              <w:ind w:right="90"/>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202"/>
        </w:trPr>
        <w:tc>
          <w:tcPr>
            <w:tcW w:w="7820" w:type="dxa"/>
            <w:vAlign w:val="bottom"/>
          </w:tcPr>
          <w:p>
            <w:pPr>
              <w:ind w:left="40"/>
              <w:spacing w:after="0"/>
              <w:rPr>
                <w:sz w:val="20"/>
                <w:szCs w:val="20"/>
                <w:color w:val="auto"/>
              </w:rPr>
            </w:pPr>
            <w:r>
              <w:rPr>
                <w:rFonts w:ascii="Arial" w:cs="Arial" w:eastAsia="Arial" w:hAnsi="Arial"/>
                <w:sz w:val="14"/>
                <w:szCs w:val="14"/>
                <w:color w:val="auto"/>
              </w:rPr>
              <w:t>Adjusted Net Earnings</w:t>
            </w:r>
          </w:p>
        </w:tc>
        <w:tc>
          <w:tcPr>
            <w:tcW w:w="27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4,617</w:t>
            </w:r>
          </w:p>
        </w:tc>
        <w:tc>
          <w:tcPr>
            <w:tcW w:w="0" w:type="dxa"/>
            <w:vAlign w:val="bottom"/>
          </w:tcPr>
          <w:p>
            <w:pPr>
              <w:spacing w:after="0"/>
              <w:rPr>
                <w:sz w:val="1"/>
                <w:szCs w:val="1"/>
                <w:color w:val="auto"/>
              </w:rPr>
            </w:pPr>
          </w:p>
        </w:tc>
      </w:tr>
      <w:tr>
        <w:trPr>
          <w:trHeight w:val="22"/>
        </w:trPr>
        <w:tc>
          <w:tcPr>
            <w:tcW w:w="7820" w:type="dxa"/>
            <w:vAlign w:val="bottom"/>
            <w:tcBorders>
              <w:bottom w:val="single" w:sz="8" w:color="959595"/>
            </w:tcBorders>
          </w:tcPr>
          <w:p>
            <w:pPr>
              <w:spacing w:after="0" w:line="20" w:lineRule="exact"/>
              <w:rPr>
                <w:sz w:val="1"/>
                <w:szCs w:val="1"/>
                <w:color w:val="auto"/>
              </w:rPr>
            </w:pPr>
          </w:p>
        </w:tc>
        <w:tc>
          <w:tcPr>
            <w:tcW w:w="2760" w:type="dxa"/>
            <w:vAlign w:val="bottom"/>
            <w:tcBorders>
              <w:bottom w:val="single" w:sz="8" w:color="959595"/>
            </w:tcBorders>
          </w:tcPr>
          <w:p>
            <w:pPr>
              <w:spacing w:after="0" w:line="20" w:lineRule="exact"/>
              <w:rPr>
                <w:sz w:val="1"/>
                <w:szCs w:val="1"/>
                <w:color w:val="auto"/>
              </w:rPr>
            </w:pPr>
          </w:p>
        </w:tc>
        <w:tc>
          <w:tcPr>
            <w:tcW w:w="840" w:type="dxa"/>
            <w:vAlign w:val="bottom"/>
            <w:tcBorders>
              <w:bottom w:val="single" w:sz="8" w:color="95959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7820" w:type="dxa"/>
            <w:vAlign w:val="bottom"/>
            <w:tcBorders>
              <w:bottom w:val="single" w:sz="8" w:color="959595"/>
            </w:tcBorders>
          </w:tcPr>
          <w:p>
            <w:pPr>
              <w:ind w:left="40"/>
              <w:spacing w:after="0" w:line="236" w:lineRule="exact"/>
              <w:rPr>
                <w:sz w:val="20"/>
                <w:szCs w:val="20"/>
                <w:color w:val="auto"/>
              </w:rPr>
            </w:pPr>
            <w:r>
              <w:rPr>
                <w:rFonts w:ascii="Arial" w:cs="Arial" w:eastAsia="Arial" w:hAnsi="Arial"/>
                <w:sz w:val="14"/>
                <w:szCs w:val="14"/>
                <w:color w:val="auto"/>
              </w:rPr>
              <w:t>Interest Expense (multiplied by 65% in 2016 and 2017 and by 79% in 2018)</w:t>
            </w:r>
            <w:r>
              <w:rPr>
                <w:rFonts w:ascii="Arial" w:cs="Arial" w:eastAsia="Arial" w:hAnsi="Arial"/>
                <w:sz w:val="23"/>
                <w:szCs w:val="23"/>
                <w:color w:val="auto"/>
                <w:vertAlign w:val="superscript"/>
              </w:rPr>
              <w:t>(a)(b)</w:t>
            </w:r>
          </w:p>
        </w:tc>
        <w:tc>
          <w:tcPr>
            <w:tcW w:w="2760" w:type="dxa"/>
            <w:vAlign w:val="bottom"/>
            <w:tcBorders>
              <w:bottom w:val="single" w:sz="8" w:color="959595"/>
            </w:tcBorders>
          </w:tcPr>
          <w:p>
            <w:pPr>
              <w:spacing w:after="0"/>
              <w:rPr>
                <w:sz w:val="20"/>
                <w:szCs w:val="20"/>
                <w:color w:val="auto"/>
              </w:rPr>
            </w:pPr>
          </w:p>
        </w:tc>
        <w:tc>
          <w:tcPr>
            <w:tcW w:w="840" w:type="dxa"/>
            <w:vAlign w:val="bottom"/>
            <w:tcBorders>
              <w:bottom w:val="single" w:sz="8" w:color="959595"/>
            </w:tcBorders>
          </w:tcPr>
          <w:p>
            <w:pPr>
              <w:jc w:val="right"/>
              <w:ind w:right="90"/>
              <w:spacing w:after="0"/>
              <w:rPr>
                <w:sz w:val="20"/>
                <w:szCs w:val="20"/>
                <w:color w:val="auto"/>
              </w:rPr>
            </w:pPr>
            <w:r>
              <w:rPr>
                <w:rFonts w:ascii="Arial" w:cs="Arial" w:eastAsia="Arial" w:hAnsi="Arial"/>
                <w:sz w:val="14"/>
                <w:szCs w:val="14"/>
                <w:color w:val="auto"/>
              </w:rPr>
              <w:t>460</w:t>
            </w:r>
          </w:p>
        </w:tc>
        <w:tc>
          <w:tcPr>
            <w:tcW w:w="0" w:type="dxa"/>
            <w:vAlign w:val="bottom"/>
          </w:tcPr>
          <w:p>
            <w:pPr>
              <w:spacing w:after="0"/>
              <w:rPr>
                <w:sz w:val="1"/>
                <w:szCs w:val="1"/>
                <w:color w:val="auto"/>
              </w:rPr>
            </w:pPr>
          </w:p>
        </w:tc>
      </w:tr>
      <w:tr>
        <w:trPr>
          <w:trHeight w:val="217"/>
        </w:trPr>
        <w:tc>
          <w:tcPr>
            <w:tcW w:w="782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auto"/>
              </w:rPr>
              <w:t>Return</w:t>
            </w:r>
          </w:p>
        </w:tc>
        <w:tc>
          <w:tcPr>
            <w:tcW w:w="2760" w:type="dxa"/>
            <w:vAlign w:val="bottom"/>
            <w:tcBorders>
              <w:bottom w:val="single" w:sz="8" w:color="959595"/>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959595"/>
            </w:tcBorders>
          </w:tcPr>
          <w:p>
            <w:pPr>
              <w:jc w:val="right"/>
              <w:ind w:right="90"/>
              <w:spacing w:after="0"/>
              <w:rPr>
                <w:sz w:val="20"/>
                <w:szCs w:val="20"/>
                <w:color w:val="auto"/>
              </w:rPr>
            </w:pPr>
            <w:r>
              <w:rPr>
                <w:rFonts w:ascii="Arial" w:cs="Arial" w:eastAsia="Arial" w:hAnsi="Arial"/>
                <w:sz w:val="14"/>
                <w:szCs w:val="14"/>
                <w:b w:val="1"/>
                <w:bCs w:val="1"/>
                <w:color w:val="auto"/>
              </w:rPr>
              <w:t>5,077</w:t>
            </w:r>
          </w:p>
        </w:tc>
        <w:tc>
          <w:tcPr>
            <w:tcW w:w="0" w:type="dxa"/>
            <w:vAlign w:val="bottom"/>
          </w:tcPr>
          <w:p>
            <w:pPr>
              <w:spacing w:after="0"/>
              <w:rPr>
                <w:sz w:val="1"/>
                <w:szCs w:val="1"/>
                <w:color w:val="auto"/>
              </w:rPr>
            </w:pPr>
          </w:p>
        </w:tc>
      </w:tr>
      <w:tr>
        <w:trPr>
          <w:trHeight w:val="243"/>
        </w:trPr>
        <w:tc>
          <w:tcPr>
            <w:tcW w:w="7820" w:type="dxa"/>
            <w:vAlign w:val="bottom"/>
            <w:tcBorders>
              <w:bottom w:val="single" w:sz="8" w:color="959595"/>
            </w:tcBorders>
          </w:tcPr>
          <w:p>
            <w:pPr>
              <w:ind w:left="40"/>
              <w:spacing w:after="0" w:line="243" w:lineRule="exact"/>
              <w:rPr>
                <w:sz w:val="20"/>
                <w:szCs w:val="20"/>
                <w:color w:val="auto"/>
              </w:rPr>
            </w:pPr>
            <w:r>
              <w:rPr>
                <w:rFonts w:ascii="Arial" w:cs="Arial" w:eastAsia="Arial" w:hAnsi="Arial"/>
                <w:sz w:val="14"/>
                <w:szCs w:val="14"/>
                <w:color w:val="auto"/>
              </w:rPr>
              <w:t>Average Debt</w:t>
            </w:r>
            <w:r>
              <w:rPr>
                <w:rFonts w:ascii="Arial" w:cs="Arial" w:eastAsia="Arial" w:hAnsi="Arial"/>
                <w:sz w:val="23"/>
                <w:szCs w:val="23"/>
                <w:color w:val="auto"/>
                <w:vertAlign w:val="superscript"/>
              </w:rPr>
              <w:t>(c)(d)</w:t>
            </w:r>
          </w:p>
        </w:tc>
        <w:tc>
          <w:tcPr>
            <w:tcW w:w="27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959595"/>
            </w:tcBorders>
          </w:tcPr>
          <w:p>
            <w:pPr>
              <w:jc w:val="right"/>
              <w:ind w:right="90"/>
              <w:spacing w:after="0"/>
              <w:rPr>
                <w:sz w:val="20"/>
                <w:szCs w:val="20"/>
                <w:color w:val="auto"/>
              </w:rPr>
            </w:pPr>
            <w:r>
              <w:rPr>
                <w:rFonts w:ascii="Arial" w:cs="Arial" w:eastAsia="Arial" w:hAnsi="Arial"/>
                <w:sz w:val="14"/>
                <w:szCs w:val="14"/>
                <w:color w:val="auto"/>
              </w:rPr>
              <w:t>14,489</w:t>
            </w:r>
          </w:p>
        </w:tc>
        <w:tc>
          <w:tcPr>
            <w:tcW w:w="0" w:type="dxa"/>
            <w:vAlign w:val="bottom"/>
          </w:tcPr>
          <w:p>
            <w:pPr>
              <w:spacing w:after="0"/>
              <w:rPr>
                <w:sz w:val="1"/>
                <w:szCs w:val="1"/>
                <w:color w:val="auto"/>
              </w:rPr>
            </w:pPr>
          </w:p>
        </w:tc>
      </w:tr>
      <w:tr>
        <w:trPr>
          <w:trHeight w:val="290"/>
        </w:trPr>
        <w:tc>
          <w:tcPr>
            <w:tcW w:w="7820" w:type="dxa"/>
            <w:vAlign w:val="bottom"/>
          </w:tcPr>
          <w:p>
            <w:pPr>
              <w:ind w:left="40"/>
              <w:spacing w:after="0"/>
              <w:rPr>
                <w:sz w:val="20"/>
                <w:szCs w:val="20"/>
                <w:color w:val="auto"/>
              </w:rPr>
            </w:pPr>
            <w:r>
              <w:rPr>
                <w:rFonts w:ascii="Arial" w:cs="Arial" w:eastAsia="Arial" w:hAnsi="Arial"/>
                <w:sz w:val="14"/>
                <w:szCs w:val="14"/>
                <w:color w:val="auto"/>
              </w:rPr>
              <w:t>Average Equity</w:t>
            </w:r>
            <w:r>
              <w:rPr>
                <w:rFonts w:ascii="Arial" w:cs="Arial" w:eastAsia="Arial" w:hAnsi="Arial"/>
                <w:sz w:val="23"/>
                <w:szCs w:val="23"/>
                <w:color w:val="auto"/>
                <w:vertAlign w:val="superscript"/>
              </w:rPr>
              <w:t>(d)(e)</w:t>
            </w:r>
          </w:p>
        </w:tc>
        <w:tc>
          <w:tcPr>
            <w:tcW w:w="2760" w:type="dxa"/>
            <w:vAlign w:val="bottom"/>
          </w:tcPr>
          <w:p>
            <w:pPr>
              <w:spacing w:after="0"/>
              <w:rPr>
                <w:sz w:val="24"/>
                <w:szCs w:val="24"/>
                <w:color w:val="auto"/>
              </w:rPr>
            </w:pP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2,271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2466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p>
      <w:pPr>
        <w:ind w:left="40"/>
        <w:spacing w:after="0" w:line="225" w:lineRule="auto"/>
        <w:rPr>
          <w:sz w:val="20"/>
          <w:szCs w:val="20"/>
          <w:color w:val="auto"/>
        </w:rPr>
      </w:pPr>
      <w:r>
        <w:rPr>
          <w:rFonts w:ascii="Arial" w:cs="Arial" w:eastAsia="Arial" w:hAnsi="Arial"/>
          <w:sz w:val="14"/>
          <w:szCs w:val="14"/>
          <w:color w:val="auto"/>
        </w:rPr>
        <w:t>Average Benefit Plan Adjustments</w:t>
      </w:r>
      <w:r>
        <w:rPr>
          <w:rFonts w:ascii="Arial" w:cs="Arial" w:eastAsia="Arial" w:hAnsi="Arial"/>
          <w:sz w:val="23"/>
          <w:szCs w:val="23"/>
          <w:color w:val="auto"/>
          <w:vertAlign w:val="superscript"/>
        </w:rPr>
        <w:t>(d)(f)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54875" cy="3175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4875" cy="317500"/>
                    </a:xfrm>
                    <a:prstGeom prst="rect">
                      <a:avLst/>
                    </a:prstGeom>
                    <a:noFill/>
                  </pic:spPr>
                </pic:pic>
              </a:graphicData>
            </a:graphic>
          </wp:anchor>
        </w:drawing>
      </w:r>
    </w:p>
    <w:p>
      <w:pPr>
        <w:ind w:left="40"/>
        <w:spacing w:after="0"/>
        <w:rPr>
          <w:sz w:val="20"/>
          <w:szCs w:val="20"/>
          <w:color w:val="auto"/>
        </w:rPr>
      </w:pPr>
      <w:r>
        <w:rPr>
          <w:rFonts w:ascii="Arial" w:cs="Arial" w:eastAsia="Arial" w:hAnsi="Arial"/>
          <w:sz w:val="14"/>
          <w:szCs w:val="14"/>
          <w:b w:val="1"/>
          <w:bCs w:val="1"/>
          <w:color w:val="auto"/>
        </w:rPr>
        <w:t>Average Invested Capital</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ROIC</w:t>
      </w:r>
    </w:p>
    <w:p>
      <w:pPr>
        <w:ind w:left="340" w:hanging="332"/>
        <w:spacing w:after="0" w:line="218" w:lineRule="auto"/>
        <w:tabs>
          <w:tab w:leader="none" w:pos="340" w:val="left"/>
        </w:tabs>
        <w:numPr>
          <w:ilvl w:val="0"/>
          <w:numId w:val="98"/>
        </w:numPr>
        <w:rPr>
          <w:rFonts w:ascii="Arial" w:cs="Arial" w:eastAsia="Arial" w:hAnsi="Arial"/>
          <w:sz w:val="24"/>
          <w:szCs w:val="24"/>
          <w:color w:val="auto"/>
          <w:vertAlign w:val="superscript"/>
        </w:rPr>
      </w:pPr>
      <w:r>
        <w:rPr>
          <w:rFonts w:ascii="Arial" w:cs="Arial" w:eastAsia="Arial" w:hAnsi="Arial"/>
          <w:sz w:val="14"/>
          <w:szCs w:val="14"/>
          <w:color w:val="auto"/>
        </w:rPr>
        <w:t>Three-year 2016-2018 values for Net Earnings and Interest Expense reflect average values over the period.</w:t>
      </w:r>
    </w:p>
    <w:p>
      <w:pPr>
        <w:spacing w:after="0" w:line="20" w:lineRule="exact"/>
        <w:rPr>
          <w:sz w:val="20"/>
          <w:szCs w:val="20"/>
          <w:color w:val="auto"/>
        </w:rPr>
      </w:pPr>
      <w:r>
        <w:rPr>
          <w:sz w:val="20"/>
          <w:szCs w:val="20"/>
          <w:color w:val="auto"/>
        </w:rPr>
        <w:br w:type="column"/>
      </w:r>
    </w:p>
    <w:p>
      <w:pPr>
        <w:ind w:left="318"/>
        <w:spacing w:after="0"/>
        <w:rPr>
          <w:sz w:val="20"/>
          <w:szCs w:val="20"/>
          <w:color w:val="auto"/>
        </w:rPr>
      </w:pPr>
      <w:r>
        <w:rPr>
          <w:rFonts w:ascii="Arial" w:cs="Arial" w:eastAsia="Arial" w:hAnsi="Arial"/>
          <w:sz w:val="14"/>
          <w:szCs w:val="14"/>
          <w:color w:val="auto"/>
        </w:rPr>
        <w:t>11,642</w:t>
      </w:r>
    </w:p>
    <w:p>
      <w:pPr>
        <w:spacing w:after="0" w:line="67" w:lineRule="exact"/>
        <w:rPr>
          <w:sz w:val="20"/>
          <w:szCs w:val="20"/>
          <w:color w:val="auto"/>
        </w:rPr>
      </w:pPr>
    </w:p>
    <w:p>
      <w:pPr>
        <w:ind w:left="318" w:hanging="318"/>
        <w:spacing w:after="0"/>
        <w:tabs>
          <w:tab w:leader="none" w:pos="318" w:val="left"/>
        </w:tabs>
        <w:numPr>
          <w:ilvl w:val="0"/>
          <w:numId w:val="99"/>
        </w:numPr>
        <w:rPr>
          <w:rFonts w:ascii="Arial" w:cs="Arial" w:eastAsia="Arial" w:hAnsi="Arial"/>
          <w:sz w:val="14"/>
          <w:szCs w:val="14"/>
          <w:b w:val="1"/>
          <w:bCs w:val="1"/>
          <w:color w:val="auto"/>
        </w:rPr>
      </w:pPr>
      <w:r>
        <w:rPr>
          <w:rFonts w:ascii="Arial" w:cs="Arial" w:eastAsia="Arial" w:hAnsi="Arial"/>
          <w:sz w:val="14"/>
          <w:szCs w:val="14"/>
          <w:b w:val="1"/>
          <w:bCs w:val="1"/>
          <w:color w:val="auto"/>
        </w:rPr>
        <w:t>28,402</w:t>
      </w:r>
    </w:p>
    <w:p>
      <w:pPr>
        <w:spacing w:after="0" w:line="82" w:lineRule="exact"/>
        <w:rPr>
          <w:rFonts w:ascii="Arial" w:cs="Arial" w:eastAsia="Arial" w:hAnsi="Arial"/>
          <w:sz w:val="14"/>
          <w:szCs w:val="14"/>
          <w:b w:val="1"/>
          <w:bCs w:val="1"/>
          <w:color w:val="auto"/>
        </w:rPr>
      </w:pPr>
    </w:p>
    <w:p>
      <w:pPr>
        <w:ind w:left="478"/>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17.9%</w:t>
      </w:r>
    </w:p>
    <w:p>
      <w:pPr>
        <w:spacing w:after="0" w:line="299" w:lineRule="exact"/>
        <w:rPr>
          <w:sz w:val="20"/>
          <w:szCs w:val="20"/>
          <w:color w:val="auto"/>
        </w:rPr>
      </w:pPr>
    </w:p>
    <w:p>
      <w:pPr>
        <w:sectPr>
          <w:pgSz w:w="11900" w:h="16838" w:orient="portrait"/>
          <w:cols w:equalWidth="0" w:num="2">
            <w:col w:w="9782" w:space="720"/>
            <w:col w:w="918"/>
          </w:cols>
          <w:pgMar w:left="240" w:top="341" w:right="239" w:bottom="1440" w:gutter="0" w:footer="0" w:header="0"/>
          <w:type w:val="continuous"/>
        </w:sectPr>
      </w:pPr>
    </w:p>
    <w:p>
      <w:pPr>
        <w:ind w:left="340" w:right="520" w:hanging="332"/>
        <w:spacing w:after="0" w:line="196" w:lineRule="auto"/>
        <w:tabs>
          <w:tab w:leader="none" w:pos="340" w:val="left"/>
        </w:tabs>
        <w:numPr>
          <w:ilvl w:val="0"/>
          <w:numId w:val="100"/>
        </w:numPr>
        <w:rPr>
          <w:rFonts w:ascii="Arial" w:cs="Arial" w:eastAsia="Arial" w:hAnsi="Arial"/>
          <w:sz w:val="24"/>
          <w:szCs w:val="24"/>
          <w:color w:val="auto"/>
          <w:vertAlign w:val="superscript"/>
        </w:rPr>
      </w:pPr>
      <w:r>
        <w:rPr>
          <w:rFonts w:ascii="Arial" w:cs="Arial" w:eastAsia="Arial" w:hAnsi="Arial"/>
          <w:sz w:val="14"/>
          <w:szCs w:val="14"/>
          <w:color w:val="auto"/>
        </w:rPr>
        <w:t>Represents after-tax interest expense utilizing the federal statutory rate of 35 percent in 2016 and 2017, and 21 percent in 2018. Interest expense is added back to net earnings as it represents the return to debt holders. Debt is included as a component of average invested capital.</w:t>
      </w:r>
    </w:p>
    <w:p>
      <w:pPr>
        <w:ind w:left="340" w:hanging="332"/>
        <w:spacing w:after="0" w:line="199" w:lineRule="auto"/>
        <w:tabs>
          <w:tab w:leader="none" w:pos="340" w:val="left"/>
        </w:tabs>
        <w:numPr>
          <w:ilvl w:val="0"/>
          <w:numId w:val="100"/>
        </w:numPr>
        <w:rPr>
          <w:rFonts w:ascii="Arial" w:cs="Arial" w:eastAsia="Arial" w:hAnsi="Arial"/>
          <w:sz w:val="24"/>
          <w:szCs w:val="24"/>
          <w:color w:val="auto"/>
          <w:vertAlign w:val="superscript"/>
        </w:rPr>
      </w:pPr>
      <w:r>
        <w:rPr>
          <w:rFonts w:ascii="Arial" w:cs="Arial" w:eastAsia="Arial" w:hAnsi="Arial"/>
          <w:sz w:val="14"/>
          <w:szCs w:val="14"/>
          <w:color w:val="auto"/>
        </w:rPr>
        <w:t>Debt consists of long-term debt, including current maturities, and short-term borrowings (if any).</w:t>
      </w:r>
    </w:p>
    <w:p>
      <w:pPr>
        <w:spacing w:after="0" w:line="54" w:lineRule="exact"/>
        <w:rPr>
          <w:rFonts w:ascii="Arial" w:cs="Arial" w:eastAsia="Arial" w:hAnsi="Arial"/>
          <w:sz w:val="24"/>
          <w:szCs w:val="24"/>
          <w:color w:val="auto"/>
          <w:vertAlign w:val="superscript"/>
        </w:rPr>
      </w:pPr>
    </w:p>
    <w:p>
      <w:pPr>
        <w:ind w:left="340" w:right="140" w:hanging="332"/>
        <w:spacing w:after="0" w:line="193" w:lineRule="auto"/>
        <w:tabs>
          <w:tab w:leader="none" w:pos="340" w:val="left"/>
        </w:tabs>
        <w:numPr>
          <w:ilvl w:val="0"/>
          <w:numId w:val="100"/>
        </w:numPr>
        <w:rPr>
          <w:rFonts w:ascii="Arial" w:cs="Arial" w:eastAsia="Arial" w:hAnsi="Arial"/>
          <w:sz w:val="24"/>
          <w:szCs w:val="24"/>
          <w:color w:val="auto"/>
          <w:vertAlign w:val="superscript"/>
        </w:rPr>
      </w:pPr>
      <w:r>
        <w:rPr>
          <w:rFonts w:ascii="Arial" w:cs="Arial" w:eastAsia="Arial" w:hAnsi="Arial"/>
          <w:sz w:val="14"/>
          <w:szCs w:val="14"/>
          <w:color w:val="auto"/>
        </w:rPr>
        <w:t>The three-year averages are calculated using thirteen quarter point balances at the start of the plan performance period and at the end of each quarter for each of the three-years in the performance period.</w:t>
      </w:r>
    </w:p>
    <w:p>
      <w:pPr>
        <w:spacing w:after="0" w:line="35" w:lineRule="exact"/>
        <w:rPr>
          <w:rFonts w:ascii="Arial" w:cs="Arial" w:eastAsia="Arial" w:hAnsi="Arial"/>
          <w:sz w:val="24"/>
          <w:szCs w:val="24"/>
          <w:color w:val="auto"/>
          <w:vertAlign w:val="superscript"/>
        </w:rPr>
      </w:pPr>
    </w:p>
    <w:p>
      <w:pPr>
        <w:ind w:left="340" w:right="180" w:hanging="332"/>
        <w:spacing w:after="0" w:line="203" w:lineRule="auto"/>
        <w:tabs>
          <w:tab w:leader="none" w:pos="340" w:val="left"/>
        </w:tabs>
        <w:numPr>
          <w:ilvl w:val="0"/>
          <w:numId w:val="100"/>
        </w:numPr>
        <w:rPr>
          <w:rFonts w:ascii="Arial" w:cs="Arial" w:eastAsia="Arial" w:hAnsi="Arial"/>
          <w:sz w:val="24"/>
          <w:szCs w:val="24"/>
          <w:color w:val="auto"/>
          <w:vertAlign w:val="superscript"/>
        </w:rPr>
      </w:pPr>
      <w:r>
        <w:rPr>
          <w:rFonts w:ascii="Arial" w:cs="Arial" w:eastAsia="Arial" w:hAnsi="Arial"/>
          <w:sz w:val="14"/>
          <w:szCs w:val="14"/>
          <w:color w:val="auto"/>
        </w:rPr>
        <w:t>Equity includes non-cash adjustments, primarily to recognize the funded/unfunded status of the Corporation’s benefit plans; and also to normalize for the one time impact of the deferred tax asset (DTA) noted in footnote (g) below.</w:t>
      </w:r>
    </w:p>
    <w:p>
      <w:pPr>
        <w:ind w:left="340" w:hanging="332"/>
        <w:spacing w:after="0" w:line="199" w:lineRule="auto"/>
        <w:tabs>
          <w:tab w:leader="none" w:pos="340" w:val="left"/>
        </w:tabs>
        <w:numPr>
          <w:ilvl w:val="0"/>
          <w:numId w:val="100"/>
        </w:numPr>
        <w:rPr>
          <w:rFonts w:ascii="Arial" w:cs="Arial" w:eastAsia="Arial" w:hAnsi="Arial"/>
          <w:sz w:val="24"/>
          <w:szCs w:val="24"/>
          <w:color w:val="auto"/>
          <w:vertAlign w:val="superscript"/>
        </w:rPr>
      </w:pPr>
      <w:r>
        <w:rPr>
          <w:rFonts w:ascii="Arial" w:cs="Arial" w:eastAsia="Arial" w:hAnsi="Arial"/>
          <w:sz w:val="14"/>
          <w:szCs w:val="14"/>
          <w:color w:val="auto"/>
        </w:rPr>
        <w:t>Average Benefit Plan Adjustments reflect the cumulative value of entries identified in the Corporation’s Consolidated Statements of Equity.</w:t>
      </w:r>
    </w:p>
    <w:p>
      <w:pPr>
        <w:spacing w:after="0" w:line="54" w:lineRule="exact"/>
        <w:rPr>
          <w:rFonts w:ascii="Arial" w:cs="Arial" w:eastAsia="Arial" w:hAnsi="Arial"/>
          <w:sz w:val="24"/>
          <w:szCs w:val="24"/>
          <w:color w:val="auto"/>
          <w:vertAlign w:val="superscript"/>
        </w:rPr>
      </w:pPr>
    </w:p>
    <w:p>
      <w:pPr>
        <w:ind w:left="340" w:right="160" w:hanging="332"/>
        <w:spacing w:after="0" w:line="193" w:lineRule="auto"/>
        <w:tabs>
          <w:tab w:leader="none" w:pos="340" w:val="left"/>
        </w:tabs>
        <w:numPr>
          <w:ilvl w:val="0"/>
          <w:numId w:val="100"/>
        </w:numPr>
        <w:rPr>
          <w:rFonts w:ascii="Arial" w:cs="Arial" w:eastAsia="Arial" w:hAnsi="Arial"/>
          <w:sz w:val="24"/>
          <w:szCs w:val="24"/>
          <w:color w:val="auto"/>
          <w:vertAlign w:val="superscript"/>
        </w:rPr>
      </w:pPr>
      <w:r>
        <w:rPr>
          <w:rFonts w:ascii="Arial" w:cs="Arial" w:eastAsia="Arial" w:hAnsi="Arial"/>
          <w:sz w:val="14"/>
          <w:szCs w:val="14"/>
          <w:color w:val="auto"/>
        </w:rPr>
        <w:t>Net earnings was adjusted to normalize the ROIC calculation for the $312 million tax benefit associated with the adoption of Accounting Standards Update No. 2016-09 and for the $1.8 billion DTA charge as reported in December 2017 as a result of the Federal Government’s enactment of the Tax Cuts and Jobs Act.</w:t>
      </w:r>
    </w:p>
    <w:p>
      <w:pPr>
        <w:spacing w:after="0" w:line="200" w:lineRule="exact"/>
        <w:rPr>
          <w:sz w:val="20"/>
          <w:szCs w:val="20"/>
          <w:color w:val="auto"/>
        </w:rPr>
      </w:pPr>
    </w:p>
    <w:p>
      <w:pPr>
        <w:spacing w:after="0" w:line="231" w:lineRule="exact"/>
        <w:rPr>
          <w:sz w:val="20"/>
          <w:szCs w:val="20"/>
          <w:color w:val="auto"/>
        </w:rPr>
      </w:pPr>
    </w:p>
    <w:p>
      <w:pPr>
        <w:ind w:left="40"/>
        <w:spacing w:after="0"/>
        <w:tabs>
          <w:tab w:leader="none" w:pos="9420" w:val="left"/>
          <w:tab w:leader="none" w:pos="1122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2019 Proxy Statement</w:t>
      </w:r>
      <w:r>
        <w:rPr>
          <w:sz w:val="20"/>
          <w:szCs w:val="20"/>
          <w:color w:val="auto"/>
        </w:rPr>
        <w:tab/>
      </w:r>
      <w:r>
        <w:rPr>
          <w:rFonts w:ascii="Arial" w:cs="Arial" w:eastAsia="Arial" w:hAnsi="Arial"/>
          <w:sz w:val="14"/>
          <w:szCs w:val="14"/>
          <w:b w:val="1"/>
          <w:bCs w:val="1"/>
          <w:color w:val="808080"/>
        </w:rPr>
        <w:t>83</w:t>
      </w:r>
    </w:p>
    <w:p>
      <w:pPr>
        <w:sectPr>
          <w:pgSz w:w="11900" w:h="16838" w:orient="portrait"/>
          <w:cols w:equalWidth="0" w:num="1">
            <w:col w:w="11420"/>
          </w:cols>
          <w:pgMar w:left="240" w:top="341" w:right="23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5"/>
          <w:szCs w:val="15"/>
          <w:color w:val="003478"/>
        </w:rPr>
        <w:t>Additional Information and Other Matters</w:t>
      </w:r>
    </w:p>
    <w:p>
      <w:pPr>
        <w:spacing w:after="0" w:line="347" w:lineRule="exact"/>
        <w:rPr>
          <w:sz w:val="20"/>
          <w:szCs w:val="20"/>
          <w:color w:val="auto"/>
        </w:rPr>
      </w:pPr>
    </w:p>
    <w:p>
      <w:pPr>
        <w:spacing w:after="0"/>
        <w:rPr>
          <w:sz w:val="20"/>
          <w:szCs w:val="20"/>
          <w:color w:val="auto"/>
        </w:rPr>
      </w:pPr>
      <w:r>
        <w:rPr>
          <w:rFonts w:ascii="Arial" w:cs="Arial" w:eastAsia="Arial" w:hAnsi="Arial"/>
          <w:sz w:val="25"/>
          <w:szCs w:val="25"/>
          <w:color w:val="475C90"/>
        </w:rPr>
        <w:t>Performance Cash</w:t>
      </w:r>
    </w:p>
    <w:p>
      <w:pPr>
        <w:spacing w:after="0" w:line="24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Performance Cash represents the Corporation’s Cash from Operations adjusted to exclude: (1) the difference between actual and planned pension funding under the Corporation’s long-range plan and (2) unplanned tax payments or benefits on divestitures of business units. This definition is used in our annual incentive plan for performance limitation testing and in our award agreements for RSUs, LTIP and PSUs. The performance limitation is described on page 41.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380" w:type="dxa"/>
            <w:vAlign w:val="bottom"/>
            <w:tcBorders>
              <w:right w:val="single" w:sz="8" w:color="ECECEC"/>
            </w:tcBorders>
            <w:shd w:val="clear" w:color="auto" w:fill="ECECEC"/>
          </w:tcPr>
          <w:p>
            <w:pPr>
              <w:spacing w:after="0"/>
              <w:rPr>
                <w:sz w:val="21"/>
                <w:szCs w:val="21"/>
                <w:color w:val="auto"/>
              </w:rPr>
            </w:pPr>
          </w:p>
        </w:tc>
        <w:tc>
          <w:tcPr>
            <w:tcW w:w="1040" w:type="dxa"/>
            <w:vAlign w:val="bottom"/>
            <w:tcBorders>
              <w:right w:val="single" w:sz="8" w:color="ECECEC"/>
            </w:tcBorders>
            <w:shd w:val="clear" w:color="auto" w:fill="ECECEC"/>
          </w:tcPr>
          <w:p>
            <w:pPr>
              <w:jc w:val="right"/>
              <w:ind w:right="70"/>
              <w:spacing w:after="0"/>
              <w:rPr>
                <w:sz w:val="20"/>
                <w:szCs w:val="20"/>
                <w:color w:val="auto"/>
              </w:rPr>
            </w:pPr>
            <w:r>
              <w:rPr>
                <w:rFonts w:ascii="Arial" w:cs="Arial" w:eastAsia="Arial" w:hAnsi="Arial"/>
                <w:sz w:val="13"/>
                <w:szCs w:val="13"/>
                <w:color w:val="auto"/>
              </w:rPr>
              <w:t>2018</w:t>
            </w:r>
          </w:p>
        </w:tc>
        <w:tc>
          <w:tcPr>
            <w:tcW w:w="1000" w:type="dxa"/>
            <w:vAlign w:val="bottom"/>
            <w:shd w:val="clear" w:color="auto" w:fill="ECECEC"/>
          </w:tcPr>
          <w:p>
            <w:pPr>
              <w:jc w:val="right"/>
              <w:ind w:right="30"/>
              <w:spacing w:after="0"/>
              <w:rPr>
                <w:sz w:val="20"/>
                <w:szCs w:val="20"/>
                <w:color w:val="auto"/>
              </w:rPr>
            </w:pPr>
            <w:r>
              <w:rPr>
                <w:rFonts w:ascii="Arial" w:cs="Arial" w:eastAsia="Arial" w:hAnsi="Arial"/>
                <w:sz w:val="13"/>
                <w:szCs w:val="13"/>
                <w:color w:val="auto"/>
              </w:rPr>
              <w:t>2016-2018</w:t>
            </w:r>
          </w:p>
        </w:tc>
        <w:tc>
          <w:tcPr>
            <w:tcW w:w="20" w:type="dxa"/>
            <w:vAlign w:val="bottom"/>
          </w:tcPr>
          <w:p>
            <w:pPr>
              <w:spacing w:after="0"/>
              <w:rPr>
                <w:sz w:val="21"/>
                <w:szCs w:val="21"/>
                <w:color w:val="auto"/>
              </w:rPr>
            </w:pPr>
          </w:p>
        </w:tc>
      </w:tr>
      <w:tr>
        <w:trPr>
          <w:trHeight w:val="244"/>
        </w:trPr>
        <w:tc>
          <w:tcPr>
            <w:tcW w:w="9380" w:type="dxa"/>
            <w:vAlign w:val="bottom"/>
            <w:tcBorders>
              <w:bottom w:val="single" w:sz="8" w:color="ECECEC"/>
              <w:right w:val="single" w:sz="8" w:color="ECECEC"/>
            </w:tcBorders>
            <w:shd w:val="clear" w:color="auto" w:fill="ECECEC"/>
          </w:tcPr>
          <w:p>
            <w:pPr>
              <w:ind w:left="40"/>
              <w:spacing w:after="0"/>
              <w:rPr>
                <w:sz w:val="20"/>
                <w:szCs w:val="20"/>
                <w:color w:val="auto"/>
              </w:rPr>
            </w:pPr>
            <w:r>
              <w:rPr>
                <w:rFonts w:ascii="Arial" w:cs="Arial" w:eastAsia="Arial" w:hAnsi="Arial"/>
                <w:sz w:val="13"/>
                <w:szCs w:val="13"/>
                <w:color w:val="auto"/>
              </w:rPr>
              <w:t>Cash Flow ($M)</w:t>
            </w:r>
          </w:p>
        </w:tc>
        <w:tc>
          <w:tcPr>
            <w:tcW w:w="1040" w:type="dxa"/>
            <w:vAlign w:val="bottom"/>
            <w:tcBorders>
              <w:bottom w:val="single" w:sz="8" w:color="ECECEC"/>
              <w:right w:val="single" w:sz="8" w:color="ECECEC"/>
            </w:tcBorders>
            <w:shd w:val="clear" w:color="auto" w:fill="ECECEC"/>
          </w:tcPr>
          <w:p>
            <w:pPr>
              <w:jc w:val="right"/>
              <w:ind w:right="7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ECECEC"/>
            </w:tcBorders>
            <w:shd w:val="clear" w:color="auto" w:fill="ECECEC"/>
          </w:tcPr>
          <w:p>
            <w:pPr>
              <w:jc w:val="right"/>
              <w:ind w:right="3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1"/>
                <w:szCs w:val="21"/>
                <w:color w:val="auto"/>
              </w:rPr>
            </w:pPr>
          </w:p>
        </w:tc>
      </w:tr>
      <w:tr>
        <w:trPr>
          <w:trHeight w:val="217"/>
        </w:trPr>
        <w:tc>
          <w:tcPr>
            <w:tcW w:w="9380" w:type="dxa"/>
            <w:vAlign w:val="bottom"/>
            <w:tcBorders>
              <w:top w:val="single" w:sz="8" w:color="959595"/>
              <w:bottom w:val="single" w:sz="8" w:color="959595"/>
              <w:right w:val="single" w:sz="8" w:color="auto"/>
            </w:tcBorders>
          </w:tcPr>
          <w:p>
            <w:pPr>
              <w:ind w:left="40"/>
              <w:spacing w:after="0"/>
              <w:rPr>
                <w:sz w:val="20"/>
                <w:szCs w:val="20"/>
                <w:color w:val="auto"/>
              </w:rPr>
            </w:pPr>
            <w:r>
              <w:rPr>
                <w:rFonts w:ascii="Arial" w:cs="Arial" w:eastAsia="Arial" w:hAnsi="Arial"/>
                <w:sz w:val="14"/>
                <w:szCs w:val="14"/>
                <w:b w:val="1"/>
                <w:bCs w:val="1"/>
                <w:color w:val="auto"/>
              </w:rPr>
              <w:t>Cash from Operations (GAAP)</w:t>
            </w:r>
          </w:p>
        </w:tc>
        <w:tc>
          <w:tcPr>
            <w:tcW w:w="1040" w:type="dxa"/>
            <w:vAlign w:val="bottom"/>
            <w:tcBorders>
              <w:top w:val="single" w:sz="8" w:color="auto"/>
              <w:bottom w:val="single" w:sz="8" w:color="auto"/>
              <w:right w:val="single" w:sz="8" w:color="auto"/>
            </w:tcBorders>
          </w:tcPr>
          <w:p>
            <w:pPr>
              <w:jc w:val="right"/>
              <w:ind w:right="70"/>
              <w:spacing w:after="0"/>
              <w:rPr>
                <w:sz w:val="20"/>
                <w:szCs w:val="20"/>
                <w:color w:val="auto"/>
              </w:rPr>
            </w:pPr>
            <w:r>
              <w:rPr>
                <w:rFonts w:ascii="Arial" w:cs="Arial" w:eastAsia="Arial" w:hAnsi="Arial"/>
                <w:sz w:val="14"/>
                <w:szCs w:val="14"/>
                <w:b w:val="1"/>
                <w:bCs w:val="1"/>
                <w:color w:val="auto"/>
              </w:rPr>
              <w:t>3,138</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14,803</w:t>
            </w:r>
          </w:p>
        </w:tc>
        <w:tc>
          <w:tcPr>
            <w:tcW w:w="20" w:type="dxa"/>
            <w:vAlign w:val="bottom"/>
            <w:tcBorders>
              <w:top w:val="single" w:sz="8" w:color="auto"/>
              <w:bottom w:val="single" w:sz="8" w:color="auto"/>
            </w:tcBorders>
            <w:shd w:val="clear" w:color="auto" w:fill="000000"/>
          </w:tcPr>
          <w:p>
            <w:pPr>
              <w:spacing w:after="0"/>
              <w:rPr>
                <w:sz w:val="18"/>
                <w:szCs w:val="18"/>
                <w:color w:val="auto"/>
              </w:rPr>
            </w:pPr>
          </w:p>
        </w:tc>
      </w:tr>
      <w:tr>
        <w:trPr>
          <w:trHeight w:val="264"/>
        </w:trPr>
        <w:tc>
          <w:tcPr>
            <w:tcW w:w="938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auto"/>
              </w:rPr>
              <w:t>Pension Funding Adjustment</w:t>
            </w:r>
          </w:p>
        </w:tc>
        <w:tc>
          <w:tcPr>
            <w:tcW w:w="1040" w:type="dxa"/>
            <w:vAlign w:val="bottom"/>
            <w:tcBorders>
              <w:bottom w:val="single" w:sz="8" w:color="959595"/>
            </w:tcBorders>
          </w:tcPr>
          <w:p>
            <w:pPr>
              <w:spacing w:after="0"/>
              <w:rPr>
                <w:sz w:val="22"/>
                <w:szCs w:val="22"/>
                <w:color w:val="auto"/>
              </w:rPr>
            </w:pPr>
          </w:p>
        </w:tc>
        <w:tc>
          <w:tcPr>
            <w:tcW w:w="1000" w:type="dxa"/>
            <w:vAlign w:val="bottom"/>
            <w:tcBorders>
              <w:bottom w:val="single" w:sz="8" w:color="959595"/>
            </w:tcBorders>
          </w:tcPr>
          <w:p>
            <w:pPr>
              <w:spacing w:after="0"/>
              <w:rPr>
                <w:sz w:val="22"/>
                <w:szCs w:val="22"/>
                <w:color w:val="auto"/>
              </w:rPr>
            </w:pPr>
          </w:p>
        </w:tc>
        <w:tc>
          <w:tcPr>
            <w:tcW w:w="20" w:type="dxa"/>
            <w:vAlign w:val="bottom"/>
          </w:tcPr>
          <w:p>
            <w:pPr>
              <w:spacing w:after="0"/>
              <w:rPr>
                <w:sz w:val="22"/>
                <w:szCs w:val="22"/>
                <w:color w:val="auto"/>
              </w:rPr>
            </w:pPr>
          </w:p>
        </w:tc>
      </w:tr>
      <w:tr>
        <w:trPr>
          <w:trHeight w:val="208"/>
        </w:trPr>
        <w:tc>
          <w:tcPr>
            <w:tcW w:w="9380" w:type="dxa"/>
            <w:vAlign w:val="bottom"/>
          </w:tcPr>
          <w:p>
            <w:pPr>
              <w:ind w:left="40"/>
              <w:spacing w:after="0"/>
              <w:rPr>
                <w:sz w:val="20"/>
                <w:szCs w:val="20"/>
                <w:color w:val="auto"/>
              </w:rPr>
            </w:pPr>
            <w:r>
              <w:rPr>
                <w:rFonts w:ascii="Arial" w:cs="Arial" w:eastAsia="Arial" w:hAnsi="Arial"/>
                <w:sz w:val="14"/>
                <w:szCs w:val="14"/>
                <w:color w:val="auto"/>
              </w:rPr>
              <w:t>Actual Pension Funding</w:t>
            </w:r>
          </w:p>
        </w:tc>
        <w:tc>
          <w:tcPr>
            <w:tcW w:w="1040" w:type="dxa"/>
            <w:vAlign w:val="bottom"/>
          </w:tcPr>
          <w:p>
            <w:pPr>
              <w:jc w:val="right"/>
              <w:ind w:right="70"/>
              <w:spacing w:after="0"/>
              <w:rPr>
                <w:sz w:val="20"/>
                <w:szCs w:val="20"/>
                <w:color w:val="auto"/>
              </w:rPr>
            </w:pPr>
            <w:r>
              <w:rPr>
                <w:rFonts w:ascii="Arial" w:cs="Arial" w:eastAsia="Arial" w:hAnsi="Arial"/>
                <w:sz w:val="14"/>
                <w:szCs w:val="14"/>
                <w:color w:val="auto"/>
              </w:rPr>
              <w:t>5,000</w:t>
            </w: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5,255</w:t>
            </w:r>
          </w:p>
        </w:tc>
        <w:tc>
          <w:tcPr>
            <w:tcW w:w="20" w:type="dxa"/>
            <w:vAlign w:val="bottom"/>
          </w:tcPr>
          <w:p>
            <w:pPr>
              <w:spacing w:after="0"/>
              <w:rPr>
                <w:sz w:val="18"/>
                <w:szCs w:val="18"/>
                <w:color w:val="auto"/>
              </w:rPr>
            </w:pPr>
          </w:p>
        </w:tc>
      </w:tr>
      <w:tr>
        <w:trPr>
          <w:trHeight w:val="22"/>
        </w:trPr>
        <w:tc>
          <w:tcPr>
            <w:tcW w:w="9380" w:type="dxa"/>
            <w:vAlign w:val="bottom"/>
            <w:tcBorders>
              <w:bottom w:val="single" w:sz="8" w:color="959595"/>
            </w:tcBorders>
          </w:tcPr>
          <w:p>
            <w:pPr>
              <w:spacing w:after="0" w:line="20" w:lineRule="exact"/>
              <w:rPr>
                <w:sz w:val="1"/>
                <w:szCs w:val="1"/>
                <w:color w:val="auto"/>
              </w:rPr>
            </w:pPr>
          </w:p>
        </w:tc>
        <w:tc>
          <w:tcPr>
            <w:tcW w:w="1040" w:type="dxa"/>
            <w:vAlign w:val="bottom"/>
            <w:tcBorders>
              <w:bottom w:val="single" w:sz="8" w:color="959595"/>
            </w:tcBorders>
          </w:tcPr>
          <w:p>
            <w:pPr>
              <w:spacing w:after="0" w:line="20" w:lineRule="exact"/>
              <w:rPr>
                <w:sz w:val="1"/>
                <w:szCs w:val="1"/>
                <w:color w:val="auto"/>
              </w:rPr>
            </w:pPr>
          </w:p>
        </w:tc>
        <w:tc>
          <w:tcPr>
            <w:tcW w:w="1000" w:type="dxa"/>
            <w:vAlign w:val="bottom"/>
            <w:tcBorders>
              <w:bottom w:val="single" w:sz="8" w:color="959595"/>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2"/>
        </w:trPr>
        <w:tc>
          <w:tcPr>
            <w:tcW w:w="9380" w:type="dxa"/>
            <w:vAlign w:val="bottom"/>
          </w:tcPr>
          <w:p>
            <w:pPr>
              <w:ind w:left="40"/>
              <w:spacing w:after="0"/>
              <w:rPr>
                <w:sz w:val="20"/>
                <w:szCs w:val="20"/>
                <w:color w:val="auto"/>
              </w:rPr>
            </w:pPr>
            <w:r>
              <w:rPr>
                <w:rFonts w:ascii="Arial" w:cs="Arial" w:eastAsia="Arial" w:hAnsi="Arial"/>
                <w:sz w:val="14"/>
                <w:szCs w:val="14"/>
                <w:color w:val="auto"/>
              </w:rPr>
              <w:t>Planned Pension Funding</w:t>
            </w:r>
          </w:p>
        </w:tc>
        <w:tc>
          <w:tcPr>
            <w:tcW w:w="1040" w:type="dxa"/>
            <w:vAlign w:val="bottom"/>
          </w:tcPr>
          <w:p>
            <w:pPr>
              <w:jc w:val="right"/>
              <w:ind w:right="70"/>
              <w:spacing w:after="0"/>
              <w:rPr>
                <w:sz w:val="20"/>
                <w:szCs w:val="20"/>
                <w:color w:val="auto"/>
              </w:rPr>
            </w:pPr>
            <w:r>
              <w:rPr>
                <w:rFonts w:ascii="Arial" w:cs="Arial" w:eastAsia="Arial" w:hAnsi="Arial"/>
                <w:sz w:val="14"/>
                <w:szCs w:val="14"/>
                <w:color w:val="auto"/>
              </w:rPr>
              <w:t>5,000</w:t>
            </w: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2,060</w:t>
            </w:r>
          </w:p>
        </w:tc>
        <w:tc>
          <w:tcPr>
            <w:tcW w:w="20" w:type="dxa"/>
            <w:vAlign w:val="bottom"/>
          </w:tcPr>
          <w:p>
            <w:pPr>
              <w:spacing w:after="0"/>
              <w:rPr>
                <w:sz w:val="17"/>
                <w:szCs w:val="17"/>
                <w:color w:val="auto"/>
              </w:rPr>
            </w:pPr>
          </w:p>
        </w:tc>
      </w:tr>
      <w:tr>
        <w:trPr>
          <w:trHeight w:val="22"/>
        </w:trPr>
        <w:tc>
          <w:tcPr>
            <w:tcW w:w="9380" w:type="dxa"/>
            <w:vAlign w:val="bottom"/>
            <w:tcBorders>
              <w:bottom w:val="single" w:sz="8" w:color="959595"/>
            </w:tcBorders>
          </w:tcPr>
          <w:p>
            <w:pPr>
              <w:spacing w:after="0" w:line="20" w:lineRule="exact"/>
              <w:rPr>
                <w:sz w:val="1"/>
                <w:szCs w:val="1"/>
                <w:color w:val="auto"/>
              </w:rPr>
            </w:pPr>
          </w:p>
        </w:tc>
        <w:tc>
          <w:tcPr>
            <w:tcW w:w="1040" w:type="dxa"/>
            <w:vAlign w:val="bottom"/>
            <w:tcBorders>
              <w:bottom w:val="single" w:sz="8" w:color="959595"/>
            </w:tcBorders>
          </w:tcPr>
          <w:p>
            <w:pPr>
              <w:spacing w:after="0" w:line="20" w:lineRule="exact"/>
              <w:rPr>
                <w:sz w:val="1"/>
                <w:szCs w:val="1"/>
                <w:color w:val="auto"/>
              </w:rPr>
            </w:pPr>
          </w:p>
        </w:tc>
        <w:tc>
          <w:tcPr>
            <w:tcW w:w="1000" w:type="dxa"/>
            <w:vAlign w:val="bottom"/>
            <w:tcBorders>
              <w:bottom w:val="single" w:sz="8" w:color="959595"/>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2"/>
        </w:trPr>
        <w:tc>
          <w:tcPr>
            <w:tcW w:w="9380" w:type="dxa"/>
            <w:vAlign w:val="bottom"/>
          </w:tcPr>
          <w:p>
            <w:pPr>
              <w:ind w:left="360"/>
              <w:spacing w:after="0"/>
              <w:rPr>
                <w:sz w:val="20"/>
                <w:szCs w:val="20"/>
                <w:color w:val="auto"/>
              </w:rPr>
            </w:pPr>
            <w:r>
              <w:rPr>
                <w:rFonts w:ascii="Arial" w:cs="Arial" w:eastAsia="Arial" w:hAnsi="Arial"/>
                <w:sz w:val="14"/>
                <w:szCs w:val="14"/>
                <w:color w:val="auto"/>
              </w:rPr>
              <w:t>Delta</w:t>
            </w:r>
          </w:p>
        </w:tc>
        <w:tc>
          <w:tcPr>
            <w:tcW w:w="1040" w:type="dxa"/>
            <w:vAlign w:val="bottom"/>
          </w:tcPr>
          <w:p>
            <w:pPr>
              <w:jc w:val="right"/>
              <w:ind w:right="70"/>
              <w:spacing w:after="0"/>
              <w:rPr>
                <w:sz w:val="20"/>
                <w:szCs w:val="20"/>
                <w:color w:val="auto"/>
              </w:rPr>
            </w:pPr>
            <w:r>
              <w:rPr>
                <w:rFonts w:ascii="Arial" w:cs="Arial" w:eastAsia="Arial" w:hAnsi="Arial"/>
                <w:sz w:val="14"/>
                <w:szCs w:val="14"/>
                <w:color w:val="auto"/>
              </w:rPr>
              <w:t>0</w:t>
            </w: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3,195</w:t>
            </w:r>
          </w:p>
        </w:tc>
        <w:tc>
          <w:tcPr>
            <w:tcW w:w="20" w:type="dxa"/>
            <w:vAlign w:val="bottom"/>
          </w:tcPr>
          <w:p>
            <w:pPr>
              <w:spacing w:after="0"/>
              <w:rPr>
                <w:sz w:val="17"/>
                <w:szCs w:val="17"/>
                <w:color w:val="auto"/>
              </w:rPr>
            </w:pPr>
          </w:p>
        </w:tc>
      </w:tr>
      <w:tr>
        <w:trPr>
          <w:trHeight w:val="22"/>
        </w:trPr>
        <w:tc>
          <w:tcPr>
            <w:tcW w:w="9380" w:type="dxa"/>
            <w:vAlign w:val="bottom"/>
            <w:tcBorders>
              <w:bottom w:val="single" w:sz="8" w:color="959595"/>
            </w:tcBorders>
          </w:tcPr>
          <w:p>
            <w:pPr>
              <w:spacing w:after="0" w:line="20" w:lineRule="exact"/>
              <w:rPr>
                <w:sz w:val="1"/>
                <w:szCs w:val="1"/>
                <w:color w:val="auto"/>
              </w:rPr>
            </w:pPr>
          </w:p>
        </w:tc>
        <w:tc>
          <w:tcPr>
            <w:tcW w:w="1040" w:type="dxa"/>
            <w:vAlign w:val="bottom"/>
            <w:tcBorders>
              <w:bottom w:val="single" w:sz="8" w:color="959595"/>
            </w:tcBorders>
          </w:tcPr>
          <w:p>
            <w:pPr>
              <w:spacing w:after="0" w:line="20" w:lineRule="exact"/>
              <w:rPr>
                <w:sz w:val="1"/>
                <w:szCs w:val="1"/>
                <w:color w:val="auto"/>
              </w:rPr>
            </w:pPr>
          </w:p>
        </w:tc>
        <w:tc>
          <w:tcPr>
            <w:tcW w:w="1000" w:type="dxa"/>
            <w:vAlign w:val="bottom"/>
            <w:tcBorders>
              <w:bottom w:val="single" w:sz="8" w:color="959595"/>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2"/>
        </w:trPr>
        <w:tc>
          <w:tcPr>
            <w:tcW w:w="9380" w:type="dxa"/>
            <w:vAlign w:val="bottom"/>
          </w:tcPr>
          <w:p>
            <w:pPr>
              <w:ind w:left="40"/>
              <w:spacing w:after="0"/>
              <w:rPr>
                <w:sz w:val="20"/>
                <w:szCs w:val="20"/>
                <w:color w:val="auto"/>
              </w:rPr>
            </w:pPr>
            <w:r>
              <w:rPr>
                <w:rFonts w:ascii="Arial" w:cs="Arial" w:eastAsia="Arial" w:hAnsi="Arial"/>
                <w:sz w:val="14"/>
                <w:szCs w:val="14"/>
                <w:color w:val="auto"/>
              </w:rPr>
              <w:t>Adjustment for Unplanned Tax Payments / (Benefits) on Divestitures</w:t>
            </w:r>
          </w:p>
        </w:tc>
        <w:tc>
          <w:tcPr>
            <w:tcW w:w="1040" w:type="dxa"/>
            <w:vAlign w:val="bottom"/>
          </w:tcPr>
          <w:p>
            <w:pPr>
              <w:jc w:val="right"/>
              <w:ind w:right="70"/>
              <w:spacing w:after="0"/>
              <w:rPr>
                <w:sz w:val="20"/>
                <w:szCs w:val="20"/>
                <w:color w:val="auto"/>
              </w:rPr>
            </w:pPr>
            <w:r>
              <w:rPr>
                <w:rFonts w:ascii="Arial" w:cs="Arial" w:eastAsia="Arial" w:hAnsi="Arial"/>
                <w:sz w:val="14"/>
                <w:szCs w:val="14"/>
                <w:color w:val="auto"/>
              </w:rPr>
              <w:t>0</w:t>
            </w:r>
          </w:p>
        </w:tc>
        <w:tc>
          <w:tcPr>
            <w:tcW w:w="1000" w:type="dxa"/>
            <w:vAlign w:val="bottom"/>
          </w:tcPr>
          <w:p>
            <w:pPr>
              <w:jc w:val="right"/>
              <w:spacing w:after="0"/>
              <w:rPr>
                <w:sz w:val="20"/>
                <w:szCs w:val="20"/>
                <w:color w:val="auto"/>
              </w:rPr>
            </w:pPr>
            <w:r>
              <w:rPr>
                <w:rFonts w:ascii="Arial" w:cs="Arial" w:eastAsia="Arial" w:hAnsi="Arial"/>
                <w:sz w:val="14"/>
                <w:szCs w:val="14"/>
                <w:color w:val="auto"/>
              </w:rPr>
              <w:t>(65)</w:t>
            </w:r>
          </w:p>
        </w:tc>
        <w:tc>
          <w:tcPr>
            <w:tcW w:w="20" w:type="dxa"/>
            <w:vAlign w:val="bottom"/>
          </w:tcPr>
          <w:p>
            <w:pPr>
              <w:spacing w:after="0"/>
              <w:rPr>
                <w:sz w:val="17"/>
                <w:szCs w:val="17"/>
                <w:color w:val="auto"/>
              </w:rPr>
            </w:pPr>
          </w:p>
        </w:tc>
      </w:tr>
      <w:tr>
        <w:trPr>
          <w:trHeight w:val="22"/>
        </w:trPr>
        <w:tc>
          <w:tcPr>
            <w:tcW w:w="9380" w:type="dxa"/>
            <w:vAlign w:val="bottom"/>
            <w:tcBorders>
              <w:bottom w:val="single" w:sz="8" w:color="959595"/>
            </w:tcBorders>
          </w:tcPr>
          <w:p>
            <w:pPr>
              <w:spacing w:after="0" w:line="20" w:lineRule="exact"/>
              <w:rPr>
                <w:sz w:val="1"/>
                <w:szCs w:val="1"/>
                <w:color w:val="auto"/>
              </w:rPr>
            </w:pPr>
          </w:p>
        </w:tc>
        <w:tc>
          <w:tcPr>
            <w:tcW w:w="1040" w:type="dxa"/>
            <w:vAlign w:val="bottom"/>
            <w:tcBorders>
              <w:bottom w:val="single" w:sz="8" w:color="959595"/>
            </w:tcBorders>
          </w:tcPr>
          <w:p>
            <w:pPr>
              <w:spacing w:after="0" w:line="20" w:lineRule="exact"/>
              <w:rPr>
                <w:sz w:val="1"/>
                <w:szCs w:val="1"/>
                <w:color w:val="auto"/>
              </w:rPr>
            </w:pPr>
          </w:p>
        </w:tc>
        <w:tc>
          <w:tcPr>
            <w:tcW w:w="1000" w:type="dxa"/>
            <w:vAlign w:val="bottom"/>
            <w:tcBorders>
              <w:bottom w:val="single" w:sz="8" w:color="959595"/>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2"/>
        </w:trPr>
        <w:tc>
          <w:tcPr>
            <w:tcW w:w="9380" w:type="dxa"/>
            <w:vAlign w:val="bottom"/>
          </w:tcPr>
          <w:p>
            <w:pPr>
              <w:ind w:left="40"/>
              <w:spacing w:after="0"/>
              <w:rPr>
                <w:sz w:val="20"/>
                <w:szCs w:val="20"/>
                <w:color w:val="auto"/>
              </w:rPr>
            </w:pPr>
            <w:r>
              <w:rPr>
                <w:rFonts w:ascii="Arial" w:cs="Arial" w:eastAsia="Arial" w:hAnsi="Arial"/>
                <w:sz w:val="14"/>
                <w:szCs w:val="14"/>
                <w:color w:val="auto"/>
              </w:rPr>
              <w:t>Net Adjusting Items</w:t>
            </w:r>
          </w:p>
        </w:tc>
        <w:tc>
          <w:tcPr>
            <w:tcW w:w="1040" w:type="dxa"/>
            <w:vAlign w:val="bottom"/>
          </w:tcPr>
          <w:p>
            <w:pPr>
              <w:jc w:val="right"/>
              <w:ind w:right="70"/>
              <w:spacing w:after="0"/>
              <w:rPr>
                <w:sz w:val="20"/>
                <w:szCs w:val="20"/>
                <w:color w:val="auto"/>
              </w:rPr>
            </w:pPr>
            <w:r>
              <w:rPr>
                <w:rFonts w:ascii="Arial" w:cs="Arial" w:eastAsia="Arial" w:hAnsi="Arial"/>
                <w:sz w:val="14"/>
                <w:szCs w:val="14"/>
                <w:color w:val="auto"/>
              </w:rPr>
              <w:t>0</w:t>
            </w: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3,130</w:t>
            </w:r>
          </w:p>
        </w:tc>
        <w:tc>
          <w:tcPr>
            <w:tcW w:w="20" w:type="dxa"/>
            <w:vAlign w:val="bottom"/>
          </w:tcPr>
          <w:p>
            <w:pPr>
              <w:spacing w:after="0"/>
              <w:rPr>
                <w:sz w:val="17"/>
                <w:szCs w:val="17"/>
                <w:color w:val="auto"/>
              </w:rPr>
            </w:pPr>
          </w:p>
        </w:tc>
      </w:tr>
      <w:tr>
        <w:trPr>
          <w:trHeight w:val="22"/>
        </w:trPr>
        <w:tc>
          <w:tcPr>
            <w:tcW w:w="9380" w:type="dxa"/>
            <w:vAlign w:val="bottom"/>
            <w:tcBorders>
              <w:bottom w:val="single" w:sz="8" w:color="959595"/>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17"/>
        </w:trPr>
        <w:tc>
          <w:tcPr>
            <w:tcW w:w="9380" w:type="dxa"/>
            <w:vAlign w:val="bottom"/>
            <w:tcBorders>
              <w:bottom w:val="single" w:sz="8" w:color="959595"/>
              <w:right w:val="single" w:sz="8" w:color="auto"/>
            </w:tcBorders>
          </w:tcPr>
          <w:p>
            <w:pPr>
              <w:ind w:left="40"/>
              <w:spacing w:after="0"/>
              <w:rPr>
                <w:sz w:val="20"/>
                <w:szCs w:val="20"/>
                <w:color w:val="auto"/>
              </w:rPr>
            </w:pPr>
            <w:r>
              <w:rPr>
                <w:rFonts w:ascii="Arial" w:cs="Arial" w:eastAsia="Arial" w:hAnsi="Arial"/>
                <w:sz w:val="14"/>
                <w:szCs w:val="14"/>
                <w:b w:val="1"/>
                <w:bCs w:val="1"/>
                <w:color w:val="auto"/>
              </w:rPr>
              <w:t>Performance Cash (Non-GAAP)</w:t>
            </w:r>
          </w:p>
        </w:tc>
        <w:tc>
          <w:tcPr>
            <w:tcW w:w="104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4"/>
                <w:szCs w:val="14"/>
                <w:b w:val="1"/>
                <w:bCs w:val="1"/>
                <w:color w:val="auto"/>
              </w:rPr>
              <w:t>3,138</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17,933</w:t>
            </w:r>
          </w:p>
        </w:tc>
        <w:tc>
          <w:tcPr>
            <w:tcW w:w="20" w:type="dxa"/>
            <w:vAlign w:val="bottom"/>
            <w:tcBorders>
              <w:bottom w:val="single" w:sz="8" w:color="auto"/>
            </w:tcBorders>
            <w:shd w:val="clear" w:color="auto" w:fill="000000"/>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668655</wp:posOffset>
            </wp:positionV>
            <wp:extent cx="1440815" cy="3257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44081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808080"/>
        </w:rPr>
        <w:t>84</w:t>
      </w:r>
    </w:p>
    <w:p>
      <w:pPr>
        <w:sectPr>
          <w:pgSz w:w="11900" w:h="16838" w:orient="portrait"/>
          <w:cols w:equalWidth="0" w:num="1">
            <w:col w:w="11440"/>
          </w:cols>
          <w:pgMar w:left="240" w:top="278" w:right="219" w:bottom="1440" w:gutter="0" w:footer="0" w:header="0"/>
        </w:sectPr>
      </w:pPr>
    </w:p>
    <w:bookmarkStart w:id="87" w:name="page88"/>
    <w:bookmarkEnd w:id="87"/>
    <w:p>
      <w:pPr>
        <w:jc w:val="right"/>
        <w:spacing w:after="0"/>
        <w:rPr>
          <w:sz w:val="20"/>
          <w:szCs w:val="20"/>
          <w:color w:val="auto"/>
        </w:rPr>
      </w:pPr>
      <w:r>
        <w:rPr>
          <w:rFonts w:ascii="Arial" w:cs="Arial" w:eastAsia="Arial" w:hAnsi="Arial"/>
          <w:sz w:val="15"/>
          <w:szCs w:val="15"/>
          <w:color w:val="003478"/>
        </w:rPr>
        <w:t>Additional Information and Other Matters</w:t>
      </w:r>
    </w:p>
    <w:p>
      <w:pPr>
        <w:spacing w:after="0" w:line="347" w:lineRule="exact"/>
        <w:rPr>
          <w:sz w:val="20"/>
          <w:szCs w:val="20"/>
          <w:color w:val="auto"/>
        </w:rPr>
      </w:pPr>
    </w:p>
    <w:p>
      <w:pPr>
        <w:spacing w:after="0"/>
        <w:rPr>
          <w:sz w:val="20"/>
          <w:szCs w:val="20"/>
          <w:color w:val="auto"/>
        </w:rPr>
      </w:pPr>
      <w:r>
        <w:rPr>
          <w:rFonts w:ascii="Arial" w:cs="Arial" w:eastAsia="Arial" w:hAnsi="Arial"/>
          <w:sz w:val="25"/>
          <w:szCs w:val="25"/>
          <w:color w:val="475C90"/>
        </w:rPr>
        <w:t>Disclosure Regarding Forward-Looking Statements</w:t>
      </w:r>
    </w:p>
    <w:p>
      <w:pPr>
        <w:spacing w:after="0" w:line="103"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This Proxy Statement contains statements that, to the extent they are not recitations of historical fact, constitute forward-looking statements within the meaning of the federal securities laws, and are based on Lockheed Martin’s current expectations and assumptions. The words “believe,” “estimate,” “anticipate,” “project,” “intend,” “expect,” “plan,” “outlook,” “scheduled,” “forecast” and similar expressions are intended to identify forward-looking statements. These statements are not guarantees of future performance and are subject to risks and uncertainties. Actual results may differ materially due to factors such as:</w:t>
      </w:r>
    </w:p>
    <w:p>
      <w:pPr>
        <w:sectPr>
          <w:pgSz w:w="11900" w:h="16838" w:orient="portrait"/>
          <w:cols w:equalWidth="0" w:num="1">
            <w:col w:w="11420"/>
          </w:cols>
          <w:pgMar w:left="240" w:top="278" w:right="239" w:bottom="1440" w:gutter="0" w:footer="0" w:header="0"/>
        </w:sectPr>
      </w:pPr>
    </w:p>
    <w:p>
      <w:pPr>
        <w:spacing w:after="0" w:line="117" w:lineRule="exact"/>
        <w:rPr>
          <w:sz w:val="20"/>
          <w:szCs w:val="20"/>
          <w:color w:val="auto"/>
        </w:rPr>
      </w:pPr>
    </w:p>
    <w:p>
      <w:pPr>
        <w:ind w:left="280" w:right="80" w:hanging="164"/>
        <w:spacing w:after="0" w:line="256" w:lineRule="auto"/>
        <w:tabs>
          <w:tab w:leader="none" w:pos="334"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Corporation’s reliance on contracts with the U.S. Government, which are conditioned upon the availability of funding and can be terminated by the U.S. Government for convenience, and the corporation’s ability to negotiate favorable contract terms;</w:t>
      </w:r>
    </w:p>
    <w:p>
      <w:pPr>
        <w:ind w:left="280" w:hanging="164"/>
        <w:spacing w:after="0" w:line="251" w:lineRule="auto"/>
        <w:tabs>
          <w:tab w:leader="none" w:pos="334" w:val="left"/>
        </w:tabs>
        <w:numPr>
          <w:ilvl w:val="0"/>
          <w:numId w:val="101"/>
        </w:numPr>
        <w:rPr>
          <w:rFonts w:ascii="Arial" w:cs="Arial" w:eastAsia="Arial" w:hAnsi="Arial"/>
          <w:sz w:val="16"/>
          <w:szCs w:val="16"/>
          <w:color w:val="auto"/>
        </w:rPr>
      </w:pPr>
      <w:r>
        <w:rPr>
          <w:rFonts w:ascii="Arial" w:cs="Arial" w:eastAsia="Arial" w:hAnsi="Arial"/>
          <w:sz w:val="16"/>
          <w:szCs w:val="16"/>
          <w:color w:val="auto"/>
        </w:rPr>
        <w:t>budget uncertainty; affordability initiatives; the risk of future sequestration under the Budget Control Act of 2011 or other budget cuts; and the impact of government shutdowns, including the possibility that Department of Defense (DoD) funds are diverted or the risk of nonpayment if we work on unfunded contracts to seek to maintain their projected cost and schedule profiles during any shutdown, and the existing delay in obtaining export licenses as a result of the recently-ended shutdown;</w:t>
      </w:r>
    </w:p>
    <w:p>
      <w:pPr>
        <w:spacing w:after="0" w:line="3" w:lineRule="exact"/>
        <w:rPr>
          <w:rFonts w:ascii="Arial" w:cs="Arial" w:eastAsia="Arial" w:hAnsi="Arial"/>
          <w:sz w:val="16"/>
          <w:szCs w:val="16"/>
          <w:color w:val="auto"/>
        </w:rPr>
      </w:pPr>
    </w:p>
    <w:p>
      <w:pPr>
        <w:ind w:left="280" w:right="20" w:hanging="164"/>
        <w:spacing w:after="0" w:line="258" w:lineRule="auto"/>
        <w:tabs>
          <w:tab w:leader="none" w:pos="334" w:val="left"/>
        </w:tabs>
        <w:numPr>
          <w:ilvl w:val="0"/>
          <w:numId w:val="101"/>
        </w:numPr>
        <w:rPr>
          <w:rFonts w:ascii="Arial" w:cs="Arial" w:eastAsia="Arial" w:hAnsi="Arial"/>
          <w:sz w:val="16"/>
          <w:szCs w:val="16"/>
          <w:color w:val="auto"/>
        </w:rPr>
      </w:pPr>
      <w:r>
        <w:rPr>
          <w:rFonts w:ascii="Arial" w:cs="Arial" w:eastAsia="Arial" w:hAnsi="Arial"/>
          <w:sz w:val="16"/>
          <w:szCs w:val="16"/>
          <w:color w:val="auto"/>
        </w:rPr>
        <w:t>risks related to the development, production, sustainment, performance, schedule, cost and requirements of complex and technologically advanced programs including the corporation’s largest, the F-35 program;</w:t>
      </w:r>
    </w:p>
    <w:p>
      <w:pPr>
        <w:ind w:left="280" w:right="60" w:hanging="164"/>
        <w:spacing w:after="0" w:line="253" w:lineRule="auto"/>
        <w:tabs>
          <w:tab w:leader="none" w:pos="334" w:val="left"/>
        </w:tabs>
        <w:numPr>
          <w:ilvl w:val="0"/>
          <w:numId w:val="101"/>
        </w:numPr>
        <w:rPr>
          <w:rFonts w:ascii="Arial" w:cs="Arial" w:eastAsia="Arial" w:hAnsi="Arial"/>
          <w:sz w:val="16"/>
          <w:szCs w:val="16"/>
          <w:color w:val="auto"/>
        </w:rPr>
      </w:pPr>
      <w:r>
        <w:rPr>
          <w:rFonts w:ascii="Arial" w:cs="Arial" w:eastAsia="Arial" w:hAnsi="Arial"/>
          <w:sz w:val="16"/>
          <w:szCs w:val="16"/>
          <w:color w:val="auto"/>
        </w:rPr>
        <w:t>economic, industry, business and political conditions including their effects on governmental policy (including Congressional actions to prevent the sale or delivery of our products, such as F-35 aircraft to Turkey), or other trade policies or sanctions (including potential sanctions on the Kingdom of Saudi Arabia);</w:t>
      </w:r>
    </w:p>
    <w:p>
      <w:pPr>
        <w:spacing w:after="0" w:line="2" w:lineRule="exact"/>
        <w:rPr>
          <w:rFonts w:ascii="Arial" w:cs="Arial" w:eastAsia="Arial" w:hAnsi="Arial"/>
          <w:sz w:val="16"/>
          <w:szCs w:val="16"/>
          <w:color w:val="auto"/>
        </w:rPr>
      </w:pPr>
    </w:p>
    <w:p>
      <w:pPr>
        <w:ind w:left="280" w:right="20" w:hanging="164"/>
        <w:spacing w:after="0" w:line="251" w:lineRule="auto"/>
        <w:tabs>
          <w:tab w:leader="none" w:pos="334"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Corporation's success expanding into and doing business in adjacent markets and internationally; the differing risks posed by international sales, including those involving commercial relationships with unfamiliar customers and different cultures; its ability to recover investments, which is frequently dependent upon the successful operation of ventures that it does not control; and changes in foreign national priorities, and foreign government budgets;</w:t>
      </w:r>
    </w:p>
    <w:p>
      <w:pPr>
        <w:spacing w:after="0" w:line="3" w:lineRule="exact"/>
        <w:rPr>
          <w:rFonts w:ascii="Arial" w:cs="Arial" w:eastAsia="Arial" w:hAnsi="Arial"/>
          <w:sz w:val="16"/>
          <w:szCs w:val="16"/>
          <w:color w:val="auto"/>
        </w:rPr>
      </w:pPr>
    </w:p>
    <w:p>
      <w:pPr>
        <w:ind w:left="280" w:right="20" w:hanging="164"/>
        <w:spacing w:after="0" w:line="255" w:lineRule="auto"/>
        <w:tabs>
          <w:tab w:leader="none" w:pos="334"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competitive environment for the Corporation’s products and services, including increased pricing pressures, aggressive pricing in the absence of cost realism evaluation criteria, competition from outside the aerospace and defense industry, and increased bid protests;</w:t>
      </w:r>
    </w:p>
    <w:p>
      <w:pPr>
        <w:spacing w:after="0" w:line="1" w:lineRule="exact"/>
        <w:rPr>
          <w:rFonts w:ascii="Arial" w:cs="Arial" w:eastAsia="Arial" w:hAnsi="Arial"/>
          <w:sz w:val="16"/>
          <w:szCs w:val="16"/>
          <w:color w:val="auto"/>
        </w:rPr>
      </w:pPr>
    </w:p>
    <w:p>
      <w:pPr>
        <w:ind w:left="280" w:right="400" w:hanging="164"/>
        <w:spacing w:after="0" w:line="264" w:lineRule="auto"/>
        <w:tabs>
          <w:tab w:leader="none" w:pos="334" w:val="left"/>
        </w:tabs>
        <w:numPr>
          <w:ilvl w:val="0"/>
          <w:numId w:val="101"/>
        </w:numPr>
        <w:rPr>
          <w:rFonts w:ascii="Arial" w:cs="Arial" w:eastAsia="Arial" w:hAnsi="Arial"/>
          <w:sz w:val="16"/>
          <w:szCs w:val="16"/>
          <w:color w:val="auto"/>
        </w:rPr>
      </w:pPr>
      <w:r>
        <w:rPr>
          <w:rFonts w:ascii="Arial" w:cs="Arial" w:eastAsia="Arial" w:hAnsi="Arial"/>
          <w:sz w:val="16"/>
          <w:szCs w:val="16"/>
          <w:color w:val="auto"/>
        </w:rPr>
        <w:t>planned production rates for significant programs; compliance with stringent performance and reliability standards; materials availability;</w:t>
      </w:r>
    </w:p>
    <w:p>
      <w:pPr>
        <w:ind w:left="280" w:right="420" w:hanging="164"/>
        <w:spacing w:after="0" w:line="264" w:lineRule="auto"/>
        <w:tabs>
          <w:tab w:leader="none" w:pos="334"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performance and financial viability of key suppliers, teammates, ventures, venture partners, subcontractors and customers;</w:t>
      </w:r>
    </w:p>
    <w:p>
      <w:pPr>
        <w:ind w:left="340" w:hanging="224"/>
        <w:spacing w:after="0"/>
        <w:tabs>
          <w:tab w:leader="none" w:pos="3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timing and customer acceptance of product deliveries;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left="159" w:right="180" w:hanging="159"/>
        <w:spacing w:after="0" w:line="259" w:lineRule="auto"/>
        <w:tabs>
          <w:tab w:leader="none" w:pos="213"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Corporation’s ability to continue to innovate and develop new products and to attract and retain key personnel and transfer knowledge to new personnel; the impact of work stoppages or other labor disruptions;</w:t>
      </w:r>
    </w:p>
    <w:p>
      <w:pPr>
        <w:spacing w:after="0" w:line="1" w:lineRule="exact"/>
        <w:rPr>
          <w:rFonts w:ascii="Arial" w:cs="Arial" w:eastAsia="Arial" w:hAnsi="Arial"/>
          <w:sz w:val="16"/>
          <w:szCs w:val="16"/>
          <w:color w:val="auto"/>
        </w:rPr>
      </w:pPr>
    </w:p>
    <w:p>
      <w:pPr>
        <w:ind w:left="159" w:right="480" w:hanging="159"/>
        <w:spacing w:after="0" w:line="264" w:lineRule="auto"/>
        <w:tabs>
          <w:tab w:leader="none" w:pos="213"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impact of cyber or other security threats or other disruptions to the Corporation’s businesses;</w:t>
      </w:r>
    </w:p>
    <w:p>
      <w:pPr>
        <w:ind w:left="159" w:right="460" w:hanging="159"/>
        <w:spacing w:after="0" w:line="258" w:lineRule="auto"/>
        <w:tabs>
          <w:tab w:leader="none" w:pos="213"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Corporation’s ability to implement and continue and the timing and impact of capitalization changes such as share repurchases, dividend payments, and pension funding;</w:t>
      </w:r>
    </w:p>
    <w:p>
      <w:pPr>
        <w:ind w:left="159" w:right="320" w:hanging="159"/>
        <w:spacing w:after="0" w:line="264" w:lineRule="auto"/>
        <w:tabs>
          <w:tab w:leader="none" w:pos="213"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Corporation’s ability to recover certain costs under U.S. Government contracts and changes in contract mix;</w:t>
      </w:r>
    </w:p>
    <w:p>
      <w:pPr>
        <w:ind w:left="219" w:hanging="219"/>
        <w:spacing w:after="0"/>
        <w:tabs>
          <w:tab w:leader="none" w:pos="219"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accuracy of the Corporation’s estimates and projections;</w:t>
      </w:r>
    </w:p>
    <w:p>
      <w:pPr>
        <w:spacing w:after="0" w:line="32" w:lineRule="exact"/>
        <w:rPr>
          <w:rFonts w:ascii="Arial" w:cs="Arial" w:eastAsia="Arial" w:hAnsi="Arial"/>
          <w:sz w:val="16"/>
          <w:szCs w:val="16"/>
          <w:color w:val="auto"/>
        </w:rPr>
      </w:pPr>
    </w:p>
    <w:p>
      <w:pPr>
        <w:jc w:val="both"/>
        <w:ind w:left="159" w:right="40" w:hanging="159"/>
        <w:spacing w:after="0" w:line="258" w:lineRule="auto"/>
        <w:tabs>
          <w:tab w:leader="none" w:pos="213" w:val="left"/>
        </w:tabs>
        <w:numPr>
          <w:ilvl w:val="0"/>
          <w:numId w:val="102"/>
        </w:numPr>
        <w:rPr>
          <w:rFonts w:ascii="Arial" w:cs="Arial" w:eastAsia="Arial" w:hAnsi="Arial"/>
          <w:sz w:val="16"/>
          <w:szCs w:val="16"/>
          <w:color w:val="auto"/>
        </w:rPr>
      </w:pPr>
      <w:r>
        <w:rPr>
          <w:rFonts w:ascii="Arial" w:cs="Arial" w:eastAsia="Arial" w:hAnsi="Arial"/>
          <w:sz w:val="16"/>
          <w:szCs w:val="16"/>
          <w:color w:val="auto"/>
        </w:rPr>
        <w:t>movements in interest rates and other changes that may affect pension plan assumptions, equity, the level of the FAS/CAS adjustment and actual returns on pension plan assets;</w:t>
      </w:r>
    </w:p>
    <w:p>
      <w:pPr>
        <w:ind w:left="159" w:right="280" w:hanging="159"/>
        <w:spacing w:after="0" w:line="255" w:lineRule="auto"/>
        <w:tabs>
          <w:tab w:leader="none" w:pos="213" w:val="left"/>
        </w:tabs>
        <w:numPr>
          <w:ilvl w:val="0"/>
          <w:numId w:val="102"/>
        </w:numPr>
        <w:rPr>
          <w:rFonts w:ascii="Arial" w:cs="Arial" w:eastAsia="Arial" w:hAnsi="Arial"/>
          <w:sz w:val="16"/>
          <w:szCs w:val="16"/>
          <w:color w:val="auto"/>
        </w:rPr>
      </w:pPr>
      <w:r>
        <w:rPr>
          <w:rFonts w:ascii="Arial" w:cs="Arial" w:eastAsia="Arial" w:hAnsi="Arial"/>
          <w:sz w:val="16"/>
          <w:szCs w:val="16"/>
          <w:color w:val="auto"/>
        </w:rPr>
        <w:t>realizing the anticipated benefits of acquisitions or divestitures, ventures, teaming arrangements or internal reorganizations, and the Corporation’s efforts to increase the efficiency of its operations and improve the affordability of its products and services;</w:t>
      </w:r>
    </w:p>
    <w:p>
      <w:pPr>
        <w:spacing w:after="0" w:line="1" w:lineRule="exact"/>
        <w:rPr>
          <w:rFonts w:ascii="Arial" w:cs="Arial" w:eastAsia="Arial" w:hAnsi="Arial"/>
          <w:sz w:val="16"/>
          <w:szCs w:val="16"/>
          <w:color w:val="auto"/>
        </w:rPr>
      </w:pPr>
    </w:p>
    <w:p>
      <w:pPr>
        <w:ind w:left="159" w:right="40" w:hanging="159"/>
        <w:spacing w:after="0" w:line="252" w:lineRule="auto"/>
        <w:tabs>
          <w:tab w:leader="none" w:pos="213" w:val="left"/>
        </w:tabs>
        <w:numPr>
          <w:ilvl w:val="0"/>
          <w:numId w:val="102"/>
        </w:numPr>
        <w:rPr>
          <w:rFonts w:ascii="Arial" w:cs="Arial" w:eastAsia="Arial" w:hAnsi="Arial"/>
          <w:sz w:val="16"/>
          <w:szCs w:val="16"/>
          <w:color w:val="auto"/>
        </w:rPr>
      </w:pPr>
      <w:r>
        <w:rPr>
          <w:rFonts w:ascii="Arial" w:cs="Arial" w:eastAsia="Arial" w:hAnsi="Arial"/>
          <w:sz w:val="16"/>
          <w:szCs w:val="16"/>
          <w:color w:val="auto"/>
        </w:rPr>
        <w:t>risk of an impairment of goodwill and intangible assets, investments or other long-term assets, including the potential impairment of goodwill, intangible assets and inventory recorded as a result of the acquisition of the Sikorsky business and the potential further impairment of its equity investment in Advanced Military Maintenance, Repair and Overhaul Center LLC (AMMROC);</w:t>
      </w:r>
    </w:p>
    <w:p>
      <w:pPr>
        <w:spacing w:after="0" w:line="2" w:lineRule="exact"/>
        <w:rPr>
          <w:rFonts w:ascii="Arial" w:cs="Arial" w:eastAsia="Arial" w:hAnsi="Arial"/>
          <w:sz w:val="16"/>
          <w:szCs w:val="16"/>
          <w:color w:val="auto"/>
        </w:rPr>
      </w:pPr>
    </w:p>
    <w:p>
      <w:pPr>
        <w:ind w:left="219" w:hanging="219"/>
        <w:spacing w:after="0"/>
        <w:tabs>
          <w:tab w:leader="none" w:pos="219"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adequacy of the Corporation’s insurance and indemnities;</w:t>
      </w:r>
    </w:p>
    <w:p>
      <w:pPr>
        <w:spacing w:after="0" w:line="32" w:lineRule="exact"/>
        <w:rPr>
          <w:rFonts w:ascii="Arial" w:cs="Arial" w:eastAsia="Arial" w:hAnsi="Arial"/>
          <w:sz w:val="16"/>
          <w:szCs w:val="16"/>
          <w:color w:val="auto"/>
        </w:rPr>
      </w:pPr>
    </w:p>
    <w:p>
      <w:pPr>
        <w:ind w:left="159" w:right="80" w:hanging="159"/>
        <w:spacing w:after="0" w:line="251" w:lineRule="auto"/>
        <w:tabs>
          <w:tab w:leader="none" w:pos="213"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effect of changes in (or in the interpretation of) procurement and other regulations and policies affecting the Corporation's industry, including export of our products from the U.S. and other countries, cost allowability or recovery, aggressive government positions with respect to the use and ownership of intellectual property and potential changes to the DoD’s acquisition regulations relating to progress payments and performance-based payments;</w:t>
      </w:r>
    </w:p>
    <w:p>
      <w:pPr>
        <w:spacing w:after="0" w:line="3" w:lineRule="exact"/>
        <w:rPr>
          <w:rFonts w:ascii="Arial" w:cs="Arial" w:eastAsia="Arial" w:hAnsi="Arial"/>
          <w:sz w:val="16"/>
          <w:szCs w:val="16"/>
          <w:color w:val="auto"/>
        </w:rPr>
      </w:pPr>
    </w:p>
    <w:p>
      <w:pPr>
        <w:ind w:left="219" w:hanging="219"/>
        <w:spacing w:after="0"/>
        <w:tabs>
          <w:tab w:leader="none" w:pos="219"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effect of changes in accounting, taxation, or export regulations; and</w:t>
      </w:r>
    </w:p>
    <w:p>
      <w:pPr>
        <w:spacing w:after="0" w:line="32" w:lineRule="exact"/>
        <w:rPr>
          <w:rFonts w:ascii="Arial" w:cs="Arial" w:eastAsia="Arial" w:hAnsi="Arial"/>
          <w:sz w:val="16"/>
          <w:szCs w:val="16"/>
          <w:color w:val="auto"/>
        </w:rPr>
      </w:pPr>
    </w:p>
    <w:p>
      <w:pPr>
        <w:ind w:left="159" w:right="160" w:hanging="159"/>
        <w:spacing w:after="0" w:line="253" w:lineRule="auto"/>
        <w:tabs>
          <w:tab w:leader="none" w:pos="213"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outcome of legal proceedings, bid protests, environmental remediation efforts, government investigations or government allegations that the Corporation has failed to comply with law, other contingencies and U.S. Government identification of deficiencies in the Corporation’s business systems.</w:t>
      </w:r>
    </w:p>
    <w:p>
      <w:pPr>
        <w:spacing w:after="0" w:line="3" w:lineRule="exact"/>
        <w:rPr>
          <w:sz w:val="20"/>
          <w:szCs w:val="20"/>
          <w:color w:val="auto"/>
        </w:rPr>
      </w:pPr>
    </w:p>
    <w:p>
      <w:pPr>
        <w:sectPr>
          <w:pgSz w:w="11900" w:h="16838" w:orient="portrait"/>
          <w:cols w:equalWidth="0" w:num="2">
            <w:col w:w="5580" w:space="141"/>
            <w:col w:w="5699"/>
          </w:cols>
          <w:pgMar w:left="240" w:top="278" w:right="239" w:bottom="1440" w:gutter="0" w:footer="0" w:header="0"/>
          <w:type w:val="continuous"/>
        </w:sectPr>
      </w:pPr>
    </w:p>
    <w:p>
      <w:pPr>
        <w:ind w:right="40"/>
        <w:spacing w:after="0" w:line="255" w:lineRule="auto"/>
        <w:rPr>
          <w:sz w:val="20"/>
          <w:szCs w:val="20"/>
          <w:color w:val="auto"/>
        </w:rPr>
      </w:pPr>
      <w:r>
        <w:rPr>
          <w:rFonts w:ascii="Arial" w:cs="Arial" w:eastAsia="Arial" w:hAnsi="Arial"/>
          <w:sz w:val="16"/>
          <w:szCs w:val="16"/>
          <w:color w:val="auto"/>
        </w:rPr>
        <w:t xml:space="preserve">These are only some of the factors that may affect the forward-looking statements contained in this Proxy Statement. For a discussion identifying additional important factors that could cause actual results to vary materially from those anticipated in the forward-looking statements, see the Corporation’s filings with the SEC including, but not limited to, “Management’s Discussion and Analysis of Financial Condition and Results of Operations” and “Risk Factors” in the Corporation’s Annual Report on Form 10-K for the year ended Dec. 31, 2018 and subsequent quarterly reports on Form 10-Q. The Corporation’s filings may be accessed through the Investor Relations page of its website, </w:t>
      </w:r>
      <w:r>
        <w:rPr>
          <w:rFonts w:ascii="Arial" w:cs="Arial" w:eastAsia="Arial" w:hAnsi="Arial"/>
          <w:sz w:val="16"/>
          <w:szCs w:val="16"/>
          <w:i w:val="1"/>
          <w:iCs w:val="1"/>
          <w:color w:val="auto"/>
        </w:rPr>
        <w:t>www.lockheedmartin.com/investor</w:t>
      </w:r>
      <w:r>
        <w:rPr>
          <w:rFonts w:ascii="Arial" w:cs="Arial" w:eastAsia="Arial" w:hAnsi="Arial"/>
          <w:sz w:val="16"/>
          <w:szCs w:val="16"/>
          <w:color w:val="auto"/>
        </w:rPr>
        <w:t xml:space="preserve">, or through the website maintained by the SEC at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184"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The Corporation’s actual financial results likely will be different from those projected due to the inherent nature of projections. Given these uncertainties, forward-looking statements should not be relied on in making investment decisions. The forward-looking statements contained in this Proxy Statement speak only as of the date of its filing. Except where required by applicable law, the Corporation expressly disclaims a duty to provide updates to forward-looking statements after the date of this Proxy Statement to reflect subsequent events, changed circumstances, changes in expectations, or the estimates and assumptions associated with them. The forward-looking statements in this Proxy Statement are intended to be subject to the safe harbor protection provided by the federal securities laws.</w:t>
      </w:r>
    </w:p>
    <w:p>
      <w:pPr>
        <w:spacing w:after="0" w:line="359" w:lineRule="exact"/>
        <w:rPr>
          <w:sz w:val="20"/>
          <w:szCs w:val="20"/>
          <w:color w:val="auto"/>
        </w:rPr>
      </w:pPr>
    </w:p>
    <w:p>
      <w:pPr>
        <w:ind w:left="40"/>
        <w:spacing w:after="0"/>
        <w:tabs>
          <w:tab w:leader="none" w:pos="9420" w:val="left"/>
          <w:tab w:leader="none" w:pos="1122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2019 Proxy Statement</w:t>
      </w:r>
      <w:r>
        <w:rPr>
          <w:sz w:val="20"/>
          <w:szCs w:val="20"/>
          <w:color w:val="auto"/>
        </w:rPr>
        <w:tab/>
      </w:r>
      <w:r>
        <w:rPr>
          <w:rFonts w:ascii="Arial" w:cs="Arial" w:eastAsia="Arial" w:hAnsi="Arial"/>
          <w:sz w:val="14"/>
          <w:szCs w:val="14"/>
          <w:b w:val="1"/>
          <w:bCs w:val="1"/>
          <w:color w:val="808080"/>
        </w:rPr>
        <w:t>85</w:t>
      </w:r>
    </w:p>
    <w:p>
      <w:pPr>
        <w:sectPr>
          <w:pgSz w:w="11900" w:h="16838" w:orient="portrait"/>
          <w:cols w:equalWidth="0" w:num="1">
            <w:col w:w="11420"/>
          </w:cols>
          <w:pgMar w:left="240" w:top="278" w:right="239" w:bottom="1440" w:gutter="0" w:footer="0" w:header="0"/>
          <w:type w:val="continuous"/>
        </w:sectPr>
      </w:pPr>
    </w:p>
    <w:bookmarkStart w:id="88" w:name="page89"/>
    <w:bookmarkEnd w:id="8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2813050" cy="5918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clrChange>
                        <a:clrFrom>
                          <a:srgbClr val="FFFFFF"/>
                        </a:clrFrom>
                        <a:clrTo>
                          <a:srgbClr val="FFFFFF">
                            <a:alpha val="0"/>
                          </a:srgbClr>
                        </a:clrTo>
                      </a:clrChange>
                      <a:extLst>
                        <a:ext uri="{28A0092B-C50C-407E-A947-70E740481C1C}"/>
                      </a:extLst>
                    </a:blip>
                    <a:srcRect/>
                    <a:stretch>
                      <a:fillRect/>
                    </a:stretch>
                  </pic:blipFill>
                  <pic:spPr bwMode="auto">
                    <a:xfrm>
                      <a:off x="0" y="0"/>
                      <a:ext cx="2813050" cy="59182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5"/>
          <w:szCs w:val="25"/>
          <w:color w:val="475C90"/>
        </w:rPr>
        <w:t>JOIN US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265430</wp:posOffset>
            </wp:positionV>
            <wp:extent cx="342900" cy="3429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42900" cy="342900"/>
                    </a:xfrm>
                    <a:prstGeom prst="rect">
                      <a:avLst/>
                    </a:prstGeom>
                    <a:noFill/>
                  </pic:spPr>
                </pic:pic>
              </a:graphicData>
            </a:graphic>
          </wp:anchor>
        </w:drawing>
        <w:drawing>
          <wp:anchor simplePos="0" relativeHeight="251657728" behindDoc="1" locked="0" layoutInCell="0" allowOverlap="1">
            <wp:simplePos x="0" y="0"/>
            <wp:positionH relativeFrom="column">
              <wp:posOffset>3769995</wp:posOffset>
            </wp:positionH>
            <wp:positionV relativeFrom="paragraph">
              <wp:posOffset>265430</wp:posOffset>
            </wp:positionV>
            <wp:extent cx="240030" cy="3600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40030" cy="36004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840"/>
        <w:spacing w:after="0"/>
        <w:tabs>
          <w:tab w:leader="none" w:pos="6520" w:val="left"/>
        </w:tabs>
        <w:rPr>
          <w:sz w:val="20"/>
          <w:szCs w:val="20"/>
          <w:color w:val="auto"/>
        </w:rPr>
      </w:pPr>
      <w:r>
        <w:rPr>
          <w:rFonts w:ascii="Arial" w:cs="Arial" w:eastAsia="Arial" w:hAnsi="Arial"/>
          <w:sz w:val="17"/>
          <w:szCs w:val="17"/>
          <w:b w:val="1"/>
          <w:bCs w:val="1"/>
          <w:color w:val="012E6C"/>
        </w:rPr>
        <w:t>Lockheed Martin Center for</w:t>
      </w:r>
      <w:r>
        <w:rPr>
          <w:sz w:val="20"/>
          <w:szCs w:val="20"/>
          <w:color w:val="auto"/>
        </w:rPr>
        <w:tab/>
      </w:r>
      <w:r>
        <w:rPr>
          <w:rFonts w:ascii="Arial" w:cs="Arial" w:eastAsia="Arial" w:hAnsi="Arial"/>
          <w:sz w:val="17"/>
          <w:szCs w:val="17"/>
          <w:b w:val="1"/>
          <w:bCs w:val="1"/>
          <w:color w:val="012E6C"/>
        </w:rPr>
        <w:t>Parking Lot</w:t>
      </w:r>
    </w:p>
    <w:p>
      <w:pPr>
        <w:spacing w:after="0" w:line="11" w:lineRule="exact"/>
        <w:rPr>
          <w:sz w:val="20"/>
          <w:szCs w:val="20"/>
          <w:color w:val="auto"/>
        </w:rPr>
      </w:pPr>
    </w:p>
    <w:p>
      <w:pPr>
        <w:ind w:left="840"/>
        <w:spacing w:after="0"/>
        <w:tabs>
          <w:tab w:leader="none" w:pos="6520" w:val="left"/>
        </w:tabs>
        <w:rPr>
          <w:sz w:val="20"/>
          <w:szCs w:val="20"/>
          <w:color w:val="auto"/>
        </w:rPr>
      </w:pPr>
      <w:r>
        <w:rPr>
          <w:rFonts w:ascii="Arial" w:cs="Arial" w:eastAsia="Arial" w:hAnsi="Arial"/>
          <w:sz w:val="17"/>
          <w:szCs w:val="17"/>
          <w:b w:val="1"/>
          <w:bCs w:val="1"/>
          <w:color w:val="012E6C"/>
        </w:rPr>
        <w:t>Leadership Excellence Auditorium</w:t>
      </w:r>
      <w:r>
        <w:rPr>
          <w:sz w:val="20"/>
          <w:szCs w:val="20"/>
          <w:color w:val="auto"/>
        </w:rPr>
        <w:tab/>
      </w:r>
      <w:r>
        <w:rPr>
          <w:rFonts w:ascii="Arial" w:cs="Arial" w:eastAsia="Arial" w:hAnsi="Arial"/>
          <w:sz w:val="17"/>
          <w:szCs w:val="17"/>
          <w:color w:val="auto"/>
        </w:rPr>
        <w:t>6905 Rockledge Drive</w:t>
      </w:r>
    </w:p>
    <w:p>
      <w:pPr>
        <w:ind w:left="840"/>
        <w:spacing w:after="0" w:line="232" w:lineRule="auto"/>
        <w:tabs>
          <w:tab w:leader="none" w:pos="6520" w:val="left"/>
        </w:tabs>
        <w:rPr>
          <w:sz w:val="20"/>
          <w:szCs w:val="20"/>
          <w:color w:val="auto"/>
        </w:rPr>
      </w:pPr>
      <w:r>
        <w:rPr>
          <w:rFonts w:ascii="Arial" w:cs="Arial" w:eastAsia="Arial" w:hAnsi="Arial"/>
          <w:sz w:val="17"/>
          <w:szCs w:val="17"/>
          <w:color w:val="auto"/>
        </w:rPr>
        <w:t>6777 Rockledge Drive</w:t>
      </w:r>
      <w:r>
        <w:rPr>
          <w:sz w:val="20"/>
          <w:szCs w:val="20"/>
          <w:color w:val="auto"/>
        </w:rPr>
        <w:tab/>
      </w:r>
      <w:r>
        <w:rPr>
          <w:rFonts w:ascii="Arial" w:cs="Arial" w:eastAsia="Arial" w:hAnsi="Arial"/>
          <w:sz w:val="17"/>
          <w:szCs w:val="17"/>
          <w:color w:val="auto"/>
        </w:rPr>
        <w:t>Bethesda, Maryland 20817</w:t>
      </w:r>
    </w:p>
    <w:p>
      <w:pPr>
        <w:ind w:left="840"/>
        <w:spacing w:after="0" w:line="232" w:lineRule="auto"/>
        <w:tabs>
          <w:tab w:leader="none" w:pos="6520" w:val="left"/>
        </w:tabs>
        <w:rPr>
          <w:sz w:val="20"/>
          <w:szCs w:val="20"/>
          <w:color w:val="auto"/>
        </w:rPr>
      </w:pPr>
      <w:r>
        <w:rPr>
          <w:rFonts w:ascii="Arial" w:cs="Arial" w:eastAsia="Arial" w:hAnsi="Arial"/>
          <w:sz w:val="17"/>
          <w:szCs w:val="17"/>
          <w:color w:val="auto"/>
        </w:rPr>
        <w:t>Bethesda, Maryland 20817</w:t>
      </w:r>
      <w:r>
        <w:rPr>
          <w:sz w:val="20"/>
          <w:szCs w:val="20"/>
          <w:color w:val="auto"/>
        </w:rPr>
        <w:tab/>
      </w:r>
      <w:r>
        <w:rPr>
          <w:rFonts w:ascii="Arial" w:cs="Arial" w:eastAsia="Arial" w:hAnsi="Arial"/>
          <w:sz w:val="17"/>
          <w:szCs w:val="17"/>
          <w:b w:val="1"/>
          <w:bCs w:val="1"/>
          <w:color w:val="auto"/>
        </w:rPr>
        <w:t>(Parking will be validated and shuttles will transport</w:t>
      </w:r>
    </w:p>
    <w:p>
      <w:pPr>
        <w:ind w:left="6540"/>
        <w:spacing w:after="0"/>
        <w:rPr>
          <w:sz w:val="20"/>
          <w:szCs w:val="20"/>
          <w:color w:val="auto"/>
        </w:rPr>
      </w:pPr>
      <w:r>
        <w:rPr>
          <w:rFonts w:ascii="Arial" w:cs="Arial" w:eastAsia="Arial" w:hAnsi="Arial"/>
          <w:sz w:val="17"/>
          <w:szCs w:val="17"/>
          <w:b w:val="1"/>
          <w:bCs w:val="1"/>
          <w:color w:val="auto"/>
        </w:rPr>
        <w:t>stockholders to the Auditorium.)</w:t>
      </w:r>
    </w:p>
    <w:p>
      <w:pPr>
        <w:spacing w:after="0" w:line="336"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No parking is available at the Center for Leadership Excellence. If you plan to drive, proceed to the parking lot and a shuttle will take you to the Auditorium. Please plan additional time in your schedule for the shuttle. Shuttle service will begin at 7:15 a.m. The Annual Meeting will begin promptly at 8:00 a.m.</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5"/>
          <w:szCs w:val="25"/>
          <w:color w:val="475C90"/>
        </w:rPr>
        <w:t>DIRECTIONS FROM LOCAL AIRPORTS</w:t>
      </w:r>
    </w:p>
    <w:p>
      <w:pPr>
        <w:sectPr>
          <w:pgSz w:w="11900" w:h="16838" w:orient="portrait"/>
          <w:cols w:equalWidth="0" w:num="1">
            <w:col w:w="11320"/>
          </w:cols>
          <w:pgMar w:left="240" w:top="1440" w:right="339" w:bottom="1440" w:gutter="0" w:footer="0" w:header="0"/>
        </w:sectPr>
      </w:pPr>
    </w:p>
    <w:p>
      <w:pPr>
        <w:spacing w:after="0" w:line="4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From Dulles International Airport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117475</wp:posOffset>
            </wp:positionV>
            <wp:extent cx="214630" cy="3175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14630" cy="317500"/>
                    </a:xfrm>
                    <a:prstGeom prst="rect">
                      <a:avLst/>
                    </a:prstGeom>
                    <a:noFill/>
                  </pic:spPr>
                </pic:pic>
              </a:graphicData>
            </a:graphic>
          </wp:anchor>
        </w:drawing>
      </w:r>
    </w:p>
    <w:p>
      <w:pPr>
        <w:spacing w:after="0" w:line="206" w:lineRule="exact"/>
        <w:rPr>
          <w:sz w:val="20"/>
          <w:szCs w:val="20"/>
          <w:color w:val="auto"/>
        </w:rPr>
      </w:pPr>
    </w:p>
    <w:p>
      <w:pPr>
        <w:ind w:left="920" w:hanging="210"/>
        <w:spacing w:after="0"/>
        <w:tabs>
          <w:tab w:leader="none" w:pos="920" w:val="left"/>
        </w:tabs>
        <w:numPr>
          <w:ilvl w:val="0"/>
          <w:numId w:val="103"/>
        </w:numPr>
        <w:rPr>
          <w:rFonts w:ascii="Arial" w:cs="Arial" w:eastAsia="Arial" w:hAnsi="Arial"/>
          <w:sz w:val="14"/>
          <w:szCs w:val="14"/>
          <w:color w:val="012E6C"/>
        </w:rPr>
      </w:pPr>
      <w:r>
        <w:rPr>
          <w:rFonts w:ascii="Arial" w:cs="Arial" w:eastAsia="Arial" w:hAnsi="Arial"/>
          <w:sz w:val="14"/>
          <w:szCs w:val="14"/>
          <w:color w:val="auto"/>
        </w:rPr>
        <w:t>Dulles Airport Access Road to VA-267 E</w:t>
      </w:r>
    </w:p>
    <w:p>
      <w:pPr>
        <w:spacing w:after="0" w:line="109" w:lineRule="exact"/>
        <w:rPr>
          <w:rFonts w:ascii="Arial" w:cs="Arial" w:eastAsia="Arial" w:hAnsi="Arial"/>
          <w:sz w:val="14"/>
          <w:szCs w:val="14"/>
          <w:color w:val="012E6C"/>
        </w:rPr>
      </w:pPr>
    </w:p>
    <w:p>
      <w:pPr>
        <w:ind w:left="840" w:right="960" w:hanging="130"/>
        <w:spacing w:after="0" w:line="291" w:lineRule="auto"/>
        <w:tabs>
          <w:tab w:leader="none" w:pos="915" w:val="left"/>
        </w:tabs>
        <w:numPr>
          <w:ilvl w:val="0"/>
          <w:numId w:val="103"/>
        </w:numPr>
        <w:rPr>
          <w:rFonts w:ascii="Arial" w:cs="Arial" w:eastAsia="Arial" w:hAnsi="Arial"/>
          <w:sz w:val="14"/>
          <w:szCs w:val="14"/>
          <w:color w:val="012E6C"/>
        </w:rPr>
      </w:pPr>
      <w:r>
        <w:rPr>
          <w:rFonts w:ascii="Arial" w:cs="Arial" w:eastAsia="Arial" w:hAnsi="Arial"/>
          <w:sz w:val="14"/>
          <w:szCs w:val="14"/>
          <w:color w:val="auto"/>
        </w:rPr>
        <w:t>Merge onto I-495 N toward Baltimore/Bethesda</w:t>
      </w:r>
    </w:p>
    <w:p>
      <w:pPr>
        <w:spacing w:after="0" w:line="41" w:lineRule="exact"/>
        <w:rPr>
          <w:rFonts w:ascii="Arial" w:cs="Arial" w:eastAsia="Arial" w:hAnsi="Arial"/>
          <w:sz w:val="14"/>
          <w:szCs w:val="14"/>
          <w:color w:val="012E6C"/>
        </w:rPr>
      </w:pPr>
    </w:p>
    <w:p>
      <w:pPr>
        <w:ind w:left="840" w:right="380" w:hanging="130"/>
        <w:spacing w:after="0" w:line="291" w:lineRule="auto"/>
        <w:tabs>
          <w:tab w:leader="none" w:pos="912" w:val="left"/>
        </w:tabs>
        <w:numPr>
          <w:ilvl w:val="0"/>
          <w:numId w:val="103"/>
        </w:numPr>
        <w:rPr>
          <w:rFonts w:ascii="Arial" w:cs="Arial" w:eastAsia="Arial" w:hAnsi="Arial"/>
          <w:sz w:val="14"/>
          <w:szCs w:val="14"/>
          <w:color w:val="012E6C"/>
        </w:rPr>
      </w:pPr>
      <w:r>
        <w:rPr>
          <w:rFonts w:ascii="Arial" w:cs="Arial" w:eastAsia="Arial" w:hAnsi="Arial"/>
          <w:sz w:val="14"/>
          <w:szCs w:val="14"/>
          <w:color w:val="auto"/>
        </w:rPr>
        <w:t>Take exit 38 for I-270 Spur N toward Rockville/Frederick</w:t>
      </w:r>
    </w:p>
    <w:p>
      <w:pPr>
        <w:spacing w:after="0" w:line="41" w:lineRule="exact"/>
        <w:rPr>
          <w:rFonts w:ascii="Arial" w:cs="Arial" w:eastAsia="Arial" w:hAnsi="Arial"/>
          <w:sz w:val="14"/>
          <w:szCs w:val="14"/>
          <w:color w:val="012E6C"/>
        </w:rPr>
      </w:pPr>
    </w:p>
    <w:p>
      <w:pPr>
        <w:ind w:left="920" w:hanging="210"/>
        <w:spacing w:after="0"/>
        <w:tabs>
          <w:tab w:leader="none" w:pos="920" w:val="left"/>
        </w:tabs>
        <w:numPr>
          <w:ilvl w:val="0"/>
          <w:numId w:val="103"/>
        </w:numPr>
        <w:rPr>
          <w:rFonts w:ascii="Arial" w:cs="Arial" w:eastAsia="Arial" w:hAnsi="Arial"/>
          <w:sz w:val="14"/>
          <w:szCs w:val="14"/>
          <w:color w:val="012E6C"/>
        </w:rPr>
      </w:pPr>
      <w:r>
        <w:rPr>
          <w:rFonts w:ascii="Arial" w:cs="Arial" w:eastAsia="Arial" w:hAnsi="Arial"/>
          <w:sz w:val="14"/>
          <w:szCs w:val="14"/>
          <w:color w:val="auto"/>
        </w:rPr>
        <w:t>Take exit 1 for Democracy Blvd E</w:t>
      </w:r>
    </w:p>
    <w:p>
      <w:pPr>
        <w:spacing w:after="0" w:line="109" w:lineRule="exact"/>
        <w:rPr>
          <w:rFonts w:ascii="Arial" w:cs="Arial" w:eastAsia="Arial" w:hAnsi="Arial"/>
          <w:sz w:val="14"/>
          <w:szCs w:val="14"/>
          <w:color w:val="012E6C"/>
        </w:rPr>
      </w:pPr>
    </w:p>
    <w:p>
      <w:pPr>
        <w:ind w:left="920" w:hanging="210"/>
        <w:spacing w:after="0"/>
        <w:tabs>
          <w:tab w:leader="none" w:pos="920" w:val="left"/>
        </w:tabs>
        <w:numPr>
          <w:ilvl w:val="0"/>
          <w:numId w:val="103"/>
        </w:numPr>
        <w:rPr>
          <w:rFonts w:ascii="Arial" w:cs="Arial" w:eastAsia="Arial" w:hAnsi="Arial"/>
          <w:sz w:val="14"/>
          <w:szCs w:val="14"/>
          <w:color w:val="012E6C"/>
        </w:rPr>
      </w:pPr>
      <w:r>
        <w:rPr>
          <w:rFonts w:ascii="Arial" w:cs="Arial" w:eastAsia="Arial" w:hAnsi="Arial"/>
          <w:sz w:val="14"/>
          <w:szCs w:val="14"/>
          <w:color w:val="auto"/>
        </w:rPr>
        <w:t>Turn left at Fernwood Road</w:t>
      </w:r>
    </w:p>
    <w:p>
      <w:pPr>
        <w:spacing w:after="0" w:line="109" w:lineRule="exact"/>
        <w:rPr>
          <w:rFonts w:ascii="Arial" w:cs="Arial" w:eastAsia="Arial" w:hAnsi="Arial"/>
          <w:sz w:val="14"/>
          <w:szCs w:val="14"/>
          <w:color w:val="012E6C"/>
        </w:rPr>
      </w:pPr>
    </w:p>
    <w:p>
      <w:pPr>
        <w:ind w:left="920" w:hanging="210"/>
        <w:spacing w:after="0"/>
        <w:tabs>
          <w:tab w:leader="none" w:pos="920" w:val="left"/>
        </w:tabs>
        <w:numPr>
          <w:ilvl w:val="0"/>
          <w:numId w:val="103"/>
        </w:numPr>
        <w:rPr>
          <w:rFonts w:ascii="Arial" w:cs="Arial" w:eastAsia="Arial" w:hAnsi="Arial"/>
          <w:sz w:val="14"/>
          <w:szCs w:val="14"/>
          <w:color w:val="012E6C"/>
        </w:rPr>
      </w:pPr>
      <w:r>
        <w:rPr>
          <w:rFonts w:ascii="Arial" w:cs="Arial" w:eastAsia="Arial" w:hAnsi="Arial"/>
          <w:sz w:val="14"/>
          <w:szCs w:val="14"/>
          <w:color w:val="auto"/>
        </w:rPr>
        <w:t>Turn right at Rockledge Drive</w:t>
      </w:r>
    </w:p>
    <w:p>
      <w:pPr>
        <w:spacing w:after="0" w:line="109" w:lineRule="exact"/>
        <w:rPr>
          <w:rFonts w:ascii="Arial" w:cs="Arial" w:eastAsia="Arial" w:hAnsi="Arial"/>
          <w:sz w:val="14"/>
          <w:szCs w:val="14"/>
          <w:color w:val="012E6C"/>
        </w:rPr>
      </w:pPr>
    </w:p>
    <w:p>
      <w:pPr>
        <w:ind w:left="840" w:hanging="130"/>
        <w:spacing w:after="0" w:line="291" w:lineRule="auto"/>
        <w:tabs>
          <w:tab w:leader="none" w:pos="912" w:val="left"/>
        </w:tabs>
        <w:numPr>
          <w:ilvl w:val="0"/>
          <w:numId w:val="103"/>
        </w:numPr>
        <w:rPr>
          <w:rFonts w:ascii="Arial" w:cs="Arial" w:eastAsia="Arial" w:hAnsi="Arial"/>
          <w:sz w:val="14"/>
          <w:szCs w:val="14"/>
          <w:color w:val="012E6C"/>
        </w:rPr>
      </w:pPr>
      <w:r>
        <w:rPr>
          <w:rFonts w:ascii="Arial" w:cs="Arial" w:eastAsia="Arial" w:hAnsi="Arial"/>
          <w:sz w:val="14"/>
          <w:szCs w:val="14"/>
          <w:color w:val="auto"/>
        </w:rPr>
        <w:t>Turn left to Parking Lot at 6905 Rockledge Drive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2075815</wp:posOffset>
            </wp:positionV>
            <wp:extent cx="660400" cy="10121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60400" cy="10121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9"/>
        </w:trPr>
        <w:tc>
          <w:tcPr>
            <w:tcW w:w="3700" w:type="dxa"/>
            <w:vAlign w:val="bottom"/>
          </w:tcPr>
          <w:p>
            <w:pPr>
              <w:spacing w:after="0"/>
              <w:rPr>
                <w:sz w:val="20"/>
                <w:szCs w:val="20"/>
                <w:color w:val="auto"/>
              </w:rPr>
            </w:pPr>
            <w:r>
              <w:rPr>
                <w:rFonts w:ascii="Arial" w:cs="Arial" w:eastAsia="Arial" w:hAnsi="Arial"/>
                <w:sz w:val="16"/>
                <w:szCs w:val="16"/>
                <w:color w:val="auto"/>
              </w:rPr>
              <w:t>From Ronald Reagan National Airport</w:t>
            </w:r>
          </w:p>
        </w:tc>
        <w:tc>
          <w:tcPr>
            <w:tcW w:w="3700" w:type="dxa"/>
            <w:vAlign w:val="bottom"/>
          </w:tcPr>
          <w:p>
            <w:pPr>
              <w:ind w:left="80"/>
              <w:spacing w:after="0"/>
              <w:rPr>
                <w:sz w:val="20"/>
                <w:szCs w:val="20"/>
                <w:color w:val="auto"/>
              </w:rPr>
            </w:pPr>
            <w:r>
              <w:rPr>
                <w:rFonts w:ascii="Arial" w:cs="Arial" w:eastAsia="Arial" w:hAnsi="Arial"/>
                <w:sz w:val="16"/>
                <w:szCs w:val="16"/>
                <w:color w:val="auto"/>
              </w:rPr>
              <w:t>From Baltimore/Washington International Airport</w:t>
            </w:r>
          </w:p>
        </w:tc>
        <w:tc>
          <w:tcPr>
            <w:tcW w:w="0" w:type="dxa"/>
            <w:vAlign w:val="bottom"/>
          </w:tcPr>
          <w:p>
            <w:pPr>
              <w:spacing w:after="0"/>
              <w:rPr>
                <w:sz w:val="1"/>
                <w:szCs w:val="1"/>
                <w:color w:val="auto"/>
              </w:rPr>
            </w:pPr>
          </w:p>
        </w:tc>
      </w:tr>
      <w:tr>
        <w:trPr>
          <w:trHeight w:val="386"/>
        </w:trPr>
        <w:tc>
          <w:tcPr>
            <w:tcW w:w="3700" w:type="dxa"/>
            <w:vAlign w:val="bottom"/>
          </w:tcPr>
          <w:p>
            <w:pPr>
              <w:ind w:left="580"/>
              <w:spacing w:after="0"/>
              <w:rPr>
                <w:sz w:val="20"/>
                <w:szCs w:val="20"/>
                <w:color w:val="auto"/>
              </w:rPr>
            </w:pPr>
            <w:r>
              <w:rPr>
                <w:rFonts w:ascii="Arial" w:cs="Arial" w:eastAsia="Arial" w:hAnsi="Arial"/>
                <w:sz w:val="14"/>
                <w:szCs w:val="14"/>
                <w:color w:val="012E6C"/>
              </w:rPr>
              <w:t xml:space="preserve">•  </w:t>
            </w:r>
            <w:r>
              <w:rPr>
                <w:rFonts w:ascii="Arial" w:cs="Arial" w:eastAsia="Arial" w:hAnsi="Arial"/>
                <w:sz w:val="14"/>
                <w:szCs w:val="14"/>
                <w:color w:val="000000"/>
              </w:rPr>
              <w:t>George Washington Pkwy N</w:t>
            </w:r>
          </w:p>
        </w:tc>
        <w:tc>
          <w:tcPr>
            <w:tcW w:w="3700" w:type="dxa"/>
            <w:vAlign w:val="bottom"/>
          </w:tcPr>
          <w:p>
            <w:pPr>
              <w:ind w:left="620"/>
              <w:spacing w:after="0"/>
              <w:rPr>
                <w:sz w:val="20"/>
                <w:szCs w:val="20"/>
                <w:color w:val="auto"/>
              </w:rPr>
            </w:pPr>
            <w:r>
              <w:rPr>
                <w:rFonts w:ascii="Arial" w:cs="Arial" w:eastAsia="Arial" w:hAnsi="Arial"/>
                <w:sz w:val="14"/>
                <w:szCs w:val="14"/>
                <w:color w:val="012E6C"/>
              </w:rPr>
              <w:t xml:space="preserve">•  </w:t>
            </w:r>
            <w:r>
              <w:rPr>
                <w:rFonts w:ascii="Arial" w:cs="Arial" w:eastAsia="Arial" w:hAnsi="Arial"/>
                <w:sz w:val="14"/>
                <w:szCs w:val="14"/>
                <w:color w:val="000000"/>
              </w:rPr>
              <w:t>I-195 W onto I-95 South towards Washington</w:t>
            </w:r>
          </w:p>
        </w:tc>
        <w:tc>
          <w:tcPr>
            <w:tcW w:w="0" w:type="dxa"/>
            <w:vAlign w:val="bottom"/>
          </w:tcPr>
          <w:p>
            <w:pPr>
              <w:spacing w:after="0"/>
              <w:rPr>
                <w:sz w:val="1"/>
                <w:szCs w:val="1"/>
                <w:color w:val="auto"/>
              </w:rPr>
            </w:pPr>
          </w:p>
        </w:tc>
      </w:tr>
      <w:tr>
        <w:trPr>
          <w:trHeight w:val="238"/>
        </w:trPr>
        <w:tc>
          <w:tcPr>
            <w:tcW w:w="3700" w:type="dxa"/>
            <w:vAlign w:val="bottom"/>
          </w:tcPr>
          <w:p>
            <w:pPr>
              <w:ind w:left="580"/>
              <w:spacing w:after="0"/>
              <w:rPr>
                <w:sz w:val="20"/>
                <w:szCs w:val="20"/>
                <w:color w:val="auto"/>
              </w:rPr>
            </w:pPr>
            <w:r>
              <w:rPr>
                <w:rFonts w:ascii="Arial" w:cs="Arial" w:eastAsia="Arial" w:hAnsi="Arial"/>
                <w:sz w:val="14"/>
                <w:szCs w:val="14"/>
                <w:color w:val="012E6C"/>
              </w:rPr>
              <w:t xml:space="preserve">•  </w:t>
            </w:r>
            <w:r>
              <w:rPr>
                <w:rFonts w:ascii="Arial" w:cs="Arial" w:eastAsia="Arial" w:hAnsi="Arial"/>
                <w:sz w:val="14"/>
                <w:szCs w:val="14"/>
                <w:color w:val="000000"/>
              </w:rPr>
              <w:t>Exit onto I-495 N toward Baltimore/Bethesda</w:t>
            </w:r>
          </w:p>
        </w:tc>
        <w:tc>
          <w:tcPr>
            <w:tcW w:w="3700" w:type="dxa"/>
            <w:vAlign w:val="bottom"/>
          </w:tcPr>
          <w:p>
            <w:pPr>
              <w:ind w:left="620"/>
              <w:spacing w:after="0"/>
              <w:rPr>
                <w:sz w:val="20"/>
                <w:szCs w:val="20"/>
                <w:color w:val="auto"/>
              </w:rPr>
            </w:pPr>
            <w:r>
              <w:rPr>
                <w:rFonts w:ascii="Arial" w:cs="Arial" w:eastAsia="Arial" w:hAnsi="Arial"/>
                <w:sz w:val="14"/>
                <w:szCs w:val="14"/>
                <w:color w:val="012E6C"/>
              </w:rPr>
              <w:t xml:space="preserve">•  </w:t>
            </w:r>
            <w:r>
              <w:rPr>
                <w:rFonts w:ascii="Arial" w:cs="Arial" w:eastAsia="Arial" w:hAnsi="Arial"/>
                <w:sz w:val="14"/>
                <w:szCs w:val="14"/>
                <w:color w:val="000000"/>
              </w:rPr>
              <w:t>Exit onto I-495 W toward Silver</w:t>
            </w:r>
          </w:p>
        </w:tc>
        <w:tc>
          <w:tcPr>
            <w:tcW w:w="0" w:type="dxa"/>
            <w:vAlign w:val="bottom"/>
          </w:tcPr>
          <w:p>
            <w:pPr>
              <w:spacing w:after="0"/>
              <w:rPr>
                <w:sz w:val="1"/>
                <w:szCs w:val="1"/>
                <w:color w:val="auto"/>
              </w:rPr>
            </w:pPr>
          </w:p>
        </w:tc>
      </w:tr>
      <w:tr>
        <w:trPr>
          <w:trHeight w:val="194"/>
        </w:trPr>
        <w:tc>
          <w:tcPr>
            <w:tcW w:w="3700" w:type="dxa"/>
            <w:vAlign w:val="bottom"/>
            <w:vMerge w:val="restart"/>
          </w:tcPr>
          <w:p>
            <w:pPr>
              <w:ind w:left="580"/>
              <w:spacing w:after="0"/>
              <w:rPr>
                <w:sz w:val="20"/>
                <w:szCs w:val="20"/>
                <w:color w:val="auto"/>
              </w:rPr>
            </w:pPr>
            <w:r>
              <w:rPr>
                <w:rFonts w:ascii="Arial" w:cs="Arial" w:eastAsia="Arial" w:hAnsi="Arial"/>
                <w:sz w:val="14"/>
                <w:szCs w:val="14"/>
                <w:color w:val="012E6C"/>
              </w:rPr>
              <w:t xml:space="preserve">•  </w:t>
            </w:r>
            <w:r>
              <w:rPr>
                <w:rFonts w:ascii="Arial" w:cs="Arial" w:eastAsia="Arial" w:hAnsi="Arial"/>
                <w:sz w:val="14"/>
                <w:szCs w:val="14"/>
                <w:color w:val="000000"/>
              </w:rPr>
              <w:t>Exit onto I-270 Spur N toward</w:t>
            </w:r>
          </w:p>
        </w:tc>
        <w:tc>
          <w:tcPr>
            <w:tcW w:w="3700" w:type="dxa"/>
            <w:vAlign w:val="bottom"/>
          </w:tcPr>
          <w:p>
            <w:pPr>
              <w:ind w:left="760"/>
              <w:spacing w:after="0"/>
              <w:rPr>
                <w:sz w:val="20"/>
                <w:szCs w:val="20"/>
                <w:color w:val="auto"/>
              </w:rPr>
            </w:pPr>
            <w:r>
              <w:rPr>
                <w:rFonts w:ascii="Arial" w:cs="Arial" w:eastAsia="Arial" w:hAnsi="Arial"/>
                <w:sz w:val="14"/>
                <w:szCs w:val="14"/>
                <w:color w:val="auto"/>
              </w:rPr>
              <w:t>Spring/Bethesda</w:t>
            </w:r>
          </w:p>
        </w:tc>
        <w:tc>
          <w:tcPr>
            <w:tcW w:w="0" w:type="dxa"/>
            <w:vAlign w:val="bottom"/>
          </w:tcPr>
          <w:p>
            <w:pPr>
              <w:spacing w:after="0"/>
              <w:rPr>
                <w:sz w:val="1"/>
                <w:szCs w:val="1"/>
                <w:color w:val="auto"/>
              </w:rPr>
            </w:pPr>
          </w:p>
        </w:tc>
      </w:tr>
      <w:tr>
        <w:trPr>
          <w:trHeight w:val="76"/>
        </w:trPr>
        <w:tc>
          <w:tcPr>
            <w:tcW w:w="3700" w:type="dxa"/>
            <w:vAlign w:val="bottom"/>
            <w:vMerge w:val="continue"/>
          </w:tcPr>
          <w:p>
            <w:pPr>
              <w:spacing w:after="0"/>
              <w:rPr>
                <w:sz w:val="6"/>
                <w:szCs w:val="6"/>
                <w:color w:val="auto"/>
              </w:rPr>
            </w:pPr>
          </w:p>
        </w:tc>
        <w:tc>
          <w:tcPr>
            <w:tcW w:w="3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3700" w:type="dxa"/>
            <w:vAlign w:val="bottom"/>
          </w:tcPr>
          <w:p>
            <w:pPr>
              <w:ind w:left="700"/>
              <w:spacing w:after="0"/>
              <w:rPr>
                <w:sz w:val="20"/>
                <w:szCs w:val="20"/>
                <w:color w:val="auto"/>
              </w:rPr>
            </w:pPr>
            <w:r>
              <w:rPr>
                <w:rFonts w:ascii="Arial" w:cs="Arial" w:eastAsia="Arial" w:hAnsi="Arial"/>
                <w:sz w:val="14"/>
                <w:szCs w:val="14"/>
                <w:color w:val="auto"/>
              </w:rPr>
              <w:t>Rockville/Frederick</w:t>
            </w:r>
          </w:p>
        </w:tc>
        <w:tc>
          <w:tcPr>
            <w:tcW w:w="3700" w:type="dxa"/>
            <w:vAlign w:val="bottom"/>
          </w:tcPr>
          <w:p>
            <w:pPr>
              <w:ind w:left="620"/>
              <w:spacing w:after="0"/>
              <w:rPr>
                <w:sz w:val="20"/>
                <w:szCs w:val="20"/>
                <w:color w:val="auto"/>
              </w:rPr>
            </w:pPr>
            <w:r>
              <w:rPr>
                <w:rFonts w:ascii="Arial" w:cs="Arial" w:eastAsia="Arial" w:hAnsi="Arial"/>
                <w:sz w:val="14"/>
                <w:szCs w:val="14"/>
                <w:color w:val="012E6C"/>
              </w:rPr>
              <w:t xml:space="preserve">•  </w:t>
            </w:r>
            <w:r>
              <w:rPr>
                <w:rFonts w:ascii="Arial" w:cs="Arial" w:eastAsia="Arial" w:hAnsi="Arial"/>
                <w:sz w:val="14"/>
                <w:szCs w:val="14"/>
                <w:color w:val="000000"/>
              </w:rPr>
              <w:t>Merge onto I-270 Spur N toward Frederick</w:t>
            </w:r>
          </w:p>
        </w:tc>
        <w:tc>
          <w:tcPr>
            <w:tcW w:w="0" w:type="dxa"/>
            <w:vAlign w:val="bottom"/>
          </w:tcPr>
          <w:p>
            <w:pPr>
              <w:spacing w:after="0"/>
              <w:rPr>
                <w:sz w:val="1"/>
                <w:szCs w:val="1"/>
                <w:color w:val="auto"/>
              </w:rPr>
            </w:pPr>
          </w:p>
        </w:tc>
      </w:tr>
      <w:tr>
        <w:trPr>
          <w:trHeight w:val="270"/>
        </w:trPr>
        <w:tc>
          <w:tcPr>
            <w:tcW w:w="3700" w:type="dxa"/>
            <w:vAlign w:val="bottom"/>
          </w:tcPr>
          <w:p>
            <w:pPr>
              <w:ind w:left="580"/>
              <w:spacing w:after="0"/>
              <w:rPr>
                <w:sz w:val="20"/>
                <w:szCs w:val="20"/>
                <w:color w:val="auto"/>
              </w:rPr>
            </w:pPr>
            <w:r>
              <w:rPr>
                <w:rFonts w:ascii="Arial" w:cs="Arial" w:eastAsia="Arial" w:hAnsi="Arial"/>
                <w:sz w:val="14"/>
                <w:szCs w:val="14"/>
                <w:color w:val="012E6C"/>
              </w:rPr>
              <w:t xml:space="preserve">•  </w:t>
            </w:r>
            <w:r>
              <w:rPr>
                <w:rFonts w:ascii="Arial" w:cs="Arial" w:eastAsia="Arial" w:hAnsi="Arial"/>
                <w:sz w:val="14"/>
                <w:szCs w:val="14"/>
                <w:color w:val="000000"/>
              </w:rPr>
              <w:t>Take exit 1 for Democracy Blvd E</w:t>
            </w:r>
          </w:p>
        </w:tc>
        <w:tc>
          <w:tcPr>
            <w:tcW w:w="3700" w:type="dxa"/>
            <w:vAlign w:val="bottom"/>
          </w:tcPr>
          <w:p>
            <w:pPr>
              <w:ind w:left="620"/>
              <w:spacing w:after="0"/>
              <w:rPr>
                <w:sz w:val="20"/>
                <w:szCs w:val="20"/>
                <w:color w:val="auto"/>
              </w:rPr>
            </w:pPr>
            <w:r>
              <w:rPr>
                <w:rFonts w:ascii="Arial" w:cs="Arial" w:eastAsia="Arial" w:hAnsi="Arial"/>
                <w:sz w:val="14"/>
                <w:szCs w:val="14"/>
                <w:color w:val="012E6C"/>
              </w:rPr>
              <w:t xml:space="preserve">•  </w:t>
            </w:r>
            <w:r>
              <w:rPr>
                <w:rFonts w:ascii="Arial" w:cs="Arial" w:eastAsia="Arial" w:hAnsi="Arial"/>
                <w:sz w:val="14"/>
                <w:szCs w:val="14"/>
                <w:color w:val="000000"/>
              </w:rPr>
              <w:t>Take exit 1B toward Rockledge Drive</w:t>
            </w:r>
          </w:p>
        </w:tc>
        <w:tc>
          <w:tcPr>
            <w:tcW w:w="0" w:type="dxa"/>
            <w:vAlign w:val="bottom"/>
          </w:tcPr>
          <w:p>
            <w:pPr>
              <w:spacing w:after="0"/>
              <w:rPr>
                <w:sz w:val="1"/>
                <w:szCs w:val="1"/>
                <w:color w:val="auto"/>
              </w:rPr>
            </w:pPr>
          </w:p>
        </w:tc>
      </w:tr>
      <w:tr>
        <w:trPr>
          <w:trHeight w:val="270"/>
        </w:trPr>
        <w:tc>
          <w:tcPr>
            <w:tcW w:w="3700" w:type="dxa"/>
            <w:vAlign w:val="bottom"/>
          </w:tcPr>
          <w:p>
            <w:pPr>
              <w:ind w:left="580"/>
              <w:spacing w:after="0"/>
              <w:rPr>
                <w:sz w:val="20"/>
                <w:szCs w:val="20"/>
                <w:color w:val="auto"/>
              </w:rPr>
            </w:pPr>
            <w:r>
              <w:rPr>
                <w:rFonts w:ascii="Arial" w:cs="Arial" w:eastAsia="Arial" w:hAnsi="Arial"/>
                <w:sz w:val="14"/>
                <w:szCs w:val="14"/>
                <w:color w:val="012E6C"/>
              </w:rPr>
              <w:t xml:space="preserve">•  </w:t>
            </w:r>
            <w:r>
              <w:rPr>
                <w:rFonts w:ascii="Arial" w:cs="Arial" w:eastAsia="Arial" w:hAnsi="Arial"/>
                <w:sz w:val="14"/>
                <w:szCs w:val="14"/>
                <w:color w:val="000000"/>
              </w:rPr>
              <w:t>Turn left at Fernwood Road</w:t>
            </w:r>
          </w:p>
        </w:tc>
        <w:tc>
          <w:tcPr>
            <w:tcW w:w="3700" w:type="dxa"/>
            <w:vAlign w:val="bottom"/>
          </w:tcPr>
          <w:p>
            <w:pPr>
              <w:ind w:left="620"/>
              <w:spacing w:after="0"/>
              <w:rPr>
                <w:sz w:val="20"/>
                <w:szCs w:val="20"/>
                <w:color w:val="auto"/>
              </w:rPr>
            </w:pPr>
            <w:r>
              <w:rPr>
                <w:rFonts w:ascii="Arial" w:cs="Arial" w:eastAsia="Arial" w:hAnsi="Arial"/>
                <w:sz w:val="14"/>
                <w:szCs w:val="14"/>
                <w:color w:val="012E6C"/>
              </w:rPr>
              <w:t xml:space="preserve">•  </w:t>
            </w:r>
            <w:r>
              <w:rPr>
                <w:rFonts w:ascii="Arial" w:cs="Arial" w:eastAsia="Arial" w:hAnsi="Arial"/>
                <w:sz w:val="14"/>
                <w:szCs w:val="14"/>
                <w:color w:val="000000"/>
              </w:rPr>
              <w:t>Turn left at Rockledge Drive</w:t>
            </w:r>
          </w:p>
        </w:tc>
        <w:tc>
          <w:tcPr>
            <w:tcW w:w="0" w:type="dxa"/>
            <w:vAlign w:val="bottom"/>
          </w:tcPr>
          <w:p>
            <w:pPr>
              <w:spacing w:after="0"/>
              <w:rPr>
                <w:sz w:val="1"/>
                <w:szCs w:val="1"/>
                <w:color w:val="auto"/>
              </w:rPr>
            </w:pPr>
          </w:p>
        </w:tc>
      </w:tr>
      <w:tr>
        <w:trPr>
          <w:trHeight w:val="270"/>
        </w:trPr>
        <w:tc>
          <w:tcPr>
            <w:tcW w:w="3700" w:type="dxa"/>
            <w:vAlign w:val="bottom"/>
          </w:tcPr>
          <w:p>
            <w:pPr>
              <w:ind w:left="580"/>
              <w:spacing w:after="0"/>
              <w:rPr>
                <w:sz w:val="20"/>
                <w:szCs w:val="20"/>
                <w:color w:val="auto"/>
              </w:rPr>
            </w:pPr>
            <w:r>
              <w:rPr>
                <w:rFonts w:ascii="Arial" w:cs="Arial" w:eastAsia="Arial" w:hAnsi="Arial"/>
                <w:sz w:val="14"/>
                <w:szCs w:val="14"/>
                <w:color w:val="012E6C"/>
              </w:rPr>
              <w:t xml:space="preserve">•  </w:t>
            </w:r>
            <w:r>
              <w:rPr>
                <w:rFonts w:ascii="Arial" w:cs="Arial" w:eastAsia="Arial" w:hAnsi="Arial"/>
                <w:sz w:val="14"/>
                <w:szCs w:val="14"/>
                <w:color w:val="000000"/>
              </w:rPr>
              <w:t>Turn right at Rockledge Drive</w:t>
            </w:r>
          </w:p>
        </w:tc>
        <w:tc>
          <w:tcPr>
            <w:tcW w:w="3700" w:type="dxa"/>
            <w:vAlign w:val="bottom"/>
          </w:tcPr>
          <w:p>
            <w:pPr>
              <w:ind w:left="620"/>
              <w:spacing w:after="0"/>
              <w:rPr>
                <w:sz w:val="20"/>
                <w:szCs w:val="20"/>
                <w:color w:val="auto"/>
              </w:rPr>
            </w:pPr>
            <w:r>
              <w:rPr>
                <w:rFonts w:ascii="Arial" w:cs="Arial" w:eastAsia="Arial" w:hAnsi="Arial"/>
                <w:sz w:val="14"/>
                <w:szCs w:val="14"/>
                <w:color w:val="012E6C"/>
              </w:rPr>
              <w:t xml:space="preserve">•  </w:t>
            </w:r>
            <w:r>
              <w:rPr>
                <w:rFonts w:ascii="Arial" w:cs="Arial" w:eastAsia="Arial" w:hAnsi="Arial"/>
                <w:sz w:val="14"/>
                <w:szCs w:val="14"/>
                <w:color w:val="000000"/>
              </w:rPr>
              <w:t>Turn right at Rockledge Drive</w:t>
            </w:r>
          </w:p>
        </w:tc>
        <w:tc>
          <w:tcPr>
            <w:tcW w:w="0" w:type="dxa"/>
            <w:vAlign w:val="bottom"/>
          </w:tcPr>
          <w:p>
            <w:pPr>
              <w:spacing w:after="0"/>
              <w:rPr>
                <w:sz w:val="1"/>
                <w:szCs w:val="1"/>
                <w:color w:val="auto"/>
              </w:rPr>
            </w:pPr>
          </w:p>
        </w:tc>
      </w:tr>
      <w:tr>
        <w:trPr>
          <w:trHeight w:val="238"/>
        </w:trPr>
        <w:tc>
          <w:tcPr>
            <w:tcW w:w="3700" w:type="dxa"/>
            <w:vAlign w:val="bottom"/>
          </w:tcPr>
          <w:p>
            <w:pPr>
              <w:ind w:left="580"/>
              <w:spacing w:after="0"/>
              <w:rPr>
                <w:sz w:val="20"/>
                <w:szCs w:val="20"/>
                <w:color w:val="auto"/>
              </w:rPr>
            </w:pPr>
            <w:r>
              <w:rPr>
                <w:rFonts w:ascii="Arial" w:cs="Arial" w:eastAsia="Arial" w:hAnsi="Arial"/>
                <w:sz w:val="14"/>
                <w:szCs w:val="14"/>
                <w:color w:val="012E6C"/>
              </w:rPr>
              <w:t xml:space="preserve">•  </w:t>
            </w:r>
            <w:r>
              <w:rPr>
                <w:rFonts w:ascii="Arial" w:cs="Arial" w:eastAsia="Arial" w:hAnsi="Arial"/>
                <w:sz w:val="14"/>
                <w:szCs w:val="14"/>
                <w:color w:val="000000"/>
              </w:rPr>
              <w:t>Turn left to Parking Lot at 6905 Rockledge</w:t>
            </w:r>
          </w:p>
        </w:tc>
        <w:tc>
          <w:tcPr>
            <w:tcW w:w="3700" w:type="dxa"/>
            <w:vAlign w:val="bottom"/>
          </w:tcPr>
          <w:p>
            <w:pPr>
              <w:ind w:left="620"/>
              <w:spacing w:after="0"/>
              <w:rPr>
                <w:sz w:val="20"/>
                <w:szCs w:val="20"/>
                <w:color w:val="auto"/>
              </w:rPr>
            </w:pPr>
            <w:r>
              <w:rPr>
                <w:rFonts w:ascii="Arial" w:cs="Arial" w:eastAsia="Arial" w:hAnsi="Arial"/>
                <w:sz w:val="14"/>
                <w:szCs w:val="14"/>
                <w:color w:val="012E6C"/>
              </w:rPr>
              <w:t xml:space="preserve">•  </w:t>
            </w:r>
            <w:r>
              <w:rPr>
                <w:rFonts w:ascii="Arial" w:cs="Arial" w:eastAsia="Arial" w:hAnsi="Arial"/>
                <w:sz w:val="14"/>
                <w:szCs w:val="14"/>
                <w:color w:val="000000"/>
              </w:rPr>
              <w:t>Turn right to Parking Lot at 6905 Rockledge</w:t>
            </w:r>
          </w:p>
        </w:tc>
        <w:tc>
          <w:tcPr>
            <w:tcW w:w="0" w:type="dxa"/>
            <w:vAlign w:val="bottom"/>
          </w:tcPr>
          <w:p>
            <w:pPr>
              <w:spacing w:after="0"/>
              <w:rPr>
                <w:sz w:val="1"/>
                <w:szCs w:val="1"/>
                <w:color w:val="auto"/>
              </w:rPr>
            </w:pPr>
          </w:p>
        </w:tc>
      </w:tr>
      <w:tr>
        <w:trPr>
          <w:trHeight w:val="194"/>
        </w:trPr>
        <w:tc>
          <w:tcPr>
            <w:tcW w:w="3700" w:type="dxa"/>
            <w:vAlign w:val="bottom"/>
          </w:tcPr>
          <w:p>
            <w:pPr>
              <w:ind w:left="700"/>
              <w:spacing w:after="0"/>
              <w:rPr>
                <w:sz w:val="20"/>
                <w:szCs w:val="20"/>
                <w:color w:val="auto"/>
              </w:rPr>
            </w:pPr>
            <w:r>
              <w:rPr>
                <w:rFonts w:ascii="Arial" w:cs="Arial" w:eastAsia="Arial" w:hAnsi="Arial"/>
                <w:sz w:val="14"/>
                <w:szCs w:val="14"/>
                <w:color w:val="auto"/>
              </w:rPr>
              <w:t>Drive</w:t>
            </w:r>
          </w:p>
        </w:tc>
        <w:tc>
          <w:tcPr>
            <w:tcW w:w="3700" w:type="dxa"/>
            <w:vAlign w:val="bottom"/>
          </w:tcPr>
          <w:p>
            <w:pPr>
              <w:ind w:left="760"/>
              <w:spacing w:after="0"/>
              <w:rPr>
                <w:sz w:val="20"/>
                <w:szCs w:val="20"/>
                <w:color w:val="auto"/>
              </w:rPr>
            </w:pPr>
            <w:r>
              <w:rPr>
                <w:rFonts w:ascii="Arial" w:cs="Arial" w:eastAsia="Arial" w:hAnsi="Arial"/>
                <w:sz w:val="14"/>
                <w:szCs w:val="14"/>
                <w:color w:val="auto"/>
              </w:rPr>
              <w:t>Drive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-1383665</wp:posOffset>
            </wp:positionV>
            <wp:extent cx="214630" cy="3175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14630" cy="317500"/>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-1383665</wp:posOffset>
            </wp:positionV>
            <wp:extent cx="214630" cy="3175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14630" cy="317500"/>
                    </a:xfrm>
                    <a:prstGeom prst="rect">
                      <a:avLst/>
                    </a:prstGeom>
                    <a:noFill/>
                  </pic:spPr>
                </pic:pic>
              </a:graphicData>
            </a:graphic>
          </wp:anchor>
        </w:drawing>
      </w:r>
    </w:p>
    <w:p>
      <w:pPr>
        <w:sectPr>
          <w:pgSz w:w="11900" w:h="16838" w:orient="portrait"/>
          <w:cols w:equalWidth="0" w:num="2">
            <w:col w:w="3600" w:space="320"/>
            <w:col w:w="7400"/>
          </w:cols>
          <w:pgMar w:left="240" w:top="1440" w:right="339" w:bottom="1440" w:gutter="0" w:footer="0" w:header="0"/>
          <w:type w:val="continuous"/>
        </w:sectPr>
      </w:pPr>
    </w:p>
    <w:bookmarkStart w:id="89" w:name="page90"/>
    <w:bookmarkEnd w:id="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883275" cy="76155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clrChange>
                        <a:clrFrom>
                          <a:srgbClr val="FFFFFF"/>
                        </a:clrFrom>
                        <a:clrTo>
                          <a:srgbClr val="FFFFFF">
                            <a:alpha val="0"/>
                          </a:srgbClr>
                        </a:clrTo>
                      </a:clrChange>
                      <a:extLst>
                        <a:ext uri="{28A0092B-C50C-407E-A947-70E740481C1C}"/>
                      </a:extLst>
                    </a:blip>
                    <a:srcRect/>
                    <a:stretch>
                      <a:fillRect/>
                    </a:stretch>
                  </pic:blipFill>
                  <pic:spPr bwMode="auto">
                    <a:xfrm>
                      <a:off x="0" y="0"/>
                      <a:ext cx="5883275" cy="7615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883275" cy="76155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clrChange>
                        <a:clrFrom>
                          <a:srgbClr val="FFFFFF"/>
                        </a:clrFrom>
                        <a:clrTo>
                          <a:srgbClr val="FFFFFF">
                            <a:alpha val="0"/>
                          </a:srgbClr>
                        </a:clrTo>
                      </a:clrChange>
                      <a:extLst>
                        <a:ext uri="{28A0092B-C50C-407E-A947-70E740481C1C}"/>
                      </a:extLst>
                    </a:blip>
                    <a:srcRect/>
                    <a:stretch>
                      <a:fillRect/>
                    </a:stretch>
                  </pic:blipFill>
                  <pic:spPr bwMode="auto">
                    <a:xfrm>
                      <a:off x="0" y="0"/>
                      <a:ext cx="5883275" cy="7615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883275" cy="76155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clrChange>
                        <a:clrFrom>
                          <a:srgbClr val="FFFFFF"/>
                        </a:clrFrom>
                        <a:clrTo>
                          <a:srgbClr val="FFFFFF">
                            <a:alpha val="0"/>
                          </a:srgbClr>
                        </a:clrTo>
                      </a:clrChange>
                      <a:extLst>
                        <a:ext uri="{28A0092B-C50C-407E-A947-70E740481C1C}"/>
                      </a:extLst>
                    </a:blip>
                    <a:srcRect/>
                    <a:stretch>
                      <a:fillRect/>
                    </a:stretch>
                  </pic:blipFill>
                  <pic:spPr bwMode="auto">
                    <a:xfrm>
                      <a:off x="0" y="0"/>
                      <a:ext cx="5883275" cy="7615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883275" cy="76155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clrChange>
                        <a:clrFrom>
                          <a:srgbClr val="FFFFFF"/>
                        </a:clrFrom>
                        <a:clrTo>
                          <a:srgbClr val="FFFFFF">
                            <a:alpha val="0"/>
                          </a:srgbClr>
                        </a:clrTo>
                      </a:clrChange>
                      <a:extLst>
                        <a:ext uri="{28A0092B-C50C-407E-A947-70E740481C1C}"/>
                      </a:extLst>
                    </a:blip>
                    <a:srcRect/>
                    <a:stretch>
                      <a:fillRect/>
                    </a:stretch>
                  </pic:blipFill>
                  <pic:spPr bwMode="auto">
                    <a:xfrm>
                      <a:off x="0" y="0"/>
                      <a:ext cx="5883275" cy="7615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883275" cy="76155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clrChange>
                        <a:clrFrom>
                          <a:srgbClr val="FFFFFF"/>
                        </a:clrFrom>
                        <a:clrTo>
                          <a:srgbClr val="FFFFFF">
                            <a:alpha val="0"/>
                          </a:srgbClr>
                        </a:clrTo>
                      </a:clrChange>
                      <a:extLst>
                        <a:ext uri="{28A0092B-C50C-407E-A947-70E740481C1C}"/>
                      </a:extLst>
                    </a:blip>
                    <a:srcRect/>
                    <a:stretch>
                      <a:fillRect/>
                    </a:stretch>
                  </pic:blipFill>
                  <pic:spPr bwMode="auto">
                    <a:xfrm>
                      <a:off x="0" y="0"/>
                      <a:ext cx="5883275" cy="7615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883275" cy="76155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clrChange>
                        <a:clrFrom>
                          <a:srgbClr val="FFFFFF"/>
                        </a:clrFrom>
                        <a:clrTo>
                          <a:srgbClr val="FFFFFF">
                            <a:alpha val="0"/>
                          </a:srgbClr>
                        </a:clrTo>
                      </a:clrChange>
                      <a:extLst>
                        <a:ext uri="{28A0092B-C50C-407E-A947-70E740481C1C}"/>
                      </a:extLst>
                    </a:blip>
                    <a:srcRect/>
                    <a:stretch>
                      <a:fillRect/>
                    </a:stretch>
                  </pic:blipFill>
                  <pic:spPr bwMode="auto">
                    <a:xfrm>
                      <a:off x="0" y="0"/>
                      <a:ext cx="5883275" cy="7615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883275" cy="76155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clrChange>
                        <a:clrFrom>
                          <a:srgbClr val="FFFFFF"/>
                        </a:clrFrom>
                        <a:clrTo>
                          <a:srgbClr val="FFFFFF">
                            <a:alpha val="0"/>
                          </a:srgbClr>
                        </a:clrTo>
                      </a:clrChange>
                      <a:extLst>
                        <a:ext uri="{28A0092B-C50C-407E-A947-70E740481C1C}"/>
                      </a:extLst>
                    </a:blip>
                    <a:srcRect/>
                    <a:stretch>
                      <a:fillRect/>
                    </a:stretch>
                  </pic:blipFill>
                  <pic:spPr bwMode="auto">
                    <a:xfrm>
                      <a:off x="0" y="0"/>
                      <a:ext cx="5883275" cy="7615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5363210</wp:posOffset>
            </wp:positionH>
            <wp:positionV relativeFrom="page">
              <wp:posOffset>483235</wp:posOffset>
            </wp:positionV>
            <wp:extent cx="2023745" cy="42862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clrChange>
                        <a:clrFrom>
                          <a:srgbClr val="FFFFFF"/>
                        </a:clrFrom>
                        <a:clrTo>
                          <a:srgbClr val="FFFFFF">
                            <a:alpha val="0"/>
                          </a:srgbClr>
                        </a:clrTo>
                      </a:clrChange>
                      <a:extLst>
                        <a:ext uri="{28A0092B-C50C-407E-A947-70E740481C1C}"/>
                      </a:extLst>
                    </a:blip>
                    <a:srcRect/>
                    <a:stretch>
                      <a:fillRect/>
                    </a:stretch>
                  </pic:blipFill>
                  <pic:spPr bwMode="auto">
                    <a:xfrm>
                      <a:off x="0" y="0"/>
                      <a:ext cx="2023745" cy="428625"/>
                    </a:xfrm>
                    <a:prstGeom prst="rect">
                      <a:avLst/>
                    </a:prstGeom>
                    <a:noFill/>
                  </pic:spPr>
                </pic:pic>
              </a:graphicData>
            </a:graphic>
          </wp:anchor>
        </w:drawing>
      </w:r>
    </w:p>
    <w:p>
      <w:pPr>
        <w:spacing w:after="0"/>
        <w:rPr>
          <w:sz w:val="20"/>
          <w:szCs w:val="20"/>
          <w:color w:val="auto"/>
        </w:rPr>
      </w:pPr>
      <w:r>
        <w:rPr>
          <w:rFonts w:ascii="Arial" w:cs="Arial" w:eastAsia="Arial" w:hAnsi="Arial"/>
          <w:sz w:val="39"/>
          <w:szCs w:val="39"/>
          <w:b w:val="1"/>
          <w:bCs w:val="1"/>
          <w:i w:val="1"/>
          <w:iCs w:val="1"/>
          <w:color w:val="005FAF"/>
        </w:rPr>
        <w:t>Memorandum</w:t>
      </w:r>
    </w:p>
    <w:p>
      <w:pPr>
        <w:sectPr>
          <w:pgSz w:w="11900" w:h="16838" w:orient="portrait"/>
          <w:cols w:equalWidth="0" w:num="1">
            <w:col w:w="11360"/>
          </w:cols>
          <w:pgMar w:left="240" w:top="1440"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9"/>
          <w:szCs w:val="19"/>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9"/>
          <w:szCs w:val="19"/>
          <w:color w:val="auto"/>
        </w:rPr>
        <w:t>March 18, 2019</w:t>
      </w:r>
    </w:p>
    <w:p>
      <w:pPr>
        <w:spacing w:after="0" w:line="200" w:lineRule="exact"/>
        <w:rPr>
          <w:sz w:val="20"/>
          <w:szCs w:val="20"/>
          <w:color w:val="auto"/>
        </w:rPr>
      </w:pPr>
    </w:p>
    <w:p>
      <w:pPr>
        <w:sectPr>
          <w:pgSz w:w="11900" w:h="16838" w:orient="portrait"/>
          <w:cols w:equalWidth="0" w:num="2">
            <w:col w:w="580" w:space="440"/>
            <w:col w:w="10340"/>
          </w:cols>
          <w:pgMar w:left="240" w:top="1440" w:right="29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20"/>
          <w:szCs w:val="20"/>
          <w:color w:val="auto"/>
        </w:rPr>
        <w:t>TO:</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Lockheed Martin Savings Plan Participants</w:t>
      </w:r>
    </w:p>
    <w:p>
      <w:pPr>
        <w:spacing w:after="0" w:line="211" w:lineRule="exact"/>
        <w:rPr>
          <w:sz w:val="20"/>
          <w:szCs w:val="20"/>
          <w:color w:val="auto"/>
        </w:rPr>
      </w:pPr>
    </w:p>
    <w:p>
      <w:pPr>
        <w:sectPr>
          <w:pgSz w:w="11900" w:h="16838" w:orient="portrait"/>
          <w:cols w:equalWidth="0" w:num="2">
            <w:col w:w="340" w:space="440"/>
            <w:col w:w="10580"/>
          </w:cols>
          <w:pgMar w:left="240" w:top="1440" w:right="29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FROM:</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Maryanne R. Lavan, Senior Vice President, General Counsel and</w:t>
      </w:r>
    </w:p>
    <w:p>
      <w:pPr>
        <w:spacing w:after="0" w:line="37" w:lineRule="exact"/>
        <w:rPr>
          <w:sz w:val="20"/>
          <w:szCs w:val="20"/>
          <w:color w:val="auto"/>
        </w:rPr>
      </w:pPr>
    </w:p>
    <w:p>
      <w:pPr>
        <w:ind w:left="220"/>
        <w:spacing w:after="0"/>
        <w:rPr>
          <w:sz w:val="20"/>
          <w:szCs w:val="20"/>
          <w:color w:val="auto"/>
        </w:rPr>
      </w:pPr>
      <w:r>
        <w:rPr>
          <w:rFonts w:ascii="Arial" w:cs="Arial" w:eastAsia="Arial" w:hAnsi="Arial"/>
          <w:sz w:val="20"/>
          <w:szCs w:val="20"/>
          <w:color w:val="auto"/>
        </w:rPr>
        <w:t>Corporate Secretary</w:t>
      </w:r>
    </w:p>
    <w:p>
      <w:pPr>
        <w:spacing w:after="0" w:line="200" w:lineRule="exact"/>
        <w:rPr>
          <w:sz w:val="20"/>
          <w:szCs w:val="20"/>
          <w:color w:val="auto"/>
        </w:rPr>
      </w:pPr>
    </w:p>
    <w:p>
      <w:pPr>
        <w:sectPr>
          <w:pgSz w:w="11900" w:h="16838" w:orient="portrait"/>
          <w:cols w:equalWidth="0" w:num="2">
            <w:col w:w="640" w:space="440"/>
            <w:col w:w="10280"/>
          </w:cols>
          <w:pgMar w:left="240" w:top="1440" w:right="299" w:bottom="1440" w:gutter="0" w:footer="0" w:header="0"/>
          <w:type w:val="continuous"/>
        </w:sectPr>
      </w:pPr>
    </w:p>
    <w:p>
      <w:pPr>
        <w:spacing w:after="0" w:line="3" w:lineRule="exact"/>
        <w:rPr>
          <w:sz w:val="20"/>
          <w:szCs w:val="20"/>
          <w:color w:val="auto"/>
        </w:rPr>
      </w:pPr>
    </w:p>
    <w:p>
      <w:pPr>
        <w:spacing w:after="0"/>
        <w:tabs>
          <w:tab w:leader="none" w:pos="1140" w:val="left"/>
        </w:tabs>
        <w:rPr>
          <w:sz w:val="20"/>
          <w:szCs w:val="20"/>
          <w:color w:val="auto"/>
        </w:rPr>
      </w:pPr>
      <w:r>
        <w:rPr>
          <w:rFonts w:ascii="Arial" w:cs="Arial" w:eastAsia="Arial" w:hAnsi="Arial"/>
          <w:sz w:val="20"/>
          <w:szCs w:val="20"/>
          <w:color w:val="auto"/>
        </w:rPr>
        <w:t>SUBJECT:</w:t>
        <w:tab/>
        <w:t>Important Notice Regarding Availability of Lockheed Martin Proxy Materials</w:t>
      </w:r>
    </w:p>
    <w:p>
      <w:pPr>
        <w:spacing w:after="0" w:line="200" w:lineRule="exact"/>
        <w:rPr>
          <w:sz w:val="20"/>
          <w:szCs w:val="20"/>
          <w:color w:val="auto"/>
        </w:rPr>
      </w:pPr>
    </w:p>
    <w:p>
      <w:pPr>
        <w:spacing w:after="0" w:line="259" w:lineRule="exact"/>
        <w:rPr>
          <w:sz w:val="20"/>
          <w:szCs w:val="20"/>
          <w:color w:val="auto"/>
        </w:rPr>
      </w:pPr>
    </w:p>
    <w:p>
      <w:pPr>
        <w:ind w:right="100"/>
        <w:spacing w:after="0" w:line="253" w:lineRule="auto"/>
        <w:rPr>
          <w:sz w:val="20"/>
          <w:szCs w:val="20"/>
          <w:color w:val="auto"/>
        </w:rPr>
      </w:pPr>
      <w:r>
        <w:rPr>
          <w:rFonts w:ascii="Arial" w:cs="Arial" w:eastAsia="Arial" w:hAnsi="Arial"/>
          <w:sz w:val="20"/>
          <w:szCs w:val="20"/>
          <w:color w:val="auto"/>
        </w:rPr>
        <w:t>Lockheed Martin employees are the largest holders of our common stock (representing approximately 12 percent of our outstanding shares). As a Lockheed Martin savings plan participant, you are entitled to vote your shares held through the Lockheed Martin savings plans on the matters to be voted upon at the Corporation’s Annual Meeting of Stockholders on April 25, 2019.</w:t>
      </w:r>
    </w:p>
    <w:p>
      <w:pPr>
        <w:spacing w:after="0" w:line="187" w:lineRule="exact"/>
        <w:rPr>
          <w:sz w:val="20"/>
          <w:szCs w:val="20"/>
          <w:color w:val="auto"/>
        </w:rPr>
      </w:pPr>
    </w:p>
    <w:p>
      <w:pPr>
        <w:ind w:right="40"/>
        <w:spacing w:after="0" w:line="283" w:lineRule="auto"/>
        <w:rPr>
          <w:sz w:val="20"/>
          <w:szCs w:val="20"/>
          <w:color w:val="auto"/>
        </w:rPr>
      </w:pPr>
      <w:r>
        <w:rPr>
          <w:rFonts w:ascii="Arial" w:cs="Arial" w:eastAsia="Arial" w:hAnsi="Arial"/>
          <w:sz w:val="20"/>
          <w:szCs w:val="20"/>
          <w:color w:val="auto"/>
        </w:rPr>
        <w:t>Tomorrow, you will receive an email from Computershare Trust Company, N.A. (</w:t>
      </w:r>
      <w:r>
        <w:rPr>
          <w:rFonts w:ascii="Arial" w:cs="Arial" w:eastAsia="Arial" w:hAnsi="Arial"/>
          <w:sz w:val="20"/>
          <w:szCs w:val="20"/>
          <w:u w:val="single" w:color="auto"/>
          <w:color w:val="auto"/>
        </w:rPr>
        <w:t>cpucommunications</w:t>
      </w:r>
      <w:r>
        <w:rPr>
          <w:rFonts w:ascii="Arial" w:cs="Arial" w:eastAsia="Arial" w:hAnsi="Arial"/>
          <w:sz w:val="21"/>
          <w:szCs w:val="21"/>
          <w:u w:val="single" w:color="auto"/>
          <w:color w:val="auto"/>
        </w:rPr>
        <w:t>.com</w:t>
      </w:r>
      <w:r>
        <w:rPr>
          <w:rFonts w:ascii="Arial" w:cs="Arial" w:eastAsia="Arial" w:hAnsi="Arial"/>
          <w:sz w:val="20"/>
          <w:szCs w:val="20"/>
          <w:color w:val="auto"/>
        </w:rPr>
        <w:t>), our independent registrar and transfer agent, with a subject line of “Important Notice Regarding Availability of Lockheed Martin Proxy Materials.” The email will include a link to the Corporation’s 2018 Annual Report and 2019 Proxy Statement (together, the Proxy Materials). It will also contain information on how to vote your shares confidentially through the Internet or by telephone.</w:t>
      </w:r>
    </w:p>
    <w:p>
      <w:pPr>
        <w:spacing w:after="0" w:line="163" w:lineRule="exact"/>
        <w:rPr>
          <w:sz w:val="20"/>
          <w:szCs w:val="20"/>
          <w:color w:val="auto"/>
        </w:rPr>
      </w:pPr>
    </w:p>
    <w:p>
      <w:pPr>
        <w:spacing w:after="0" w:line="253" w:lineRule="auto"/>
        <w:rPr>
          <w:sz w:val="20"/>
          <w:szCs w:val="20"/>
          <w:color w:val="auto"/>
        </w:rPr>
      </w:pPr>
      <w:r>
        <w:rPr>
          <w:rFonts w:ascii="Arial" w:cs="Arial" w:eastAsia="Arial" w:hAnsi="Arial"/>
          <w:sz w:val="20"/>
          <w:szCs w:val="20"/>
          <w:u w:val="single" w:color="auto"/>
          <w:color w:val="auto"/>
        </w:rPr>
        <w:t>Your vote is very important</w:t>
      </w:r>
      <w:r>
        <w:rPr>
          <w:rFonts w:ascii="Arial" w:cs="Arial" w:eastAsia="Arial" w:hAnsi="Arial"/>
          <w:sz w:val="20"/>
          <w:szCs w:val="20"/>
          <w:color w:val="auto"/>
        </w:rPr>
        <w:t xml:space="preserve">. Please look for your email from Computershare and vote promptly. Note that you may receive multiple proxy packages and voting instructions (electronically and/or by mail). These materials may not be duplicates as you may hold shares of Lockheed Martin stock in multiple accounts. Please be sure to vote </w:t>
      </w:r>
      <w:r>
        <w:rPr>
          <w:rFonts w:ascii="Arial" w:cs="Arial" w:eastAsia="Arial" w:hAnsi="Arial"/>
          <w:sz w:val="20"/>
          <w:szCs w:val="20"/>
          <w:i w:val="1"/>
          <w:iCs w:val="1"/>
          <w:color w:val="auto"/>
        </w:rPr>
        <w:t>all of your shares</w:t>
      </w:r>
      <w:r>
        <w:rPr>
          <w:rFonts w:ascii="Arial" w:cs="Arial" w:eastAsia="Arial" w:hAnsi="Arial"/>
          <w:sz w:val="20"/>
          <w:szCs w:val="20"/>
          <w:color w:val="auto"/>
        </w:rPr>
        <w:t xml:space="preserve"> in each of your accounts in accordance with the directions on the proxy card(s) and/or voting instruction form(s) you receive.</w:t>
      </w:r>
    </w:p>
    <w:p>
      <w:pPr>
        <w:spacing w:after="0" w:line="178" w:lineRule="exact"/>
        <w:rPr>
          <w:sz w:val="20"/>
          <w:szCs w:val="20"/>
          <w:color w:val="auto"/>
        </w:rPr>
      </w:pPr>
    </w:p>
    <w:p>
      <w:pPr>
        <w:ind w:right="1200"/>
        <w:spacing w:after="0" w:line="280" w:lineRule="auto"/>
        <w:rPr>
          <w:sz w:val="20"/>
          <w:szCs w:val="20"/>
          <w:color w:val="auto"/>
        </w:rPr>
      </w:pPr>
      <w:r>
        <w:rPr>
          <w:rFonts w:ascii="Arial" w:cs="Arial" w:eastAsia="Arial" w:hAnsi="Arial"/>
          <w:sz w:val="20"/>
          <w:szCs w:val="20"/>
          <w:color w:val="auto"/>
        </w:rPr>
        <w:t>A hard copy of the Proxy Materials can be requested by calling toll free 1-877-223-3863 or 1-267-468-0767, if outside the U.S. Requests will be fulfilled until 3:00 p.m. Eastern Daylight Time on April 15, 2019.</w:t>
      </w:r>
    </w:p>
    <w:p>
      <w:pPr>
        <w:spacing w:after="0" w:line="152" w:lineRule="exact"/>
        <w:rPr>
          <w:sz w:val="20"/>
          <w:szCs w:val="20"/>
          <w:color w:val="auto"/>
        </w:rPr>
      </w:pPr>
    </w:p>
    <w:p>
      <w:pPr>
        <w:spacing w:after="0" w:line="307" w:lineRule="auto"/>
        <w:rPr>
          <w:sz w:val="20"/>
          <w:szCs w:val="20"/>
          <w:color w:val="auto"/>
        </w:rPr>
      </w:pPr>
      <w:r>
        <w:rPr>
          <w:rFonts w:ascii="Arial" w:cs="Arial" w:eastAsia="Arial" w:hAnsi="Arial"/>
          <w:sz w:val="19"/>
          <w:szCs w:val="19"/>
          <w:color w:val="auto"/>
        </w:rPr>
        <w:t>Please note: computer settings vary and unknown email addresses, such as those from Computershare, may sometimes be directed to your “Junk Email” folder. If you do not see the email from Computershare in your inbox, check your “Junk Email” folder.</w:t>
      </w:r>
    </w:p>
    <w:p>
      <w:pPr>
        <w:sectPr>
          <w:pgSz w:w="11900" w:h="16838" w:orient="portrait"/>
          <w:cols w:equalWidth="0" w:num="1">
            <w:col w:w="11360"/>
          </w:cols>
          <w:pgMar w:left="240" w:top="1440" w:right="299" w:bottom="1440" w:gutter="0" w:footer="0" w:header="0"/>
          <w:type w:val="continuous"/>
        </w:sectPr>
      </w:pPr>
    </w:p>
    <w:bookmarkStart w:id="97" w:name="page98"/>
    <w:bookmarkEnd w:id="97"/>
    <w:p>
      <w:pPr>
        <w:jc w:val="center"/>
        <w:ind w:right="-99"/>
        <w:spacing w:after="0"/>
        <w:rPr>
          <w:sz w:val="20"/>
          <w:szCs w:val="20"/>
          <w:color w:val="auto"/>
        </w:rPr>
      </w:pPr>
      <w:r>
        <w:rPr>
          <w:rFonts w:ascii="Arial" w:cs="Arial" w:eastAsia="Arial" w:hAnsi="Arial"/>
          <w:sz w:val="20"/>
          <w:szCs w:val="20"/>
          <w:b w:val="1"/>
          <w:bCs w:val="1"/>
          <w:color w:val="auto"/>
        </w:rPr>
        <w:t xml:space="preserve">Email to Employee Plan Participants </w:t>
      </w:r>
      <w:r>
        <w:rPr>
          <w:rFonts w:ascii="Arial" w:cs="Arial" w:eastAsia="Arial" w:hAnsi="Arial"/>
          <w:sz w:val="20"/>
          <w:szCs w:val="20"/>
          <w:color w:val="auto"/>
        </w:rPr>
        <w:t>(to be sent 03/19/19)</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Email subject will be:</w:t>
      </w:r>
    </w:p>
    <w:p>
      <w:pPr>
        <w:spacing w:after="0" w:line="25"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Important Notice Regarding Availability of Lockheed Martin</w:t>
      </w:r>
    </w:p>
    <w:p>
      <w:pPr>
        <w:jc w:val="center"/>
        <w:ind w:right="-99"/>
        <w:spacing w:after="0"/>
        <w:rPr>
          <w:sz w:val="20"/>
          <w:szCs w:val="20"/>
          <w:color w:val="auto"/>
        </w:rPr>
      </w:pPr>
      <w:r>
        <w:rPr>
          <w:rFonts w:ascii="Arial" w:cs="Arial" w:eastAsia="Arial" w:hAnsi="Arial"/>
          <w:sz w:val="20"/>
          <w:szCs w:val="20"/>
          <w:color w:val="auto"/>
        </w:rPr>
        <w:t>Proxy Materials</w:t>
      </w:r>
    </w:p>
    <w:p>
      <w:pPr>
        <w:spacing w:after="0" w:line="200" w:lineRule="exact"/>
        <w:rPr>
          <w:sz w:val="20"/>
          <w:szCs w:val="20"/>
          <w:color w:val="auto"/>
        </w:rPr>
      </w:pPr>
    </w:p>
    <w:p>
      <w:pPr>
        <w:spacing w:after="0" w:line="231" w:lineRule="exact"/>
        <w:rPr>
          <w:sz w:val="20"/>
          <w:szCs w:val="20"/>
          <w:color w:val="auto"/>
        </w:rPr>
      </w:pPr>
    </w:p>
    <w:p>
      <w:pPr>
        <w:ind w:right="760"/>
        <w:spacing w:after="0" w:line="293" w:lineRule="auto"/>
        <w:rPr>
          <w:sz w:val="20"/>
          <w:szCs w:val="20"/>
          <w:color w:val="auto"/>
        </w:rPr>
      </w:pPr>
      <w:r>
        <w:rPr>
          <w:rFonts w:ascii="Arial" w:cs="Arial" w:eastAsia="Arial" w:hAnsi="Arial"/>
          <w:sz w:val="20"/>
          <w:szCs w:val="20"/>
          <w:b w:val="1"/>
          <w:bCs w:val="1"/>
          <w:color w:val="auto"/>
        </w:rPr>
        <w:t>Annual Report, Proxy Statement and Voting Instructions for the Lockheed Martin Corporation Annual Meeting of Stockholders on April 25, 2019</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color w:val="auto"/>
        </w:rPr>
        <w:t>Proxy Login Control Number:</w:t>
      </w:r>
    </w:p>
    <w:p>
      <w:pPr>
        <w:spacing w:after="0" w:line="229"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To:</w:t>
        <w:tab/>
        <w:t>Lockheed Martin Corporation Savings Plan Participants</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20"/>
          <w:szCs w:val="20"/>
          <w:color w:val="auto"/>
        </w:rPr>
        <w:t xml:space="preserve">You are receiving this email because you are a participant in a Lockheed Martin Corporation savings plan. Instead of receiving your 2018 Annual Report and 2019 Proxy Statement (Proxy Materials) by mail, you can conveniently access your Proxy Materials and vote online at </w:t>
      </w:r>
      <w:r>
        <w:rPr>
          <w:rFonts w:ascii="Arial" w:cs="Arial" w:eastAsia="Arial" w:hAnsi="Arial"/>
          <w:sz w:val="20"/>
          <w:szCs w:val="20"/>
          <w:u w:val="single" w:color="auto"/>
          <w:color w:val="006EBF"/>
        </w:rPr>
        <w:t>www.investorvote.com</w:t>
      </w:r>
      <w:r>
        <w:rPr>
          <w:rFonts w:ascii="Arial" w:cs="Arial" w:eastAsia="Arial" w:hAnsi="Arial"/>
          <w:sz w:val="20"/>
          <w:szCs w:val="20"/>
          <w:color w:val="40AEFF"/>
        </w:rPr>
        <w:t>.</w:t>
      </w:r>
      <w:r>
        <w:rPr>
          <w:rFonts w:ascii="Arial" w:cs="Arial" w:eastAsia="Arial" w:hAnsi="Arial"/>
          <w:sz w:val="20"/>
          <w:szCs w:val="20"/>
          <w:color w:val="auto"/>
        </w:rPr>
        <w:t xml:space="preserve"> To view the Proxy Materials and cast your vote, enter the Proxy Login Control Number above (without any spaces) and follow the on-screen instructions.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color w:val="auto"/>
        </w:rPr>
        <w:t>To obtain a hard copy of Proxy Materials (free of charge):</w:t>
      </w:r>
    </w:p>
    <w:p>
      <w:pPr>
        <w:spacing w:after="0" w:line="25" w:lineRule="exact"/>
        <w:rPr>
          <w:sz w:val="20"/>
          <w:szCs w:val="20"/>
          <w:color w:val="auto"/>
        </w:rPr>
      </w:pPr>
    </w:p>
    <w:p>
      <w:pPr>
        <w:ind w:left="660" w:hanging="328"/>
        <w:spacing w:after="0"/>
        <w:tabs>
          <w:tab w:leader="none" w:pos="66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Call 1-877-223-3863 within the U.S.</w:t>
      </w:r>
    </w:p>
    <w:p>
      <w:pPr>
        <w:ind w:left="660" w:hanging="328"/>
        <w:spacing w:after="0"/>
        <w:tabs>
          <w:tab w:leader="none" w:pos="66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Call 1-267-468-0767 from outside the U.S.</w:t>
      </w:r>
    </w:p>
    <w:p>
      <w:pPr>
        <w:ind w:left="660" w:hanging="328"/>
        <w:spacing w:after="0"/>
        <w:tabs>
          <w:tab w:leader="none" w:pos="66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Requests must be received by 3:00 p.m., Eastern Daylight Time, on April 15, 2019</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Voting deadline:</w:t>
      </w:r>
    </w:p>
    <w:p>
      <w:pPr>
        <w:spacing w:after="0" w:line="26" w:lineRule="exact"/>
        <w:rPr>
          <w:sz w:val="20"/>
          <w:szCs w:val="20"/>
          <w:color w:val="auto"/>
        </w:rPr>
      </w:pPr>
    </w:p>
    <w:p>
      <w:pPr>
        <w:ind w:left="660" w:hanging="328"/>
        <w:spacing w:after="0"/>
        <w:tabs>
          <w:tab w:leader="none" w:pos="660" w:val="left"/>
        </w:tabs>
        <w:numPr>
          <w:ilvl w:val="0"/>
          <w:numId w:val="105"/>
        </w:numPr>
        <w:rPr>
          <w:rFonts w:ascii="Arial" w:cs="Arial" w:eastAsia="Arial" w:hAnsi="Arial"/>
          <w:sz w:val="20"/>
          <w:szCs w:val="20"/>
          <w:color w:val="auto"/>
        </w:rPr>
      </w:pPr>
      <w:r>
        <w:rPr>
          <w:rFonts w:ascii="Arial" w:cs="Arial" w:eastAsia="Arial" w:hAnsi="Arial"/>
          <w:sz w:val="20"/>
          <w:szCs w:val="20"/>
          <w:color w:val="auto"/>
        </w:rPr>
        <w:t>11:59 p.m., Eastern Daylight Time, on Monday, April 22, 2019</w:t>
      </w:r>
    </w:p>
    <w:p>
      <w:pPr>
        <w:spacing w:after="0" w:line="203" w:lineRule="exact"/>
        <w:rPr>
          <w:sz w:val="20"/>
          <w:szCs w:val="20"/>
          <w:color w:val="auto"/>
        </w:rPr>
      </w:pPr>
    </w:p>
    <w:p>
      <w:pPr>
        <w:ind w:right="40"/>
        <w:spacing w:after="0" w:line="253" w:lineRule="auto"/>
        <w:rPr>
          <w:sz w:val="20"/>
          <w:szCs w:val="20"/>
          <w:color w:val="auto"/>
        </w:rPr>
      </w:pPr>
      <w:r>
        <w:rPr>
          <w:rFonts w:ascii="Arial" w:cs="Arial" w:eastAsia="Arial" w:hAnsi="Arial"/>
          <w:sz w:val="20"/>
          <w:szCs w:val="20"/>
          <w:color w:val="auto"/>
        </w:rPr>
        <w:t xml:space="preserve">Please note that you may receive multiple proxy packages and voting instructions (electronically and/or by mail). These materials may not be duplicates as you may hold shares of Lockheed Martin stock in multiple accounts. Please be sure to vote </w:t>
      </w:r>
      <w:r>
        <w:rPr>
          <w:rFonts w:ascii="Arial" w:cs="Arial" w:eastAsia="Arial" w:hAnsi="Arial"/>
          <w:sz w:val="20"/>
          <w:szCs w:val="20"/>
          <w:i w:val="1"/>
          <w:iCs w:val="1"/>
          <w:color w:val="auto"/>
        </w:rPr>
        <w:t>all of your</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shares </w:t>
      </w:r>
      <w:r>
        <w:rPr>
          <w:rFonts w:ascii="Arial" w:cs="Arial" w:eastAsia="Arial" w:hAnsi="Arial"/>
          <w:sz w:val="20"/>
          <w:szCs w:val="20"/>
          <w:color w:val="auto"/>
        </w:rPr>
        <w:t>in each of your accounts in accordance with the directions on the proxy card(s) and/or voting instruction form(s) you</w:t>
      </w:r>
      <w:r>
        <w:rPr>
          <w:rFonts w:ascii="Arial" w:cs="Arial" w:eastAsia="Arial" w:hAnsi="Arial"/>
          <w:sz w:val="20"/>
          <w:szCs w:val="20"/>
          <w:i w:val="1"/>
          <w:iCs w:val="1"/>
          <w:color w:val="auto"/>
        </w:rPr>
        <w:t xml:space="preserve"> </w:t>
      </w:r>
      <w:r>
        <w:rPr>
          <w:rFonts w:ascii="Arial" w:cs="Arial" w:eastAsia="Arial" w:hAnsi="Arial"/>
          <w:sz w:val="20"/>
          <w:szCs w:val="20"/>
          <w:color w:val="auto"/>
        </w:rPr>
        <w:t>receive.</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color w:val="auto"/>
        </w:rPr>
        <w:t>Please cast your vote today!</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Computershare Trust Company, N.A.</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Independent Registrar and Transfer Agent for Lockheed Martin Corporation</w:t>
      </w:r>
    </w:p>
    <w:p>
      <w:pPr>
        <w:sectPr>
          <w:pgSz w:w="11900" w:h="16838" w:orient="portrait"/>
          <w:cols w:equalWidth="0" w:num="1">
            <w:col w:w="11320"/>
          </w:cols>
          <w:pgMar w:left="240" w:top="351" w:right="339" w:bottom="1440" w:gutter="0" w:footer="0" w:header="0"/>
        </w:sectPr>
      </w:pPr>
    </w:p>
    <w:bookmarkStart w:id="98" w:name="page99"/>
    <w:bookmarkEnd w:id="98"/>
    <w:p>
      <w:pPr>
        <w:ind w:left="1980"/>
        <w:spacing w:after="0"/>
        <w:rPr>
          <w:sz w:val="20"/>
          <w:szCs w:val="20"/>
          <w:color w:val="auto"/>
        </w:rPr>
      </w:pPr>
      <w:r>
        <w:rPr>
          <w:rFonts w:ascii="Arial" w:cs="Arial" w:eastAsia="Arial" w:hAnsi="Arial"/>
          <w:sz w:val="20"/>
          <w:szCs w:val="20"/>
          <w:b w:val="1"/>
          <w:bCs w:val="1"/>
          <w:color w:val="auto"/>
        </w:rPr>
        <w:t xml:space="preserve">Email Reminder to Employee Plan Participants </w:t>
      </w:r>
      <w:r>
        <w:rPr>
          <w:rFonts w:ascii="Arial" w:cs="Arial" w:eastAsia="Arial" w:hAnsi="Arial"/>
          <w:sz w:val="20"/>
          <w:szCs w:val="20"/>
          <w:color w:val="auto"/>
        </w:rPr>
        <w:t>(to be sent 04/02/19 and 04/11/19)</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Email will have date when sent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Email subject will be:</w:t>
      </w:r>
    </w:p>
    <w:p>
      <w:pPr>
        <w:spacing w:after="0" w:line="25"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Reminder Notice - Important Notice Regarding Availability of Lockheed Martin</w:t>
      </w:r>
    </w:p>
    <w:p>
      <w:pPr>
        <w:jc w:val="center"/>
        <w:ind w:right="-99"/>
        <w:spacing w:after="0"/>
        <w:rPr>
          <w:sz w:val="20"/>
          <w:szCs w:val="20"/>
          <w:color w:val="auto"/>
        </w:rPr>
      </w:pPr>
      <w:r>
        <w:rPr>
          <w:rFonts w:ascii="Arial" w:cs="Arial" w:eastAsia="Arial" w:hAnsi="Arial"/>
          <w:sz w:val="20"/>
          <w:szCs w:val="20"/>
          <w:color w:val="auto"/>
        </w:rPr>
        <w:t>Proxy Materials</w:t>
      </w:r>
    </w:p>
    <w:p>
      <w:pPr>
        <w:spacing w:after="0" w:line="200" w:lineRule="exact"/>
        <w:rPr>
          <w:sz w:val="20"/>
          <w:szCs w:val="20"/>
          <w:color w:val="auto"/>
        </w:rPr>
      </w:pPr>
    </w:p>
    <w:p>
      <w:pPr>
        <w:spacing w:after="0" w:line="231" w:lineRule="exact"/>
        <w:rPr>
          <w:sz w:val="20"/>
          <w:szCs w:val="20"/>
          <w:color w:val="auto"/>
        </w:rPr>
      </w:pPr>
    </w:p>
    <w:p>
      <w:pPr>
        <w:ind w:right="760"/>
        <w:spacing w:after="0" w:line="293" w:lineRule="auto"/>
        <w:rPr>
          <w:sz w:val="20"/>
          <w:szCs w:val="20"/>
          <w:color w:val="auto"/>
        </w:rPr>
      </w:pPr>
      <w:r>
        <w:rPr>
          <w:rFonts w:ascii="Arial" w:cs="Arial" w:eastAsia="Arial" w:hAnsi="Arial"/>
          <w:sz w:val="20"/>
          <w:szCs w:val="20"/>
          <w:b w:val="1"/>
          <w:bCs w:val="1"/>
          <w:color w:val="auto"/>
        </w:rPr>
        <w:t>Annual Report, Proxy Statement and Voting Instructions for the Lockheed Martin Corporation Annual Meeting of Stockholders on April 25, 2019</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color w:val="auto"/>
        </w:rPr>
        <w:t>Proxy Login Control Number:</w:t>
      </w:r>
    </w:p>
    <w:p>
      <w:pPr>
        <w:spacing w:after="0" w:line="229"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To:</w:t>
        <w:tab/>
        <w:t>Lockheed Martin Corporation Savings Plan Participants</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20"/>
          <w:szCs w:val="20"/>
          <w:color w:val="auto"/>
        </w:rPr>
        <w:t xml:space="preserve">You are receiving this email because you are a participant in a Lockheed Martin Corporation savings plan. Instead of receiving your 2018 Annual Report and 2019 Proxy Statement (Proxy Materials) by mail, you can conveniently access your Proxy Materials and vote online at </w:t>
      </w:r>
      <w:r>
        <w:rPr>
          <w:rFonts w:ascii="Arial" w:cs="Arial" w:eastAsia="Arial" w:hAnsi="Arial"/>
          <w:sz w:val="20"/>
          <w:szCs w:val="20"/>
          <w:u w:val="single" w:color="auto"/>
          <w:color w:val="006EBF"/>
        </w:rPr>
        <w:t>www.investorvote.com</w:t>
      </w:r>
      <w:r>
        <w:rPr>
          <w:rFonts w:ascii="Arial" w:cs="Arial" w:eastAsia="Arial" w:hAnsi="Arial"/>
          <w:sz w:val="20"/>
          <w:szCs w:val="20"/>
          <w:color w:val="auto"/>
        </w:rPr>
        <w:t>. To view the Proxy Materials and cast your vote, enter the Proxy Login Control Number above (without any spaces) and follow the on-screen instructions.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color w:val="auto"/>
        </w:rPr>
        <w:t>To obtain a hard copy of Proxy Materials (free of charge):</w:t>
      </w:r>
    </w:p>
    <w:p>
      <w:pPr>
        <w:spacing w:after="0" w:line="25" w:lineRule="exact"/>
        <w:rPr>
          <w:sz w:val="20"/>
          <w:szCs w:val="20"/>
          <w:color w:val="auto"/>
        </w:rPr>
      </w:pPr>
    </w:p>
    <w:p>
      <w:pPr>
        <w:ind w:left="660" w:hanging="328"/>
        <w:spacing w:after="0"/>
        <w:tabs>
          <w:tab w:leader="none" w:pos="660" w:val="left"/>
        </w:tabs>
        <w:numPr>
          <w:ilvl w:val="0"/>
          <w:numId w:val="106"/>
        </w:numPr>
        <w:rPr>
          <w:rFonts w:ascii="Arial" w:cs="Arial" w:eastAsia="Arial" w:hAnsi="Arial"/>
          <w:sz w:val="20"/>
          <w:szCs w:val="20"/>
          <w:color w:val="auto"/>
        </w:rPr>
      </w:pPr>
      <w:r>
        <w:rPr>
          <w:rFonts w:ascii="Arial" w:cs="Arial" w:eastAsia="Arial" w:hAnsi="Arial"/>
          <w:sz w:val="20"/>
          <w:szCs w:val="20"/>
          <w:color w:val="auto"/>
        </w:rPr>
        <w:t>Call 1-877-223-3863 within the U.S.</w:t>
      </w:r>
    </w:p>
    <w:p>
      <w:pPr>
        <w:ind w:left="660" w:hanging="328"/>
        <w:spacing w:after="0"/>
        <w:tabs>
          <w:tab w:leader="none" w:pos="660" w:val="left"/>
        </w:tabs>
        <w:numPr>
          <w:ilvl w:val="0"/>
          <w:numId w:val="106"/>
        </w:numPr>
        <w:rPr>
          <w:rFonts w:ascii="Arial" w:cs="Arial" w:eastAsia="Arial" w:hAnsi="Arial"/>
          <w:sz w:val="20"/>
          <w:szCs w:val="20"/>
          <w:color w:val="auto"/>
        </w:rPr>
      </w:pPr>
      <w:r>
        <w:rPr>
          <w:rFonts w:ascii="Arial" w:cs="Arial" w:eastAsia="Arial" w:hAnsi="Arial"/>
          <w:sz w:val="20"/>
          <w:szCs w:val="20"/>
          <w:color w:val="auto"/>
        </w:rPr>
        <w:t>Call 1-267-468-0767 from outside the U.S.</w:t>
      </w:r>
    </w:p>
    <w:p>
      <w:pPr>
        <w:ind w:left="660" w:hanging="328"/>
        <w:spacing w:after="0"/>
        <w:tabs>
          <w:tab w:leader="none" w:pos="660" w:val="left"/>
        </w:tabs>
        <w:numPr>
          <w:ilvl w:val="0"/>
          <w:numId w:val="106"/>
        </w:numPr>
        <w:rPr>
          <w:rFonts w:ascii="Arial" w:cs="Arial" w:eastAsia="Arial" w:hAnsi="Arial"/>
          <w:sz w:val="20"/>
          <w:szCs w:val="20"/>
          <w:color w:val="auto"/>
        </w:rPr>
      </w:pPr>
      <w:r>
        <w:rPr>
          <w:rFonts w:ascii="Arial" w:cs="Arial" w:eastAsia="Arial" w:hAnsi="Arial"/>
          <w:sz w:val="20"/>
          <w:szCs w:val="20"/>
          <w:color w:val="auto"/>
        </w:rPr>
        <w:t>Requests must be received by 3:00 p.m., Eastern Daylight Time, on April 15, 2019</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Voting deadline:</w:t>
      </w:r>
    </w:p>
    <w:p>
      <w:pPr>
        <w:spacing w:after="0" w:line="26" w:lineRule="exact"/>
        <w:rPr>
          <w:sz w:val="20"/>
          <w:szCs w:val="20"/>
          <w:color w:val="auto"/>
        </w:rPr>
      </w:pPr>
    </w:p>
    <w:p>
      <w:pPr>
        <w:ind w:left="660" w:hanging="328"/>
        <w:spacing w:after="0"/>
        <w:tabs>
          <w:tab w:leader="none" w:pos="660" w:val="left"/>
        </w:tabs>
        <w:numPr>
          <w:ilvl w:val="0"/>
          <w:numId w:val="107"/>
        </w:numPr>
        <w:rPr>
          <w:rFonts w:ascii="Arial" w:cs="Arial" w:eastAsia="Arial" w:hAnsi="Arial"/>
          <w:sz w:val="20"/>
          <w:szCs w:val="20"/>
          <w:color w:val="auto"/>
        </w:rPr>
      </w:pPr>
      <w:r>
        <w:rPr>
          <w:rFonts w:ascii="Arial" w:cs="Arial" w:eastAsia="Arial" w:hAnsi="Arial"/>
          <w:sz w:val="20"/>
          <w:szCs w:val="20"/>
          <w:color w:val="auto"/>
        </w:rPr>
        <w:t>11:59 p.m., Eastern Daylight Time, on Monday, April 22, 2019</w:t>
      </w:r>
    </w:p>
    <w:p>
      <w:pPr>
        <w:spacing w:after="0" w:line="203" w:lineRule="exact"/>
        <w:rPr>
          <w:sz w:val="20"/>
          <w:szCs w:val="20"/>
          <w:color w:val="auto"/>
        </w:rPr>
      </w:pPr>
    </w:p>
    <w:p>
      <w:pPr>
        <w:ind w:right="40"/>
        <w:spacing w:after="0" w:line="253" w:lineRule="auto"/>
        <w:rPr>
          <w:sz w:val="20"/>
          <w:szCs w:val="20"/>
          <w:color w:val="auto"/>
        </w:rPr>
      </w:pPr>
      <w:r>
        <w:rPr>
          <w:rFonts w:ascii="Arial" w:cs="Arial" w:eastAsia="Arial" w:hAnsi="Arial"/>
          <w:sz w:val="20"/>
          <w:szCs w:val="20"/>
          <w:color w:val="auto"/>
        </w:rPr>
        <w:t xml:space="preserve">Please note that you may receive multiple proxy packages and voting instructions (electronically and/or by mail). These materials may not be duplicates as you may hold shares of Lockheed Martin stock in multiple accounts. Please be sure to vote </w:t>
      </w:r>
      <w:r>
        <w:rPr>
          <w:rFonts w:ascii="Arial" w:cs="Arial" w:eastAsia="Arial" w:hAnsi="Arial"/>
          <w:sz w:val="20"/>
          <w:szCs w:val="20"/>
          <w:i w:val="1"/>
          <w:iCs w:val="1"/>
          <w:color w:val="auto"/>
        </w:rPr>
        <w:t>all of your</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shares </w:t>
      </w:r>
      <w:r>
        <w:rPr>
          <w:rFonts w:ascii="Arial" w:cs="Arial" w:eastAsia="Arial" w:hAnsi="Arial"/>
          <w:sz w:val="20"/>
          <w:szCs w:val="20"/>
          <w:color w:val="auto"/>
        </w:rPr>
        <w:t>in each of your accounts in accordance with the directions on the proxy card(s) and/or voting instruction form(s) you</w:t>
      </w:r>
      <w:r>
        <w:rPr>
          <w:rFonts w:ascii="Arial" w:cs="Arial" w:eastAsia="Arial" w:hAnsi="Arial"/>
          <w:sz w:val="20"/>
          <w:szCs w:val="20"/>
          <w:i w:val="1"/>
          <w:iCs w:val="1"/>
          <w:color w:val="auto"/>
        </w:rPr>
        <w:t xml:space="preserve"> </w:t>
      </w:r>
      <w:r>
        <w:rPr>
          <w:rFonts w:ascii="Arial" w:cs="Arial" w:eastAsia="Arial" w:hAnsi="Arial"/>
          <w:sz w:val="20"/>
          <w:szCs w:val="20"/>
          <w:color w:val="auto"/>
        </w:rPr>
        <w:t>receive.</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color w:val="auto"/>
        </w:rPr>
        <w:t>Please cast your vote today!</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Computershare Trust Company, N.A.</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Independent Registrar and Transfer Agent for Lockheed Martin Corporation</w:t>
      </w:r>
    </w:p>
    <w:p>
      <w:pPr>
        <w:sectPr>
          <w:pgSz w:w="11900" w:h="16838" w:orient="portrait"/>
          <w:cols w:equalWidth="0" w:num="1">
            <w:col w:w="11320"/>
          </w:cols>
          <w:pgMar w:left="240" w:top="351" w:right="339" w:bottom="1440" w:gutter="0" w:footer="0" w:header="0"/>
        </w:sectPr>
      </w:pPr>
    </w:p>
    <w:bookmarkStart w:id="99" w:name="page100"/>
    <w:bookmarkEnd w:id="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883275" cy="76155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clrChange>
                        <a:clrFrom>
                          <a:srgbClr val="FFFFFF"/>
                        </a:clrFrom>
                        <a:clrTo>
                          <a:srgbClr val="FFFFFF">
                            <a:alpha val="0"/>
                          </a:srgbClr>
                        </a:clrTo>
                      </a:clrChange>
                      <a:extLst>
                        <a:ext uri="{28A0092B-C50C-407E-A947-70E740481C1C}"/>
                      </a:extLst>
                    </a:blip>
                    <a:srcRect/>
                    <a:stretch>
                      <a:fillRect/>
                    </a:stretch>
                  </pic:blipFill>
                  <pic:spPr bwMode="auto">
                    <a:xfrm>
                      <a:off x="0" y="0"/>
                      <a:ext cx="5883275" cy="7615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883275" cy="76155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clrChange>
                        <a:clrFrom>
                          <a:srgbClr val="FFFFFF"/>
                        </a:clrFrom>
                        <a:clrTo>
                          <a:srgbClr val="FFFFFF">
                            <a:alpha val="0"/>
                          </a:srgbClr>
                        </a:clrTo>
                      </a:clrChange>
                      <a:extLst>
                        <a:ext uri="{28A0092B-C50C-407E-A947-70E740481C1C}"/>
                      </a:extLst>
                    </a:blip>
                    <a:srcRect/>
                    <a:stretch>
                      <a:fillRect/>
                    </a:stretch>
                  </pic:blipFill>
                  <pic:spPr bwMode="auto">
                    <a:xfrm>
                      <a:off x="0" y="0"/>
                      <a:ext cx="5883275" cy="76155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74A3FE6"/>
    <w:multiLevelType w:val="hybridMultilevel"/>
    <w:lvl w:ilvl="0">
      <w:lvlJc w:val="left"/>
      <w:lvlText w:val="☐"/>
      <w:numFmt w:val="bullet"/>
      <w:start w:val="1"/>
    </w:lvl>
  </w:abstractNum>
  <w:abstractNum w:abstractNumId="1">
    <w:nsid w:val="4F4EF005"/>
    <w:multiLevelType w:val="hybridMultilevel"/>
    <w:lvl w:ilvl="0">
      <w:lvlJc w:val="left"/>
      <w:lvlText w:val="☑"/>
      <w:numFmt w:val="bullet"/>
      <w:start w:val="1"/>
    </w:lvl>
  </w:abstractNum>
  <w:abstractNum w:abstractNumId="2">
    <w:nsid w:val="23F9C13C"/>
    <w:multiLevelType w:val="hybridMultilevel"/>
    <w:lvl w:ilvl="0">
      <w:lvlJc w:val="left"/>
      <w:lvlText w:val="☐"/>
      <w:numFmt w:val="bullet"/>
      <w:start w:val="1"/>
    </w:lvl>
  </w:abstractNum>
  <w:abstractNum w:abstractNumId="3">
    <w:nsid w:val="649BB77C"/>
    <w:multiLevelType w:val="hybridMultilevel"/>
    <w:lvl w:ilvl="0">
      <w:lvlJc w:val="left"/>
      <w:lvlText w:val="☑"/>
      <w:numFmt w:val="bullet"/>
      <w:start w:val="1"/>
    </w:lvl>
  </w:abstractNum>
  <w:abstractNum w:abstractNumId="4">
    <w:nsid w:val="275AC794"/>
    <w:multiLevelType w:val="hybridMultilevel"/>
    <w:lvl w:ilvl="0">
      <w:lvlJc w:val="left"/>
      <w:lvlText w:val="☐"/>
      <w:numFmt w:val="bullet"/>
      <w:start w:val="1"/>
    </w:lvl>
    <w:lvl w:ilvl="1">
      <w:lvlJc w:val="left"/>
      <w:lvlText w:val="%2)"/>
      <w:numFmt w:val="decimal"/>
      <w:start w:val="1"/>
    </w:lvl>
  </w:abstractNum>
  <w:abstractNum w:abstractNumId="5">
    <w:nsid w:val="39386575"/>
    <w:multiLevelType w:val="hybridMultilevel"/>
    <w:lvl w:ilvl="0">
      <w:lvlJc w:val="left"/>
      <w:lvlText w:val="•"/>
      <w:numFmt w:val="bullet"/>
      <w:start w:val="1"/>
    </w:lvl>
  </w:abstractNum>
  <w:abstractNum w:abstractNumId="6">
    <w:nsid w:val="1CF10FD8"/>
    <w:multiLevelType w:val="hybridMultilevel"/>
    <w:lvl w:ilvl="0">
      <w:lvlJc w:val="left"/>
      <w:lvlText w:val="*"/>
      <w:numFmt w:val="bullet"/>
      <w:start w:val="1"/>
    </w:lvl>
  </w:abstractNum>
  <w:abstractNum w:abstractNumId="7">
    <w:nsid w:val="180115BE"/>
    <w:multiLevelType w:val="hybridMultilevel"/>
    <w:lvl w:ilvl="0">
      <w:lvlJc w:val="left"/>
      <w:lvlText w:val="7"/>
      <w:numFmt w:val="bullet"/>
      <w:start w:val="1"/>
    </w:lvl>
  </w:abstractNum>
  <w:abstractNum w:abstractNumId="8">
    <w:nsid w:val="235BA861"/>
    <w:multiLevelType w:val="hybridMultilevel"/>
    <w:lvl w:ilvl="0">
      <w:lvlJc w:val="left"/>
      <w:lvlText w:val="7"/>
      <w:numFmt w:val="bullet"/>
      <w:start w:val="1"/>
    </w:lvl>
  </w:abstractNum>
  <w:abstractNum w:abstractNumId="9">
    <w:nsid w:val="47398C89"/>
    <w:multiLevelType w:val="hybridMultilevel"/>
    <w:lvl w:ilvl="0">
      <w:lvlJc w:val="left"/>
      <w:lvlText w:val="6"/>
      <w:numFmt w:val="bullet"/>
      <w:start w:val="1"/>
    </w:lvl>
  </w:abstractNum>
  <w:abstractNum w:abstractNumId="10">
    <w:nsid w:val="354FE9F9"/>
    <w:multiLevelType w:val="hybridMultilevel"/>
    <w:lvl w:ilvl="0">
      <w:lvlJc w:val="left"/>
      <w:lvlText w:val="3"/>
      <w:numFmt w:val="bullet"/>
      <w:start w:val="1"/>
    </w:lvl>
  </w:abstractNum>
  <w:abstractNum w:abstractNumId="11">
    <w:nsid w:val="15B5AF5C"/>
    <w:multiLevelType w:val="hybridMultilevel"/>
    <w:lvl w:ilvl="0">
      <w:lvlJc w:val="left"/>
      <w:lvlText w:val="5"/>
      <w:numFmt w:val="bullet"/>
      <w:start w:val="1"/>
    </w:lvl>
  </w:abstractNum>
  <w:abstractNum w:abstractNumId="12">
    <w:nsid w:val="741226BB"/>
    <w:multiLevelType w:val="hybridMultilevel"/>
    <w:lvl w:ilvl="0">
      <w:lvlJc w:val="left"/>
      <w:lvlText w:val="•"/>
      <w:numFmt w:val="bullet"/>
      <w:start w:val="1"/>
    </w:lvl>
  </w:abstractNum>
  <w:abstractNum w:abstractNumId="13">
    <w:nsid w:val="D34B6A8"/>
    <w:multiLevelType w:val="hybridMultilevel"/>
    <w:lvl w:ilvl="0">
      <w:lvlJc w:val="left"/>
      <w:lvlText w:val="•"/>
      <w:numFmt w:val="bullet"/>
      <w:start w:val="1"/>
    </w:lvl>
  </w:abstractNum>
  <w:abstractNum w:abstractNumId="14">
    <w:nsid w:val="10233C99"/>
    <w:multiLevelType w:val="hybridMultilevel"/>
    <w:lvl w:ilvl="0">
      <w:lvlJc w:val="left"/>
      <w:lvlText w:val="•"/>
      <w:numFmt w:val="bullet"/>
      <w:start w:val="1"/>
    </w:lvl>
  </w:abstractNum>
  <w:abstractNum w:abstractNumId="15">
    <w:nsid w:val="3F6AB60F"/>
    <w:multiLevelType w:val="hybridMultilevel"/>
    <w:lvl w:ilvl="0">
      <w:lvlJc w:val="left"/>
      <w:lvlText w:val="•"/>
      <w:numFmt w:val="bullet"/>
      <w:start w:val="1"/>
    </w:lvl>
  </w:abstractNum>
  <w:abstractNum w:abstractNumId="16">
    <w:nsid w:val="61574095"/>
    <w:multiLevelType w:val="hybridMultilevel"/>
    <w:lvl w:ilvl="0">
      <w:lvlJc w:val="left"/>
      <w:lvlText w:val="•"/>
      <w:numFmt w:val="bullet"/>
      <w:start w:val="1"/>
    </w:lvl>
  </w:abstractNum>
  <w:abstractNum w:abstractNumId="17">
    <w:nsid w:val="7E0C57B1"/>
    <w:multiLevelType w:val="hybridMultilevel"/>
    <w:lvl w:ilvl="0">
      <w:lvlJc w:val="left"/>
      <w:lvlText w:val="•"/>
      <w:numFmt w:val="bullet"/>
      <w:start w:val="1"/>
    </w:lvl>
  </w:abstractNum>
  <w:abstractNum w:abstractNumId="18">
    <w:nsid w:val="77AE35EB"/>
    <w:multiLevelType w:val="hybridMultilevel"/>
    <w:lvl w:ilvl="0">
      <w:lvlJc w:val="left"/>
      <w:lvlText w:val="•"/>
      <w:numFmt w:val="bullet"/>
      <w:start w:val="1"/>
    </w:lvl>
  </w:abstractNum>
  <w:abstractNum w:abstractNumId="19">
    <w:nsid w:val="579BE4F1"/>
    <w:multiLevelType w:val="hybridMultilevel"/>
    <w:lvl w:ilvl="0">
      <w:lvlJc w:val="left"/>
      <w:lvlText w:val="•"/>
      <w:numFmt w:val="bullet"/>
      <w:start w:val="1"/>
    </w:lvl>
  </w:abstractNum>
  <w:abstractNum w:abstractNumId="20">
    <w:nsid w:val="310C50B3"/>
    <w:multiLevelType w:val="hybridMultilevel"/>
    <w:lvl w:ilvl="0">
      <w:lvlJc w:val="left"/>
      <w:lvlText w:val="•"/>
      <w:numFmt w:val="bullet"/>
      <w:start w:val="1"/>
    </w:lvl>
  </w:abstractNum>
  <w:abstractNum w:abstractNumId="21">
    <w:nsid w:val="5FF87E05"/>
    <w:multiLevelType w:val="hybridMultilevel"/>
    <w:lvl w:ilvl="0">
      <w:lvlJc w:val="left"/>
      <w:lvlText w:val="•"/>
      <w:numFmt w:val="bullet"/>
      <w:start w:val="1"/>
    </w:lvl>
  </w:abstractNum>
  <w:abstractNum w:abstractNumId="22">
    <w:nsid w:val="2F305DEF"/>
    <w:multiLevelType w:val="hybridMultilevel"/>
    <w:lvl w:ilvl="0">
      <w:lvlJc w:val="left"/>
      <w:lvlText w:val="•"/>
      <w:numFmt w:val="bullet"/>
      <w:start w:val="1"/>
    </w:lvl>
  </w:abstractNum>
  <w:abstractNum w:abstractNumId="23">
    <w:nsid w:val="25A70BF7"/>
    <w:multiLevelType w:val="hybridMultilevel"/>
    <w:lvl w:ilvl="0">
      <w:lvlJc w:val="left"/>
      <w:lvlText w:val="•"/>
      <w:numFmt w:val="bullet"/>
      <w:start w:val="1"/>
    </w:lvl>
  </w:abstractNum>
  <w:abstractNum w:abstractNumId="24">
    <w:nsid w:val="1DBABF00"/>
    <w:multiLevelType w:val="hybridMultilevel"/>
    <w:lvl w:ilvl="0">
      <w:lvlJc w:val="left"/>
      <w:lvlText w:val="*"/>
      <w:numFmt w:val="bullet"/>
      <w:start w:val="1"/>
    </w:lvl>
  </w:abstractNum>
  <w:abstractNum w:abstractNumId="25">
    <w:nsid w:val="4AD084E9"/>
    <w:multiLevelType w:val="hybridMultilevel"/>
    <w:lvl w:ilvl="0">
      <w:lvlJc w:val="left"/>
      <w:lvlText w:val="•"/>
      <w:numFmt w:val="bullet"/>
      <w:start w:val="1"/>
    </w:lvl>
  </w:abstractNum>
  <w:abstractNum w:abstractNumId="26">
    <w:nsid w:val="1F48EAA1"/>
    <w:multiLevelType w:val="hybridMultilevel"/>
    <w:lvl w:ilvl="0">
      <w:lvlJc w:val="left"/>
      <w:lvlText w:val="•"/>
      <w:numFmt w:val="bullet"/>
      <w:start w:val="1"/>
    </w:lvl>
  </w:abstractNum>
  <w:abstractNum w:abstractNumId="27">
    <w:nsid w:val="1381823A"/>
    <w:multiLevelType w:val="hybridMultilevel"/>
    <w:lvl w:ilvl="0">
      <w:lvlJc w:val="left"/>
      <w:lvlText w:val="•"/>
      <w:numFmt w:val="bullet"/>
      <w:start w:val="1"/>
    </w:lvl>
  </w:abstractNum>
  <w:abstractNum w:abstractNumId="28">
    <w:nsid w:val="5DB70AE5"/>
    <w:multiLevelType w:val="hybridMultilevel"/>
    <w:lvl w:ilvl="0">
      <w:lvlJc w:val="left"/>
      <w:lvlText w:val="•"/>
      <w:numFmt w:val="bullet"/>
      <w:start w:val="1"/>
    </w:lvl>
  </w:abstractNum>
  <w:abstractNum w:abstractNumId="29">
    <w:nsid w:val="100F8FCA"/>
    <w:multiLevelType w:val="hybridMultilevel"/>
    <w:lvl w:ilvl="0">
      <w:lvlJc w:val="left"/>
      <w:lvlText w:val="•"/>
      <w:numFmt w:val="bullet"/>
      <w:start w:val="1"/>
    </w:lvl>
  </w:abstractNum>
  <w:abstractNum w:abstractNumId="30">
    <w:nsid w:val="6590700B"/>
    <w:multiLevelType w:val="hybridMultilevel"/>
    <w:lvl w:ilvl="0">
      <w:lvlJc w:val="left"/>
      <w:lvlText w:val="•"/>
      <w:numFmt w:val="bullet"/>
      <w:start w:val="1"/>
    </w:lvl>
  </w:abstractNum>
  <w:abstractNum w:abstractNumId="31">
    <w:nsid w:val="15014ACB"/>
    <w:multiLevelType w:val="hybridMultilevel"/>
    <w:lvl w:ilvl="0">
      <w:lvlJc w:val="left"/>
      <w:lvlText w:val="•"/>
      <w:numFmt w:val="bullet"/>
      <w:start w:val="1"/>
    </w:lvl>
  </w:abstractNum>
  <w:abstractNum w:abstractNumId="32">
    <w:nsid w:val="5F5E7FD0"/>
    <w:multiLevelType w:val="hybridMultilevel"/>
    <w:lvl w:ilvl="0">
      <w:lvlJc w:val="left"/>
      <w:lvlText w:val="•"/>
      <w:numFmt w:val="bullet"/>
      <w:start w:val="1"/>
    </w:lvl>
  </w:abstractNum>
  <w:abstractNum w:abstractNumId="33">
    <w:nsid w:val="98A3148"/>
    <w:multiLevelType w:val="hybridMultilevel"/>
    <w:lvl w:ilvl="0">
      <w:lvlJc w:val="left"/>
      <w:lvlText w:val="•"/>
      <w:numFmt w:val="bullet"/>
      <w:start w:val="1"/>
    </w:lvl>
  </w:abstractNum>
  <w:abstractNum w:abstractNumId="34">
    <w:nsid w:val="799D0247"/>
    <w:multiLevelType w:val="hybridMultilevel"/>
    <w:lvl w:ilvl="0">
      <w:lvlJc w:val="left"/>
      <w:lvlText w:val="•"/>
      <w:numFmt w:val="bullet"/>
      <w:start w:val="1"/>
    </w:lvl>
  </w:abstractNum>
  <w:abstractNum w:abstractNumId="35">
    <w:nsid w:val="6B94764"/>
    <w:multiLevelType w:val="hybridMultilevel"/>
    <w:lvl w:ilvl="0">
      <w:lvlJc w:val="left"/>
      <w:lvlText w:val="•"/>
      <w:numFmt w:val="bullet"/>
      <w:start w:val="1"/>
    </w:lvl>
  </w:abstractNum>
  <w:abstractNum w:abstractNumId="36">
    <w:nsid w:val="42C296BD"/>
    <w:multiLevelType w:val="hybridMultilevel"/>
    <w:lvl w:ilvl="0">
      <w:lvlJc w:val="left"/>
      <w:lvlText w:val="•"/>
      <w:numFmt w:val="bullet"/>
      <w:start w:val="1"/>
    </w:lvl>
  </w:abstractNum>
  <w:abstractNum w:abstractNumId="37">
    <w:nsid w:val="168E121F"/>
    <w:multiLevelType w:val="hybridMultilevel"/>
    <w:lvl w:ilvl="0">
      <w:lvlJc w:val="left"/>
      <w:lvlText w:val="•"/>
      <w:numFmt w:val="bullet"/>
      <w:start w:val="1"/>
    </w:lvl>
  </w:abstractNum>
  <w:abstractNum w:abstractNumId="38">
    <w:nsid w:val="1EBA5D23"/>
    <w:multiLevelType w:val="hybridMultilevel"/>
    <w:lvl w:ilvl="0">
      <w:lvlJc w:val="left"/>
      <w:lvlText w:val="•"/>
      <w:numFmt w:val="bullet"/>
      <w:start w:val="1"/>
    </w:lvl>
  </w:abstractNum>
  <w:abstractNum w:abstractNumId="39">
    <w:nsid w:val="661E3F1E"/>
    <w:multiLevelType w:val="hybridMultilevel"/>
    <w:lvl w:ilvl="0">
      <w:lvlJc w:val="left"/>
      <w:lvlText w:val="•"/>
      <w:numFmt w:val="bullet"/>
      <w:start w:val="1"/>
    </w:lvl>
  </w:abstractNum>
  <w:abstractNum w:abstractNumId="40">
    <w:nsid w:val="5DC79EA8"/>
    <w:multiLevelType w:val="hybridMultilevel"/>
    <w:lvl w:ilvl="0">
      <w:lvlJc w:val="left"/>
      <w:lvlText w:val="•"/>
      <w:numFmt w:val="bullet"/>
      <w:start w:val="1"/>
    </w:lvl>
  </w:abstractNum>
  <w:abstractNum w:abstractNumId="41">
    <w:nsid w:val="540A471C"/>
    <w:multiLevelType w:val="hybridMultilevel"/>
    <w:lvl w:ilvl="0">
      <w:lvlJc w:val="left"/>
      <w:lvlText w:val="•"/>
      <w:numFmt w:val="bullet"/>
      <w:start w:val="1"/>
    </w:lvl>
  </w:abstractNum>
  <w:abstractNum w:abstractNumId="42">
    <w:nsid w:val="7BD3EE7B"/>
    <w:multiLevelType w:val="hybridMultilevel"/>
    <w:lvl w:ilvl="0">
      <w:lvlJc w:val="left"/>
      <w:lvlText w:val="•"/>
      <w:numFmt w:val="bullet"/>
      <w:start w:val="1"/>
    </w:lvl>
  </w:abstractNum>
  <w:abstractNum w:abstractNumId="43">
    <w:nsid w:val="51D9C564"/>
    <w:multiLevelType w:val="hybridMultilevel"/>
    <w:lvl w:ilvl="0">
      <w:lvlJc w:val="left"/>
      <w:lvlText w:val="•"/>
      <w:numFmt w:val="bullet"/>
      <w:start w:val="1"/>
    </w:lvl>
  </w:abstractNum>
  <w:abstractNum w:abstractNumId="44">
    <w:nsid w:val="613EFDC5"/>
    <w:multiLevelType w:val="hybridMultilevel"/>
    <w:lvl w:ilvl="0">
      <w:lvlJc w:val="left"/>
      <w:lvlText w:val="•"/>
      <w:numFmt w:val="bullet"/>
      <w:start w:val="1"/>
    </w:lvl>
  </w:abstractNum>
  <w:abstractNum w:abstractNumId="45">
    <w:nsid w:val="BF72B14"/>
    <w:multiLevelType w:val="hybridMultilevel"/>
    <w:lvl w:ilvl="0">
      <w:lvlJc w:val="left"/>
      <w:lvlText w:val="•"/>
      <w:numFmt w:val="bullet"/>
      <w:start w:val="1"/>
    </w:lvl>
  </w:abstractNum>
  <w:abstractNum w:abstractNumId="46">
    <w:nsid w:val="11447B73"/>
    <w:multiLevelType w:val="hybridMultilevel"/>
    <w:lvl w:ilvl="0">
      <w:lvlJc w:val="left"/>
      <w:lvlText w:val="•"/>
      <w:numFmt w:val="bullet"/>
      <w:start w:val="1"/>
    </w:lvl>
  </w:abstractNum>
  <w:abstractNum w:abstractNumId="47">
    <w:nsid w:val="42963E5A"/>
    <w:multiLevelType w:val="hybridMultilevel"/>
    <w:lvl w:ilvl="0">
      <w:lvlJc w:val="left"/>
      <w:lvlText w:val="•"/>
      <w:numFmt w:val="bullet"/>
      <w:start w:val="1"/>
    </w:lvl>
  </w:abstractNum>
  <w:abstractNum w:abstractNumId="48">
    <w:nsid w:val="A0382C5"/>
    <w:multiLevelType w:val="hybridMultilevel"/>
    <w:lvl w:ilvl="0">
      <w:lvlJc w:val="left"/>
      <w:lvlText w:val="*"/>
      <w:numFmt w:val="bullet"/>
      <w:start w:val="1"/>
    </w:lvl>
  </w:abstractNum>
  <w:abstractNum w:abstractNumId="49">
    <w:nsid w:val="8F2B15E"/>
    <w:multiLevelType w:val="hybridMultilevel"/>
    <w:lvl w:ilvl="0">
      <w:lvlJc w:val="left"/>
      <w:lvlText w:val="•"/>
      <w:numFmt w:val="bullet"/>
      <w:start w:val="1"/>
    </w:lvl>
  </w:abstractNum>
  <w:abstractNum w:abstractNumId="50">
    <w:nsid w:val="1A32234B"/>
    <w:multiLevelType w:val="hybridMultilevel"/>
    <w:lvl w:ilvl="0">
      <w:lvlJc w:val="left"/>
      <w:lvlText w:val="•"/>
      <w:numFmt w:val="bullet"/>
      <w:start w:val="1"/>
    </w:lvl>
  </w:abstractNum>
  <w:abstractNum w:abstractNumId="51">
    <w:nsid w:val="3B0FD379"/>
    <w:multiLevelType w:val="hybridMultilevel"/>
    <w:lvl w:ilvl="0">
      <w:lvlJc w:val="left"/>
      <w:lvlText w:val="•"/>
      <w:numFmt w:val="bullet"/>
      <w:start w:val="1"/>
    </w:lvl>
  </w:abstractNum>
  <w:abstractNum w:abstractNumId="52">
    <w:nsid w:val="68EB2F63"/>
    <w:multiLevelType w:val="hybridMultilevel"/>
    <w:lvl w:ilvl="0">
      <w:lvlJc w:val="left"/>
      <w:lvlText w:val="•"/>
      <w:numFmt w:val="bullet"/>
      <w:start w:val="1"/>
    </w:lvl>
  </w:abstractNum>
  <w:abstractNum w:abstractNumId="53">
    <w:nsid w:val="4962813B"/>
    <w:multiLevelType w:val="hybridMultilevel"/>
    <w:lvl w:ilvl="0">
      <w:lvlJc w:val="left"/>
      <w:lvlText w:val="•"/>
      <w:numFmt w:val="bullet"/>
      <w:start w:val="1"/>
    </w:lvl>
  </w:abstractNum>
  <w:abstractNum w:abstractNumId="54">
    <w:nsid w:val="60B6DF70"/>
    <w:multiLevelType w:val="hybridMultilevel"/>
    <w:lvl w:ilvl="0">
      <w:lvlJc w:val="left"/>
      <w:lvlText w:val="•"/>
      <w:numFmt w:val="bullet"/>
      <w:start w:val="1"/>
    </w:lvl>
  </w:abstractNum>
  <w:abstractNum w:abstractNumId="55">
    <w:nsid w:val="6A5EE64"/>
    <w:multiLevelType w:val="hybridMultilevel"/>
    <w:lvl w:ilvl="0">
      <w:lvlJc w:val="left"/>
      <w:lvlText w:val="•"/>
      <w:numFmt w:val="bullet"/>
      <w:start w:val="1"/>
    </w:lvl>
  </w:abstractNum>
  <w:abstractNum w:abstractNumId="56">
    <w:nsid w:val="14330624"/>
    <w:multiLevelType w:val="hybridMultilevel"/>
    <w:lvl w:ilvl="0">
      <w:lvlJc w:val="left"/>
      <w:lvlText w:val="•"/>
      <w:numFmt w:val="bullet"/>
      <w:start w:val="1"/>
    </w:lvl>
  </w:abstractNum>
  <w:abstractNum w:abstractNumId="57">
    <w:nsid w:val="7FFFCA11"/>
    <w:multiLevelType w:val="hybridMultilevel"/>
    <w:lvl w:ilvl="0">
      <w:lvlJc w:val="left"/>
      <w:lvlText w:val="•"/>
      <w:numFmt w:val="bullet"/>
      <w:start w:val="1"/>
    </w:lvl>
  </w:abstractNum>
  <w:abstractNum w:abstractNumId="58">
    <w:nsid w:val="1A27709E"/>
    <w:multiLevelType w:val="hybridMultilevel"/>
    <w:lvl w:ilvl="0">
      <w:lvlJc w:val="left"/>
      <w:lvlText w:val="•"/>
      <w:numFmt w:val="bullet"/>
      <w:start w:val="1"/>
    </w:lvl>
  </w:abstractNum>
  <w:abstractNum w:abstractNumId="59">
    <w:nsid w:val="71EA1109"/>
    <w:multiLevelType w:val="hybridMultilevel"/>
    <w:lvl w:ilvl="0">
      <w:lvlJc w:val="left"/>
      <w:lvlText w:val="•"/>
      <w:numFmt w:val="bullet"/>
      <w:start w:val="1"/>
    </w:lvl>
  </w:abstractNum>
  <w:abstractNum w:abstractNumId="60">
    <w:nsid w:val="100F59DC"/>
    <w:multiLevelType w:val="hybridMultilevel"/>
    <w:lvl w:ilvl="0">
      <w:lvlJc w:val="left"/>
      <w:lvlText w:val="•"/>
      <w:numFmt w:val="bullet"/>
      <w:start w:val="1"/>
    </w:lvl>
  </w:abstractNum>
  <w:abstractNum w:abstractNumId="61">
    <w:nsid w:val="7FB7E0AA"/>
    <w:multiLevelType w:val="hybridMultilevel"/>
    <w:lvl w:ilvl="0">
      <w:lvlJc w:val="left"/>
      <w:lvlText w:val="•"/>
      <w:numFmt w:val="bullet"/>
      <w:start w:val="1"/>
    </w:lvl>
  </w:abstractNum>
  <w:abstractNum w:abstractNumId="62">
    <w:nsid w:val="6EB5BD4"/>
    <w:multiLevelType w:val="hybridMultilevel"/>
    <w:lvl w:ilvl="0">
      <w:lvlJc w:val="left"/>
      <w:lvlText w:val="2"/>
      <w:numFmt w:val="bullet"/>
      <w:start w:val="1"/>
    </w:lvl>
    <w:lvl w:ilvl="1">
      <w:lvlJc w:val="left"/>
      <w:lvlText w:val="•"/>
      <w:numFmt w:val="bullet"/>
      <w:start w:val="1"/>
    </w:lvl>
  </w:abstractNum>
  <w:abstractNum w:abstractNumId="63">
    <w:nsid w:val="6F6DD9AC"/>
    <w:multiLevelType w:val="hybridMultilevel"/>
    <w:lvl w:ilvl="0">
      <w:lvlJc w:val="left"/>
      <w:lvlText w:val="•"/>
      <w:numFmt w:val="bullet"/>
      <w:start w:val="1"/>
    </w:lvl>
  </w:abstractNum>
  <w:abstractNum w:abstractNumId="64">
    <w:nsid w:val="94211F2"/>
    <w:multiLevelType w:val="hybridMultilevel"/>
    <w:lvl w:ilvl="0">
      <w:lvlJc w:val="left"/>
      <w:lvlText w:val="(%1)"/>
      <w:numFmt w:val="lowerLetter"/>
      <w:start w:val="1"/>
    </w:lvl>
  </w:abstractNum>
  <w:abstractNum w:abstractNumId="65">
    <w:nsid w:val="885E1B"/>
    <w:multiLevelType w:val="hybridMultilevel"/>
    <w:lvl w:ilvl="0">
      <w:lvlJc w:val="left"/>
      <w:lvlText w:val="•"/>
      <w:numFmt w:val="bullet"/>
      <w:start w:val="1"/>
    </w:lvl>
  </w:abstractNum>
  <w:abstractNum w:abstractNumId="66">
    <w:nsid w:val="76272110"/>
    <w:multiLevelType w:val="hybridMultilevel"/>
    <w:lvl w:ilvl="0">
      <w:lvlJc w:val="left"/>
      <w:lvlText w:val="*"/>
      <w:numFmt w:val="bullet"/>
      <w:start w:val="1"/>
    </w:lvl>
  </w:abstractNum>
  <w:abstractNum w:abstractNumId="67">
    <w:nsid w:val="4C04A8AF"/>
    <w:multiLevelType w:val="hybridMultilevel"/>
    <w:lvl w:ilvl="0">
      <w:lvlJc w:val="left"/>
      <w:lvlText w:val="*"/>
      <w:numFmt w:val="bullet"/>
      <w:start w:val="1"/>
    </w:lvl>
  </w:abstractNum>
  <w:abstractNum w:abstractNumId="68">
    <w:nsid w:val="1716703B"/>
    <w:multiLevelType w:val="hybridMultilevel"/>
    <w:lvl w:ilvl="0">
      <w:lvlJc w:val="left"/>
      <w:lvlText w:val="•"/>
      <w:numFmt w:val="bullet"/>
      <w:start w:val="1"/>
    </w:lvl>
  </w:abstractNum>
  <w:abstractNum w:abstractNumId="69">
    <w:nsid w:val="14E17E33"/>
    <w:multiLevelType w:val="hybridMultilevel"/>
    <w:lvl w:ilvl="0">
      <w:lvlJc w:val="left"/>
      <w:lvlText w:val="(%1)"/>
      <w:numFmt w:val="decimal"/>
      <w:start w:val="1"/>
    </w:lvl>
  </w:abstractNum>
  <w:abstractNum w:abstractNumId="70">
    <w:nsid w:val="3222E7CD"/>
    <w:multiLevelType w:val="hybridMultilevel"/>
    <w:lvl w:ilvl="0">
      <w:lvlJc w:val="left"/>
      <w:lvlText w:val="•"/>
      <w:numFmt w:val="bullet"/>
      <w:start w:val="1"/>
    </w:lvl>
  </w:abstractNum>
  <w:abstractNum w:abstractNumId="71">
    <w:nsid w:val="74DE0EE3"/>
    <w:multiLevelType w:val="hybridMultilevel"/>
    <w:lvl w:ilvl="0">
      <w:lvlJc w:val="left"/>
      <w:lvlText w:val="**"/>
      <w:numFmt w:val="bullet"/>
      <w:start w:val="1"/>
    </w:lvl>
  </w:abstractNum>
  <w:abstractNum w:abstractNumId="72">
    <w:nsid w:val="68EBC550"/>
    <w:multiLevelType w:val="hybridMultilevel"/>
    <w:lvl w:ilvl="0">
      <w:lvlJc w:val="left"/>
      <w:lvlText w:val="•"/>
      <w:numFmt w:val="bullet"/>
      <w:start w:val="1"/>
    </w:lvl>
    <w:lvl w:ilvl="1">
      <w:lvlJc w:val="left"/>
      <w:lvlText w:val="•"/>
      <w:numFmt w:val="bullet"/>
      <w:start w:val="1"/>
    </w:lvl>
  </w:abstractNum>
  <w:abstractNum w:abstractNumId="73">
    <w:nsid w:val="2DF6D648"/>
    <w:multiLevelType w:val="hybridMultilevel"/>
    <w:lvl w:ilvl="0">
      <w:lvlJc w:val="left"/>
      <w:lvlText w:val="•"/>
      <w:numFmt w:val="bullet"/>
      <w:start w:val="1"/>
    </w:lvl>
  </w:abstractNum>
  <w:abstractNum w:abstractNumId="74">
    <w:nsid w:val="46B7D447"/>
    <w:multiLevelType w:val="hybridMultilevel"/>
    <w:lvl w:ilvl="0">
      <w:lvlJc w:val="left"/>
      <w:lvlText w:val="•"/>
      <w:numFmt w:val="bullet"/>
      <w:start w:val="1"/>
    </w:lvl>
  </w:abstractNum>
  <w:abstractNum w:abstractNumId="75">
    <w:nsid w:val="4A2AC315"/>
    <w:multiLevelType w:val="hybridMultilevel"/>
    <w:lvl w:ilvl="0">
      <w:lvlJc w:val="left"/>
      <w:lvlText w:val="•"/>
      <w:numFmt w:val="bullet"/>
      <w:start w:val="1"/>
    </w:lvl>
  </w:abstractNum>
  <w:abstractNum w:abstractNumId="76">
    <w:nsid w:val="39EE015C"/>
    <w:multiLevelType w:val="hybridMultilevel"/>
    <w:lvl w:ilvl="0">
      <w:lvlJc w:val="left"/>
      <w:lvlText w:val="•"/>
      <w:numFmt w:val="bullet"/>
      <w:start w:val="1"/>
    </w:lvl>
  </w:abstractNum>
  <w:abstractNum w:abstractNumId="77">
    <w:nsid w:val="57FC4FBB"/>
    <w:multiLevelType w:val="hybridMultilevel"/>
    <w:lvl w:ilvl="0">
      <w:lvlJc w:val="left"/>
      <w:lvlText w:val="•"/>
      <w:numFmt w:val="bullet"/>
      <w:start w:val="1"/>
    </w:lvl>
  </w:abstractNum>
  <w:abstractNum w:abstractNumId="78">
    <w:nsid w:val="CC1016F"/>
    <w:multiLevelType w:val="hybridMultilevel"/>
    <w:lvl w:ilvl="0">
      <w:lvlJc w:val="left"/>
      <w:lvlText w:val="•"/>
      <w:numFmt w:val="bullet"/>
      <w:start w:val="1"/>
    </w:lvl>
  </w:abstractNum>
  <w:abstractNum w:abstractNumId="79">
    <w:nsid w:val="43F18422"/>
    <w:multiLevelType w:val="hybridMultilevel"/>
    <w:lvl w:ilvl="0">
      <w:lvlJc w:val="left"/>
      <w:lvlText w:val="•"/>
      <w:numFmt w:val="bullet"/>
      <w:start w:val="1"/>
    </w:lvl>
  </w:abstractNum>
  <w:abstractNum w:abstractNumId="80">
    <w:nsid w:val="60EF0119"/>
    <w:multiLevelType w:val="hybridMultilevel"/>
    <w:lvl w:ilvl="0">
      <w:lvlJc w:val="left"/>
      <w:lvlText w:val="(%1)"/>
      <w:numFmt w:val="lowerRoman"/>
      <w:start w:val="2"/>
    </w:lvl>
  </w:abstractNum>
  <w:abstractNum w:abstractNumId="81">
    <w:nsid w:val="26F324BA"/>
    <w:multiLevelType w:val="hybridMultilevel"/>
    <w:lvl w:ilvl="0">
      <w:lvlJc w:val="left"/>
      <w:lvlText w:val="(%1)"/>
      <w:numFmt w:val="decimal"/>
      <w:start w:val="1"/>
    </w:lvl>
  </w:abstractNum>
  <w:abstractNum w:abstractNumId="82">
    <w:nsid w:val="7F01579B"/>
    <w:multiLevelType w:val="hybridMultilevel"/>
    <w:lvl w:ilvl="0">
      <w:lvlJc w:val="left"/>
      <w:lvlText w:val="(%1)"/>
      <w:numFmt w:val="decimal"/>
      <w:start w:val="5"/>
    </w:lvl>
  </w:abstractNum>
  <w:abstractNum w:abstractNumId="83">
    <w:nsid w:val="49DA307D"/>
    <w:multiLevelType w:val="hybridMultilevel"/>
    <w:lvl w:ilvl="0">
      <w:lvlJc w:val="left"/>
      <w:lvlText w:val="(%1)"/>
      <w:numFmt w:val="decimal"/>
      <w:start w:val="1"/>
    </w:lvl>
  </w:abstractNum>
  <w:abstractNum w:abstractNumId="84">
    <w:nsid w:val="7055A5F5"/>
    <w:multiLevelType w:val="hybridMultilevel"/>
    <w:lvl w:ilvl="0">
      <w:lvlJc w:val="left"/>
      <w:lvlText w:val="•"/>
      <w:numFmt w:val="bullet"/>
      <w:start w:val="1"/>
    </w:lvl>
  </w:abstractNum>
  <w:abstractNum w:abstractNumId="85">
    <w:nsid w:val="5FB8370B"/>
    <w:multiLevelType w:val="hybridMultilevel"/>
    <w:lvl w:ilvl="0">
      <w:lvlJc w:val="left"/>
      <w:lvlText w:val="(%1)"/>
      <w:numFmt w:val="decimal"/>
      <w:start w:val="1"/>
    </w:lvl>
  </w:abstractNum>
  <w:abstractNum w:abstractNumId="86">
    <w:nsid w:val="50801EE1"/>
    <w:multiLevelType w:val="hybridMultilevel"/>
    <w:lvl w:ilvl="0">
      <w:lvlJc w:val="left"/>
      <w:lvlText w:val="•"/>
      <w:numFmt w:val="bullet"/>
      <w:start w:val="1"/>
    </w:lvl>
  </w:abstractNum>
  <w:abstractNum w:abstractNumId="87">
    <w:nsid w:val="488AC1A"/>
    <w:multiLevelType w:val="hybridMultilevel"/>
    <w:lvl w:ilvl="0">
      <w:lvlJc w:val="left"/>
      <w:lvlText w:val="(%1)"/>
      <w:numFmt w:val="decimal"/>
      <w:start w:val="1"/>
    </w:lvl>
  </w:abstractNum>
  <w:abstractNum w:abstractNumId="88">
    <w:nsid w:val="5FB8011C"/>
    <w:multiLevelType w:val="hybridMultilevel"/>
    <w:lvl w:ilvl="0">
      <w:lvlJc w:val="left"/>
      <w:lvlText w:val="(%1)"/>
      <w:numFmt w:val="decimal"/>
      <w:start w:val="7"/>
    </w:lvl>
  </w:abstractNum>
  <w:abstractNum w:abstractNumId="89">
    <w:nsid w:val="6AA78F7F"/>
    <w:multiLevelType w:val="hybridMultilevel"/>
    <w:lvl w:ilvl="0">
      <w:lvlJc w:val="left"/>
      <w:lvlText w:val="(%1)"/>
      <w:numFmt w:val="decimal"/>
      <w:start w:val="1"/>
    </w:lvl>
  </w:abstractNum>
  <w:abstractNum w:abstractNumId="90">
    <w:nsid w:val="7672BD23"/>
    <w:multiLevelType w:val="hybridMultilevel"/>
    <w:lvl w:ilvl="0">
      <w:lvlJc w:val="left"/>
      <w:lvlText w:val="•"/>
      <w:numFmt w:val="bullet"/>
      <w:start w:val="1"/>
    </w:lvl>
  </w:abstractNum>
  <w:abstractNum w:abstractNumId="91">
    <w:nsid w:val="6FC75AF8"/>
    <w:multiLevelType w:val="hybridMultilevel"/>
    <w:lvl w:ilvl="0">
      <w:lvlJc w:val="left"/>
      <w:lvlText w:val="•"/>
      <w:numFmt w:val="bullet"/>
      <w:start w:val="1"/>
    </w:lvl>
  </w:abstractNum>
  <w:abstractNum w:abstractNumId="92">
    <w:nsid w:val="6A5F7029"/>
    <w:multiLevelType w:val="hybridMultilevel"/>
    <w:lvl w:ilvl="0">
      <w:lvlJc w:val="left"/>
      <w:lvlText w:val="•"/>
      <w:numFmt w:val="bullet"/>
      <w:start w:val="1"/>
    </w:lvl>
  </w:abstractNum>
  <w:abstractNum w:abstractNumId="93">
    <w:nsid w:val="7D5E18F8"/>
    <w:multiLevelType w:val="hybridMultilevel"/>
    <w:lvl w:ilvl="0">
      <w:lvlJc w:val="left"/>
      <w:lvlText w:val="•"/>
      <w:numFmt w:val="bullet"/>
      <w:start w:val="1"/>
    </w:lvl>
  </w:abstractNum>
  <w:abstractNum w:abstractNumId="94">
    <w:nsid w:val="5F3534A4"/>
    <w:multiLevelType w:val="hybridMultilevel"/>
    <w:lvl w:ilvl="0">
      <w:lvlJc w:val="left"/>
      <w:lvlText w:val="•"/>
      <w:numFmt w:val="bullet"/>
      <w:start w:val="1"/>
    </w:lvl>
  </w:abstractNum>
  <w:abstractNum w:abstractNumId="95">
    <w:nsid w:val="73A1821B"/>
    <w:multiLevelType w:val="hybridMultilevel"/>
    <w:lvl w:ilvl="0">
      <w:lvlJc w:val="left"/>
      <w:lvlText w:val="•"/>
      <w:numFmt w:val="bullet"/>
      <w:start w:val="1"/>
    </w:lvl>
  </w:abstractNum>
  <w:abstractNum w:abstractNumId="96">
    <w:nsid w:val="7DE67713"/>
    <w:multiLevelType w:val="hybridMultilevel"/>
    <w:lvl w:ilvl="0">
      <w:lvlJc w:val="left"/>
      <w:lvlText w:val="•"/>
      <w:numFmt w:val="bullet"/>
      <w:start w:val="1"/>
    </w:lvl>
  </w:abstractNum>
  <w:abstractNum w:abstractNumId="97">
    <w:nsid w:val="555C55B5"/>
    <w:multiLevelType w:val="hybridMultilevel"/>
    <w:lvl w:ilvl="0">
      <w:lvlJc w:val="left"/>
      <w:lvlText w:val="(%1)"/>
      <w:numFmt w:val="lowerLetter"/>
      <w:start w:val="1"/>
    </w:lvl>
  </w:abstractNum>
  <w:abstractNum w:abstractNumId="98">
    <w:nsid w:val="3FA62ACA"/>
    <w:multiLevelType w:val="hybridMultilevel"/>
    <w:lvl w:ilvl="0">
      <w:lvlJc w:val="left"/>
      <w:lvlText w:val="$"/>
      <w:numFmt w:val="bullet"/>
      <w:start w:val="1"/>
    </w:lvl>
  </w:abstractNum>
  <w:abstractNum w:abstractNumId="99">
    <w:nsid w:val="14FCE74E"/>
    <w:multiLevelType w:val="hybridMultilevel"/>
    <w:lvl w:ilvl="0">
      <w:lvlJc w:val="left"/>
      <w:lvlText w:val="(%1)"/>
      <w:numFmt w:val="lowerLetter"/>
      <w:start w:val="2"/>
    </w:lvl>
  </w:abstractNum>
  <w:abstractNum w:abstractNumId="100">
    <w:nsid w:val="6A3DD3E8"/>
    <w:multiLevelType w:val="hybridMultilevel"/>
    <w:lvl w:ilvl="0">
      <w:lvlJc w:val="left"/>
      <w:lvlText w:val="•"/>
      <w:numFmt w:val="bullet"/>
      <w:start w:val="1"/>
    </w:lvl>
  </w:abstractNum>
  <w:abstractNum w:abstractNumId="101">
    <w:nsid w:val="71C91298"/>
    <w:multiLevelType w:val="hybridMultilevel"/>
    <w:lvl w:ilvl="0">
      <w:lvlJc w:val="left"/>
      <w:lvlText w:val="•"/>
      <w:numFmt w:val="bullet"/>
      <w:start w:val="1"/>
    </w:lvl>
  </w:abstractNum>
  <w:abstractNum w:abstractNumId="102">
    <w:nsid w:val="9DAF632"/>
    <w:multiLevelType w:val="hybridMultilevel"/>
    <w:lvl w:ilvl="0">
      <w:lvlJc w:val="left"/>
      <w:lvlText w:val="•"/>
      <w:numFmt w:val="bullet"/>
      <w:start w:val="1"/>
    </w:lvl>
  </w:abstractNum>
  <w:abstractNum w:abstractNumId="103">
    <w:nsid w:val="53299938"/>
    <w:multiLevelType w:val="hybridMultilevel"/>
    <w:lvl w:ilvl="0">
      <w:lvlJc w:val="left"/>
      <w:lvlText w:val="•"/>
      <w:numFmt w:val="bullet"/>
      <w:start w:val="1"/>
    </w:lvl>
  </w:abstractNum>
  <w:abstractNum w:abstractNumId="104">
    <w:nsid w:val="1FBFE8E0"/>
    <w:multiLevelType w:val="hybridMultilevel"/>
    <w:lvl w:ilvl="0">
      <w:lvlJc w:val="left"/>
      <w:lvlText w:val="•"/>
      <w:numFmt w:val="bullet"/>
      <w:start w:val="1"/>
    </w:lvl>
  </w:abstractNum>
  <w:abstractNum w:abstractNumId="105">
    <w:nsid w:val="5092CA79"/>
    <w:multiLevelType w:val="hybridMultilevel"/>
    <w:lvl w:ilvl="0">
      <w:lvlJc w:val="left"/>
      <w:lvlText w:val="•"/>
      <w:numFmt w:val="bullet"/>
      <w:start w:val="1"/>
    </w:lvl>
  </w:abstractNum>
  <w:abstractNum w:abstractNumId="106">
    <w:nsid w:val="1D545C4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jpeg"/><Relationship Id="rId241" Type="http://schemas.openxmlformats.org/officeDocument/2006/relationships/image" Target="media/image234.jpeg"/><Relationship Id="rId242" Type="http://schemas.openxmlformats.org/officeDocument/2006/relationships/image" Target="media/image235.jpe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jpeg"/><Relationship Id="rId246" Type="http://schemas.openxmlformats.org/officeDocument/2006/relationships/image" Target="media/image239.jpeg"/><Relationship Id="rId247" Type="http://schemas.openxmlformats.org/officeDocument/2006/relationships/image" Target="media/image24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2019-12-05T00:40:09Z</dcterms:created>
  <dcterms:modified xsi:type="dcterms:W3CDTF">2019-12-05T00:40:09Z</dcterms:modified>
</cp:coreProperties>
</file>