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120650</wp:posOffset>
            </wp:positionV>
            <wp:extent cx="3000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LOCKHEED MARTIN CORPORATION</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39"/>
        </w:trPr>
        <w:tc>
          <w:tcPr>
            <w:tcW w:w="28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(Exact name of registrant as specified in its charter)</w:t>
            </w:r>
          </w:p>
        </w:tc>
        <w:tc>
          <w:tcPr>
            <w:tcW w:w="1940" w:type="dxa"/>
            <w:vAlign w:val="bottom"/>
          </w:tcPr>
          <w:p>
            <w:pPr>
              <w:spacing w:after="0"/>
              <w:rPr>
                <w:sz w:val="20"/>
                <w:szCs w:val="20"/>
                <w:color w:val="auto"/>
              </w:rPr>
            </w:pPr>
          </w:p>
        </w:tc>
      </w:tr>
      <w:tr>
        <w:trPr>
          <w:trHeight w:val="324"/>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8"/>
              </w:rPr>
              <w:t>Maryland</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9"/>
              </w:rPr>
              <w:t>1-11437</w:t>
            </w:r>
          </w:p>
        </w:tc>
        <w:tc>
          <w:tcPr>
            <w:tcW w:w="1940" w:type="dxa"/>
            <w:vAlign w:val="bottom"/>
          </w:tcPr>
          <w:p>
            <w:pPr>
              <w:jc w:val="right"/>
              <w:ind w:right="130"/>
              <w:spacing w:after="0"/>
              <w:rPr>
                <w:sz w:val="20"/>
                <w:szCs w:val="20"/>
                <w:color w:val="auto"/>
              </w:rPr>
            </w:pPr>
            <w:r>
              <w:rPr>
                <w:rFonts w:ascii="Arial" w:cs="Arial" w:eastAsia="Arial" w:hAnsi="Arial"/>
                <w:sz w:val="18"/>
                <w:szCs w:val="18"/>
                <w:b w:val="1"/>
                <w:bCs w:val="1"/>
                <w:color w:val="auto"/>
              </w:rPr>
              <w:t>52-1893632</w:t>
            </w:r>
          </w:p>
        </w:tc>
      </w:tr>
      <w:tr>
        <w:trPr>
          <w:trHeight w:val="229"/>
        </w:trPr>
        <w:tc>
          <w:tcPr>
            <w:tcW w:w="2800" w:type="dxa"/>
            <w:vAlign w:val="bottom"/>
          </w:tcPr>
          <w:p>
            <w:pPr>
              <w:jc w:val="center"/>
              <w:ind w:left="210"/>
              <w:spacing w:after="0"/>
              <w:rPr>
                <w:sz w:val="20"/>
                <w:szCs w:val="20"/>
                <w:color w:val="auto"/>
              </w:rPr>
            </w:pPr>
            <w:r>
              <w:rPr>
                <w:rFonts w:ascii="Arial" w:cs="Arial" w:eastAsia="Arial" w:hAnsi="Arial"/>
                <w:sz w:val="18"/>
                <w:szCs w:val="18"/>
                <w:color w:val="auto"/>
              </w:rPr>
              <w:t>(State or other jurisdiction</w:t>
            </w: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1940" w:type="dxa"/>
            <w:vAlign w:val="bottom"/>
          </w:tcPr>
          <w:p>
            <w:pPr>
              <w:jc w:val="center"/>
              <w:ind w:left="470"/>
              <w:spacing w:after="0"/>
              <w:rPr>
                <w:sz w:val="20"/>
                <w:szCs w:val="20"/>
                <w:color w:val="auto"/>
              </w:rPr>
            </w:pPr>
            <w:r>
              <w:rPr>
                <w:rFonts w:ascii="Arial" w:cs="Arial" w:eastAsia="Arial" w:hAnsi="Arial"/>
                <w:sz w:val="18"/>
                <w:szCs w:val="18"/>
                <w:color w:val="auto"/>
              </w:rPr>
              <w:t>(IRS Employer</w:t>
            </w:r>
          </w:p>
        </w:tc>
      </w:tr>
      <w:tr>
        <w:trPr>
          <w:trHeight w:val="239"/>
        </w:trPr>
        <w:tc>
          <w:tcPr>
            <w:tcW w:w="2800" w:type="dxa"/>
            <w:vAlign w:val="bottom"/>
          </w:tcPr>
          <w:p>
            <w:pPr>
              <w:jc w:val="center"/>
              <w:ind w:left="210"/>
              <w:spacing w:after="0"/>
              <w:rPr>
                <w:sz w:val="20"/>
                <w:szCs w:val="20"/>
                <w:color w:val="auto"/>
              </w:rPr>
            </w:pPr>
            <w:r>
              <w:rPr>
                <w:rFonts w:ascii="Arial" w:cs="Arial" w:eastAsia="Arial" w:hAnsi="Arial"/>
                <w:sz w:val="18"/>
                <w:szCs w:val="18"/>
                <w:color w:val="auto"/>
                <w:w w:val="99"/>
              </w:rPr>
              <w:t>of incorporation)</w:t>
            </w:r>
          </w:p>
        </w:tc>
        <w:tc>
          <w:tcPr>
            <w:tcW w:w="4720" w:type="dxa"/>
            <w:vAlign w:val="bottom"/>
          </w:tcPr>
          <w:p>
            <w:pPr>
              <w:spacing w:after="0"/>
              <w:rPr>
                <w:sz w:val="20"/>
                <w:szCs w:val="20"/>
                <w:color w:val="auto"/>
              </w:rPr>
            </w:pPr>
          </w:p>
        </w:tc>
        <w:tc>
          <w:tcPr>
            <w:tcW w:w="1940" w:type="dxa"/>
            <w:vAlign w:val="bottom"/>
          </w:tcPr>
          <w:p>
            <w:pPr>
              <w:jc w:val="center"/>
              <w:ind w:left="450"/>
              <w:spacing w:after="0"/>
              <w:rPr>
                <w:sz w:val="20"/>
                <w:szCs w:val="20"/>
                <w:color w:val="auto"/>
              </w:rPr>
            </w:pPr>
            <w:r>
              <w:rPr>
                <w:rFonts w:ascii="Arial" w:cs="Arial" w:eastAsia="Arial" w:hAnsi="Arial"/>
                <w:sz w:val="18"/>
                <w:szCs w:val="18"/>
                <w:color w:val="auto"/>
                <w:w w:val="99"/>
              </w:rPr>
              <w:t>Identification No.)</w:t>
            </w:r>
          </w:p>
        </w:tc>
      </w:tr>
      <w:tr>
        <w:trPr>
          <w:trHeight w:val="450"/>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6801 Rockledge Drive</w:t>
            </w:r>
          </w:p>
        </w:tc>
        <w:tc>
          <w:tcPr>
            <w:tcW w:w="47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30"/>
        </w:trPr>
        <w:tc>
          <w:tcPr>
            <w:tcW w:w="280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Bethesda, Maryland</w:t>
            </w:r>
          </w:p>
        </w:tc>
        <w:tc>
          <w:tcPr>
            <w:tcW w:w="4720" w:type="dxa"/>
            <w:vAlign w:val="bottom"/>
          </w:tcPr>
          <w:p>
            <w:pPr>
              <w:spacing w:after="0"/>
              <w:rPr>
                <w:sz w:val="19"/>
                <w:szCs w:val="19"/>
                <w:color w:val="auto"/>
              </w:rPr>
            </w:pP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20817</w:t>
            </w:r>
          </w:p>
        </w:tc>
      </w:tr>
      <w:tr>
        <w:trPr>
          <w:trHeight w:val="239"/>
        </w:trPr>
        <w:tc>
          <w:tcPr>
            <w:tcW w:w="7520" w:type="dxa"/>
            <w:vAlign w:val="bottom"/>
            <w:gridSpan w:val="2"/>
          </w:tcPr>
          <w:p>
            <w:pPr>
              <w:jc w:val="center"/>
              <w:ind w:right="4350"/>
              <w:spacing w:after="0"/>
              <w:rPr>
                <w:sz w:val="20"/>
                <w:szCs w:val="20"/>
                <w:color w:val="auto"/>
              </w:rPr>
            </w:pPr>
            <w:r>
              <w:rPr>
                <w:rFonts w:ascii="Arial" w:cs="Arial" w:eastAsia="Arial" w:hAnsi="Arial"/>
                <w:sz w:val="18"/>
                <w:szCs w:val="18"/>
                <w:color w:val="auto"/>
                <w:w w:val="99"/>
              </w:rPr>
              <w:t>(Address of principal executive offices)</w:t>
            </w:r>
          </w:p>
        </w:tc>
        <w:tc>
          <w:tcPr>
            <w:tcW w:w="1940" w:type="dxa"/>
            <w:vAlign w:val="bottom"/>
          </w:tcPr>
          <w:p>
            <w:pPr>
              <w:jc w:val="center"/>
              <w:ind w:left="470"/>
              <w:spacing w:after="0"/>
              <w:rPr>
                <w:sz w:val="20"/>
                <w:szCs w:val="20"/>
                <w:color w:val="auto"/>
              </w:rPr>
            </w:pPr>
            <w:r>
              <w:rPr>
                <w:rFonts w:ascii="Arial" w:cs="Arial" w:eastAsia="Arial" w:hAnsi="Arial"/>
                <w:sz w:val="18"/>
                <w:szCs w:val="18"/>
                <w:color w:val="auto"/>
              </w:rPr>
              <w:t>(Zip Code)</w:t>
            </w:r>
          </w:p>
        </w:tc>
      </w:tr>
      <w:tr>
        <w:trPr>
          <w:trHeight w:val="288"/>
        </w:trPr>
        <w:tc>
          <w:tcPr>
            <w:tcW w:w="280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rPr>
              <w:t>(301) 897-6000</w:t>
            </w:r>
          </w:p>
        </w:tc>
        <w:tc>
          <w:tcPr>
            <w:tcW w:w="1940" w:type="dxa"/>
            <w:vAlign w:val="bottom"/>
          </w:tcPr>
          <w:p>
            <w:pPr>
              <w:spacing w:after="0"/>
              <w:rPr>
                <w:sz w:val="24"/>
                <w:szCs w:val="24"/>
                <w:color w:val="auto"/>
              </w:rPr>
            </w:pPr>
          </w:p>
        </w:tc>
      </w:tr>
      <w:tr>
        <w:trPr>
          <w:trHeight w:val="239"/>
        </w:trPr>
        <w:tc>
          <w:tcPr>
            <w:tcW w:w="28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c>
          <w:tcPr>
            <w:tcW w:w="1940" w:type="dxa"/>
            <w:vAlign w:val="bottom"/>
          </w:tcPr>
          <w:p>
            <w:pPr>
              <w:spacing w:after="0"/>
              <w:rPr>
                <w:sz w:val="20"/>
                <w:szCs w:val="20"/>
                <w:color w:val="auto"/>
              </w:rPr>
            </w:pPr>
          </w:p>
        </w:tc>
      </w:tr>
      <w:tr>
        <w:trPr>
          <w:trHeight w:val="327"/>
        </w:trPr>
        <w:tc>
          <w:tcPr>
            <w:tcW w:w="2800" w:type="dxa"/>
            <w:vAlign w:val="bottom"/>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5"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highlight w:val="black"/>
        </w:rPr>
      </w:pPr>
    </w:p>
    <w:p>
      <w:pPr>
        <w:ind w:left="300" w:hanging="274"/>
        <w:spacing w:after="0"/>
        <w:tabs>
          <w:tab w:leader="none" w:pos="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highlight w:val="black"/>
        </w:rPr>
      </w:pPr>
    </w:p>
    <w:p>
      <w:pPr>
        <w:ind w:right="2920" w:firstLine="26"/>
        <w:spacing w:after="0" w:line="405" w:lineRule="auto"/>
        <w:tabs>
          <w:tab w:leader="none" w:pos="30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2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2660" w:type="dxa"/>
            <w:vAlign w:val="bottom"/>
            <w:gridSpan w:val="2"/>
          </w:tcPr>
          <w:p>
            <w:pPr>
              <w:jc w:val="center"/>
              <w:ind w:right="1380"/>
              <w:spacing w:after="0" w:line="176" w:lineRule="exact"/>
              <w:rPr>
                <w:sz w:val="20"/>
                <w:szCs w:val="20"/>
                <w:color w:val="auto"/>
              </w:rPr>
            </w:pPr>
            <w:r>
              <w:rPr>
                <w:rFonts w:ascii="Arial" w:cs="Arial" w:eastAsia="Arial" w:hAnsi="Arial"/>
                <w:sz w:val="16"/>
                <w:szCs w:val="16"/>
                <w:color w:val="auto"/>
                <w:w w:val="99"/>
              </w:rPr>
              <w:t>Title of each class</w:t>
            </w:r>
          </w:p>
        </w:tc>
        <w:tc>
          <w:tcPr>
            <w:tcW w:w="3500" w:type="dxa"/>
            <w:vAlign w:val="bottom"/>
            <w:gridSpan w:val="3"/>
          </w:tcPr>
          <w:p>
            <w:pPr>
              <w:jc w:val="center"/>
              <w:ind w:right="440"/>
              <w:spacing w:after="0" w:line="176" w:lineRule="exact"/>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line="176" w:lineRule="exact"/>
              <w:rPr>
                <w:sz w:val="20"/>
                <w:szCs w:val="20"/>
                <w:color w:val="auto"/>
              </w:rPr>
            </w:pPr>
            <w:r>
              <w:rPr>
                <w:rFonts w:ascii="Arial" w:cs="Arial" w:eastAsia="Arial" w:hAnsi="Arial"/>
                <w:sz w:val="16"/>
                <w:szCs w:val="16"/>
                <w:color w:val="auto"/>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5"/>
        </w:trPr>
        <w:tc>
          <w:tcPr>
            <w:tcW w:w="3060" w:type="dxa"/>
            <w:vAlign w:val="bottom"/>
            <w:gridSpan w:val="3"/>
          </w:tcPr>
          <w:p>
            <w:pPr>
              <w:jc w:val="center"/>
              <w:ind w:right="980"/>
              <w:spacing w:after="0"/>
              <w:rPr>
                <w:sz w:val="20"/>
                <w:szCs w:val="20"/>
                <w:color w:val="auto"/>
              </w:rPr>
            </w:pPr>
            <w:r>
              <w:rPr>
                <w:rFonts w:ascii="Arial" w:cs="Arial" w:eastAsia="Arial" w:hAnsi="Arial"/>
                <w:sz w:val="16"/>
                <w:szCs w:val="16"/>
                <w:color w:val="auto"/>
              </w:rPr>
              <w:t>Common Stock, $1 par value</w:t>
            </w:r>
          </w:p>
        </w:tc>
        <w:tc>
          <w:tcPr>
            <w:tcW w:w="960" w:type="dxa"/>
            <w:vAlign w:val="bottom"/>
          </w:tcPr>
          <w:p>
            <w:pPr>
              <w:spacing w:after="0"/>
              <w:rPr>
                <w:sz w:val="20"/>
                <w:szCs w:val="20"/>
                <w:color w:val="auto"/>
              </w:rPr>
            </w:pPr>
          </w:p>
        </w:tc>
        <w:tc>
          <w:tcPr>
            <w:tcW w:w="2540" w:type="dxa"/>
            <w:vAlign w:val="bottom"/>
            <w:gridSpan w:val="2"/>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96"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9"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Lockheed Martin Update on F-35 Technology Refresh 3</w:t>
      </w:r>
    </w:p>
    <w:p>
      <w:pPr>
        <w:spacing w:after="0" w:line="225"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Lockheed Martin Corporation (the “Company”, “we” and “our”) began deliveries of the first Technology Refresh 3 (“TR-3”) configured F-35 aircraft on July 19, 2024. The text of the news release from the U.S. Government’s F-35 Joint Program Office (“JPO”) announcing commencement of TR-3 deliveries is furnished as </w:t>
      </w:r>
      <w:r>
        <w:rPr>
          <w:rFonts w:ascii="Arial" w:cs="Arial" w:eastAsia="Arial" w:hAnsi="Arial"/>
          <w:sz w:val="18"/>
          <w:szCs w:val="18"/>
          <w:u w:val="single" w:color="auto"/>
          <w:color w:val="0000FF"/>
        </w:rPr>
        <w:t>Exhibit 99.1</w:t>
      </w:r>
      <w:r>
        <w:rPr>
          <w:rFonts w:ascii="Arial" w:cs="Arial" w:eastAsia="Arial" w:hAnsi="Arial"/>
          <w:sz w:val="18"/>
          <w:szCs w:val="18"/>
          <w:color w:val="auto"/>
        </w:rPr>
        <w:t xml:space="preserve"> to this Current Report on Form 8-K.</w:t>
      </w:r>
    </w:p>
    <w:p>
      <w:pPr>
        <w:spacing w:after="0" w:line="19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Our expectation remains that we will continue with a production rate of 156 aircraft per year and deliver between 75 and 110 aircraft in the second half of 2024, primarily in the TR-3 configuration. We are working with the JPO on the terms and conditions related to the timing of the final payments for TR-3 configured aircraft and a phased approach to delivery. We continue to focus on advancing TR-3 and Block 4 capabilities to support our customers’ mission requirements.</w:t>
      </w:r>
    </w:p>
    <w:p>
      <w:pPr>
        <w:spacing w:after="0" w:line="20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information contained in this Form 8-K and Exhibit 99.1 is furnished and shall not be deemed “filed” for purposes of Section 18 of the Securities Exchange Act of 1934, nor shall it be deemed incorporated by reference in any filing under the Securities Act of 1933, as amended.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statements in this filing, to the extent they are not recitations of historical fact, constitute forward-looking statements within the meaning of the federal securities laws, and are based on the Company’s current expectations and assumptions, including statements about the estimated aircraft deliveries, production rates, payment terms and timing of the phased approach to delivery of TR-3 capabilities. Actual results may differ materially due to factors such as: executing future flight tests and integrating findings resulting from aircraft testing and operations; the performance of the Company and its suppliers, including challenges relating to the delivery of hardware and software development; risks related to the development, production, sustainment, performance, schedule, cost and requirements of the F-35 program; planned production rates and orders; compliance with stringent performance and reliability standards; materials availability, including government furnished equipment; the timing of contract awards or delays in contract definitization as well as the timing and customer acceptance of product deliveries and performance milestones; performance and financial viability of key suppliers, teammates, joint ventures, joint venture partners, subcontractors and customers; budget uncertainty, the risk of future budget cuts, the impact of continuing resolution funding mechanisms and the debt ceiling and the potential for government shutdowns and changing funding and acquisition priorities;</w:t>
      </w:r>
    </w:p>
    <w:p>
      <w:pPr>
        <w:spacing w:after="0" w:line="6"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government actions that prevent the sale or delivery of the Company’s products; and changes in foreign national priorities and foreign government budgets and planned orders. For a discussion identifying additional important factors that could cause actual results to vary</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materially from those anticipated in the forward-looking statements, see the Company’s filings with the U.S. Securities and Exchange Commission (“SEC”) including "Management’s Discussion and Analysis of Financial Condition and Results of Operations" and "Risk Factors" in the Company's Annual Report on Form 10-K for the year ended December 31, 2023 and subsequent Quarterly Reports on Form 10-Q. The Company’s filings may be accessed through the Investor Relations page of its website, www.lockheedmartin.com/investor, or through the website maintained by the SEC at www.sec.gov. Except where required by applicable law, the Company expressly disclaims a duty to provide updates to forward-looking statements after the date of this filing to reflect subsequent events, changed circumstances, changes in expectations, or the estimates and assumptions associated with them. The forward-looking statements in this filing are intended to be subject to the safe harbor protection provided by the federal securities laws.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60"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0000FF"/>
              </w:rPr>
              <w:t>Text of the news release from the U.S. Government’s F-35 Joint Program Office dated July 19, 2024</w:t>
            </w:r>
          </w:p>
        </w:tc>
      </w:tr>
      <w:tr>
        <w:trPr>
          <w:trHeight w:val="335"/>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79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1800" w:type="dxa"/>
            <w:vAlign w:val="bottom"/>
          </w:tcPr>
          <w:p>
            <w:pPr>
              <w:spacing w:after="0"/>
              <w:rPr>
                <w:sz w:val="24"/>
                <w:szCs w:val="24"/>
                <w:color w:val="auto"/>
              </w:rPr>
            </w:pPr>
          </w:p>
        </w:tc>
      </w:tr>
      <w:tr>
        <w:trPr>
          <w:trHeight w:val="1002"/>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Lockheed Martin Corporation</w:t>
            </w:r>
          </w:p>
        </w:tc>
        <w:tc>
          <w:tcPr>
            <w:tcW w:w="2360" w:type="dxa"/>
            <w:vAlign w:val="bottom"/>
          </w:tcPr>
          <w:p>
            <w:pPr>
              <w:spacing w:after="0"/>
              <w:rPr>
                <w:sz w:val="17"/>
                <w:szCs w:val="17"/>
                <w:color w:val="auto"/>
              </w:rPr>
            </w:pPr>
          </w:p>
        </w:tc>
      </w:tr>
      <w:tr>
        <w:trPr>
          <w:trHeight w:val="254"/>
        </w:trPr>
        <w:tc>
          <w:tcPr>
            <w:tcW w:w="3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38"/>
        </w:trPr>
        <w:tc>
          <w:tcPr>
            <w:tcW w:w="3180" w:type="dxa"/>
            <w:vAlign w:val="bottom"/>
          </w:tcPr>
          <w:p>
            <w:pPr>
              <w:spacing w:after="0"/>
              <w:rPr>
                <w:sz w:val="20"/>
                <w:szCs w:val="20"/>
                <w:color w:val="auto"/>
              </w:rPr>
            </w:pPr>
            <w:r>
              <w:rPr>
                <w:rFonts w:ascii="Arial" w:cs="Arial" w:eastAsia="Arial" w:hAnsi="Arial"/>
                <w:sz w:val="18"/>
                <w:szCs w:val="18"/>
                <w:color w:val="auto"/>
              </w:rPr>
              <w:t>Date: July 19, 2024</w:t>
            </w:r>
          </w:p>
        </w:tc>
        <w:tc>
          <w:tcPr>
            <w:tcW w:w="6820" w:type="dxa"/>
            <w:vAlign w:val="bottom"/>
            <w:gridSpan w:val="4"/>
          </w:tcPr>
          <w:p>
            <w:pPr>
              <w:ind w:left="1600"/>
              <w:spacing w:after="0"/>
              <w:rPr>
                <w:sz w:val="20"/>
                <w:szCs w:val="20"/>
                <w:color w:val="auto"/>
              </w:rPr>
            </w:pPr>
            <w:r>
              <w:rPr>
                <w:rFonts w:ascii="Arial" w:cs="Arial" w:eastAsia="Arial" w:hAnsi="Arial"/>
                <w:sz w:val="18"/>
                <w:szCs w:val="18"/>
                <w:color w:val="auto"/>
              </w:rPr>
              <w:t>By:   /s/ John E. Stevens</w:t>
            </w:r>
          </w:p>
        </w:tc>
      </w:tr>
      <w:tr>
        <w:trPr>
          <w:trHeight w:val="218"/>
        </w:trPr>
        <w:tc>
          <w:tcPr>
            <w:tcW w:w="31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John E. Stevens</w:t>
            </w:r>
          </w:p>
        </w:tc>
      </w:tr>
      <w:tr>
        <w:trPr>
          <w:trHeight w:val="239"/>
        </w:trPr>
        <w:tc>
          <w:tcPr>
            <w:tcW w:w="3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Vice President and Associate General Counsel</w:t>
            </w:r>
          </w:p>
        </w:tc>
      </w:tr>
    </w:tbl>
    <w:p>
      <w:pPr>
        <w:sectPr>
          <w:pgSz w:w="11900" w:h="16838" w:orient="portrait"/>
          <w:cols w:equalWidth="0" w:num="1">
            <w:col w:w="11120"/>
          </w:cols>
          <w:pgMar w:left="320" w:top="931"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F-35 TR-3 Deliveries Begin</w:t>
      </w:r>
    </w:p>
    <w:p>
      <w:pPr>
        <w:spacing w:after="0" w:line="235" w:lineRule="exact"/>
        <w:rPr>
          <w:sz w:val="20"/>
          <w:szCs w:val="20"/>
          <w:color w:val="auto"/>
        </w:rPr>
      </w:pPr>
    </w:p>
    <w:p>
      <w:pPr>
        <w:ind w:right="220" w:firstLine="648"/>
        <w:spacing w:after="0" w:line="239" w:lineRule="auto"/>
        <w:rPr>
          <w:sz w:val="20"/>
          <w:szCs w:val="20"/>
          <w:color w:val="auto"/>
        </w:rPr>
      </w:pPr>
      <w:r>
        <w:rPr>
          <w:rFonts w:ascii="Arial" w:cs="Arial" w:eastAsia="Arial" w:hAnsi="Arial"/>
          <w:sz w:val="22"/>
          <w:szCs w:val="22"/>
          <w:color w:val="auto"/>
        </w:rPr>
        <w:t>WASHINGTON (July 19, 2024) – The F-35 Joint Program Office (JPO) and Lockheed Martin, the prime contractor for the F-35 Lightning II, announced that deliveries of the first Technology Refresh-3 (TR-3) configured F-35 aircraft began today.</w:t>
      </w:r>
    </w:p>
    <w:p>
      <w:pPr>
        <w:spacing w:after="0" w:line="189" w:lineRule="exact"/>
        <w:rPr>
          <w:sz w:val="20"/>
          <w:szCs w:val="20"/>
          <w:color w:val="auto"/>
        </w:rPr>
      </w:pPr>
    </w:p>
    <w:p>
      <w:pPr>
        <w:ind w:right="460" w:firstLine="648"/>
        <w:spacing w:after="0" w:line="259" w:lineRule="auto"/>
        <w:rPr>
          <w:sz w:val="20"/>
          <w:szCs w:val="20"/>
          <w:color w:val="auto"/>
        </w:rPr>
      </w:pPr>
      <w:r>
        <w:rPr>
          <w:rFonts w:ascii="Arial" w:cs="Arial" w:eastAsia="Arial" w:hAnsi="Arial"/>
          <w:sz w:val="22"/>
          <w:szCs w:val="22"/>
          <w:color w:val="auto"/>
        </w:rPr>
        <w:t>Two F-35A Lightning II aircraft were delivered, one to Dannelly Field, Alabama, and one to Nellis Air Force Base, Nevada.</w:t>
      </w:r>
    </w:p>
    <w:p>
      <w:pPr>
        <w:spacing w:after="0" w:line="170" w:lineRule="exact"/>
        <w:rPr>
          <w:sz w:val="20"/>
          <w:szCs w:val="20"/>
          <w:color w:val="auto"/>
        </w:rPr>
      </w:pPr>
    </w:p>
    <w:p>
      <w:pPr>
        <w:ind w:right="80" w:firstLine="648"/>
        <w:spacing w:after="0" w:line="233" w:lineRule="auto"/>
        <w:rPr>
          <w:sz w:val="20"/>
          <w:szCs w:val="20"/>
          <w:color w:val="auto"/>
        </w:rPr>
      </w:pPr>
      <w:r>
        <w:rPr>
          <w:rFonts w:ascii="Arial" w:cs="Arial" w:eastAsia="Arial" w:hAnsi="Arial"/>
          <w:sz w:val="22"/>
          <w:szCs w:val="22"/>
          <w:color w:val="auto"/>
        </w:rPr>
        <w:t>“We have initiated a phased approach to the delivery of TR-3 F-35 aircraft,” said Lt. Gen. Mike Schmidt, the JPO’s Program Executive Officer. “The first phase will deliver jets with an initial training capability in July and August. By the end of August, we will be delivering jets with a robust combat training capability, as we continue towards the delivery of full TR-3 combat capabilities in 2025. Our focus has been on providing our customers with aircraft that are stable, capable, and maintainable, and this phased approach does that.”</w:t>
      </w:r>
    </w:p>
    <w:p>
      <w:pPr>
        <w:spacing w:after="0" w:line="190" w:lineRule="exact"/>
        <w:rPr>
          <w:sz w:val="20"/>
          <w:szCs w:val="20"/>
          <w:color w:val="auto"/>
        </w:rPr>
      </w:pPr>
    </w:p>
    <w:p>
      <w:pPr>
        <w:ind w:right="1300" w:firstLine="648"/>
        <w:spacing w:after="0" w:line="259" w:lineRule="auto"/>
        <w:rPr>
          <w:sz w:val="20"/>
          <w:szCs w:val="20"/>
          <w:color w:val="auto"/>
        </w:rPr>
      </w:pPr>
      <w:r>
        <w:rPr>
          <w:rFonts w:ascii="Arial" w:cs="Arial" w:eastAsia="Arial" w:hAnsi="Arial"/>
          <w:sz w:val="22"/>
          <w:szCs w:val="22"/>
          <w:color w:val="auto"/>
        </w:rPr>
        <w:t>The newly delivered aircraft follow standard government acceptance procedures that include final airworthiness certifications and check-out flights.</w:t>
      </w:r>
    </w:p>
    <w:p>
      <w:pPr>
        <w:spacing w:after="0" w:line="18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“TR-3 and Block 4 represent a critical evolution in capability and their full development remains a top priority for us,” said Bridget Lauderdale, vice president and general manager of the F-35 Program, Lockheed Martin. “These and further software updates over the life of the program will ensure the F-35 continues to be an effective deterrent and the cornerstone of joint all-domain operations now and decades into the future.”</w:t>
      </w:r>
    </w:p>
    <w:p>
      <w:pPr>
        <w:spacing w:after="0" w:line="203"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"I am extremely proud of all the hard work the government and industry team have put into the delivery of TR-3 configured F-35s.This is an important first step, and although much work remains, I am confident our team will work tirelessly to achieve the desired and necessary results that our warfighters, allies and customers require.” Schmidt said.</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2024-07-19T14:42:23Z</dcterms:created>
  <dcterms:modified xsi:type="dcterms:W3CDTF">2024-07-19T14:42:23Z</dcterms:modified>
</cp:coreProperties>
</file>