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175895</wp:posOffset>
            </wp:positionV>
            <wp:extent cx="1174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135255</wp:posOffset>
            </wp:positionV>
            <wp:extent cx="1174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left="2320"/>
        <w:spacing w:after="0" w:line="256" w:lineRule="auto"/>
        <w:rPr>
          <w:sz w:val="20"/>
          <w:szCs w:val="20"/>
          <w:color w:val="auto"/>
        </w:rPr>
      </w:pPr>
      <w:r>
        <w:rPr>
          <w:rFonts w:ascii="Arial" w:cs="Arial" w:eastAsia="Arial" w:hAnsi="Arial"/>
          <w:sz w:val="22"/>
          <w:szCs w:val="22"/>
          <w:b w:val="1"/>
          <w:bCs w:val="1"/>
          <w:color w:val="auto"/>
        </w:rPr>
        <w:t>FOR ANNUAL REPORTS OF EMPLOYEE STOCK PURCHASE, SAVINGS AND SIMILAR PLANS PURSUANT TO SECTION 15(d) OF THE SECURITIES EXCHANGE ACT OF 1934</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201"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6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Transition report pursuant to Section 15(d) of the Securities Exchange Act of 1934</w:t>
      </w:r>
    </w:p>
    <w:p>
      <w:pPr>
        <w:spacing w:after="0" w:line="215"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128905</wp:posOffset>
            </wp:positionV>
            <wp:extent cx="1174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OPERATIONS SUPPORT SAVINGS PLAN</w:t>
      </w:r>
    </w:p>
    <w:p>
      <w:pPr>
        <w:spacing w:after="0" w:line="211" w:lineRule="exact"/>
        <w:rPr>
          <w:sz w:val="24"/>
          <w:szCs w:val="24"/>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6801 Rockledge Drive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Bethesda, MD 20817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892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11"/>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900" w:type="dxa"/>
            <w:vAlign w:val="bottom"/>
          </w:tcPr>
          <w:p>
            <w:pPr>
              <w:spacing w:after="0"/>
              <w:rPr>
                <w:sz w:val="17"/>
                <w:szCs w:val="17"/>
                <w:color w:val="auto"/>
              </w:rPr>
            </w:pPr>
          </w:p>
        </w:tc>
      </w:tr>
      <w:tr>
        <w:trPr>
          <w:trHeight w:val="650"/>
        </w:trPr>
        <w:tc>
          <w:tcPr>
            <w:tcW w:w="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4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93"/>
              </w:rPr>
              <w:t>Lockheed Martin Corporation</w:t>
            </w:r>
          </w:p>
        </w:tc>
        <w:tc>
          <w:tcPr>
            <w:tcW w:w="190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04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89"/>
              </w:rPr>
              <w:t>Operations Support Savings Plan</w:t>
            </w:r>
          </w:p>
        </w:tc>
        <w:tc>
          <w:tcPr>
            <w:tcW w:w="190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6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89"/>
              </w:rPr>
              <w:t>Financial Statements and Supplemental Schedule</w:t>
            </w:r>
          </w:p>
        </w:tc>
        <w:tc>
          <w:tcPr>
            <w:tcW w:w="190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4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89"/>
              </w:rPr>
              <w:t>Table of Contents</w:t>
            </w:r>
          </w:p>
        </w:tc>
        <w:tc>
          <w:tcPr>
            <w:tcW w:w="19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9260" w:type="dxa"/>
            <w:vAlign w:val="bottom"/>
            <w:gridSpan w:val="1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Report of Independent Registered Public Accounting Firm</w:t>
              </w:r>
            </w:hyperlink>
          </w:p>
        </w:tc>
        <w:tc>
          <w:tcPr>
            <w:tcW w:w="190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1</w:t>
              </w:r>
            </w:hyperlink>
          </w:p>
        </w:tc>
      </w:tr>
      <w:tr>
        <w:trPr>
          <w:trHeight w:val="263"/>
        </w:trPr>
        <w:tc>
          <w:tcPr>
            <w:tcW w:w="60" w:type="dxa"/>
            <w:vAlign w:val="bottom"/>
          </w:tcPr>
          <w:p>
            <w:pPr>
              <w:spacing w:after="0"/>
              <w:rPr>
                <w:sz w:val="22"/>
                <w:szCs w:val="22"/>
                <w:color w:val="auto"/>
              </w:rPr>
            </w:pPr>
          </w:p>
        </w:tc>
        <w:tc>
          <w:tcPr>
            <w:tcW w:w="42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Financial Statements:</w:t>
            </w:r>
          </w:p>
        </w:tc>
        <w:tc>
          <w:tcPr>
            <w:tcW w:w="5040" w:type="dxa"/>
            <w:vAlign w:val="bottom"/>
            <w:gridSpan w:val="4"/>
          </w:tcPr>
          <w:p>
            <w:pPr>
              <w:spacing w:after="0"/>
              <w:rPr>
                <w:sz w:val="22"/>
                <w:szCs w:val="22"/>
                <w:color w:val="auto"/>
              </w:rPr>
            </w:pPr>
          </w:p>
        </w:tc>
        <w:tc>
          <w:tcPr>
            <w:tcW w:w="1900" w:type="dxa"/>
            <w:vAlign w:val="bottom"/>
          </w:tcPr>
          <w:p>
            <w:pPr>
              <w:spacing w:after="0"/>
              <w:rPr>
                <w:sz w:val="22"/>
                <w:szCs w:val="22"/>
                <w:color w:val="auto"/>
              </w:rPr>
            </w:pPr>
          </w:p>
        </w:tc>
      </w:tr>
      <w:tr>
        <w:trPr>
          <w:trHeight w:val="190"/>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0" w:type="dxa"/>
            <w:vAlign w:val="bottom"/>
            <w:gridSpan w:val="9"/>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Statements of Net Assets Available for Benefits as of December 31, 2020 and 2019</w:t>
              </w:r>
            </w:hyperlink>
          </w:p>
        </w:tc>
        <w:tc>
          <w:tcPr>
            <w:tcW w:w="1900" w:type="dxa"/>
            <w:vAlign w:val="bottom"/>
          </w:tcPr>
          <w:p>
            <w:pPr>
              <w:jc w:val="right"/>
              <w:spacing w:after="0" w:line="190" w:lineRule="exact"/>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0" w:type="dxa"/>
            <w:vAlign w:val="bottom"/>
            <w:gridSpan w:val="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Statement of Changes in Net Assets Available for Benefits for the Year Ended December 31, 2020</w:t>
              </w:r>
            </w:hyperlink>
          </w:p>
        </w:tc>
        <w:tc>
          <w:tcPr>
            <w:tcW w:w="19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23"/>
        </w:trPr>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60" w:type="dxa"/>
            <w:vAlign w:val="bottom"/>
            <w:tcBorders>
              <w:top w:val="single" w:sz="8" w:color="0000FF"/>
            </w:tcBorders>
            <w:gridSpan w:val="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Financial Statements</w:t>
              </w:r>
            </w:hyperlink>
          </w:p>
        </w:tc>
        <w:tc>
          <w:tcPr>
            <w:tcW w:w="1740" w:type="dxa"/>
            <w:vAlign w:val="bottom"/>
          </w:tcPr>
          <w:p>
            <w:pPr>
              <w:spacing w:after="0"/>
              <w:rPr>
                <w:sz w:val="19"/>
                <w:szCs w:val="19"/>
                <w:color w:val="auto"/>
              </w:rPr>
            </w:pPr>
          </w:p>
        </w:tc>
        <w:tc>
          <w:tcPr>
            <w:tcW w:w="19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9260" w:type="dxa"/>
            <w:vAlign w:val="bottom"/>
            <w:gridSpan w:val="10"/>
          </w:tcPr>
          <w:p>
            <w:pPr>
              <w:spacing w:after="0"/>
              <w:rPr>
                <w:sz w:val="20"/>
                <w:szCs w:val="20"/>
                <w:color w:val="auto"/>
              </w:rPr>
            </w:pPr>
            <w:r>
              <w:rPr>
                <w:rFonts w:ascii="Arial" w:cs="Arial" w:eastAsia="Arial" w:hAnsi="Arial"/>
                <w:sz w:val="18"/>
                <w:szCs w:val="18"/>
                <w:color w:val="auto"/>
              </w:rPr>
              <w:t>Supplemental Schedule:</w:t>
            </w:r>
          </w:p>
        </w:tc>
        <w:tc>
          <w:tcPr>
            <w:tcW w:w="1900" w:type="dxa"/>
            <w:vAlign w:val="bottom"/>
          </w:tcPr>
          <w:p>
            <w:pPr>
              <w:spacing w:after="0"/>
              <w:rPr>
                <w:sz w:val="22"/>
                <w:szCs w:val="22"/>
                <w:color w:val="auto"/>
              </w:rPr>
            </w:pPr>
          </w:p>
        </w:tc>
      </w:tr>
      <w:tr>
        <w:trPr>
          <w:trHeight w:val="190"/>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0" w:type="dxa"/>
            <w:vAlign w:val="bottom"/>
            <w:gridSpan w:val="9"/>
          </w:tcPr>
          <w:p>
            <w:pPr>
              <w:spacing w:after="0" w:line="190" w:lineRule="exact"/>
              <w:rPr>
                <w:rFonts w:ascii="Arial" w:cs="Arial" w:eastAsia="Arial" w:hAnsi="Arial"/>
                <w:sz w:val="18"/>
                <w:szCs w:val="18"/>
                <w:color w:val="0000FF"/>
              </w:rPr>
            </w:pPr>
            <w:hyperlink w:anchor="page12">
              <w:r>
                <w:rPr>
                  <w:rFonts w:ascii="Arial" w:cs="Arial" w:eastAsia="Arial" w:hAnsi="Arial"/>
                  <w:sz w:val="18"/>
                  <w:szCs w:val="18"/>
                  <w:color w:val="0000FF"/>
                </w:rPr>
                <w:t>Schedule H, Line 4i - Schedule of Assets (Held at End of Year)</w:t>
              </w:r>
            </w:hyperlink>
          </w:p>
        </w:tc>
        <w:tc>
          <w:tcPr>
            <w:tcW w:w="1900" w:type="dxa"/>
            <w:vAlign w:val="bottom"/>
          </w:tcPr>
          <w:p>
            <w:pPr>
              <w:jc w:val="right"/>
              <w:spacing w:after="0" w:line="190" w:lineRule="exact"/>
              <w:rPr>
                <w:rFonts w:ascii="Arial" w:cs="Arial" w:eastAsia="Arial" w:hAnsi="Arial"/>
                <w:sz w:val="18"/>
                <w:szCs w:val="18"/>
                <w:color w:val="auto"/>
              </w:rPr>
            </w:pPr>
            <w:hyperlink w:anchor="page12">
              <w:r>
                <w:rPr>
                  <w:rFonts w:ascii="Arial" w:cs="Arial" w:eastAsia="Arial" w:hAnsi="Arial"/>
                  <w:sz w:val="18"/>
                  <w:szCs w:val="18"/>
                  <w:color w:val="auto"/>
                </w:rPr>
                <w:t>11</w:t>
              </w:r>
            </w:hyperlink>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00" w:type="dxa"/>
            <w:vAlign w:val="bottom"/>
            <w:tcBorders>
              <w:bottom w:val="single" w:sz="8" w:color="0000FF"/>
            </w:tcBorders>
            <w:gridSpan w:val="3"/>
          </w:tcPr>
          <w:p>
            <w:pPr>
              <w:spacing w:after="0"/>
              <w:rPr>
                <w:rFonts w:ascii="Arial" w:cs="Arial" w:eastAsia="Arial" w:hAnsi="Arial"/>
                <w:sz w:val="18"/>
                <w:szCs w:val="18"/>
                <w:color w:val="0000FF"/>
                <w:w w:val="95"/>
              </w:rPr>
            </w:pPr>
            <w:hyperlink w:anchor="page13">
              <w:r>
                <w:rPr>
                  <w:rFonts w:ascii="Arial" w:cs="Arial" w:eastAsia="Arial" w:hAnsi="Arial"/>
                  <w:sz w:val="18"/>
                  <w:szCs w:val="18"/>
                  <w:color w:val="0000FF"/>
                  <w:w w:val="95"/>
                </w:rPr>
                <w:t>Exhibit Index</w:t>
              </w:r>
            </w:hyperlink>
          </w:p>
        </w:tc>
        <w:tc>
          <w:tcPr>
            <w:tcW w:w="8260" w:type="dxa"/>
            <w:vAlign w:val="bottom"/>
            <w:gridSpan w:val="7"/>
          </w:tcPr>
          <w:p>
            <w:pPr>
              <w:spacing w:after="0"/>
              <w:rPr>
                <w:sz w:val="19"/>
                <w:szCs w:val="19"/>
                <w:color w:val="auto"/>
              </w:rPr>
            </w:pPr>
          </w:p>
        </w:tc>
        <w:tc>
          <w:tcPr>
            <w:tcW w:w="190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12</w:t>
              </w:r>
            </w:hyperlink>
          </w:p>
        </w:tc>
      </w:tr>
      <w:tr>
        <w:trPr>
          <w:trHeight w:val="223"/>
        </w:trPr>
        <w:tc>
          <w:tcPr>
            <w:tcW w:w="60" w:type="dxa"/>
            <w:vAlign w:val="bottom"/>
          </w:tcPr>
          <w:p>
            <w:pPr>
              <w:spacing w:after="0"/>
              <w:rPr>
                <w:sz w:val="19"/>
                <w:szCs w:val="19"/>
                <w:color w:val="auto"/>
              </w:rPr>
            </w:pPr>
          </w:p>
        </w:tc>
        <w:tc>
          <w:tcPr>
            <w:tcW w:w="7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14">
              <w:r>
                <w:rPr>
                  <w:rFonts w:ascii="Arial" w:cs="Arial" w:eastAsia="Arial" w:hAnsi="Arial"/>
                  <w:sz w:val="18"/>
                  <w:szCs w:val="18"/>
                  <w:color w:val="0000FF"/>
                  <w:w w:val="88"/>
                </w:rPr>
                <w:t>Signature</w:t>
              </w:r>
            </w:hyperlink>
          </w:p>
        </w:tc>
        <w:tc>
          <w:tcPr>
            <w:tcW w:w="8560" w:type="dxa"/>
            <w:vAlign w:val="bottom"/>
            <w:gridSpan w:val="8"/>
          </w:tcPr>
          <w:p>
            <w:pPr>
              <w:spacing w:after="0"/>
              <w:rPr>
                <w:sz w:val="19"/>
                <w:szCs w:val="19"/>
                <w:color w:val="auto"/>
              </w:rPr>
            </w:pPr>
          </w:p>
        </w:tc>
        <w:tc>
          <w:tcPr>
            <w:tcW w:w="190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13</w:t>
              </w:r>
            </w:hyperlink>
          </w:p>
        </w:tc>
      </w:tr>
    </w:tbl>
    <w:p>
      <w:pPr>
        <w:sectPr>
          <w:pgSz w:w="11900" w:h="16838" w:orient="portrait"/>
          <w:cols w:equalWidth="0" w:num="1">
            <w:col w:w="11220"/>
          </w:cols>
          <w:pgMar w:left="320" w:top="108"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 and plan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Operations Support Savings Plan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statements of net assets available for benefits of the Lockheed Martin Corporation Operations Support Savings Plan (the Plan) as of December 31, 2020 and 2019, the related statement of changes in net assets available for benefits for the year ended December 31, 2020, and the related notes and schedule (collectively referred to as the financial statements). In our opinion, the financial statements present fairly, in all material respects, the net assets available for benefits of the Plan as of December 31, 2020 and 2019, and the changes in net assets available for benefits for the year ended December 31, 2020,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Information</w:t>
      </w:r>
    </w:p>
    <w:p>
      <w:pPr>
        <w:spacing w:after="0" w:line="22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supplemental information in the accompanying schedule of assets (held as of year-end) as of December 31, 2020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of assets (held as of year-end),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21,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25"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50"/>
        </w:trPr>
        <w:tc>
          <w:tcPr>
            <w:tcW w:w="1280" w:type="dxa"/>
            <w:vAlign w:val="bottom"/>
            <w:tcBorders>
              <w:top w:val="single" w:sz="8" w:color="0000FF"/>
            </w:tcBorders>
          </w:tcPr>
          <w:p>
            <w:pPr>
              <w:spacing w:after="0"/>
              <w:rPr>
                <w:sz w:val="24"/>
                <w:szCs w:val="24"/>
                <w:color w:val="auto"/>
              </w:rPr>
            </w:pPr>
          </w:p>
        </w:tc>
        <w:tc>
          <w:tcPr>
            <w:tcW w:w="696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Lockheed Martin Corporation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6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Operations Support Savings Plan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960" w:type="dxa"/>
            <w:vAlign w:val="bottom"/>
          </w:tcPr>
          <w:p>
            <w:pPr>
              <w:jc w:val="center"/>
              <w:ind w:left="1650"/>
              <w:spacing w:after="0"/>
              <w:rPr>
                <w:sz w:val="20"/>
                <w:szCs w:val="20"/>
                <w:color w:val="auto"/>
              </w:rPr>
            </w:pPr>
            <w:r>
              <w:rPr>
                <w:rFonts w:ascii="Arial" w:cs="Arial" w:eastAsia="Arial" w:hAnsi="Arial"/>
                <w:sz w:val="18"/>
                <w:szCs w:val="18"/>
                <w:b w:val="1"/>
                <w:bCs w:val="1"/>
                <w:color w:val="auto"/>
                <w:w w:val="88"/>
              </w:rPr>
              <w:t>Statements of Net Assets Available for Benefits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960" w:type="dxa"/>
            <w:vAlign w:val="bottom"/>
          </w:tcPr>
          <w:p>
            <w:pPr>
              <w:jc w:val="center"/>
              <w:ind w:left="16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03"/>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234"/>
        </w:trPr>
        <w:tc>
          <w:tcPr>
            <w:tcW w:w="1280" w:type="dxa"/>
            <w:vAlign w:val="bottom"/>
            <w:tcBorders>
              <w:bottom w:val="single" w:sz="8" w:color="CCEEFF"/>
            </w:tcBorders>
          </w:tcPr>
          <w:p>
            <w:pPr>
              <w:spacing w:after="0"/>
              <w:rPr>
                <w:sz w:val="20"/>
                <w:szCs w:val="20"/>
                <w:color w:val="auto"/>
              </w:rPr>
            </w:pPr>
          </w:p>
        </w:tc>
        <w:tc>
          <w:tcPr>
            <w:tcW w:w="69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09"/>
        </w:trPr>
        <w:tc>
          <w:tcPr>
            <w:tcW w:w="8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40" w:type="dxa"/>
            <w:vAlign w:val="bottom"/>
            <w:gridSpan w:val="2"/>
          </w:tcPr>
          <w:p>
            <w:pPr>
              <w:ind w:left="60"/>
              <w:spacing w:after="0"/>
              <w:rPr>
                <w:sz w:val="20"/>
                <w:szCs w:val="20"/>
                <w:color w:val="auto"/>
              </w:rPr>
            </w:pPr>
            <w:r>
              <w:rPr>
                <w:rFonts w:ascii="Arial" w:cs="Arial" w:eastAsia="Arial" w:hAnsi="Arial"/>
                <w:sz w:val="18"/>
                <w:szCs w:val="18"/>
                <w:color w:val="auto"/>
              </w:rPr>
              <w:t>Interest in Lockheed Martin Corporation Defined Contribution Plans Master Trust: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Investments at fair value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362,657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348,420</w:t>
            </w:r>
          </w:p>
        </w:tc>
      </w:tr>
      <w:tr>
        <w:trPr>
          <w:trHeight w:val="229"/>
        </w:trPr>
        <w:tc>
          <w:tcPr>
            <w:tcW w:w="8240" w:type="dxa"/>
            <w:vAlign w:val="bottom"/>
            <w:gridSpan w:val="2"/>
          </w:tcPr>
          <w:p>
            <w:pPr>
              <w:ind w:left="520"/>
              <w:spacing w:after="0"/>
              <w:rPr>
                <w:sz w:val="20"/>
                <w:szCs w:val="20"/>
                <w:color w:val="auto"/>
              </w:rPr>
            </w:pPr>
            <w:r>
              <w:rPr>
                <w:rFonts w:ascii="Arial" w:cs="Arial" w:eastAsia="Arial" w:hAnsi="Arial"/>
                <w:sz w:val="18"/>
                <w:szCs w:val="18"/>
                <w:color w:val="auto"/>
              </w:rPr>
              <w:t>Investments in fully benefit-responsive investment contracts at contract value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29,963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29,312</w:t>
            </w:r>
          </w:p>
        </w:tc>
      </w:tr>
      <w:tr>
        <w:trPr>
          <w:trHeight w:val="230"/>
        </w:trPr>
        <w:tc>
          <w:tcPr>
            <w:tcW w:w="8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gridSpan w:val="2"/>
          </w:tcPr>
          <w:p>
            <w:pPr>
              <w:ind w:left="680"/>
              <w:spacing w:after="0"/>
              <w:rPr>
                <w:sz w:val="20"/>
                <w:szCs w:val="20"/>
                <w:color w:val="auto"/>
              </w:rPr>
            </w:pPr>
            <w:r>
              <w:rPr>
                <w:rFonts w:ascii="Arial" w:cs="Arial" w:eastAsia="Arial" w:hAnsi="Arial"/>
                <w:sz w:val="18"/>
                <w:szCs w:val="18"/>
                <w:color w:val="auto"/>
              </w:rPr>
              <w:t>Participant contributions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Employer contributions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Notes receivable from participants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1,839</w:t>
            </w:r>
          </w:p>
        </w:tc>
      </w:tr>
      <w:tr>
        <w:trPr>
          <w:trHeight w:val="223"/>
        </w:trPr>
        <w:tc>
          <w:tcPr>
            <w:tcW w:w="8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379,571</w:t>
            </w:r>
          </w:p>
        </w:tc>
      </w:tr>
      <w:tr>
        <w:trPr>
          <w:trHeight w:val="229"/>
        </w:trPr>
        <w:tc>
          <w:tcPr>
            <w:tcW w:w="8240" w:type="dxa"/>
            <w:vAlign w:val="bottom"/>
            <w:gridSpan w:val="2"/>
          </w:tcPr>
          <w:p>
            <w:pPr>
              <w:ind w:left="6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Administrative expenses payable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r>
      <w:tr>
        <w:trPr>
          <w:trHeight w:val="223"/>
        </w:trPr>
        <w:tc>
          <w:tcPr>
            <w:tcW w:w="8240" w:type="dxa"/>
            <w:vAlign w:val="bottom"/>
            <w:gridSpan w:val="2"/>
          </w:tcPr>
          <w:p>
            <w:pPr>
              <w:ind w:left="60"/>
              <w:spacing w:after="0"/>
              <w:rPr>
                <w:sz w:val="20"/>
                <w:szCs w:val="20"/>
                <w:color w:val="auto"/>
              </w:rPr>
            </w:pPr>
            <w:r>
              <w:rPr>
                <w:rFonts w:ascii="Arial" w:cs="Arial" w:eastAsia="Arial" w:hAnsi="Arial"/>
                <w:sz w:val="18"/>
                <w:szCs w:val="18"/>
                <w:color w:val="auto"/>
              </w:rPr>
              <w:t>Total net assets available for benefits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394,580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379,553</w:t>
            </w:r>
          </w:p>
        </w:tc>
      </w:tr>
      <w:tr>
        <w:trPr>
          <w:trHeight w:val="21"/>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3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FF"/>
            </w:tcBorders>
          </w:tcPr>
          <w:p>
            <w:pPr>
              <w:spacing w:after="0"/>
              <w:rPr>
                <w:sz w:val="24"/>
                <w:szCs w:val="24"/>
                <w:color w:val="auto"/>
              </w:rPr>
            </w:pPr>
          </w:p>
        </w:tc>
        <w:tc>
          <w:tcPr>
            <w:tcW w:w="804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Lockheed Martin Corporation</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4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Operations Support Savings Plan</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40" w:type="dxa"/>
            <w:vAlign w:val="bottom"/>
          </w:tcPr>
          <w:p>
            <w:pPr>
              <w:jc w:val="center"/>
              <w:ind w:left="570"/>
              <w:spacing w:after="0"/>
              <w:rPr>
                <w:sz w:val="20"/>
                <w:szCs w:val="20"/>
                <w:color w:val="auto"/>
              </w:rPr>
            </w:pPr>
            <w:r>
              <w:rPr>
                <w:rFonts w:ascii="Arial" w:cs="Arial" w:eastAsia="Arial" w:hAnsi="Arial"/>
                <w:sz w:val="18"/>
                <w:szCs w:val="18"/>
                <w:b w:val="1"/>
                <w:bCs w:val="1"/>
                <w:color w:val="auto"/>
                <w:w w:val="88"/>
              </w:rPr>
              <w:t>Statement of Changes in Net Assets Available for Benefits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8040" w:type="dxa"/>
            <w:vAlign w:val="bottom"/>
          </w:tcPr>
          <w:p>
            <w:pPr>
              <w:jc w:val="center"/>
              <w:ind w:left="57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9"/>
        </w:trPr>
        <w:tc>
          <w:tcPr>
            <w:tcW w:w="128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23"/>
        </w:trPr>
        <w:tc>
          <w:tcPr>
            <w:tcW w:w="9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assets available for benefits at beginning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379,553</w:t>
            </w:r>
          </w:p>
        </w:tc>
        <w:tc>
          <w:tcPr>
            <w:tcW w:w="0" w:type="dxa"/>
            <w:vAlign w:val="bottom"/>
          </w:tcPr>
          <w:p>
            <w:pPr>
              <w:spacing w:after="0"/>
              <w:rPr>
                <w:sz w:val="1"/>
                <w:szCs w:val="1"/>
                <w:color w:val="auto"/>
              </w:rPr>
            </w:pPr>
          </w:p>
        </w:tc>
      </w:tr>
      <w:tr>
        <w:trPr>
          <w:trHeight w:val="209"/>
        </w:trPr>
        <w:tc>
          <w:tcPr>
            <w:tcW w:w="9320" w:type="dxa"/>
            <w:vAlign w:val="bottom"/>
            <w:gridSpan w:val="2"/>
          </w:tcPr>
          <w:p>
            <w:pPr>
              <w:ind w:left="60"/>
              <w:spacing w:after="0"/>
              <w:rPr>
                <w:sz w:val="20"/>
                <w:szCs w:val="20"/>
                <w:color w:val="auto"/>
              </w:rPr>
            </w:pPr>
            <w:r>
              <w:rPr>
                <w:rFonts w:ascii="Arial" w:cs="Arial" w:eastAsia="Arial" w:hAnsi="Arial"/>
                <w:sz w:val="18"/>
                <w:szCs w:val="18"/>
                <w:color w:val="auto"/>
              </w:rPr>
              <w:t>Additions to net assets: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Contributions: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20" w:type="dxa"/>
            <w:vAlign w:val="bottom"/>
            <w:gridSpan w:val="2"/>
          </w:tcPr>
          <w:p>
            <w:pPr>
              <w:ind w:left="960"/>
              <w:spacing w:after="0"/>
              <w:rPr>
                <w:sz w:val="20"/>
                <w:szCs w:val="20"/>
                <w:color w:val="auto"/>
              </w:rPr>
            </w:pPr>
            <w:r>
              <w:rPr>
                <w:rFonts w:ascii="Arial" w:cs="Arial" w:eastAsia="Arial" w:hAnsi="Arial"/>
                <w:sz w:val="18"/>
                <w:szCs w:val="18"/>
                <w:color w:val="auto"/>
              </w:rPr>
              <w:t>Participant</w:t>
            </w:r>
          </w:p>
        </w:tc>
        <w:tc>
          <w:tcPr>
            <w:tcW w:w="18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29"/>
        </w:trPr>
        <w:tc>
          <w:tcPr>
            <w:tcW w:w="9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Employer</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3"/>
        </w:trPr>
        <w:tc>
          <w:tcPr>
            <w:tcW w:w="9320" w:type="dxa"/>
            <w:vAlign w:val="bottom"/>
            <w:gridSpan w:val="2"/>
          </w:tcPr>
          <w:p>
            <w:pPr>
              <w:ind w:left="520"/>
              <w:spacing w:after="0"/>
              <w:rPr>
                <w:sz w:val="20"/>
                <w:szCs w:val="20"/>
                <w:color w:val="auto"/>
              </w:rPr>
            </w:pPr>
            <w:r>
              <w:rPr>
                <w:rFonts w:ascii="Arial" w:cs="Arial" w:eastAsia="Arial" w:hAnsi="Arial"/>
                <w:sz w:val="18"/>
                <w:szCs w:val="18"/>
                <w:color w:val="auto"/>
              </w:rPr>
              <w:t>Total contributions</w:t>
            </w:r>
          </w:p>
        </w:tc>
        <w:tc>
          <w:tcPr>
            <w:tcW w:w="18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175"/>
        </w:trPr>
        <w:tc>
          <w:tcPr>
            <w:tcW w:w="932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w w:val="95"/>
              </w:rPr>
              <w:t>Interest in net investment gain from participation in Lockheed Martin Corporation Defined Contribution Plans Master</w:t>
            </w:r>
          </w:p>
        </w:tc>
        <w:tc>
          <w:tcPr>
            <w:tcW w:w="18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41,061</w:t>
            </w:r>
          </w:p>
        </w:tc>
        <w:tc>
          <w:tcPr>
            <w:tcW w:w="0" w:type="dxa"/>
            <w:vAlign w:val="bottom"/>
          </w:tcPr>
          <w:p>
            <w:pPr>
              <w:spacing w:after="0"/>
              <w:rPr>
                <w:sz w:val="1"/>
                <w:szCs w:val="1"/>
                <w:color w:val="auto"/>
              </w:rPr>
            </w:pPr>
          </w:p>
        </w:tc>
      </w:tr>
      <w:tr>
        <w:trPr>
          <w:trHeight w:val="230"/>
        </w:trPr>
        <w:tc>
          <w:tcPr>
            <w:tcW w:w="9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Trust</w:t>
            </w:r>
          </w:p>
        </w:tc>
        <w:tc>
          <w:tcPr>
            <w:tcW w:w="18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Interest income on notes receivable from participants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9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additions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44,274</w:t>
            </w:r>
          </w:p>
        </w:tc>
        <w:tc>
          <w:tcPr>
            <w:tcW w:w="0" w:type="dxa"/>
            <w:vAlign w:val="bottom"/>
          </w:tcPr>
          <w:p>
            <w:pPr>
              <w:spacing w:after="0"/>
              <w:rPr>
                <w:sz w:val="1"/>
                <w:szCs w:val="1"/>
                <w:color w:val="auto"/>
              </w:rPr>
            </w:pPr>
          </w:p>
        </w:tc>
      </w:tr>
      <w:tr>
        <w:trPr>
          <w:trHeight w:val="229"/>
        </w:trPr>
        <w:tc>
          <w:tcPr>
            <w:tcW w:w="9320" w:type="dxa"/>
            <w:vAlign w:val="bottom"/>
            <w:gridSpan w:val="2"/>
          </w:tcPr>
          <w:p>
            <w:pPr>
              <w:ind w:left="60"/>
              <w:spacing w:after="0"/>
              <w:rPr>
                <w:sz w:val="20"/>
                <w:szCs w:val="20"/>
                <w:color w:val="auto"/>
              </w:rPr>
            </w:pPr>
            <w:r>
              <w:rPr>
                <w:rFonts w:ascii="Arial" w:cs="Arial" w:eastAsia="Arial" w:hAnsi="Arial"/>
                <w:sz w:val="18"/>
                <w:szCs w:val="18"/>
                <w:color w:val="auto"/>
              </w:rPr>
              <w:t>Deductions from net assets:</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Distributions and withdrawals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28,696</w:t>
            </w:r>
          </w:p>
        </w:tc>
        <w:tc>
          <w:tcPr>
            <w:tcW w:w="0" w:type="dxa"/>
            <w:vAlign w:val="bottom"/>
          </w:tcPr>
          <w:p>
            <w:pPr>
              <w:spacing w:after="0"/>
              <w:rPr>
                <w:sz w:val="1"/>
                <w:szCs w:val="1"/>
                <w:color w:val="auto"/>
              </w:rPr>
            </w:pPr>
          </w:p>
        </w:tc>
      </w:tr>
      <w:tr>
        <w:trPr>
          <w:trHeight w:val="230"/>
        </w:trPr>
        <w:tc>
          <w:tcPr>
            <w:tcW w:w="93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Administrative expenses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3"/>
        </w:trPr>
        <w:tc>
          <w:tcPr>
            <w:tcW w:w="9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deductions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29,247</w:t>
            </w:r>
          </w:p>
        </w:tc>
        <w:tc>
          <w:tcPr>
            <w:tcW w:w="0" w:type="dxa"/>
            <w:vAlign w:val="bottom"/>
          </w:tcPr>
          <w:p>
            <w:pPr>
              <w:spacing w:after="0"/>
              <w:rPr>
                <w:sz w:val="1"/>
                <w:szCs w:val="1"/>
                <w:color w:val="auto"/>
              </w:rPr>
            </w:pPr>
          </w:p>
        </w:tc>
      </w:tr>
      <w:tr>
        <w:trPr>
          <w:trHeight w:val="223"/>
        </w:trPr>
        <w:tc>
          <w:tcPr>
            <w:tcW w:w="9320" w:type="dxa"/>
            <w:vAlign w:val="bottom"/>
            <w:gridSpan w:val="2"/>
          </w:tcPr>
          <w:p>
            <w:pPr>
              <w:ind w:left="60"/>
              <w:spacing w:after="0"/>
              <w:rPr>
                <w:sz w:val="20"/>
                <w:szCs w:val="20"/>
                <w:color w:val="auto"/>
              </w:rPr>
            </w:pPr>
            <w:r>
              <w:rPr>
                <w:rFonts w:ascii="Arial" w:cs="Arial" w:eastAsia="Arial" w:hAnsi="Arial"/>
                <w:sz w:val="18"/>
                <w:szCs w:val="18"/>
                <w:color w:val="auto"/>
              </w:rPr>
              <w:t>Change in net assets</w:t>
            </w:r>
          </w:p>
        </w:tc>
        <w:tc>
          <w:tcPr>
            <w:tcW w:w="18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15,027</w:t>
            </w:r>
          </w:p>
        </w:tc>
        <w:tc>
          <w:tcPr>
            <w:tcW w:w="0" w:type="dxa"/>
            <w:vAlign w:val="bottom"/>
          </w:tcPr>
          <w:p>
            <w:pPr>
              <w:spacing w:after="0"/>
              <w:rPr>
                <w:sz w:val="1"/>
                <w:szCs w:val="1"/>
                <w:color w:val="auto"/>
              </w:rPr>
            </w:pPr>
          </w:p>
        </w:tc>
      </w:tr>
      <w:tr>
        <w:trPr>
          <w:trHeight w:val="257"/>
        </w:trPr>
        <w:tc>
          <w:tcPr>
            <w:tcW w:w="932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320" w:type="dxa"/>
            <w:vAlign w:val="bottom"/>
            <w:gridSpan w:val="2"/>
          </w:tcPr>
          <w:p>
            <w:pPr>
              <w:ind w:left="60"/>
              <w:spacing w:after="0"/>
              <w:rPr>
                <w:sz w:val="20"/>
                <w:szCs w:val="20"/>
                <w:color w:val="auto"/>
              </w:rPr>
            </w:pPr>
            <w:r>
              <w:rPr>
                <w:rFonts w:ascii="Arial" w:cs="Arial" w:eastAsia="Arial" w:hAnsi="Arial"/>
                <w:sz w:val="18"/>
                <w:szCs w:val="18"/>
                <w:color w:val="auto"/>
              </w:rPr>
              <w:t>Net assets available for benefits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394,580</w:t>
            </w:r>
          </w:p>
        </w:tc>
        <w:tc>
          <w:tcPr>
            <w:tcW w:w="0" w:type="dxa"/>
            <w:vAlign w:val="bottom"/>
          </w:tcPr>
          <w:p>
            <w:pPr>
              <w:spacing w:after="0"/>
              <w:rPr>
                <w:sz w:val="1"/>
                <w:szCs w:val="1"/>
                <w:color w:val="auto"/>
              </w:rPr>
            </w:pPr>
          </w:p>
        </w:tc>
      </w:tr>
      <w:tr>
        <w:trPr>
          <w:trHeight w:val="21"/>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9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320" w:type="dxa"/>
            <w:vAlign w:val="bottom"/>
            <w:gridSpan w:val="2"/>
          </w:tcPr>
          <w:p>
            <w:pPr>
              <w:jc w:val="center"/>
              <w:ind w:left="1830"/>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Operations Support Savings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Description of the Plan</w:t>
      </w:r>
    </w:p>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following description of the Lockheed Martin Corporation Operations Support Savings Plan (the Plan) provides only general information about the Plan’s provisions. Participants should refer to the Plan document and Summary Plan Description for a more complete description of the Plan’s provisions.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Plan is a defined contribution plan covering all full-time employees and eligible part-time employees of certain business units of Lockheed Martin Corporation (Lockheed Martin or the Corporation) and employees of certain collectively bargained groups. Employees in participating business units who are scheduled to work 20 hours or more per week are immediately eligible to participate in the Plan. Employees scheduled to work less than 20 hours per week become eligible to participate on the date they complete a year of service, as defined in the Plan, or the date the contract or subsidiary with respect to which they are employed becomes covered by the Plan.</w:t>
      </w:r>
    </w:p>
    <w:p>
      <w:pPr>
        <w:spacing w:after="0" w:line="16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Plan includes an Employee Stock Ownership Plan (ESOP) feature. Cash dividends paid on Lockheed Martin common stock in both the ESOP Fund and the Lockheed Martin Stock Fund are automatically reinvested in those funds, unless the participant elects to receive the dividend directly as taxable income.</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assets of the Plan, excluding receivables, are held and invested on a commingled basis in the Lockheed Martin Corporation Defined Contribution Plans Master Trust (the Master Trust) under an agreement between Lockheed Martin and State Street Bank and Trust Company (the Trustee). The record keeper is Empower. Lockheed Martin is the Plan Sponsor and the Plan Administrator.</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Coronavirus Aid, Relief, and Economic Security Act (the CARES Act) was enacted on March 27, 2020 with the goal of helping American workers and businesses impacted by the coronavirus pandemic. The CARES Act, among other things, includes several relief provisions available to tax-qualified retirement plans and their participants, such as special coronavirus-related distributions, higher participant loan limits and a one-year suspension of participant loan payments.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52525"/>
        </w:rPr>
        <w:t>In April 2021, as part of its regular review of the Plan’s investment offerings, the Corporation implemented certain changes to the investment options under the Plan. Specifically, the following changes were made the investment options under the Plan:</w:t>
      </w:r>
    </w:p>
    <w:p>
      <w:pPr>
        <w:spacing w:after="0" w:line="143" w:lineRule="exact"/>
        <w:rPr>
          <w:sz w:val="20"/>
          <w:szCs w:val="20"/>
          <w:color w:val="auto"/>
        </w:rPr>
      </w:pPr>
    </w:p>
    <w:p>
      <w:pPr>
        <w:ind w:left="660" w:right="20" w:hanging="328"/>
        <w:spacing w:after="0" w:line="291" w:lineRule="auto"/>
        <w:tabs>
          <w:tab w:leader="none" w:pos="444" w:val="left"/>
        </w:tabs>
        <w:numPr>
          <w:ilvl w:val="0"/>
          <w:numId w:val="4"/>
        </w:numPr>
        <w:rPr>
          <w:rFonts w:ascii="Arial" w:cs="Arial" w:eastAsia="Arial" w:hAnsi="Arial"/>
          <w:sz w:val="16"/>
          <w:szCs w:val="16"/>
          <w:color w:val="auto"/>
        </w:rPr>
      </w:pPr>
      <w:r>
        <w:rPr>
          <w:rFonts w:ascii="Arial" w:cs="Arial" w:eastAsia="Arial" w:hAnsi="Arial"/>
          <w:sz w:val="16"/>
          <w:szCs w:val="16"/>
          <w:color w:val="auto"/>
        </w:rPr>
        <w:t>Eight core funds (Commodities, Global Real Estate, High Yield Bond, Emerging Markets Indexed Equity, International Developed Markets Equity, U.S. Equity, Government Short Term Investment, and Treasury Inflation Protected Securities) were removed as investment options under the Plan;</w:t>
      </w:r>
    </w:p>
    <w:p>
      <w:pPr>
        <w:ind w:left="440" w:hanging="10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Some of the fund names and/or underlying investments and benchmarks were changed;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Bond Fund was added to the investment options under the Plan;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mix and asset categories within the Target-Date Funds were changed.</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above changes, as of May 2021, Plan participants will generally have their future contributions automatically reset to be invested in an age-appropriate Target-Date Fund, unless they elect to opt-out of the automatic reset process.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Plan allows participants to make contributions on a before-tax, after-tax, or Roth 401(k) basis. Each calendar year, eligible participants can make contributions of up to 25% of the employee’s base pay, subject to regulatory limitations. If automatically enrolled, a participant’s contribution is set at 3% of eligible compensation in before-tax contributions. The Plan has an auto-escalation feature whereby contributions for those automatically enrolled are increased 1% each calendar year, up to 6% unless changed by the participant. The Plan permits catch-up contributions for participants age 50 or older as of the end of the calendar year. The Corporation may provide a matching contribution of up to 4% of participant’s base salary, depending on the participant’s business unit and/or the contract on which the participant works, or the terms of the applicable collective bargaining agreement. Additionally, the Corporation may designate an additional amount equal to a percentage of each participant's base pay as available for contribution to the Plan on a pre-tax basis as determined based upon the particular contract on which the participant works or the terms of the applicable collective bargaining agreement. The amount of this contribution is determined annually by the Corporation or established by the terms of the applicable collective bargaining agreement. Certain participants who complete certain financial wellness actions designated by the Corporation for a plan year will also receive a $100 employer contribution. Participants are immediately vested in all employer contributions.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Contributions may be invested in one or more of the available investment funds at the participant’s election. Participants may change the investment mix of their account balance up to 6 times per calendar quarter. Amounts that are transferred out of the investment fund designated as the Stable Value Fund must remain invested in a Core or Target Date Fund for at least 90 days before they are eligible to be transferred into the Government Short-Term Investment Fund. Participants may make an unlimited number of transfers out of the Lockheed Martin Stock Fund or the ESOP Fund.</w:t>
      </w:r>
    </w:p>
    <w:p>
      <w:pPr>
        <w:spacing w:after="0" w:line="13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An option available to participants is the self-directed brokerage account (SDBA), whereby a participant may elect to invest the participant’s transferable account balance in stocks, mutual funds, bonds, or other investments of the participant’s choosing. A participant’s initial transfer to the SDBA must be at least $500, and subsequent transfers must be at least $500. No distributions, withdrawals, or loans may be made directly from the assets in the SDBA, unless the participant requests a lump sum distribution after termination of employment.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participant’s account is credited with the participant’s contributions, the employer’s matching and non-elective contributions, as applicable, and the respective investment earnings or losses, less expenses, of the individual funds in which the account is invested.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Participants may borrow from their total account balance a minimum of $500 and up to a maximum amount equal to the lesser of 50% of their account balance or $50,000 (minus their highest outstanding loan balance from the past 12 months, if any). The loans are secured by the balance in the participant’s account and bear interest of 1% over a published prime rate. Principal and interest are paid ratably through weekly payroll deductions. Notes receivable from participants are measured at their unpaid principal balance plus any accrued but unpaid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On termination of service due to death, disability or retirement, a participant or beneficiary may elect to receive his or her account balance through a number of payout options. A participant is entitled to the account balance at the time his or her employment with the Corporation ends.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Termination</w:t>
      </w:r>
    </w:p>
    <w:p>
      <w:pPr>
        <w:spacing w:after="0" w:line="18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Although it has not expressed any intent to do so, the Board of Directors of Lockheed Martin has the right to amend, suspend or terminate the Plan at any time, subject to the provisions of the Employee Retirement Income Security Act of 1974 (ERISA). In the event of Plan termination, participants will receive a payment equal to the total value of their accounts.</w:t>
      </w:r>
    </w:p>
    <w:p>
      <w:pPr>
        <w:spacing w:after="0" w:line="180" w:lineRule="exact"/>
        <w:rPr>
          <w:sz w:val="20"/>
          <w:szCs w:val="20"/>
          <w:color w:val="auto"/>
        </w:rPr>
      </w:pPr>
    </w:p>
    <w:p>
      <w:pPr>
        <w:ind w:right="7600" w:firstLine="48"/>
        <w:spacing w:after="0" w:line="464"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Accounting</w:t>
      </w:r>
    </w:p>
    <w:p>
      <w:pPr>
        <w:spacing w:after="0"/>
        <w:rPr>
          <w:sz w:val="20"/>
          <w:szCs w:val="20"/>
          <w:color w:val="auto"/>
        </w:rPr>
      </w:pPr>
      <w:r>
        <w:rPr>
          <w:rFonts w:ascii="Arial" w:cs="Arial" w:eastAsia="Arial" w:hAnsi="Arial"/>
          <w:sz w:val="18"/>
          <w:szCs w:val="18"/>
          <w:color w:val="auto"/>
        </w:rPr>
        <w:t>The financial statements of the Plan are prepared on the accrual basis of accounting.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and changes therein, and disclosure of contingent assets and liabilities. Actual results could differ from those estimates.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through the Master Trust,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Investments in the Master Trust are primarily reported at fair value. Fair value is the price that would have been received to sell an asset or paid to transfer a liability in an orderly transaction between market participants at the measurement date. Fully benefit-responsive investment contracts are reported at contract value. Contract value is the relevant measurement attributable to fully benefit-responsive investment contracts because it is the amount participants would receive if they were to initiate permitted transactions under the terms of the Plan. The contract value represents contributions plus earnings, less participant withdrawals and administrative expenses. See Note 3 for discussion of fair value measurements and fully benefit-responsive investment contracts.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Purchases and sales of securities in the Master Trust are recorded on a trade-date basis. Interest income is recorded on the accrual basis. Dividends are recorded on the ex-dividend date. Gains and losses on investments bought and sold as well as held during the year are included in interest in net investment gain from the Master Trust on the Statement of Changes in Net Assets Available for Benefits. Interest income on notes receivable from participants is recorded on the accrual basis.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Direct administrative expenses are paid by the Master Trust and generally allocated to the Plan proportionally based on the Plan’s interest in the Master Trust’s net assets or directly if specifically related to the Plan. Certain indirect administrative expenses are paid by the Corporation and are excluded from these financial statements. Expenses paid by the Plan are shown on the Statement of Changes in Net Assets Available for Benefits.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00" w:firstLine="48"/>
        <w:spacing w:after="0" w:line="464"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General</w:t>
      </w:r>
    </w:p>
    <w:p>
      <w:pPr>
        <w:spacing w:after="0" w:line="259" w:lineRule="auto"/>
        <w:rPr>
          <w:sz w:val="20"/>
          <w:szCs w:val="20"/>
          <w:color w:val="auto"/>
        </w:rPr>
      </w:pPr>
      <w:r>
        <w:rPr>
          <w:rFonts w:ascii="Arial" w:cs="Arial" w:eastAsia="Arial" w:hAnsi="Arial"/>
          <w:sz w:val="18"/>
          <w:szCs w:val="18"/>
          <w:color w:val="auto"/>
        </w:rPr>
        <w:t>The Plan’s interest in the Master Trust is stated at the value of the underlying net assets in the Master Trust. The realized and unrealized gains and losses and investment income of the Master Trust are allocated among the participating plans included therein proportionally based on each plan’s earnings, which include unrealized gains and losses, investment income and plan expenses. The following table presents the Plan’s interest in the Master Trust balance as of December 31, 2020 and 2019 (in thousands):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19"/>
                <w:szCs w:val="19"/>
                <w:color w:val="auto"/>
              </w:rPr>
            </w:pPr>
          </w:p>
        </w:tc>
        <w:tc>
          <w:tcPr>
            <w:tcW w:w="25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80"/>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4"/>
              </w:rPr>
              <w:t>Master Trust</w:t>
            </w:r>
          </w:p>
        </w:tc>
        <w:tc>
          <w:tcPr>
            <w:tcW w:w="1340" w:type="dxa"/>
            <w:vAlign w:val="bottom"/>
            <w:gridSpan w:val="3"/>
          </w:tcPr>
          <w:p>
            <w:pPr>
              <w:jc w:val="center"/>
              <w:ind w:right="120"/>
              <w:spacing w:after="0" w:line="181" w:lineRule="exact"/>
              <w:rPr>
                <w:sz w:val="20"/>
                <w:szCs w:val="20"/>
                <w:color w:val="auto"/>
              </w:rPr>
            </w:pPr>
            <w:r>
              <w:rPr>
                <w:rFonts w:ascii="Arial" w:cs="Arial" w:eastAsia="Arial" w:hAnsi="Arial"/>
                <w:sz w:val="18"/>
                <w:szCs w:val="18"/>
                <w:b w:val="1"/>
                <w:bCs w:val="1"/>
                <w:color w:val="auto"/>
                <w:w w:val="89"/>
              </w:rPr>
              <w:t>Plan’s Interest</w:t>
            </w:r>
          </w:p>
        </w:tc>
        <w:tc>
          <w:tcPr>
            <w:tcW w:w="100" w:type="dxa"/>
            <w:vAlign w:val="bottom"/>
          </w:tcPr>
          <w:p>
            <w:pPr>
              <w:spacing w:after="0"/>
              <w:rPr>
                <w:sz w:val="15"/>
                <w:szCs w:val="15"/>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Master Trust</w:t>
            </w:r>
          </w:p>
        </w:tc>
        <w:tc>
          <w:tcPr>
            <w:tcW w:w="124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w w:val="94"/>
              </w:rPr>
              <w:t>Plan’s Interest</w:t>
            </w: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in Master Trust</w:t>
            </w: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2"/>
              </w:rPr>
              <w:t>in Master Trust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w:t>
            </w:r>
          </w:p>
        </w:tc>
        <w:tc>
          <w:tcPr>
            <w:tcW w:w="2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w:t>
            </w:r>
          </w:p>
        </w:tc>
        <w:tc>
          <w:tcPr>
            <w:tcW w:w="20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short-term investment fund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Common and preferred stocks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6,341,940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90,320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5,161,072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77,112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Common stocks - Lockheed Martin</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10,821,710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12,439,049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90,181</w:t>
            </w:r>
          </w:p>
        </w:tc>
        <w:tc>
          <w:tcPr>
            <w:tcW w:w="0" w:type="dxa"/>
            <w:vAlign w:val="bottom"/>
          </w:tcPr>
          <w:p>
            <w:pPr>
              <w:spacing w:after="0"/>
              <w:rPr>
                <w:sz w:val="1"/>
                <w:szCs w:val="1"/>
                <w:color w:val="auto"/>
              </w:rPr>
            </w:pPr>
          </w:p>
        </w:tc>
      </w:tr>
      <w:tr>
        <w:trPr>
          <w:trHeight w:val="229"/>
        </w:trPr>
        <w:tc>
          <w:tcPr>
            <w:tcW w:w="5280" w:type="dxa"/>
            <w:vAlign w:val="bottom"/>
          </w:tcPr>
          <w:p>
            <w:pPr>
              <w:spacing w:after="0" w:line="230" w:lineRule="exact"/>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3"/>
                <w:szCs w:val="23"/>
                <w:color w:val="auto"/>
                <w:vertAlign w:val="superscript"/>
              </w:rPr>
              <w:t>(a)</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21,820,727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169,217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19,577,495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157,781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companies (mutual funds)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607,812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481,767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Self-directed brokerage account</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1,714,872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line="223" w:lineRule="exact"/>
              <w:rPr>
                <w:sz w:val="20"/>
                <w:szCs w:val="20"/>
                <w:color w:val="auto"/>
              </w:rPr>
            </w:pPr>
            <w:r>
              <w:rPr>
                <w:rFonts w:ascii="Arial" w:cs="Arial" w:eastAsia="Arial" w:hAnsi="Arial"/>
                <w:sz w:val="18"/>
                <w:szCs w:val="18"/>
                <w:color w:val="auto"/>
              </w:rPr>
              <w:t xml:space="preserve">Total investments at fair value </w:t>
            </w:r>
            <w:r>
              <w:rPr>
                <w:rFonts w:ascii="Arial" w:cs="Arial" w:eastAsia="Arial" w:hAnsi="Arial"/>
                <w:sz w:val="23"/>
                <w:szCs w:val="23"/>
                <w:color w:val="auto"/>
                <w:vertAlign w:val="superscript"/>
              </w:rPr>
              <w:t>(b)</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43,008,621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361,506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40,308,529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346,655</w:t>
            </w:r>
          </w:p>
        </w:tc>
        <w:tc>
          <w:tcPr>
            <w:tcW w:w="0" w:type="dxa"/>
            <w:vAlign w:val="bottom"/>
          </w:tcPr>
          <w:p>
            <w:pPr>
              <w:spacing w:after="0"/>
              <w:rPr>
                <w:sz w:val="1"/>
                <w:szCs w:val="1"/>
                <w:color w:val="auto"/>
              </w:rPr>
            </w:pPr>
          </w:p>
        </w:tc>
      </w:tr>
      <w:tr>
        <w:trPr>
          <w:trHeight w:val="324"/>
        </w:trPr>
        <w:tc>
          <w:tcPr>
            <w:tcW w:w="5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Fully benefit-responsive investment contracts at contract value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4,336,297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3,733,748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29,312</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Plus: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from broker for securities sold</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5280" w:type="dxa"/>
            <w:vAlign w:val="bottom"/>
          </w:tcPr>
          <w:p>
            <w:pPr>
              <w:ind w:left="200"/>
              <w:spacing w:after="0"/>
              <w:rPr>
                <w:sz w:val="20"/>
                <w:szCs w:val="20"/>
                <w:color w:val="auto"/>
              </w:rPr>
            </w:pPr>
            <w:r>
              <w:rPr>
                <w:rFonts w:ascii="Arial" w:cs="Arial" w:eastAsia="Arial" w:hAnsi="Arial"/>
                <w:sz w:val="18"/>
                <w:szCs w:val="18"/>
                <w:color w:val="auto"/>
              </w:rPr>
              <w:t>Accrued interest and dividends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23"/>
                <w:szCs w:val="23"/>
                <w:color w:val="auto"/>
                <w:vertAlign w:val="superscript"/>
              </w:rPr>
              <w:t>(c)</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broker for securities purchased</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52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Other payables </w:t>
            </w:r>
            <w:r>
              <w:rPr>
                <w:rFonts w:ascii="Arial" w:cs="Arial" w:eastAsia="Arial" w:hAnsi="Arial"/>
                <w:sz w:val="23"/>
                <w:szCs w:val="23"/>
                <w:color w:val="auto"/>
                <w:vertAlign w:val="superscript"/>
              </w:rPr>
              <w:t>(c)</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47,327,121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44,057,229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376,095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103-12 investment entities.</w:t>
      </w:r>
    </w:p>
    <w:p>
      <w:pPr>
        <w:spacing w:after="0" w:line="161" w:lineRule="exact"/>
        <w:rPr>
          <w:rFonts w:ascii="Arial" w:cs="Arial" w:eastAsia="Arial" w:hAnsi="Arial"/>
          <w:sz w:val="23"/>
          <w:szCs w:val="23"/>
          <w:color w:val="auto"/>
          <w:vertAlign w:val="superscript"/>
        </w:rPr>
      </w:pPr>
    </w:p>
    <w:p>
      <w:pPr>
        <w:ind w:left="340" w:right="80" w:hanging="332"/>
        <w:spacing w:after="0" w:line="238"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Plan’s reported total investments at fair value as of December 31, 2020 and 2019 has a variance of ($1,151,000) and ($1,765,000), respectively, to the reported Interest in Lockheed Martin Corporation Defined Contribution Plans Master Trust of Investments at fair value on the Statement of Net Assets (see page 2). These immaterial amounts are the net result between certain accruals recorded by either the Master Trust or the Plan separately at year-end.</w:t>
      </w:r>
    </w:p>
    <w:p>
      <w:pPr>
        <w:spacing w:after="0" w:line="14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unsettled trades, other receivables/payables, market values on foreign currency, other cash positions on futures.</w:t>
      </w:r>
    </w:p>
    <w:p>
      <w:pPr>
        <w:spacing w:after="0" w:line="16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Plan, through the Master Trust, invests in a Stable Value Fund which holds synthetic guaranteed investment contracts (synthetic GICs) that are fully benefit-responsive and managed separate accounts. A synthetic GIC, also known as a wrap contract, is an investment contract issued by an insurance company or other financial institution paired with an underlying investment or investments, usually a portfolio of high quality fixed income securities. These investment contracts provide the realized and unrealized gains and losses on the underlying investments that are amortized over the duration of the underlying investments through adjustments to the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future interest-crediting rates. The primary factors affecting the future interest-crediting rates of the wrap contracts include the level of market interest rates, the amount and timing of participant contributions, transfers, and withdrawals into or out of the wrap contracts, the investment returns generated by the investments that back the wrap contracts, and the duration of the underlying investments covered by the wrap contracts. The future interest-crediting rates may not be less than 0% and are adjusted monthly or quarterly based on the yield to maturity of the underlying investments, a market value to contract value ratio of the underlying investments, and the durations of the underlying investments. The contracts are fully benefit-responsive, which guarantees that all qualified participant withdrawals will occur at contract value.</w:t>
      </w:r>
    </w:p>
    <w:p>
      <w:pPr>
        <w:spacing w:after="0" w:line="13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certain circumstances, the amount withdrawn from the investment contract would be payable at fair value rather than at contract value. These events include termination of the Plan, a material adverse change to the provisions of the Plan, a withdrawal from a wrap contract in order to switch to a different investment provider, or adoption of a successor plan that does not meet the wrap contract issuer’s underwriting criteria for issuance of a duplicate wrap contract. The Plan Administrator does not believe that the occurrence of any of these events is probable. Also, the following events would permit the contract issuers to terminate the contracts prior to their scheduled maturity date: the Plan’s loss of its qualified status, uncured material breaches of responsibilities, or material and adverse changes to the provisions of the Plan. If one of these events were to occur, the contract issuer could terminate the contract at the fair value of the underlying investments.</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Master Trust invests in a Government or Short-Term Investment Fund, consisting of U.S. Treasury obligations and commercial paper, which is used as a temporary investment to hold contributions from the day the cash is transferred from the Corporation to the Trustee until the day the cash is invested in a particular fund. The related earnings from the Short-Term Investment Fund or Government Short-Term Investment Fund are used to pay certain expenses related to participant accounts.</w:t>
      </w:r>
    </w:p>
    <w:p>
      <w:pPr>
        <w:spacing w:after="0" w:line="1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order to provide appropriate liquidity to meet ongoing daily cash outflow requirements for the Lockheed Martin Stock Fund, ESOP Fund, and the other investment funds that are investment alternatives for the Plan that are beneficiaries of the Master Trust, the Master Trust may be able to receive advances from the Stable Value Fund or the Corporation. The Stable Value Fund may make an advance only after considering its own liquidity needs. Any investment fund that receives an advance will compensate the Stable Value Fund for income lost due to any such advance by paying interest on such advance. The interest is compounded daily based on an annual rate equal to the interest crediting rate to the Short-Term Investment Fund or the Government Short-Term Investment Fund portion of the Stable Value Fund, as appropriate. The Lockheed Martin Stock Fund and ESOP Fund may borrow, without interest, up to $200,000,000 from the Corporation, as evidenced by a promissory note, which requires repayment within three business days after the advance. As of December 31, 2020 and 2019, there were no such advances payable to the Corporation. Occasionally, the Master Trust invests in derivative financial instruments for liquidity or asset allocation purposes. As of December 31, 2020 and 2019, there were no material investments in derivatives.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Assets</w:t>
      </w:r>
    </w:p>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accounting standard for fair value measurements defines fair value, establishes a market-based framework or hierarchy for measuring fair value, and requires disclosures regarding fair value measurements. The standard is applicable whenever assets and liabilities are measured and included in the financial statements at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established in the standard prioritizes the inputs used in valuation techniques into three levels as follows:</w:t>
      </w:r>
    </w:p>
    <w:p>
      <w:pPr>
        <w:spacing w:after="0" w:line="185" w:lineRule="exact"/>
        <w:rPr>
          <w:sz w:val="20"/>
          <w:szCs w:val="20"/>
          <w:color w:val="auto"/>
        </w:rPr>
      </w:pPr>
    </w:p>
    <w:p>
      <w:pPr>
        <w:ind w:left="340" w:hanging="29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198" w:lineRule="exact"/>
        <w:rPr>
          <w:rFonts w:ascii="Arial" w:cs="Arial" w:eastAsia="Arial" w:hAnsi="Arial"/>
          <w:sz w:val="18"/>
          <w:szCs w:val="18"/>
          <w:color w:val="auto"/>
        </w:rPr>
      </w:pPr>
    </w:p>
    <w:p>
      <w:pPr>
        <w:ind w:left="460" w:hanging="412"/>
        <w:spacing w:after="0" w:line="342" w:lineRule="auto"/>
        <w:tabs>
          <w:tab w:leader="none" w:pos="343"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quoted prices for similar instruments in active markets, quoted prices for identical or similar instruments in inactive markets, and amounts derived from valuation models where all significant inputs are observable in active markets; and</w:t>
      </w:r>
    </w:p>
    <w:p>
      <w:pPr>
        <w:spacing w:after="0" w:line="83" w:lineRule="exact"/>
        <w:rPr>
          <w:rFonts w:ascii="Arial" w:cs="Arial" w:eastAsia="Arial" w:hAnsi="Arial"/>
          <w:sz w:val="16"/>
          <w:szCs w:val="16"/>
          <w:color w:val="auto"/>
        </w:rPr>
      </w:pPr>
    </w:p>
    <w:p>
      <w:pPr>
        <w:ind w:left="460" w:right="20" w:hanging="412"/>
        <w:spacing w:after="0" w:line="277" w:lineRule="auto"/>
        <w:tabs>
          <w:tab w:leader="none" w:pos="298"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where valuation models are supported by little or no market activity that one or more significant inputs are unobservable and require us to develop relevant assumptions.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of the assets in the Master Trust by asset category and their level within the fair value hierarchy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63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and short-term investment fund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736,801</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766,025</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Common and preferred stocks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6,341,806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6,341,940</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stocks - Lockheed Martin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10,821,710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10,821,710</w:t>
            </w:r>
          </w:p>
        </w:tc>
      </w:tr>
      <w:tr>
        <w:trPr>
          <w:trHeight w:val="230"/>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3"/>
                <w:szCs w:val="23"/>
                <w:color w:val="auto"/>
                <w:vertAlign w:val="superscript"/>
              </w:rPr>
              <w:t>(a)</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21,820,727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21,820,727</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Registered investment companies (mutual funds)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385,241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385,241</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607,812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607,812</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333,900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333,900</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216,394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216,394</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Self-directed brokerage account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1,714,872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1,714,872</w:t>
            </w:r>
          </w:p>
        </w:tc>
      </w:tr>
      <w:tr>
        <w:trPr>
          <w:trHeight w:val="223"/>
        </w:trPr>
        <w:tc>
          <w:tcPr>
            <w:tcW w:w="6320" w:type="dxa"/>
            <w:vAlign w:val="bottom"/>
          </w:tcPr>
          <w:p>
            <w:pPr>
              <w:ind w:left="440"/>
              <w:spacing w:after="0"/>
              <w:rPr>
                <w:sz w:val="20"/>
                <w:szCs w:val="20"/>
                <w:color w:val="auto"/>
              </w:rPr>
            </w:pPr>
            <w:r>
              <w:rPr>
                <w:rFonts w:ascii="Arial" w:cs="Arial" w:eastAsia="Arial" w:hAnsi="Arial"/>
                <w:sz w:val="18"/>
                <w:szCs w:val="18"/>
                <w:color w:val="auto"/>
              </w:rPr>
              <w:t>Total investment assets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19,292,853</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23,715,768</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43,008,621</w:t>
            </w:r>
          </w:p>
        </w:tc>
      </w:tr>
      <w:tr>
        <w:trPr>
          <w:trHeight w:val="230"/>
        </w:trPr>
        <w:tc>
          <w:tcPr>
            <w:tcW w:w="6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Payables,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w:t>
            </w:r>
          </w:p>
        </w:tc>
      </w:tr>
      <w:tr>
        <w:trPr>
          <w:trHeight w:val="229"/>
        </w:trPr>
        <w:tc>
          <w:tcPr>
            <w:tcW w:w="63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Fully benefit-responsive investment contracts at contract value</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4,336,297</w:t>
            </w:r>
          </w:p>
        </w:tc>
      </w:tr>
      <w:tr>
        <w:trPr>
          <w:trHeight w:val="248"/>
        </w:trPr>
        <w:tc>
          <w:tcPr>
            <w:tcW w:w="6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47,327,121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and dividend income earned by the Master Trust for the year ended December 31, 2020 was $541,378,000. The net appreciation for the year ended December 31, 2020 was $3,481,911,000.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of the assets in the Master Trust by asset category and their level within the fair value hierarchy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23"/>
        </w:trPr>
        <w:tc>
          <w:tcPr>
            <w:tcW w:w="63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and short-term investment fund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684,928</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Common and preferred stocks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5,161,072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5,161,072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stocks - Lockheed Martin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12,439,049</w:t>
            </w:r>
          </w:p>
        </w:tc>
      </w:tr>
      <w:tr>
        <w:trPr>
          <w:trHeight w:val="230"/>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Common/collective trusts </w:t>
            </w:r>
            <w:r>
              <w:rPr>
                <w:rFonts w:ascii="Arial" w:cs="Arial" w:eastAsia="Arial" w:hAnsi="Arial"/>
                <w:sz w:val="23"/>
                <w:szCs w:val="23"/>
                <w:color w:val="auto"/>
                <w:vertAlign w:val="superscript"/>
              </w:rPr>
              <w:t>(a)</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19,577,495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19,577,495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Registered investment companies (mutual funds)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243,326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481,767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481,767</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385,750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188,282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188,282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Self-directed brokerage account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1,146,860</w:t>
            </w:r>
          </w:p>
        </w:tc>
      </w:tr>
      <w:tr>
        <w:trPr>
          <w:trHeight w:val="223"/>
        </w:trPr>
        <w:tc>
          <w:tcPr>
            <w:tcW w:w="6360" w:type="dxa"/>
            <w:vAlign w:val="bottom"/>
          </w:tcPr>
          <w:p>
            <w:pPr>
              <w:ind w:left="440"/>
              <w:spacing w:after="0"/>
              <w:rPr>
                <w:sz w:val="20"/>
                <w:szCs w:val="20"/>
                <w:color w:val="auto"/>
              </w:rPr>
            </w:pPr>
            <w:r>
              <w:rPr>
                <w:rFonts w:ascii="Arial" w:cs="Arial" w:eastAsia="Arial" w:hAnsi="Arial"/>
                <w:sz w:val="18"/>
                <w:szCs w:val="18"/>
                <w:color w:val="auto"/>
              </w:rPr>
              <w:t>Total investment assets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19,029,426</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21,279,103</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40,308,529</w:t>
            </w:r>
          </w:p>
        </w:tc>
      </w:tr>
      <w:tr>
        <w:trPr>
          <w:trHeight w:val="230"/>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Receivable, net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w:t>
            </w:r>
          </w:p>
        </w:tc>
      </w:tr>
      <w:tr>
        <w:trPr>
          <w:trHeight w:val="230"/>
        </w:trPr>
        <w:tc>
          <w:tcPr>
            <w:tcW w:w="63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Fully benefit-responsive investment contracts at contract value</w:t>
            </w: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3,733,748</w:t>
            </w:r>
          </w:p>
        </w:tc>
      </w:tr>
      <w:tr>
        <w:trPr>
          <w:trHeight w:val="248"/>
        </w:trPr>
        <w:tc>
          <w:tcPr>
            <w:tcW w:w="6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44,057,229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40" w:type="dxa"/>
            <w:vAlign w:val="bottom"/>
          </w:tcPr>
          <w:p>
            <w:pPr>
              <w:spacing w:after="0"/>
              <w:rPr>
                <w:sz w:val="20"/>
                <w:szCs w:val="20"/>
                <w:color w:val="auto"/>
              </w:rPr>
            </w:pPr>
            <w:r>
              <w:rPr>
                <w:rFonts w:ascii="Arial" w:cs="Arial" w:eastAsia="Arial" w:hAnsi="Arial"/>
                <w:sz w:val="12"/>
                <w:szCs w:val="12"/>
                <w:color w:val="auto"/>
              </w:rPr>
              <w:t>(a)</w:t>
            </w:r>
          </w:p>
        </w:tc>
        <w:tc>
          <w:tcPr>
            <w:tcW w:w="2700" w:type="dxa"/>
            <w:vAlign w:val="bottom"/>
            <w:vMerge w:val="restart"/>
          </w:tcPr>
          <w:p>
            <w:pPr>
              <w:ind w:left="80"/>
              <w:spacing w:after="0"/>
              <w:rPr>
                <w:sz w:val="20"/>
                <w:szCs w:val="20"/>
                <w:color w:val="auto"/>
              </w:rPr>
            </w:pPr>
            <w:r>
              <w:rPr>
                <w:rFonts w:ascii="Arial" w:cs="Arial" w:eastAsia="Arial" w:hAnsi="Arial"/>
                <w:sz w:val="18"/>
                <w:szCs w:val="18"/>
                <w:color w:val="auto"/>
                <w:w w:val="90"/>
              </w:rPr>
              <w:t>Includes 103-12 investment entities.</w:t>
            </w:r>
          </w:p>
        </w:tc>
        <w:tc>
          <w:tcPr>
            <w:tcW w:w="0" w:type="dxa"/>
            <w:vAlign w:val="bottom"/>
          </w:tcPr>
          <w:p>
            <w:pPr>
              <w:spacing w:after="0"/>
              <w:rPr>
                <w:sz w:val="1"/>
                <w:szCs w:val="1"/>
                <w:color w:val="auto"/>
              </w:rPr>
            </w:pPr>
          </w:p>
        </w:tc>
      </w:tr>
      <w:tr>
        <w:trPr>
          <w:trHeight w:val="88"/>
        </w:trPr>
        <w:tc>
          <w:tcPr>
            <w:tcW w:w="24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Techniques</w:t>
      </w:r>
    </w:p>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Cash equivalents and short-term investment fund categorized as Level 1 are mostly comprised of short-term money-market instruments and are valued at cost, which approximates fair value. Cash equivalents and short-term investment fund categorized as Level 2 are short-term government securities consisting of U.S. Treasuries and U.S. agency issues.</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Common and preferred stocks categorized as Level 1 are traded on active national and international exchanges and are valued at closing prices on the last trading day of the year.</w:t>
      </w:r>
    </w:p>
    <w:p>
      <w:pPr>
        <w:spacing w:after="0" w:line="130"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Common/collective trusts (CCTs) and registered investment companies (e.g., mutual funds, exchange-traded funds (ETFs), etc.) are investment vehicles valued using the Net Asset Value (NAV) provided by the fund managers. The NAV is the total value of the fund divided by the number of shares outstanding and is based on the fair value of underlying investments held by the CCTs. CCTs are traded at NAV, determined daily or monthly. CCTs are categorized as Level 2 because the NAVs, although readily determinable, are not published on an active exchange nor publicly available. Registered investment companies are traded at NAV, determined and published daily, and are categorized as Level 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Corporate debt securities, U.S. Government securities and other investments categorized as Level 2 are valued by the Trustee using pricing models that use verifiable observable market data (e.g., interest rates and yield curves observable at commonly quoted intervals), bids provided by brokers or dealers, or quoted prices of securities with similar characteristics. The Trustee obtains pricing based on indicative quotes or bid evaluations from vendors, brokers or the investment manager.</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SDBA investments categorized as Level 1 are primarily cash equivalents, common stock, ETFs, and mutual funds. As of December 31, 2020 and 2019, this account included Lockheed Martin common stock of $25,818,000 and $16,028,000, respectively.</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management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Parties-in-Interest Transactions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 makes certain investments through the Master Trust, which are considered to be party-in-interest transactions for which a statutory exemption from the prohibited transaction regulation exists. The Master Trust held 30,485,409 and 31,945,783 shares of the Corporation’s common stock as of December 31, 2020 and 2019, respectively. Dividends earned by the Master Trust on the Corporation’s common stock were $322,606,731 for the year ended December 31, 2020. The Master Trust invests in certain investments that are sponsored by State Street Bank, the Trustee. These investments include the following: Government Short-Term Fund, S&amp;P 500 Indexed Equity Fund, Small Mid-Cap Indexed Equity Fund, and MSCI EAFE Indexed Equity Fund.</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Master Trust owed the Corporation $2,000,000 and $0 as of December 31, 2020 and 2019, respectively for certain expenses paid by the Corporation in providing services to the Plan and certain other plans.</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addition, notes receivable from participants are considered to be party-in-interest transactions for which a statutory exemption from the prohibited transaction regulation exists.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Income Tax Status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Internal Revenue Service (IRS) has determined and informed the Corporation by letter dated October 23, 2013, that the Plan is designed in accordance with applicable sections of the Internal Revenue Code (IRC) and, therefore, the related trust is exempt from taxation. Under current IRS determination letter procedures, there is no opportunity for the Plan to obtain a more recent letter from the IRS. The Plan has been amended since issuance of the determination letter. However, the Plan Administrator and the Corporation’s counsel believe that the current design and operations of the Plan are in compliance with the applicable provisions of the IRC.</w:t>
      </w:r>
    </w:p>
    <w:p>
      <w:pPr>
        <w:spacing w:after="0" w:line="147"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GAAP requires plan management to evaluate tax positions taken by the Plan to determine whether the Plan has taken any uncertain positions that more likely than not would not be sustained upon examination by the IRS. The Plan Administrator has analyzed the tax positions taken by the Plan, and has concluded that as of December 31, 2020, there were no uncertain positions taken or expected to be taken that would require recognition of a liability or asset or disclosure in the financial statements. The Plan is subject to routine audits by taxing jurisdictions, but no tax audits are in progress. The Plan Administrator believes the Plan is no longer subject to income tax examinations for years prior to 2017.</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Reconciliation of Financial Statements to Form 5500</w:t>
      </w:r>
    </w:p>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accompanying financial statements present fully benefit-responsive investment contracts at contract value. The Form 5500 requires fully benefit-responsive investment contracts to be reported at fair value. This difference in presentation resulted in net assets available for plan benefits reported in the financial statements being $1,671,000 and $612,000 less than the amounts reported on the Form 5500 as of December 31, 2020 and 2019, respectively, due to the difference between fair value and contract value of fully benefit-responsive investment contracts.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Interest in net investment gain of Master Trust reported in the financial statements is $651,000 less than the amount reported on Form 5500 for the year ended December 31, 2020. Administrative expenses reported in the financial statements are $517,000 greater than the amounts reported on Form 5500 and interest income on notes receivable from participants reported in the financial statements is $109,000 greater than the amounts reported on Form 5500 for the year ended December 31, 2020. These differences arose from the classification of certain administrative expenses and interest income on notes receivable from participants, which are included in the net investment gain in the Master Trust for Form 5500 reporting purposes. Interest in the net investment gain in the Master Trust reported in the financial statements also differed from the related amount per the Form 5500 as a result of the difference between fair value and contract value of fully benefit-responsive investment contracts.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Lockheed Martin Corporation Operations Support Savings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Employer Identification Number 52-1893632, Plan Number 033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5500, Schedule H, Line 4i – Schedule of Assets (Held at End of Year)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(b)</w:t>
            </w:r>
          </w:p>
        </w:tc>
        <w:tc>
          <w:tcPr>
            <w:tcW w:w="53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(c)</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center"/>
              <w:ind w:right="204"/>
              <w:spacing w:after="0"/>
              <w:rPr>
                <w:sz w:val="20"/>
                <w:szCs w:val="20"/>
                <w:color w:val="auto"/>
              </w:rPr>
            </w:pPr>
            <w:r>
              <w:rPr>
                <w:rFonts w:ascii="Arial" w:cs="Arial" w:eastAsia="Arial" w:hAnsi="Arial"/>
                <w:sz w:val="14"/>
                <w:szCs w:val="14"/>
                <w:color w:val="auto"/>
                <w:w w:val="93"/>
              </w:rPr>
              <w:t>(e)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40" w:type="dxa"/>
            <w:vAlign w:val="bottom"/>
            <w:gridSpan w:val="2"/>
            <w:vMerge w:val="continue"/>
          </w:tcPr>
          <w:p>
            <w:pPr>
              <w:spacing w:after="0"/>
              <w:rPr>
                <w:sz w:val="11"/>
                <w:szCs w:val="11"/>
                <w:color w:val="auto"/>
              </w:rPr>
            </w:pPr>
          </w:p>
        </w:tc>
        <w:tc>
          <w:tcPr>
            <w:tcW w:w="538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6"/>
              </w:rPr>
              <w:t>Description of Investment, Including Maturity Date,</w:t>
            </w:r>
          </w:p>
        </w:tc>
        <w:tc>
          <w:tcPr>
            <w:tcW w:w="180" w:type="dxa"/>
            <w:vAlign w:val="bottom"/>
          </w:tcPr>
          <w:p>
            <w:pPr>
              <w:spacing w:after="0"/>
              <w:rPr>
                <w:sz w:val="11"/>
                <w:szCs w:val="11"/>
                <w:color w:val="auto"/>
              </w:rPr>
            </w:pPr>
          </w:p>
        </w:tc>
        <w:tc>
          <w:tcPr>
            <w:tcW w:w="980" w:type="dxa"/>
            <w:vAlign w:val="bottom"/>
            <w:gridSpan w:val="3"/>
            <w:vMerge w:val="restart"/>
          </w:tcPr>
          <w:p>
            <w:pPr>
              <w:jc w:val="center"/>
              <w:ind w:right="510"/>
              <w:spacing w:after="0"/>
              <w:rPr>
                <w:sz w:val="20"/>
                <w:szCs w:val="20"/>
                <w:color w:val="auto"/>
              </w:rPr>
            </w:pPr>
            <w:r>
              <w:rPr>
                <w:rFonts w:ascii="Arial" w:cs="Arial" w:eastAsia="Arial" w:hAnsi="Arial"/>
                <w:sz w:val="14"/>
                <w:szCs w:val="14"/>
                <w:color w:val="auto"/>
              </w:rPr>
              <w:t>(d)</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(a)</w:t>
            </w:r>
          </w:p>
        </w:tc>
        <w:tc>
          <w:tcPr>
            <w:tcW w:w="314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5"/>
              </w:rPr>
              <w:t>Identity of Issue, Borrower, Lessor, or Similar</w:t>
            </w:r>
          </w:p>
        </w:tc>
        <w:tc>
          <w:tcPr>
            <w:tcW w:w="538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2"/>
              </w:rPr>
              <w:t>Rate of</w:t>
            </w:r>
          </w:p>
        </w:tc>
        <w:tc>
          <w:tcPr>
            <w:tcW w:w="1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080" w:type="dxa"/>
            <w:vAlign w:val="bottom"/>
          </w:tcPr>
          <w:p>
            <w:pPr>
              <w:jc w:val="center"/>
              <w:ind w:right="204"/>
              <w:spacing w:after="0" w:line="135" w:lineRule="exact"/>
              <w:rPr>
                <w:sz w:val="20"/>
                <w:szCs w:val="20"/>
                <w:color w:val="auto"/>
              </w:rPr>
            </w:pPr>
            <w:r>
              <w:rPr>
                <w:rFonts w:ascii="Arial" w:cs="Arial" w:eastAsia="Arial" w:hAnsi="Arial"/>
                <w:sz w:val="14"/>
                <w:szCs w:val="14"/>
                <w:color w:val="auto"/>
                <w:w w:val="94"/>
              </w:rPr>
              <w:t>Current</w:t>
            </w:r>
          </w:p>
        </w:tc>
        <w:tc>
          <w:tcPr>
            <w:tcW w:w="0" w:type="dxa"/>
            <w:vAlign w:val="bottom"/>
          </w:tcPr>
          <w:p>
            <w:pPr>
              <w:spacing w:after="0"/>
              <w:rPr>
                <w:sz w:val="1"/>
                <w:szCs w:val="1"/>
                <w:color w:val="auto"/>
              </w:rPr>
            </w:pPr>
          </w:p>
        </w:tc>
      </w:tr>
      <w:tr>
        <w:trPr>
          <w:trHeight w:val="186"/>
        </w:trPr>
        <w:tc>
          <w:tcPr>
            <w:tcW w:w="440" w:type="dxa"/>
            <w:vAlign w:val="bottom"/>
            <w:gridSpan w:val="2"/>
            <w:vMerge w:val="continue"/>
          </w:tcPr>
          <w:p>
            <w:pPr>
              <w:spacing w:after="0"/>
              <w:rPr>
                <w:sz w:val="16"/>
                <w:szCs w:val="16"/>
                <w:color w:val="auto"/>
              </w:rPr>
            </w:pPr>
          </w:p>
        </w:tc>
        <w:tc>
          <w:tcPr>
            <w:tcW w:w="31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Party</w:t>
            </w:r>
          </w:p>
        </w:tc>
        <w:tc>
          <w:tcPr>
            <w:tcW w:w="538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Interest, Collateral, Par, or Maturity Value</w:t>
            </w:r>
          </w:p>
        </w:tc>
        <w:tc>
          <w:tcPr>
            <w:tcW w:w="180" w:type="dxa"/>
            <w:vAlign w:val="bottom"/>
          </w:tcPr>
          <w:p>
            <w:pPr>
              <w:spacing w:after="0"/>
              <w:rPr>
                <w:sz w:val="16"/>
                <w:szCs w:val="16"/>
                <w:color w:val="auto"/>
              </w:rPr>
            </w:pPr>
          </w:p>
        </w:tc>
        <w:tc>
          <w:tcPr>
            <w:tcW w:w="980" w:type="dxa"/>
            <w:vAlign w:val="bottom"/>
            <w:gridSpan w:val="3"/>
          </w:tcPr>
          <w:p>
            <w:pPr>
              <w:jc w:val="center"/>
              <w:ind w:right="470"/>
              <w:spacing w:after="0"/>
              <w:rPr>
                <w:sz w:val="20"/>
                <w:szCs w:val="20"/>
                <w:color w:val="auto"/>
              </w:rPr>
            </w:pPr>
            <w:r>
              <w:rPr>
                <w:rFonts w:ascii="Arial" w:cs="Arial" w:eastAsia="Arial" w:hAnsi="Arial"/>
                <w:sz w:val="14"/>
                <w:szCs w:val="14"/>
                <w:color w:val="auto"/>
                <w:w w:val="90"/>
              </w:rPr>
              <w:t>Cost</w:t>
            </w:r>
          </w:p>
        </w:tc>
        <w:tc>
          <w:tcPr>
            <w:tcW w:w="1080" w:type="dxa"/>
            <w:vAlign w:val="bottom"/>
          </w:tcPr>
          <w:p>
            <w:pPr>
              <w:jc w:val="center"/>
              <w:ind w:right="224"/>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26"/>
        </w:trPr>
        <w:tc>
          <w:tcPr>
            <w:tcW w:w="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receivable from participants</w:t>
            </w:r>
          </w:p>
        </w:tc>
        <w:tc>
          <w:tcPr>
            <w:tcW w:w="100" w:type="dxa"/>
            <w:vAlign w:val="bottom"/>
            <w:tcBorders>
              <w:top w:val="single" w:sz="8" w:color="CCEEFF"/>
            </w:tcBorders>
            <w:shd w:val="clear" w:color="auto" w:fill="CCEEFF"/>
          </w:tcPr>
          <w:p>
            <w:pPr>
              <w:spacing w:after="0"/>
              <w:rPr>
                <w:sz w:val="19"/>
                <w:szCs w:val="19"/>
                <w:color w:val="auto"/>
              </w:rPr>
            </w:pPr>
          </w:p>
        </w:tc>
        <w:tc>
          <w:tcPr>
            <w:tcW w:w="5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rates ranging from 4.25% to 9.75%; varying maturities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20" w:hanging="27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Party-in-interest for which a statutory exemption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3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Exhibit</w:t>
      </w:r>
    </w:p>
    <w:p>
      <w:pPr>
        <w:ind w:left="200"/>
        <w:spacing w:after="0"/>
        <w:tabs>
          <w:tab w:leader="none" w:pos="98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p>
    <w:p>
      <w:pPr>
        <w:ind w:left="1000" w:hanging="637"/>
        <w:spacing w:after="0"/>
        <w:tabs>
          <w:tab w:leader="none" w:pos="1000" w:val="left"/>
        </w:tabs>
        <w:numPr>
          <w:ilvl w:val="0"/>
          <w:numId w:val="10"/>
        </w:numPr>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Consent of Independent Registered Public Accounting Firm</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39"/>
          </w:cols>
          <w:pgMar w:left="320" w:top="125" w:right="1440"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Lockheed Martin Corporation, as Plan Administrator,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Lockheed Martin Corporation Operations Support Savings Plan, by</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Lockheed Martin Corporation as Plan Administrator</w:t>
      </w:r>
    </w:p>
    <w:p>
      <w:pPr>
        <w:spacing w:after="0" w:line="223"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8"/>
          <w:szCs w:val="18"/>
          <w:color w:val="auto"/>
        </w:rPr>
        <w:t>Date: June 21, 2021</w:t>
      </w:r>
      <w:r>
        <w:rPr>
          <w:sz w:val="20"/>
          <w:szCs w:val="20"/>
          <w:color w:val="auto"/>
        </w:rPr>
        <w:tab/>
      </w:r>
      <w:r>
        <w:rPr>
          <w:rFonts w:ascii="Arial" w:cs="Arial" w:eastAsia="Arial" w:hAnsi="Arial"/>
          <w:sz w:val="16"/>
          <w:szCs w:val="16"/>
          <w:color w:val="auto"/>
        </w:rPr>
        <w:t>by: /s/ Nicholas Lossia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Nicholas Lossia</w:t>
      </w:r>
    </w:p>
    <w:p>
      <w:pPr>
        <w:ind w:left="5960"/>
        <w:spacing w:after="0"/>
        <w:rPr>
          <w:sz w:val="20"/>
          <w:szCs w:val="20"/>
          <w:color w:val="auto"/>
        </w:rPr>
      </w:pPr>
      <w:r>
        <w:rPr>
          <w:rFonts w:ascii="Arial" w:cs="Arial" w:eastAsia="Arial" w:hAnsi="Arial"/>
          <w:sz w:val="17"/>
          <w:szCs w:val="17"/>
          <w:color w:val="auto"/>
        </w:rPr>
        <w:t>Vice President, Total Rewards and Performance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125" w:right="6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color w:val="auto"/>
        </w:rPr>
        <w:t>We consent to the incorporation by reference in the Registration Statements (Form S-8 Nos. 333-237831 and 333-188118) pertaining to the Lockheed Martin Corporation Operations Support Savings Plan of our report dated June 21, 2021, with respect to the financial statements and supplemental schedule of the Lockheed Martin Corporation Operations Support Savings Plan included in this Annual Report (Form 11-K) for the year ended December 31, 2020.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Mitchell &amp; Titus,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21, 2021</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2021-06-22T05:19:31Z</dcterms:created>
  <dcterms:modified xsi:type="dcterms:W3CDTF">2021-06-22T05:19:31Z</dcterms:modified>
</cp:coreProperties>
</file>