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884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8844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AUGUSTINE NORMAN R</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LOCKHEED MARTIN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LMT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01/18/2005</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24" w:val="left"/>
          <w:tab w:leader="none" w:pos="21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8"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BETHESDA</w:t>
            </w:r>
          </w:p>
        </w:tc>
        <w:tc>
          <w:tcPr>
            <w:tcW w:w="1020" w:type="dxa"/>
            <w:vAlign w:val="bottom"/>
          </w:tcPr>
          <w:p>
            <w:pPr>
              <w:ind w:left="200"/>
              <w:spacing w:after="0"/>
              <w:rPr>
                <w:sz w:val="20"/>
                <w:szCs w:val="20"/>
                <w:color w:val="auto"/>
              </w:rPr>
            </w:pPr>
            <w:r>
              <w:rPr>
                <w:rFonts w:ascii="Arial" w:cs="Arial" w:eastAsia="Arial" w:hAnsi="Arial"/>
                <w:sz w:val="17"/>
                <w:szCs w:val="17"/>
                <w:color w:val="0000FF"/>
              </w:rPr>
              <w:t>MD</w:t>
            </w:r>
          </w:p>
        </w:tc>
        <w:tc>
          <w:tcPr>
            <w:tcW w:w="1680" w:type="dxa"/>
            <w:vAlign w:val="bottom"/>
          </w:tcPr>
          <w:p>
            <w:pPr>
              <w:ind w:left="440"/>
              <w:spacing w:after="0"/>
              <w:rPr>
                <w:sz w:val="20"/>
                <w:szCs w:val="20"/>
                <w:color w:val="auto"/>
              </w:rPr>
            </w:pPr>
            <w:r>
              <w:rPr>
                <w:rFonts w:ascii="Arial" w:cs="Arial" w:eastAsia="Arial" w:hAnsi="Arial"/>
                <w:sz w:val="17"/>
                <w:szCs w:val="17"/>
                <w:color w:val="0000FF"/>
              </w:rPr>
              <w:t>20817</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780" w:type="dxa"/>
            <w:vAlign w:val="bottom"/>
            <w:vMerge w:val="restart"/>
          </w:tcPr>
          <w:p>
            <w:pPr>
              <w:ind w:left="80"/>
              <w:spacing w:after="0" w:line="192" w:lineRule="exact"/>
              <w:rPr>
                <w:sz w:val="20"/>
                <w:szCs w:val="20"/>
                <w:color w:val="auto"/>
              </w:rPr>
            </w:pPr>
            <w:r>
              <w:rPr>
                <w:rFonts w:ascii="Arial" w:cs="Arial" w:eastAsia="Arial" w:hAnsi="Arial"/>
                <w:sz w:val="17"/>
                <w:szCs w:val="17"/>
                <w:color w:val="0000FF"/>
                <w:w w:val="95"/>
              </w:rPr>
              <w:t>442.2431</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180"/>
              <w:spacing w:after="0" w:line="127" w:lineRule="exact"/>
              <w:rPr>
                <w:sz w:val="20"/>
                <w:szCs w:val="20"/>
                <w:color w:val="auto"/>
              </w:rPr>
            </w:pPr>
            <w:r>
              <w:rPr>
                <w:rFonts w:ascii="Arial" w:cs="Arial" w:eastAsia="Arial" w:hAnsi="Arial"/>
                <w:sz w:val="13"/>
                <w:szCs w:val="13"/>
                <w:color w:val="0000FF"/>
              </w:rPr>
              <w:t>01/18/2005</w:t>
            </w:r>
          </w:p>
        </w:tc>
        <w:tc>
          <w:tcPr>
            <w:tcW w:w="1100" w:type="dxa"/>
            <w:vAlign w:val="bottom"/>
          </w:tcPr>
          <w:p>
            <w:pPr>
              <w:spacing w:after="0"/>
              <w:rPr>
                <w:sz w:val="11"/>
                <w:szCs w:val="11"/>
                <w:color w:val="auto"/>
              </w:rPr>
            </w:pPr>
          </w:p>
        </w:tc>
        <w:tc>
          <w:tcPr>
            <w:tcW w:w="820" w:type="dxa"/>
            <w:vAlign w:val="bottom"/>
          </w:tcPr>
          <w:p>
            <w:pPr>
              <w:ind w:left="180"/>
              <w:spacing w:after="0" w:line="127" w:lineRule="exact"/>
              <w:rPr>
                <w:sz w:val="20"/>
                <w:szCs w:val="20"/>
                <w:color w:val="auto"/>
              </w:rPr>
            </w:pPr>
            <w:r>
              <w:rPr>
                <w:rFonts w:ascii="Arial" w:cs="Arial" w:eastAsia="Arial" w:hAnsi="Arial"/>
                <w:sz w:val="13"/>
                <w:szCs w:val="13"/>
                <w:color w:val="0000FF"/>
              </w:rPr>
              <w:t>A</w:t>
            </w:r>
          </w:p>
        </w:tc>
        <w:tc>
          <w:tcPr>
            <w:tcW w:w="680" w:type="dxa"/>
            <w:vAlign w:val="bottom"/>
          </w:tcPr>
          <w:p>
            <w:pPr>
              <w:ind w:left="80"/>
              <w:spacing w:after="0" w:line="127" w:lineRule="exact"/>
              <w:rPr>
                <w:sz w:val="20"/>
                <w:szCs w:val="20"/>
                <w:color w:val="auto"/>
              </w:rPr>
            </w:pPr>
            <w:r>
              <w:rPr>
                <w:rFonts w:ascii="Arial" w:cs="Arial" w:eastAsia="Arial" w:hAnsi="Arial"/>
                <w:sz w:val="13"/>
                <w:szCs w:val="13"/>
                <w:color w:val="0000FF"/>
              </w:rPr>
              <w:t>442.2431</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16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56.53</w:t>
            </w:r>
          </w:p>
        </w:tc>
        <w:tc>
          <w:tcPr>
            <w:tcW w:w="940" w:type="dxa"/>
            <w:vAlign w:val="bottom"/>
          </w:tcPr>
          <w:p>
            <w:pPr>
              <w:jc w:val="right"/>
              <w:ind w:right="140"/>
              <w:spacing w:after="0" w:line="127" w:lineRule="exact"/>
              <w:rPr>
                <w:sz w:val="20"/>
                <w:szCs w:val="20"/>
                <w:color w:val="auto"/>
              </w:rPr>
            </w:pPr>
            <w:r>
              <w:rPr>
                <w:rFonts w:ascii="Arial" w:cs="Arial" w:eastAsia="Arial" w:hAnsi="Arial"/>
                <w:sz w:val="13"/>
                <w:szCs w:val="13"/>
                <w:color w:val="0000FF"/>
              </w:rPr>
              <w:t>9,017.083</w:t>
            </w:r>
          </w:p>
        </w:tc>
        <w:tc>
          <w:tcPr>
            <w:tcW w:w="740" w:type="dxa"/>
            <w:vAlign w:val="bottom"/>
          </w:tcPr>
          <w:p>
            <w:pPr>
              <w:ind w:left="360"/>
              <w:spacing w:after="0" w:line="127"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ind w:left="180"/>
              <w:spacing w:after="0" w:line="96"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ind w:left="80"/>
              <w:spacing w:after="0" w:line="96" w:lineRule="exact"/>
              <w:rPr>
                <w:sz w:val="20"/>
                <w:szCs w:val="20"/>
                <w:color w:val="auto"/>
              </w:rPr>
            </w:pPr>
            <w:r>
              <w:rPr>
                <w:rFonts w:ascii="Arial" w:cs="Arial" w:eastAsia="Arial" w:hAnsi="Arial"/>
                <w:sz w:val="11"/>
                <w:szCs w:val="11"/>
                <w:color w:val="0000FF"/>
              </w:rPr>
              <w:t>Directors</w:t>
            </w:r>
          </w:p>
        </w:tc>
        <w:tc>
          <w:tcPr>
            <w:tcW w:w="0" w:type="dxa"/>
            <w:vAlign w:val="bottom"/>
          </w:tcPr>
          <w:p>
            <w:pPr>
              <w:spacing w:after="0"/>
              <w:rPr>
                <w:sz w:val="1"/>
                <w:szCs w:val="1"/>
                <w:color w:val="auto"/>
              </w:rPr>
            </w:pPr>
          </w:p>
        </w:tc>
      </w:tr>
      <w:tr>
        <w:trPr>
          <w:trHeight w:val="86"/>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Equity Plan</w:t>
            </w: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144"/>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95"/>
              </w:rPr>
              <w:t>197.2617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80"/>
              <w:spacing w:after="0" w:line="144" w:lineRule="exact"/>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160"/>
              <w:spacing w:after="0" w:line="127" w:lineRule="exact"/>
              <w:rPr>
                <w:sz w:val="20"/>
                <w:szCs w:val="20"/>
                <w:color w:val="auto"/>
              </w:rPr>
            </w:pPr>
            <w:r>
              <w:rPr>
                <w:rFonts w:ascii="Arial" w:cs="Arial" w:eastAsia="Arial" w:hAnsi="Arial"/>
                <w:sz w:val="13"/>
                <w:szCs w:val="13"/>
                <w:color w:val="0000FF"/>
              </w:rPr>
              <w:t>197.2617</w:t>
            </w:r>
          </w:p>
        </w:tc>
        <w:tc>
          <w:tcPr>
            <w:tcW w:w="740" w:type="dxa"/>
            <w:vAlign w:val="bottom"/>
          </w:tcPr>
          <w:p>
            <w:pPr>
              <w:ind w:left="360"/>
              <w:spacing w:after="0" w:line="127" w:lineRule="exact"/>
              <w:rPr>
                <w:sz w:val="20"/>
                <w:szCs w:val="20"/>
                <w:color w:val="auto"/>
              </w:rPr>
            </w:pPr>
            <w:r>
              <w:rPr>
                <w:rFonts w:ascii="Arial" w:cs="Arial" w:eastAsia="Arial" w:hAnsi="Arial"/>
                <w:sz w:val="13"/>
                <w:szCs w:val="13"/>
                <w:color w:val="0000FF"/>
              </w:rPr>
              <w:t>I</w:t>
            </w:r>
          </w:p>
        </w:tc>
        <w:tc>
          <w:tcPr>
            <w:tcW w:w="760" w:type="dxa"/>
            <w:vAlign w:val="bottom"/>
          </w:tcPr>
          <w:p>
            <w:pPr>
              <w:ind w:left="80"/>
              <w:spacing w:after="0" w:line="127" w:lineRule="exact"/>
              <w:rPr>
                <w:sz w:val="20"/>
                <w:szCs w:val="20"/>
                <w:color w:val="auto"/>
              </w:rPr>
            </w:pPr>
            <w:r>
              <w:rPr>
                <w:rFonts w:ascii="Arial" w:cs="Arial" w:eastAsia="Arial" w:hAnsi="Arial"/>
                <w:sz w:val="13"/>
                <w:szCs w:val="13"/>
                <w:color w:val="0000FF"/>
              </w:rPr>
              <w:t>Directors</w:t>
            </w:r>
          </w:p>
        </w:tc>
        <w:tc>
          <w:tcPr>
            <w:tcW w:w="0" w:type="dxa"/>
            <w:vAlign w:val="bottom"/>
          </w:tcPr>
          <w:p>
            <w:pPr>
              <w:spacing w:after="0"/>
              <w:rPr>
                <w:sz w:val="1"/>
                <w:szCs w:val="1"/>
                <w:color w:val="auto"/>
              </w:rPr>
            </w:pPr>
          </w:p>
        </w:tc>
      </w:tr>
      <w:tr>
        <w:trPr>
          <w:trHeight w:val="144"/>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Deferred</w:t>
            </w: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840"/>
        <w:spacing w:after="0"/>
        <w:rPr>
          <w:sz w:val="20"/>
          <w:szCs w:val="20"/>
          <w:color w:val="auto"/>
        </w:rPr>
      </w:pPr>
      <w:r>
        <w:rPr>
          <w:rFonts w:ascii="Arial" w:cs="Arial" w:eastAsia="Arial" w:hAnsi="Arial"/>
          <w:sz w:val="13"/>
          <w:szCs w:val="13"/>
          <w:color w:val="0000FF"/>
        </w:rPr>
        <w:t>Stock Plan</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stock units convert on a 1 for 1 basis.</w:t>
      </w:r>
    </w:p>
    <w:p>
      <w:pPr>
        <w:spacing w:after="0" w:line="46" w:lineRule="exact"/>
        <w:rPr>
          <w:rFonts w:ascii="Arial" w:cs="Arial" w:eastAsia="Arial" w:hAnsi="Arial"/>
          <w:sz w:val="13"/>
          <w:szCs w:val="13"/>
          <w:color w:val="008000"/>
        </w:rPr>
      </w:pPr>
    </w:p>
    <w:p>
      <w:pPr>
        <w:ind w:left="40" w:right="24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Under the Lockheed Martin Corporation Directors Equity Plan, each non-employee director elects to receive an award of stock options or phantom stock units or a combination of stock options and phantom stock units in accordance with the plan, which awards are exempt transactions under Rule 16b-3. Settlement in cash or stock (as elected by the holder) will occur upon the reporting person's retirement or termination of service.</w:t>
      </w:r>
    </w:p>
    <w:p>
      <w:pPr>
        <w:spacing w:after="0" w:line="29" w:lineRule="exact"/>
        <w:rPr>
          <w:rFonts w:ascii="Arial" w:cs="Arial" w:eastAsia="Arial" w:hAnsi="Arial"/>
          <w:sz w:val="13"/>
          <w:szCs w:val="13"/>
          <w:color w:val="008000"/>
        </w:rPr>
      </w:pPr>
    </w:p>
    <w:p>
      <w:pPr>
        <w:ind w:left="40" w:right="7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information pertains to phantom stock units acquired under the Lockheed Martin Directors Deferred Stock Plan exempt under Section 16(b). Units are settled upon the reporting person's retirement or termination of service.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David A. Dedman Attorney-in-</w:t>
            </w: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01/19/2005</w:t>
            </w:r>
          </w:p>
        </w:tc>
        <w:tc>
          <w:tcPr>
            <w:tcW w:w="0" w:type="dxa"/>
            <w:vAlign w:val="bottom"/>
          </w:tcPr>
          <w:p>
            <w:pPr>
              <w:spacing w:after="0"/>
              <w:rPr>
                <w:sz w:val="1"/>
                <w:szCs w:val="1"/>
                <w:color w:val="auto"/>
              </w:rPr>
            </w:pPr>
          </w:p>
        </w:tc>
      </w:tr>
      <w:tr>
        <w:trPr>
          <w:trHeight w:val="85"/>
        </w:trPr>
        <w:tc>
          <w:tcPr>
            <w:tcW w:w="300" w:type="dxa"/>
            <w:vAlign w:val="bottom"/>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9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0703"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2019-12-18T09:29:41Z</dcterms:created>
  <dcterms:modified xsi:type="dcterms:W3CDTF">2019-12-18T09:29:41Z</dcterms:modified>
</cp:coreProperties>
</file>