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798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9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 John Frank A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4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4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23, 2022, with a value equal to the tax withholding obligation of the retirement-eligible reporting person and disposition to the Issuer of such shares to satisfy the tax withholding obligation of the reporting person, which transactions are exempt under Rule 16b-3. The balance of the RSUs remain subject to continued vesting in the event the reporting person retires before the third anniversary of the grant date.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 of period holdings include additional acquisitions under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LMT common stock.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Frank A. St. John, by Kerri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12/13/2022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-27305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Morey,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-19685</wp:posOffset>
            </wp:positionV>
            <wp:extent cx="1027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-85725</wp:posOffset>
            </wp:positionV>
            <wp:extent cx="487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8300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2022-12-13T20:28:14Z</dcterms:created>
  <dcterms:modified xsi:type="dcterms:W3CDTF">2022-12-13T20:28:14Z</dcterms:modified>
</cp:coreProperties>
</file>