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62230</wp:posOffset>
            </wp:positionV>
            <wp:extent cx="137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84455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8"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QUARTERLY REPORT PURSUANT TO SECTION 13 OR 15(d) OF THE SECURITIES EXCHANGE ACT OF 1934</w:t>
      </w:r>
    </w:p>
    <w:p>
      <w:pPr>
        <w:spacing w:after="0" w:line="88"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For the quarterly period ended March 29, 2026</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6" w:lineRule="exact"/>
        <w:rPr>
          <w:sz w:val="24"/>
          <w:szCs w:val="24"/>
          <w:color w:val="auto"/>
        </w:rPr>
      </w:pPr>
    </w:p>
    <w:p>
      <w:pPr>
        <w:ind w:left="3820" w:right="2200" w:hanging="3751"/>
        <w:spacing w:after="0" w:line="464" w:lineRule="auto"/>
        <w:tabs>
          <w:tab w:leader="none" w:pos="315" w:val="left"/>
        </w:tabs>
        <w:numPr>
          <w:ilvl w:val="0"/>
          <w:numId w:val="2"/>
        </w:numPr>
        <w:rPr>
          <w:rFonts w:ascii="MS PGothic" w:cs="MS PGothic" w:eastAsia="MS PGothic" w:hAnsi="MS PGothic"/>
          <w:sz w:val="18"/>
          <w:szCs w:val="18"/>
          <w:color w:val="auto"/>
        </w:rPr>
      </w:pPr>
      <w:r>
        <w:rPr>
          <w:rFonts w:ascii="Arial" w:cs="Arial" w:eastAsia="Arial" w:hAnsi="Arial"/>
          <w:sz w:val="17"/>
          <w:szCs w:val="17"/>
          <w:color w:val="auto"/>
        </w:rPr>
        <w:t>TRANSITION REPORT PURSUANT TO SECTION 13 OR 15(d) OF THE SECURITIES EXCHANGE ACT OF 1934 For the transition period from ______ to 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39370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LOCKHEED MARTIN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Maryland</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879"/>
              <w:spacing w:after="0"/>
              <w:rPr>
                <w:sz w:val="20"/>
                <w:szCs w:val="20"/>
                <w:color w:val="auto"/>
              </w:rPr>
            </w:pPr>
            <w:r>
              <w:rPr>
                <w:rFonts w:ascii="Arial" w:cs="Arial" w:eastAsia="Arial" w:hAnsi="Arial"/>
                <w:sz w:val="16"/>
                <w:szCs w:val="16"/>
                <w:b w:val="1"/>
                <w:bCs w:val="1"/>
                <w:color w:val="auto"/>
              </w:rPr>
              <w:t>52-1893632</w:t>
            </w:r>
          </w:p>
        </w:tc>
      </w:tr>
      <w:tr>
        <w:trPr>
          <w:trHeight w:val="163"/>
        </w:trPr>
        <w:tc>
          <w:tcPr>
            <w:tcW w:w="3380" w:type="dxa"/>
            <w:vAlign w:val="bottom"/>
            <w:gridSpan w:val="4"/>
          </w:tcPr>
          <w:p>
            <w:pPr>
              <w:jc w:val="center"/>
              <w:ind w:left="899"/>
              <w:spacing w:after="0" w:line="163" w:lineRule="exact"/>
              <w:rPr>
                <w:sz w:val="20"/>
                <w:szCs w:val="20"/>
                <w:color w:val="auto"/>
              </w:rPr>
            </w:pPr>
            <w:r>
              <w:rPr>
                <w:rFonts w:ascii="Arial" w:cs="Arial" w:eastAsia="Arial" w:hAnsi="Arial"/>
                <w:sz w:val="16"/>
                <w:szCs w:val="16"/>
                <w:color w:val="auto"/>
              </w:rPr>
              <w:t>(State or other jurisdiction of</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Pr>
          <w:p>
            <w:pPr>
              <w:jc w:val="center"/>
              <w:ind w:left="339"/>
              <w:spacing w:after="0" w:line="163"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3380" w:type="dxa"/>
            <w:vAlign w:val="bottom"/>
            <w:gridSpan w:val="4"/>
          </w:tcPr>
          <w:p>
            <w:pPr>
              <w:jc w:val="center"/>
              <w:ind w:left="899"/>
              <w:spacing w:after="0"/>
              <w:rPr>
                <w:sz w:val="20"/>
                <w:szCs w:val="20"/>
                <w:color w:val="auto"/>
              </w:rPr>
            </w:pPr>
            <w:r>
              <w:rPr>
                <w:rFonts w:ascii="Arial" w:cs="Arial" w:eastAsia="Arial" w:hAnsi="Arial"/>
                <w:sz w:val="16"/>
                <w:szCs w:val="16"/>
                <w:color w:val="auto"/>
              </w:rPr>
              <w:t>incorporation or organization)</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65"/>
        </w:trPr>
        <w:tc>
          <w:tcPr>
            <w:tcW w:w="2240" w:type="dxa"/>
            <w:vAlign w:val="bottom"/>
            <w:gridSpan w:val="2"/>
          </w:tcPr>
          <w:p>
            <w:pPr>
              <w:ind w:left="300"/>
              <w:spacing w:after="0"/>
              <w:rPr>
                <w:sz w:val="20"/>
                <w:szCs w:val="20"/>
                <w:color w:val="auto"/>
              </w:rPr>
            </w:pPr>
            <w:r>
              <w:rPr>
                <w:rFonts w:ascii="Arial" w:cs="Arial" w:eastAsia="Arial" w:hAnsi="Arial"/>
                <w:sz w:val="16"/>
                <w:szCs w:val="16"/>
                <w:b w:val="1"/>
                <w:bCs w:val="1"/>
                <w:color w:val="auto"/>
              </w:rPr>
              <w:t>6801 Rockledge Drive,</w:t>
            </w:r>
          </w:p>
        </w:tc>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Bethesda,</w:t>
            </w:r>
          </w:p>
        </w:tc>
        <w:tc>
          <w:tcPr>
            <w:tcW w:w="4200" w:type="dxa"/>
            <w:vAlign w:val="bottom"/>
            <w:gridSpan w:val="5"/>
          </w:tcPr>
          <w:p>
            <w:pPr>
              <w:ind w:left="140"/>
              <w:spacing w:after="0"/>
              <w:rPr>
                <w:sz w:val="20"/>
                <w:szCs w:val="20"/>
                <w:color w:val="auto"/>
              </w:rPr>
            </w:pPr>
            <w:r>
              <w:rPr>
                <w:rFonts w:ascii="Arial" w:cs="Arial" w:eastAsia="Arial" w:hAnsi="Arial"/>
                <w:sz w:val="16"/>
                <w:szCs w:val="16"/>
                <w:b w:val="1"/>
                <w:bCs w:val="1"/>
                <w:color w:val="auto"/>
              </w:rPr>
              <w:t>Maryland</w:t>
            </w:r>
          </w:p>
        </w:tc>
        <w:tc>
          <w:tcPr>
            <w:tcW w:w="3200" w:type="dxa"/>
            <w:vAlign w:val="bottom"/>
          </w:tcPr>
          <w:p>
            <w:pPr>
              <w:jc w:val="right"/>
              <w:ind w:right="1079"/>
              <w:spacing w:after="0"/>
              <w:rPr>
                <w:sz w:val="20"/>
                <w:szCs w:val="20"/>
                <w:color w:val="auto"/>
              </w:rPr>
            </w:pPr>
            <w:r>
              <w:rPr>
                <w:rFonts w:ascii="Arial" w:cs="Arial" w:eastAsia="Arial" w:hAnsi="Arial"/>
                <w:sz w:val="16"/>
                <w:szCs w:val="16"/>
                <w:b w:val="1"/>
                <w:bCs w:val="1"/>
                <w:color w:val="auto"/>
              </w:rPr>
              <w:t>20817</w:t>
            </w:r>
          </w:p>
        </w:tc>
      </w:tr>
      <w:tr>
        <w:trPr>
          <w:trHeight w:val="215"/>
        </w:trPr>
        <w:tc>
          <w:tcPr>
            <w:tcW w:w="7580" w:type="dxa"/>
            <w:vAlign w:val="bottom"/>
            <w:gridSpan w:val="9"/>
          </w:tcPr>
          <w:p>
            <w:pPr>
              <w:jc w:val="center"/>
              <w:ind w:right="3220"/>
              <w:spacing w:after="0"/>
              <w:rPr>
                <w:sz w:val="20"/>
                <w:szCs w:val="20"/>
                <w:color w:val="auto"/>
              </w:rPr>
            </w:pPr>
            <w:r>
              <w:rPr>
                <w:rFonts w:ascii="Arial" w:cs="Arial" w:eastAsia="Arial" w:hAnsi="Arial"/>
                <w:sz w:val="16"/>
                <w:szCs w:val="16"/>
                <w:color w:val="auto"/>
              </w:rPr>
              <w:t>(Address of principal executive offices)</w:t>
            </w:r>
          </w:p>
        </w:tc>
        <w:tc>
          <w:tcPr>
            <w:tcW w:w="3200" w:type="dxa"/>
            <w:vAlign w:val="bottom"/>
          </w:tcPr>
          <w:p>
            <w:pPr>
              <w:jc w:val="center"/>
              <w:ind w:left="339"/>
              <w:spacing w:after="0"/>
              <w:rPr>
                <w:sz w:val="20"/>
                <w:szCs w:val="20"/>
                <w:color w:val="auto"/>
              </w:rPr>
            </w:pPr>
            <w:r>
              <w:rPr>
                <w:rFonts w:ascii="Arial" w:cs="Arial" w:eastAsia="Arial" w:hAnsi="Arial"/>
                <w:sz w:val="16"/>
                <w:szCs w:val="16"/>
                <w:color w:val="auto"/>
              </w:rPr>
              <w:t>(Zip Code)</w:t>
            </w:r>
          </w:p>
        </w:tc>
      </w:tr>
      <w:tr>
        <w:trPr>
          <w:trHeight w:val="379"/>
        </w:trPr>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gridSpan w:val="4"/>
          </w:tcPr>
          <w:p>
            <w:pPr>
              <w:jc w:val="center"/>
              <w:ind w:left="1059"/>
              <w:spacing w:after="0"/>
              <w:rPr>
                <w:sz w:val="20"/>
                <w:szCs w:val="20"/>
                <w:color w:val="auto"/>
              </w:rPr>
            </w:pPr>
            <w:r>
              <w:rPr>
                <w:rFonts w:ascii="Arial" w:cs="Arial" w:eastAsia="Arial" w:hAnsi="Arial"/>
                <w:sz w:val="16"/>
                <w:szCs w:val="16"/>
                <w:b w:val="1"/>
                <w:bCs w:val="1"/>
                <w:color w:val="auto"/>
              </w:rPr>
              <w:t>(301) 897-6000</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5"/>
        </w:trPr>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0" w:type="dxa"/>
            <w:vAlign w:val="bottom"/>
            <w:gridSpan w:val="5"/>
          </w:tcPr>
          <w:p>
            <w:pPr>
              <w:jc w:val="center"/>
              <w:ind w:left="179"/>
              <w:spacing w:after="0"/>
              <w:rPr>
                <w:sz w:val="20"/>
                <w:szCs w:val="20"/>
                <w:color w:val="auto"/>
              </w:rPr>
            </w:pPr>
            <w:r>
              <w:rPr>
                <w:rFonts w:ascii="Arial" w:cs="Arial" w:eastAsia="Arial" w:hAnsi="Arial"/>
                <w:sz w:val="16"/>
                <w:szCs w:val="16"/>
                <w:color w:val="auto"/>
              </w:rPr>
              <w:t>(Registrant’s telephone number, including area code)</w:t>
            </w:r>
          </w:p>
        </w:tc>
        <w:tc>
          <w:tcPr>
            <w:tcW w:w="3200" w:type="dxa"/>
            <w:vAlign w:val="bottom"/>
          </w:tcPr>
          <w:p>
            <w:pPr>
              <w:spacing w:after="0"/>
              <w:rPr>
                <w:sz w:val="18"/>
                <w:szCs w:val="18"/>
                <w:color w:val="auto"/>
              </w:rPr>
            </w:pPr>
          </w:p>
        </w:tc>
      </w:tr>
      <w:tr>
        <w:trPr>
          <w:trHeight w:val="56"/>
        </w:trPr>
        <w:tc>
          <w:tcPr>
            <w:tcW w:w="142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410"/>
        </w:trPr>
        <w:tc>
          <w:tcPr>
            <w:tcW w:w="7580" w:type="dxa"/>
            <w:vAlign w:val="bottom"/>
            <w:gridSpan w:val="9"/>
          </w:tcPr>
          <w:p>
            <w:pPr>
              <w:jc w:val="center"/>
              <w:ind w:right="3460"/>
              <w:spacing w:after="0"/>
              <w:rPr>
                <w:sz w:val="20"/>
                <w:szCs w:val="20"/>
                <w:color w:val="auto"/>
              </w:rPr>
            </w:pPr>
            <w:r>
              <w:rPr>
                <w:rFonts w:ascii="Arial" w:cs="Arial" w:eastAsia="Arial" w:hAnsi="Arial"/>
                <w:sz w:val="16"/>
                <w:szCs w:val="16"/>
                <w:color w:val="auto"/>
              </w:rPr>
              <w:t>Securities registered pursuant to Section 12(b) of the Act:</w:t>
            </w:r>
          </w:p>
        </w:tc>
        <w:tc>
          <w:tcPr>
            <w:tcW w:w="3200" w:type="dxa"/>
            <w:vAlign w:val="bottom"/>
          </w:tcPr>
          <w:p>
            <w:pPr>
              <w:spacing w:after="0"/>
              <w:rPr>
                <w:sz w:val="24"/>
                <w:szCs w:val="24"/>
                <w:color w:val="auto"/>
              </w:rPr>
            </w:pPr>
          </w:p>
        </w:tc>
      </w:tr>
      <w:tr>
        <w:trPr>
          <w:trHeight w:val="191"/>
        </w:trPr>
        <w:tc>
          <w:tcPr>
            <w:tcW w:w="1420" w:type="dxa"/>
            <w:vAlign w:val="bottom"/>
          </w:tcPr>
          <w:p>
            <w:pPr>
              <w:spacing w:after="0"/>
              <w:rPr>
                <w:sz w:val="16"/>
                <w:szCs w:val="16"/>
                <w:color w:val="auto"/>
              </w:rPr>
            </w:pPr>
          </w:p>
        </w:tc>
        <w:tc>
          <w:tcPr>
            <w:tcW w:w="1960" w:type="dxa"/>
            <w:vAlign w:val="bottom"/>
            <w:gridSpan w:val="3"/>
          </w:tcPr>
          <w:p>
            <w:pPr>
              <w:jc w:val="center"/>
              <w:ind w:right="680"/>
              <w:spacing w:after="0"/>
              <w:rPr>
                <w:sz w:val="20"/>
                <w:szCs w:val="20"/>
                <w:color w:val="auto"/>
              </w:rPr>
            </w:pPr>
            <w:r>
              <w:rPr>
                <w:rFonts w:ascii="Arial" w:cs="Arial" w:eastAsia="Arial" w:hAnsi="Arial"/>
                <w:sz w:val="16"/>
                <w:szCs w:val="16"/>
                <w:color w:val="auto"/>
                <w:w w:val="99"/>
              </w:rPr>
              <w:t>Title of each class</w:t>
            </w:r>
          </w:p>
        </w:tc>
        <w:tc>
          <w:tcPr>
            <w:tcW w:w="1200" w:type="dxa"/>
            <w:vAlign w:val="bottom"/>
          </w:tcPr>
          <w:p>
            <w:pPr>
              <w:spacing w:after="0"/>
              <w:rPr>
                <w:sz w:val="16"/>
                <w:szCs w:val="16"/>
                <w:color w:val="auto"/>
              </w:rPr>
            </w:pPr>
          </w:p>
        </w:tc>
        <w:tc>
          <w:tcPr>
            <w:tcW w:w="3000" w:type="dxa"/>
            <w:vAlign w:val="bottom"/>
            <w:gridSpan w:val="4"/>
          </w:tcPr>
          <w:p>
            <w:pPr>
              <w:jc w:val="center"/>
              <w:ind w:right="940"/>
              <w:spacing w:after="0"/>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5"/>
        </w:trPr>
        <w:tc>
          <w:tcPr>
            <w:tcW w:w="3380" w:type="dxa"/>
            <w:vAlign w:val="bottom"/>
            <w:gridSpan w:val="4"/>
          </w:tcPr>
          <w:p>
            <w:pPr>
              <w:jc w:val="center"/>
              <w:ind w:left="659"/>
              <w:spacing w:after="0"/>
              <w:rPr>
                <w:sz w:val="20"/>
                <w:szCs w:val="20"/>
                <w:color w:val="auto"/>
              </w:rPr>
            </w:pPr>
            <w:r>
              <w:rPr>
                <w:rFonts w:ascii="Arial" w:cs="Arial" w:eastAsia="Arial" w:hAnsi="Arial"/>
                <w:sz w:val="16"/>
                <w:szCs w:val="16"/>
                <w:color w:val="auto"/>
              </w:rPr>
              <w:t>Common Stock, $1 par value</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gridSpan w:val="3"/>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0" w:lineRule="exact"/>
        <w:rPr>
          <w:sz w:val="24"/>
          <w:szCs w:val="24"/>
          <w:color w:val="auto"/>
        </w:rPr>
      </w:pPr>
    </w:p>
    <w:p>
      <w:pPr>
        <w:jc w:val="both"/>
        <w:ind w:right="440"/>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09" w:lineRule="exact"/>
        <w:rPr>
          <w:sz w:val="24"/>
          <w:szCs w:val="24"/>
          <w:color w:val="auto"/>
        </w:rPr>
      </w:pPr>
    </w:p>
    <w:p>
      <w:pPr>
        <w:ind w:right="46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60"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214" w:lineRule="exact"/>
        <w:rPr>
          <w:sz w:val="24"/>
          <w:szCs w:val="24"/>
          <w:color w:val="auto"/>
        </w:rPr>
      </w:pPr>
    </w:p>
    <w:p>
      <w:pPr>
        <w:ind w:right="12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highlight w:val="black"/>
        </w:rPr>
        <w:t>☐</w:t>
      </w:r>
    </w:p>
    <w:p>
      <w:pPr>
        <w:spacing w:after="0" w:line="63" w:lineRule="exact"/>
        <w:rPr>
          <w:sz w:val="24"/>
          <w:szCs w:val="24"/>
          <w:color w:val="auto"/>
        </w:rPr>
      </w:pPr>
    </w:p>
    <w:p>
      <w:pPr>
        <w:ind w:right="2160"/>
        <w:spacing w:after="0" w:line="31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230,563,608 shares of our common stock, $1 par value per share, outstanding as of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29,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 w:lineRule="exact"/>
        <w:rPr>
          <w:sz w:val="20"/>
          <w:szCs w:val="20"/>
          <w:color w:val="auto"/>
        </w:rPr>
      </w:pPr>
    </w:p>
    <w:p>
      <w:pPr>
        <w:ind w:left="10700"/>
        <w:spacing w:after="0"/>
        <w:rPr>
          <w:sz w:val="20"/>
          <w:szCs w:val="20"/>
          <w:color w:val="auto"/>
        </w:rPr>
      </w:pPr>
      <w:r>
        <w:rPr>
          <w:rFonts w:ascii="Arial" w:cs="Arial" w:eastAsia="Arial" w:hAnsi="Arial"/>
          <w:sz w:val="18"/>
          <w:szCs w:val="18"/>
          <w:b w:val="1"/>
          <w:bCs w:val="1"/>
          <w:color w:val="2C2C2C"/>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17780</wp:posOffset>
            </wp:positionV>
            <wp:extent cx="411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FINANCIAL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906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Consolidated Statements of Earnings for the Quarters Ended March 29, 2026 and March 30, 2025</w:t>
            </w:r>
          </w:p>
        </w:tc>
        <w:tc>
          <w:tcPr>
            <w:tcW w:w="1260" w:type="dxa"/>
            <w:vAlign w:val="bottom"/>
            <w:gridSpan w:val="3"/>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60" w:type="dxa"/>
            <w:vAlign w:val="bottom"/>
            <w:gridSpan w:val="19"/>
          </w:tcPr>
          <w:p>
            <w:pPr>
              <w:spacing w:after="0"/>
              <w:rPr>
                <w:sz w:val="20"/>
                <w:szCs w:val="20"/>
                <w:color w:val="auto"/>
              </w:rPr>
            </w:pPr>
            <w:r>
              <w:rPr>
                <w:rFonts w:ascii="Arial" w:cs="Arial" w:eastAsia="Arial" w:hAnsi="Arial"/>
                <w:sz w:val="18"/>
                <w:szCs w:val="18"/>
                <w:color w:val="0000FF"/>
              </w:rPr>
              <w:t>Consolidated Statements of Comprehensive Income for the Quarters Ended Ended March 29, 2026 and March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2C2C2C"/>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30, 2025</w:t>
            </w: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Consolidated Balance Sheets as of March 29, 2026 and December 31, 2025</w:t>
            </w:r>
          </w:p>
        </w:tc>
        <w:tc>
          <w:tcPr>
            <w:tcW w:w="29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60" w:type="dxa"/>
            <w:vAlign w:val="bottom"/>
            <w:gridSpan w:val="19"/>
          </w:tcPr>
          <w:p>
            <w:pPr>
              <w:spacing w:after="0"/>
              <w:rPr>
                <w:sz w:val="20"/>
                <w:szCs w:val="20"/>
                <w:color w:val="auto"/>
              </w:rPr>
            </w:pPr>
            <w:r>
              <w:rPr>
                <w:rFonts w:ascii="Arial" w:cs="Arial" w:eastAsia="Arial" w:hAnsi="Arial"/>
                <w:sz w:val="18"/>
                <w:szCs w:val="18"/>
                <w:color w:val="0000FF"/>
              </w:rPr>
              <w:t>Consolidated Statements of Cash Flows for the Quarters Ended March 29, 2026 and March 30, 2025</w:t>
            </w:r>
          </w:p>
        </w:tc>
        <w:tc>
          <w:tcPr>
            <w:tcW w:w="460" w:type="dxa"/>
            <w:vAlign w:val="bottom"/>
          </w:tcPr>
          <w:p>
            <w:pPr>
              <w:jc w:val="right"/>
              <w:spacing w:after="0"/>
              <w:rPr>
                <w:sz w:val="20"/>
                <w:szCs w:val="20"/>
                <w:color w:val="auto"/>
              </w:rPr>
            </w:pPr>
            <w:r>
              <w:rPr>
                <w:rFonts w:ascii="Arial" w:cs="Arial" w:eastAsia="Arial" w:hAnsi="Arial"/>
                <w:sz w:val="18"/>
                <w:szCs w:val="18"/>
                <w:color w:val="2C2C2C"/>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2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Consolidated Statements of Equity for the Quarters Ended March 29, 2026 and March 30, 2025</w:t>
            </w:r>
          </w:p>
        </w:tc>
        <w:tc>
          <w:tcPr>
            <w:tcW w:w="1040" w:type="dxa"/>
            <w:vAlign w:val="bottom"/>
            <w:gridSpan w:val="2"/>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5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4080" w:type="dxa"/>
            <w:vAlign w:val="bottom"/>
            <w:tcBorders>
              <w:top w:val="single" w:sz="8" w:color="0000FF"/>
            </w:tcBorders>
            <w:gridSpan w:val="6"/>
          </w:tcPr>
          <w:p>
            <w:pPr>
              <w:spacing w:after="0"/>
              <w:rPr>
                <w:sz w:val="22"/>
                <w:szCs w:val="22"/>
                <w:color w:val="auto"/>
              </w:rPr>
            </w:pPr>
          </w:p>
        </w:tc>
        <w:tc>
          <w:tcPr>
            <w:tcW w:w="1480" w:type="dxa"/>
            <w:vAlign w:val="bottom"/>
            <w:gridSpan w:val="4"/>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4460" w:type="dxa"/>
            <w:vAlign w:val="bottom"/>
            <w:gridSpan w:val="9"/>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23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70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980" w:type="dxa"/>
            <w:vAlign w:val="bottom"/>
            <w:gridSpan w:val="5"/>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3.</w:t>
            </w:r>
          </w:p>
        </w:tc>
        <w:tc>
          <w:tcPr>
            <w:tcW w:w="906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8"/>
                <w:szCs w:val="18"/>
                <w:color w:val="2C2C2C"/>
              </w:rPr>
              <w:t>34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4.</w:t>
            </w:r>
          </w:p>
        </w:tc>
        <w:tc>
          <w:tcPr>
            <w:tcW w:w="47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Controls and Procedures</w:t>
            </w:r>
          </w:p>
        </w:tc>
        <w:tc>
          <w:tcPr>
            <w:tcW w:w="4360" w:type="dxa"/>
            <w:vAlign w:val="bottom"/>
            <w:gridSpan w:val="8"/>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760" w:type="dxa"/>
            <w:vAlign w:val="bottom"/>
            <w:gridSpan w:val="21"/>
          </w:tcPr>
          <w:p>
            <w:pPr>
              <w:spacing w:after="0"/>
              <w:rPr>
                <w:sz w:val="20"/>
                <w:szCs w:val="20"/>
                <w:color w:val="auto"/>
              </w:rPr>
            </w:pPr>
            <w:r>
              <w:rPr>
                <w:rFonts w:ascii="Arial" w:cs="Arial" w:eastAsia="Arial" w:hAnsi="Arial"/>
                <w:sz w:val="18"/>
                <w:szCs w:val="18"/>
                <w:b w:val="1"/>
                <w:bCs w:val="1"/>
                <w:color w:val="0000FF"/>
              </w:rPr>
              <w:t>PART II. OTHER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906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2C2C2C"/>
              </w:rPr>
              <w:t>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1A.</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7580" w:type="dxa"/>
            <w:vAlign w:val="bottom"/>
            <w:gridSpan w:val="13"/>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906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460" w:type="dxa"/>
            <w:vAlign w:val="bottom"/>
          </w:tcPr>
          <w:p>
            <w:pPr>
              <w:jc w:val="right"/>
              <w:spacing w:after="0"/>
              <w:rPr>
                <w:sz w:val="20"/>
                <w:szCs w:val="20"/>
                <w:color w:val="auto"/>
              </w:rPr>
            </w:pPr>
            <w:r>
              <w:rPr>
                <w:rFonts w:ascii="Arial" w:cs="Arial" w:eastAsia="Arial" w:hAnsi="Arial"/>
                <w:sz w:val="18"/>
                <w:szCs w:val="18"/>
                <w:color w:val="2C2C2C"/>
              </w:rPr>
              <w:t>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5.</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tcBorders>
              <w:top w:val="single" w:sz="8" w:color="0000FF"/>
            </w:tcBorders>
            <w:gridSpan w:val="7"/>
          </w:tcPr>
          <w:p>
            <w:pPr>
              <w:spacing w:after="0"/>
              <w:rPr>
                <w:sz w:val="22"/>
                <w:szCs w:val="22"/>
                <w:color w:val="auto"/>
              </w:rPr>
            </w:pPr>
          </w:p>
        </w:tc>
        <w:tc>
          <w:tcPr>
            <w:tcW w:w="4220" w:type="dxa"/>
            <w:vAlign w:val="bottom"/>
            <w:gridSpan w:val="7"/>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38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Arial" w:cs="Arial" w:eastAsia="Arial" w:hAnsi="Arial"/>
                <w:sz w:val="18"/>
                <w:szCs w:val="18"/>
                <w:color w:val="2C2C2C"/>
              </w:rPr>
              <w:t>ITEM 6.</w:t>
            </w:r>
          </w:p>
        </w:tc>
        <w:tc>
          <w:tcPr>
            <w:tcW w:w="906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460" w:type="dxa"/>
            <w:vAlign w:val="bottom"/>
          </w:tcPr>
          <w:p>
            <w:pPr>
              <w:jc w:val="right"/>
              <w:spacing w:after="0"/>
              <w:rPr>
                <w:sz w:val="20"/>
                <w:szCs w:val="20"/>
                <w:color w:val="auto"/>
              </w:rPr>
            </w:pPr>
            <w:r>
              <w:rPr>
                <w:rFonts w:ascii="Arial" w:cs="Arial" w:eastAsia="Arial" w:hAnsi="Arial"/>
                <w:sz w:val="18"/>
                <w:szCs w:val="18"/>
                <w:color w:val="2C2C2C"/>
              </w:rPr>
              <w:t>39</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6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C2C2C"/>
              </w:rPr>
              <w:t>40</w:t>
            </w:r>
          </w:p>
        </w:tc>
        <w:tc>
          <w:tcPr>
            <w:tcW w:w="0" w:type="dxa"/>
            <w:vAlign w:val="bottom"/>
          </w:tcPr>
          <w:p>
            <w:pPr>
              <w:spacing w:after="0"/>
              <w:rPr>
                <w:sz w:val="1"/>
                <w:szCs w:val="1"/>
                <w:color w:val="auto"/>
              </w:rPr>
            </w:pPr>
          </w:p>
        </w:tc>
      </w:tr>
      <w:tr>
        <w:trPr>
          <w:trHeight w:val="1890"/>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March 29,</w:t>
            </w:r>
          </w:p>
        </w:tc>
        <w:tc>
          <w:tcPr>
            <w:tcW w:w="460" w:type="dxa"/>
            <w:vAlign w:val="bottom"/>
          </w:tcPr>
          <w:p>
            <w:pPr>
              <w:spacing w:after="0"/>
              <w:rPr>
                <w:sz w:val="14"/>
                <w:szCs w:val="14"/>
                <w:color w:val="auto"/>
              </w:rPr>
            </w:pPr>
          </w:p>
        </w:tc>
        <w:tc>
          <w:tcPr>
            <w:tcW w:w="13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14,831</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14,936</w:t>
            </w:r>
          </w:p>
        </w:tc>
      </w:tr>
      <w:tr>
        <w:trPr>
          <w:trHeight w:val="229"/>
        </w:trPr>
        <w:tc>
          <w:tcPr>
            <w:tcW w:w="7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3,190</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3,027</w:t>
            </w:r>
          </w:p>
        </w:tc>
      </w:tr>
      <w:tr>
        <w:trPr>
          <w:trHeight w:val="223"/>
        </w:trPr>
        <w:tc>
          <w:tcPr>
            <w:tcW w:w="7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18,021</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17,963</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9"/>
                <w:szCs w:val="19"/>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(13,398)</w:t>
            </w:r>
          </w:p>
        </w:tc>
        <w:tc>
          <w:tcPr>
            <w:tcW w:w="46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(13,284)</w:t>
            </w: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(2,784)</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(2,640)</w:t>
            </w:r>
          </w:p>
        </w:tc>
      </w:tr>
      <w:tr>
        <w:trPr>
          <w:trHeight w:val="229"/>
        </w:trPr>
        <w:tc>
          <w:tcPr>
            <w:tcW w:w="7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unallocated,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239</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284</w:t>
            </w:r>
          </w:p>
        </w:tc>
      </w:tr>
      <w:tr>
        <w:trPr>
          <w:trHeight w:val="223"/>
        </w:trPr>
        <w:tc>
          <w:tcPr>
            <w:tcW w:w="7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(15,943)</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(15,640)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2,078</w:t>
            </w:r>
          </w:p>
        </w:tc>
        <w:tc>
          <w:tcPr>
            <w:tcW w:w="46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2,323</w:t>
            </w: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2,063</w:t>
            </w:r>
          </w:p>
        </w:tc>
        <w:tc>
          <w:tcPr>
            <w:tcW w:w="46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2,372</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(269)</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Non-service FAS pension expense</w:t>
            </w:r>
          </w:p>
        </w:tc>
        <w:tc>
          <w:tcPr>
            <w:tcW w:w="240" w:type="dxa"/>
            <w:vAlign w:val="bottom"/>
          </w:tcPr>
          <w:p>
            <w:pPr>
              <w:spacing w:after="0"/>
              <w:rPr>
                <w:sz w:val="19"/>
                <w:szCs w:val="19"/>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(80)</w:t>
            </w:r>
          </w:p>
        </w:tc>
        <w:tc>
          <w:tcPr>
            <w:tcW w:w="46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60</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1,774</w:t>
            </w:r>
          </w:p>
        </w:tc>
        <w:tc>
          <w:tcPr>
            <w:tcW w:w="46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2,036</w:t>
            </w: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(286)</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(324)</w:t>
            </w:r>
          </w:p>
        </w:tc>
      </w:tr>
      <w:tr>
        <w:trPr>
          <w:trHeight w:val="22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1,488</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1,712</w:t>
            </w:r>
          </w:p>
        </w:tc>
      </w:tr>
      <w:tr>
        <w:trPr>
          <w:trHeight w:val="237"/>
        </w:trPr>
        <w:tc>
          <w:tcPr>
            <w:tcW w:w="7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6.47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7.30</w:t>
            </w:r>
          </w:p>
        </w:tc>
      </w:tr>
      <w:tr>
        <w:trPr>
          <w:trHeight w:val="23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6.44</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7.28</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Quarters Ended</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29,</w:t>
            </w:r>
          </w:p>
        </w:tc>
        <w:tc>
          <w:tcPr>
            <w:tcW w:w="320" w:type="dxa"/>
            <w:vAlign w:val="bottom"/>
          </w:tcPr>
          <w:p>
            <w:pPr>
              <w:spacing w:after="0"/>
              <w:rPr>
                <w:sz w:val="14"/>
                <w:szCs w:val="14"/>
                <w:color w:val="auto"/>
              </w:rPr>
            </w:pPr>
          </w:p>
        </w:tc>
        <w:tc>
          <w:tcPr>
            <w:tcW w:w="14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Retirement benefits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300"/>
              <w:spacing w:after="0" w:line="176" w:lineRule="exact"/>
              <w:rPr>
                <w:sz w:val="20"/>
                <w:szCs w:val="20"/>
                <w:color w:val="auto"/>
              </w:rPr>
            </w:pPr>
            <w:r>
              <w:rPr>
                <w:rFonts w:ascii="Arial" w:cs="Arial" w:eastAsia="Arial" w:hAnsi="Arial"/>
                <w:sz w:val="18"/>
                <w:szCs w:val="18"/>
                <w:color w:val="auto"/>
              </w:rPr>
              <w:t>Amortization of net actuarial losses and prior service costs, net of tax of $16 million in 2026</w:t>
            </w:r>
          </w:p>
        </w:tc>
        <w:tc>
          <w:tcPr>
            <w:tcW w:w="320" w:type="dxa"/>
            <w:vAlign w:val="bottom"/>
          </w:tcPr>
          <w:p>
            <w:pPr>
              <w:spacing w:after="0"/>
              <w:rPr>
                <w:sz w:val="15"/>
                <w:szCs w:val="15"/>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7780" w:type="dxa"/>
            <w:vAlign w:val="bottom"/>
          </w:tcPr>
          <w:p>
            <w:pPr>
              <w:ind w:left="300"/>
              <w:spacing w:after="0"/>
              <w:rPr>
                <w:sz w:val="20"/>
                <w:szCs w:val="20"/>
                <w:color w:val="auto"/>
              </w:rPr>
            </w:pPr>
            <w:r>
              <w:rPr>
                <w:rFonts w:ascii="Arial" w:cs="Arial" w:eastAsia="Arial" w:hAnsi="Arial"/>
                <w:sz w:val="18"/>
                <w:szCs w:val="18"/>
                <w:color w:val="auto"/>
              </w:rPr>
              <w:t>and $17 million in 2025</w:t>
            </w:r>
          </w:p>
        </w:tc>
        <w:tc>
          <w:tcPr>
            <w:tcW w:w="3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 of tax of $1 million in 2026 and $6 million in 2025</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320" w:type="dxa"/>
            <w:vAlign w:val="bottom"/>
          </w:tcPr>
          <w:p>
            <w:pPr>
              <w:jc w:val="right"/>
              <w:ind w:right="1170"/>
              <w:spacing w:after="0"/>
              <w:rPr>
                <w:sz w:val="20"/>
                <w:szCs w:val="20"/>
                <w:color w:val="auto"/>
              </w:rPr>
            </w:pPr>
            <w:r>
              <w:rPr>
                <w:rFonts w:ascii="Arial" w:cs="Arial" w:eastAsia="Arial" w:hAnsi="Arial"/>
                <w:sz w:val="18"/>
                <w:szCs w:val="18"/>
                <w:b w:val="1"/>
                <w:bCs w:val="1"/>
                <w:color w:val="auto"/>
              </w:rPr>
              <w:t>Lockheed Martin Corporation</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20" w:type="dxa"/>
            <w:vAlign w:val="bottom"/>
          </w:tcPr>
          <w:p>
            <w:pPr>
              <w:jc w:val="right"/>
              <w:ind w:right="1170"/>
              <w:spacing w:after="0"/>
              <w:rPr>
                <w:sz w:val="20"/>
                <w:szCs w:val="20"/>
                <w:color w:val="auto"/>
              </w:rPr>
            </w:pPr>
            <w:r>
              <w:rPr>
                <w:rFonts w:ascii="Arial" w:cs="Arial" w:eastAsia="Arial" w:hAnsi="Arial"/>
                <w:sz w:val="18"/>
                <w:szCs w:val="18"/>
                <w:b w:val="1"/>
                <w:bCs w:val="1"/>
                <w:color w:val="auto"/>
              </w:rPr>
              <w:t>Consolidated Balance Sheets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jc w:val="right"/>
              <w:ind w:right="1170"/>
              <w:spacing w:after="0"/>
              <w:rPr>
                <w:sz w:val="20"/>
                <w:szCs w:val="20"/>
                <w:color w:val="auto"/>
              </w:rPr>
            </w:pPr>
            <w:r>
              <w:rPr>
                <w:rFonts w:ascii="Arial" w:cs="Arial" w:eastAsia="Arial" w:hAnsi="Arial"/>
                <w:sz w:val="18"/>
                <w:szCs w:val="18"/>
                <w:b w:val="1"/>
                <w:bCs w:val="1"/>
                <w:color w:val="auto"/>
              </w:rPr>
              <w:t>(in millions, except par value)</w:t>
            </w: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91"/>
        </w:trPr>
        <w:tc>
          <w:tcPr>
            <w:tcW w:w="1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80" w:type="dxa"/>
            <w:vAlign w:val="bottom"/>
          </w:tcPr>
          <w:p>
            <w:pPr>
              <w:jc w:val="center"/>
              <w:ind w:right="30"/>
              <w:spacing w:after="0" w:line="190" w:lineRule="exact"/>
              <w:rPr>
                <w:sz w:val="20"/>
                <w:szCs w:val="20"/>
                <w:color w:val="auto"/>
              </w:rPr>
            </w:pPr>
            <w:r>
              <w:rPr>
                <w:rFonts w:ascii="Arial" w:cs="Arial" w:eastAsia="Arial" w:hAnsi="Arial"/>
                <w:sz w:val="18"/>
                <w:szCs w:val="18"/>
                <w:b w:val="1"/>
                <w:bCs w:val="1"/>
                <w:color w:val="auto"/>
              </w:rPr>
              <w:t>March 29,</w:t>
            </w:r>
          </w:p>
        </w:tc>
        <w:tc>
          <w:tcPr>
            <w:tcW w:w="380" w:type="dxa"/>
            <w:vAlign w:val="bottom"/>
          </w:tcPr>
          <w:p>
            <w:pPr>
              <w:spacing w:after="0"/>
              <w:rPr>
                <w:sz w:val="16"/>
                <w:szCs w:val="16"/>
                <w:color w:val="auto"/>
              </w:rPr>
            </w:pPr>
          </w:p>
        </w:tc>
        <w:tc>
          <w:tcPr>
            <w:tcW w:w="1440" w:type="dxa"/>
            <w:vAlign w:val="bottom"/>
          </w:tcPr>
          <w:p>
            <w:pPr>
              <w:jc w:val="right"/>
              <w:ind w:right="130"/>
              <w:spacing w:after="0" w:line="190"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14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2026</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1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9"/>
              </w:rPr>
              <w:t>(unaudited)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1,894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4,121</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2,322</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3,901</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Contract assets</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15,885</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13,001</w:t>
            </w:r>
          </w:p>
        </w:tc>
      </w:tr>
      <w:tr>
        <w:trPr>
          <w:trHeight w:val="229"/>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4,251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3,524</w:t>
            </w:r>
          </w:p>
        </w:tc>
      </w:tr>
      <w:tr>
        <w:trPr>
          <w:trHeight w:val="230"/>
        </w:trPr>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assets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728</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815</w:t>
            </w:r>
          </w:p>
        </w:tc>
      </w:tr>
      <w:tr>
        <w:trPr>
          <w:trHeight w:val="223"/>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25,080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25,362</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11,283</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11,292</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11,306</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11,314</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1,837</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1,887</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2,802</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2,975</w:t>
            </w:r>
          </w:p>
        </w:tc>
      </w:tr>
      <w:tr>
        <w:trPr>
          <w:trHeight w:val="229"/>
        </w:trPr>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6,930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7,010</w:t>
            </w:r>
          </w:p>
        </w:tc>
      </w:tr>
      <w:tr>
        <w:trPr>
          <w:trHeight w:val="223"/>
        </w:trPr>
        <w:tc>
          <w:tcPr>
            <w:tcW w:w="38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59,238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59,840</w:t>
            </w: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4,707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3,630</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Salaries, benefits and payroll taxes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2,676</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3,184</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Contract liabilities</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10,735</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11,440</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168</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1,168</w:t>
            </w:r>
          </w:p>
        </w:tc>
      </w:tr>
      <w:tr>
        <w:trPr>
          <w:trHeight w:val="230"/>
        </w:trPr>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3,804</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3,913</w:t>
            </w:r>
          </w:p>
        </w:tc>
      </w:tr>
      <w:tr>
        <w:trPr>
          <w:trHeight w:val="223"/>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22,090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23,335</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20,529</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20,532</w:t>
            </w: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pension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3,923</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3,915</w:t>
            </w:r>
          </w:p>
        </w:tc>
      </w:tr>
      <w:tr>
        <w:trPr>
          <w:trHeight w:val="230"/>
        </w:trPr>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5,207</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5,337</w:t>
            </w:r>
          </w:p>
        </w:tc>
      </w:tr>
      <w:tr>
        <w:trPr>
          <w:trHeight w:val="223"/>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51,749</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53,119</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$1 par value per share</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230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229</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43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4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14,723</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14,034</w:t>
            </w:r>
          </w:p>
        </w:tc>
      </w:tr>
      <w:tr>
        <w:trPr>
          <w:trHeight w:val="230"/>
        </w:trPr>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4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(7,496)</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(7,542)</w:t>
            </w:r>
          </w:p>
        </w:tc>
      </w:tr>
      <w:tr>
        <w:trPr>
          <w:trHeight w:val="223"/>
        </w:trPr>
        <w:tc>
          <w:tcPr>
            <w:tcW w:w="38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4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7,489</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6,721</w:t>
            </w:r>
          </w:p>
        </w:tc>
      </w:tr>
      <w:tr>
        <w:trPr>
          <w:trHeight w:val="230"/>
        </w:trPr>
        <w:tc>
          <w:tcPr>
            <w:tcW w:w="38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liabilities and equity</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59,238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59,840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rPr>
              <w:t>Lockheed Martin Corporation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rPr>
              <w:t>Consolidated Statements of Cash Flows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(unaudited; in millions)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5"/>
        </w:trPr>
        <w:tc>
          <w:tcPr>
            <w:tcW w:w="140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1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March 29,</w:t>
            </w:r>
          </w:p>
        </w:tc>
        <w:tc>
          <w:tcPr>
            <w:tcW w:w="500" w:type="dxa"/>
            <w:vAlign w:val="bottom"/>
          </w:tcPr>
          <w:p>
            <w:pPr>
              <w:spacing w:after="0"/>
              <w:rPr>
                <w:sz w:val="14"/>
                <w:szCs w:val="14"/>
                <w:color w:val="auto"/>
              </w:rPr>
            </w:pPr>
          </w:p>
        </w:tc>
        <w:tc>
          <w:tcPr>
            <w:tcW w:w="136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140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1,488</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1,712</w:t>
            </w: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398</w:t>
            </w:r>
          </w:p>
        </w:tc>
        <w:tc>
          <w:tcPr>
            <w:tcW w:w="50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397</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83</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r>
      <w:tr>
        <w:trPr>
          <w:trHeight w:val="230"/>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161</w:t>
            </w:r>
          </w:p>
        </w:tc>
        <w:tc>
          <w:tcPr>
            <w:tcW w:w="5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(34)</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Qualified defined benefit pension plans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92</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w:t>
            </w:r>
          </w:p>
        </w:tc>
      </w:tr>
      <w:tr>
        <w:trPr>
          <w:trHeight w:val="229"/>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1,579</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327</w:t>
            </w:r>
          </w:p>
        </w:tc>
      </w:tr>
      <w:tr>
        <w:trPr>
          <w:trHeight w:val="229"/>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(2,884)</w:t>
            </w:r>
          </w:p>
        </w:tc>
        <w:tc>
          <w:tcPr>
            <w:tcW w:w="5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(1,720)</w:t>
            </w:r>
          </w:p>
        </w:tc>
      </w:tr>
      <w:tr>
        <w:trPr>
          <w:trHeight w:val="230"/>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(727)</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w:t>
            </w:r>
          </w:p>
        </w:tc>
      </w:tr>
      <w:tr>
        <w:trPr>
          <w:trHeight w:val="229"/>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1,222</w:t>
            </w:r>
          </w:p>
        </w:tc>
        <w:tc>
          <w:tcPr>
            <w:tcW w:w="50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1,680</w:t>
            </w:r>
          </w:p>
        </w:tc>
      </w:tr>
      <w:tr>
        <w:trPr>
          <w:trHeight w:val="229"/>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(705)</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r>
      <w:tr>
        <w:trPr>
          <w:trHeight w:val="230"/>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103</w:t>
            </w:r>
          </w:p>
        </w:tc>
        <w:tc>
          <w:tcPr>
            <w:tcW w:w="50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339</w:t>
            </w:r>
          </w:p>
        </w:tc>
      </w:tr>
      <w:tr>
        <w:trPr>
          <w:trHeight w:val="229"/>
        </w:trPr>
        <w:tc>
          <w:tcPr>
            <w:tcW w:w="79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(590)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(918)</w:t>
            </w:r>
          </w:p>
        </w:tc>
      </w:tr>
      <w:tr>
        <w:trPr>
          <w:trHeight w:val="223"/>
        </w:trPr>
        <w:tc>
          <w:tcPr>
            <w:tcW w:w="7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220</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1,409</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(511)</w:t>
            </w:r>
          </w:p>
        </w:tc>
        <w:tc>
          <w:tcPr>
            <w:tcW w:w="5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(454)</w:t>
            </w:r>
          </w:p>
        </w:tc>
      </w:tr>
      <w:tr>
        <w:trPr>
          <w:trHeight w:val="229"/>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r>
      <w:tr>
        <w:trPr>
          <w:trHeight w:val="223"/>
        </w:trPr>
        <w:tc>
          <w:tcPr>
            <w:tcW w:w="7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(541)</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(430)</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(1,000)</w:t>
            </w:r>
          </w:p>
        </w:tc>
        <w:tc>
          <w:tcPr>
            <w:tcW w:w="50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(750)</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(816)</w:t>
            </w:r>
          </w:p>
        </w:tc>
        <w:tc>
          <w:tcPr>
            <w:tcW w:w="5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(796)</w:t>
            </w:r>
          </w:p>
        </w:tc>
      </w:tr>
      <w:tr>
        <w:trPr>
          <w:trHeight w:val="229"/>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(113)</w:t>
            </w:r>
          </w:p>
        </w:tc>
      </w:tr>
      <w:tr>
        <w:trPr>
          <w:trHeight w:val="223"/>
        </w:trPr>
        <w:tc>
          <w:tcPr>
            <w:tcW w:w="7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(1,906)</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(1,659)</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(2,227)</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r>
      <w:tr>
        <w:trPr>
          <w:trHeight w:val="229"/>
        </w:trPr>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4,121</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2,483</w:t>
            </w:r>
          </w:p>
        </w:tc>
      </w:tr>
      <w:tr>
        <w:trPr>
          <w:trHeight w:val="230"/>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1,894</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1,803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30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Lockheed Martin Corporation</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8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9"/>
              </w:rPr>
              <w:t>Consolidated Statements of Equity</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(unaudited; in millions)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Additional</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Common</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Other</w:t>
            </w:r>
          </w:p>
        </w:tc>
        <w:tc>
          <w:tcPr>
            <w:tcW w:w="300" w:type="dxa"/>
            <w:vAlign w:val="bottom"/>
          </w:tcPr>
          <w:p>
            <w:pPr>
              <w:spacing w:after="0"/>
              <w:rPr>
                <w:sz w:val="15"/>
                <w:szCs w:val="15"/>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Paid-in</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(7,542)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Dividends declared ($3.45 per share)</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awards, ESOP activity and other</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 at March 29, 2026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(7,496)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14,551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(8,452)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 ($3.30 per share)</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awards, ESOP activity and other</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 at March 30, 2025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(8,323)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85"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We prepared these consolidated financial statements in accordance with U.S. generally accepted accounting principles (GAAP) for interim financial information, the instructions to Form 10-Q and Article 10 of U.S. Securities and Exchange Commission (SEC) Regulation S-X. Accordingly, they do not include all of the information and notes required by GAAP for complete financial statements.</w:t>
      </w:r>
    </w:p>
    <w:p>
      <w:pPr>
        <w:spacing w:after="0" w:line="14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In the opinion of management, these consolidated financial statements reflect all adjustments that are of a normal recurring nature necessary for a fair presentation of our results of operations, financial condition, and cash flows for the interim periods presented. The preparation of these consolidated financial statements requires us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Estimates inherent in the preparation of our consolidated financial statements include, but are not limited to, accounting for sales, cost recognition and profit booking rates; retirement benefits; environmental liabilities and assets for the portion of environmental costs that are probable of future recovery; evaluation of goodwill, intangible assets, investments and other assets for impairment; income taxes, including deferred income taxes; fair value measurements; and contingencies. The consolidated financial statements include the accounts of subsidiaries we control and variable interest entities if we are the primary beneficiary. We eliminate intercompany balances and transactions in consolidation. Additionally, as of March 29, 2026, we changed the presentation of capitalized software to be included in property, plant and equipment, net on our consolidated balance sheets. Amounts for December 31, 2025 have been conformed to the current period’s presentation.</w:t>
      </w:r>
    </w:p>
    <w:p>
      <w:pPr>
        <w:spacing w:after="0" w:line="145"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close our books and records on the last Sunday of each interim calendar quarter, which was on March 29 for the first quarter of 2026 and March 30 for the first quarter of 2025, to align our financial closing with our business processes. The consolidated financial statements and tables of financial information included herein are labeled based on that convention. This practice only affects interim periods as our fiscal year ends on December 31.</w:t>
      </w:r>
    </w:p>
    <w:p>
      <w:pPr>
        <w:spacing w:after="0" w:line="136"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The results of operations for the interim periods presented are not necessarily indicative of results to be expected for the full year or future periods. Unless otherwise noted, we present all per share amounts cited in these consolidated financial statements on a “per diluted share” basis. These consolidated financial statements should be read in conjunction with the audited consolidated financial statements and notes thereto included in our Annual Report on Form 10-K for the year ended December 31, 2025 (2025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COMMON SHARE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number of shares outstanding used to compute earnings per common share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80" w:type="dxa"/>
            <w:vAlign w:val="bottom"/>
          </w:tcPr>
          <w:p>
            <w:pPr>
              <w:spacing w:after="0"/>
              <w:rPr>
                <w:sz w:val="20"/>
                <w:szCs w:val="20"/>
                <w:color w:val="auto"/>
              </w:rPr>
            </w:pPr>
          </w:p>
        </w:tc>
        <w:tc>
          <w:tcPr>
            <w:tcW w:w="336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880" w:type="dxa"/>
            <w:vAlign w:val="bottom"/>
          </w:tcPr>
          <w:p>
            <w:pPr>
              <w:spacing w:after="0"/>
              <w:rPr>
                <w:sz w:val="15"/>
                <w:szCs w:val="15"/>
                <w:color w:val="auto"/>
              </w:rPr>
            </w:pPr>
          </w:p>
        </w:tc>
        <w:tc>
          <w:tcPr>
            <w:tcW w:w="1760" w:type="dxa"/>
            <w:vAlign w:val="bottom"/>
          </w:tcPr>
          <w:p>
            <w:pPr>
              <w:jc w:val="right"/>
              <w:ind w:right="370"/>
              <w:spacing w:after="0" w:line="177" w:lineRule="exact"/>
              <w:rPr>
                <w:sz w:val="20"/>
                <w:szCs w:val="20"/>
                <w:color w:val="auto"/>
              </w:rPr>
            </w:pPr>
            <w:r>
              <w:rPr>
                <w:rFonts w:ascii="Arial" w:cs="Arial" w:eastAsia="Arial" w:hAnsi="Arial"/>
                <w:sz w:val="18"/>
                <w:szCs w:val="18"/>
                <w:b w:val="1"/>
                <w:bCs w:val="1"/>
                <w:color w:val="auto"/>
              </w:rPr>
              <w:t>March 29,</w:t>
            </w:r>
          </w:p>
        </w:tc>
        <w:tc>
          <w:tcPr>
            <w:tcW w:w="160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March 30,</w:t>
            </w:r>
          </w:p>
        </w:tc>
      </w:tr>
      <w:tr>
        <w:trPr>
          <w:trHeight w:val="235"/>
        </w:trPr>
        <w:tc>
          <w:tcPr>
            <w:tcW w:w="7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for basic computations</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229.9</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234.4</w:t>
            </w:r>
          </w:p>
        </w:tc>
      </w:tr>
      <w:tr>
        <w:trPr>
          <w:trHeight w:val="23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dilutive effect of equity awards</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0.9</w:t>
            </w:r>
          </w:p>
        </w:tc>
      </w:tr>
      <w:tr>
        <w:trPr>
          <w:trHeight w:val="230"/>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for diluted computations</w:t>
            </w:r>
          </w:p>
        </w:tc>
        <w:tc>
          <w:tcPr>
            <w:tcW w:w="17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231.1</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235.3</w:t>
            </w:r>
          </w:p>
        </w:tc>
      </w:tr>
    </w:tbl>
    <w:p>
      <w:pPr>
        <w:spacing w:after="0" w:line="25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during the quarters ended March 29, 2026 and March 30, 2025. Basic and diluted weighted average common shares outstanding decreased in 2026 compared to 2025 due to share repurchases in 2025, but none during the quarter ended March 29,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ON BUSINESS SEGMENTS</w:t>
      </w:r>
    </w:p>
    <w:p>
      <w:pPr>
        <w:spacing w:after="0" w:line="198" w:lineRule="exact"/>
        <w:rPr>
          <w:sz w:val="20"/>
          <w:szCs w:val="20"/>
          <w:color w:val="auto"/>
        </w:rPr>
      </w:pPr>
    </w:p>
    <w:p>
      <w:pPr>
        <w:jc w:val="both"/>
        <w:ind w:right="240" w:firstLine="445"/>
        <w:spacing w:after="0" w:line="268" w:lineRule="auto"/>
        <w:rPr>
          <w:sz w:val="20"/>
          <w:szCs w:val="20"/>
          <w:color w:val="auto"/>
        </w:rPr>
      </w:pPr>
      <w:r>
        <w:rPr>
          <w:rFonts w:ascii="Arial" w:cs="Arial" w:eastAsia="Arial" w:hAnsi="Arial"/>
          <w:sz w:val="18"/>
          <w:szCs w:val="18"/>
          <w:color w:val="auto"/>
        </w:rPr>
        <w:t>Our operations are organized into four business segments, which also comprise our reportable segments: Aeronautics, Missiles and Fire Control (MFC), Rotary and Mission Systems (RMS) and Space. We generally organize our business segments based on the nature of products and services offered.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each of our business segments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7"/>
                <w:szCs w:val="17"/>
                <w:b w:val="1"/>
                <w:bCs w:val="1"/>
                <w:color w:val="auto"/>
              </w:rPr>
              <w:t>Quarters Ended</w:t>
            </w:r>
          </w:p>
        </w:tc>
      </w:tr>
      <w:tr>
        <w:trPr>
          <w:trHeight w:val="162"/>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95"/>
              <w:spacing w:after="0" w:line="162" w:lineRule="exact"/>
              <w:rPr>
                <w:sz w:val="20"/>
                <w:szCs w:val="20"/>
                <w:color w:val="auto"/>
              </w:rPr>
            </w:pPr>
            <w:r>
              <w:rPr>
                <w:rFonts w:ascii="Arial" w:cs="Arial" w:eastAsia="Arial" w:hAnsi="Arial"/>
                <w:sz w:val="17"/>
                <w:szCs w:val="17"/>
                <w:b w:val="1"/>
                <w:bCs w:val="1"/>
                <w:color w:val="auto"/>
              </w:rPr>
              <w:t>March 29,</w:t>
            </w:r>
          </w:p>
        </w:tc>
        <w:tc>
          <w:tcPr>
            <w:tcW w:w="500" w:type="dxa"/>
            <w:vAlign w:val="bottom"/>
          </w:tcPr>
          <w:p>
            <w:pPr>
              <w:spacing w:after="0"/>
              <w:rPr>
                <w:sz w:val="14"/>
                <w:szCs w:val="14"/>
                <w:color w:val="auto"/>
              </w:rPr>
            </w:pPr>
          </w:p>
        </w:tc>
        <w:tc>
          <w:tcPr>
            <w:tcW w:w="1380" w:type="dxa"/>
            <w:vAlign w:val="bottom"/>
          </w:tcPr>
          <w:p>
            <w:pPr>
              <w:jc w:val="right"/>
              <w:ind w:right="335"/>
              <w:spacing w:after="0" w:line="162" w:lineRule="exact"/>
              <w:rPr>
                <w:sz w:val="20"/>
                <w:szCs w:val="20"/>
                <w:color w:val="auto"/>
              </w:rPr>
            </w:pPr>
            <w:r>
              <w:rPr>
                <w:rFonts w:ascii="Arial" w:cs="Arial" w:eastAsia="Arial" w:hAnsi="Arial"/>
                <w:sz w:val="17"/>
                <w:szCs w:val="17"/>
                <w:b w:val="1"/>
                <w:bCs w:val="1"/>
                <w:color w:val="auto"/>
              </w:rPr>
              <w:t>March 30,</w:t>
            </w:r>
          </w:p>
        </w:tc>
      </w:tr>
      <w:tr>
        <w:trPr>
          <w:trHeight w:val="225"/>
        </w:trPr>
        <w:tc>
          <w:tcPr>
            <w:tcW w:w="7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2026</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2025</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7"/>
                <w:szCs w:val="17"/>
                <w:color w:val="auto"/>
              </w:rPr>
              <w:t>Aeronautics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6,953</w:t>
            </w: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7,057</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Missiles and Fire Control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3,649</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3,373</w:t>
            </w:r>
          </w:p>
        </w:tc>
      </w:tr>
      <w:tr>
        <w:trPr>
          <w:trHeight w:val="230"/>
        </w:trPr>
        <w:tc>
          <w:tcPr>
            <w:tcW w:w="7900" w:type="dxa"/>
            <w:vAlign w:val="bottom"/>
          </w:tcPr>
          <w:p>
            <w:pPr>
              <w:ind w:left="220"/>
              <w:spacing w:after="0"/>
              <w:rPr>
                <w:sz w:val="20"/>
                <w:szCs w:val="20"/>
                <w:color w:val="auto"/>
              </w:rPr>
            </w:pPr>
            <w:r>
              <w:rPr>
                <w:rFonts w:ascii="Arial" w:cs="Arial" w:eastAsia="Arial" w:hAnsi="Arial"/>
                <w:sz w:val="17"/>
                <w:szCs w:val="17"/>
                <w:color w:val="auto"/>
              </w:rPr>
              <w:t>Rotary and Mission Systems</w:t>
            </w:r>
          </w:p>
        </w:tc>
        <w:tc>
          <w:tcPr>
            <w:tcW w:w="26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3,991</w:t>
            </w:r>
          </w:p>
        </w:tc>
        <w:tc>
          <w:tcPr>
            <w:tcW w:w="50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4,328</w:t>
            </w:r>
          </w:p>
        </w:tc>
      </w:tr>
      <w:tr>
        <w:trPr>
          <w:trHeight w:val="229"/>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3,428</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3,205</w:t>
            </w:r>
          </w:p>
        </w:tc>
      </w:tr>
      <w:tr>
        <w:trPr>
          <w:trHeight w:val="223"/>
        </w:trPr>
        <w:tc>
          <w:tcPr>
            <w:tcW w:w="7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18,021</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17,963</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7"/>
                <w:szCs w:val="17"/>
                <w:color w:val="auto"/>
              </w:rPr>
              <w:t>Aeronautics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6,334</w:t>
            </w: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6,337</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Missiles and Fire Control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3,150</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2,908</w:t>
            </w:r>
          </w:p>
        </w:tc>
      </w:tr>
      <w:tr>
        <w:trPr>
          <w:trHeight w:val="229"/>
        </w:trPr>
        <w:tc>
          <w:tcPr>
            <w:tcW w:w="7900" w:type="dxa"/>
            <w:vAlign w:val="bottom"/>
          </w:tcPr>
          <w:p>
            <w:pPr>
              <w:ind w:left="220"/>
              <w:spacing w:after="0"/>
              <w:rPr>
                <w:sz w:val="20"/>
                <w:szCs w:val="20"/>
                <w:color w:val="auto"/>
              </w:rPr>
            </w:pPr>
            <w:r>
              <w:rPr>
                <w:rFonts w:ascii="Arial" w:cs="Arial" w:eastAsia="Arial" w:hAnsi="Arial"/>
                <w:sz w:val="17"/>
                <w:szCs w:val="17"/>
                <w:color w:val="auto"/>
              </w:rPr>
              <w:t>Rotary and Mission Systems</w:t>
            </w:r>
          </w:p>
        </w:tc>
        <w:tc>
          <w:tcPr>
            <w:tcW w:w="26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3,559</w:t>
            </w:r>
          </w:p>
        </w:tc>
        <w:tc>
          <w:tcPr>
            <w:tcW w:w="50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3,858</w:t>
            </w:r>
          </w:p>
        </w:tc>
      </w:tr>
      <w:tr>
        <w:trPr>
          <w:trHeight w:val="230"/>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3,139</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2,821</w:t>
            </w:r>
          </w:p>
        </w:tc>
      </w:tr>
      <w:tr>
        <w:trPr>
          <w:trHeight w:val="223"/>
        </w:trPr>
        <w:tc>
          <w:tcPr>
            <w:tcW w:w="7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16,182</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15,924</w:t>
            </w:r>
          </w:p>
        </w:tc>
      </w:tr>
      <w:tr>
        <w:trPr>
          <w:trHeight w:val="223"/>
        </w:trPr>
        <w:tc>
          <w:tcPr>
            <w:tcW w:w="79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b w:val="1"/>
                <w:bCs w:val="1"/>
                <w:color w:val="auto"/>
              </w:rPr>
              <w:t xml:space="preserve">Operating profit </w:t>
            </w:r>
            <w:r>
              <w:rPr>
                <w:rFonts w:ascii="Arial" w:cs="Arial" w:eastAsia="Arial" w:hAnsi="Arial"/>
                <w:sz w:val="22"/>
                <w:szCs w:val="22"/>
                <w:color w:val="auto"/>
                <w:vertAlign w:val="superscript"/>
              </w:rPr>
              <w:t>(a)</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7"/>
                <w:szCs w:val="17"/>
                <w:color w:val="auto"/>
              </w:rPr>
              <w:t>Aeronautics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619</w:t>
            </w: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720</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Missiles and Fire Control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500</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465</w:t>
            </w:r>
          </w:p>
        </w:tc>
      </w:tr>
      <w:tr>
        <w:trPr>
          <w:trHeight w:val="230"/>
        </w:trPr>
        <w:tc>
          <w:tcPr>
            <w:tcW w:w="7900" w:type="dxa"/>
            <w:vAlign w:val="bottom"/>
          </w:tcPr>
          <w:p>
            <w:pPr>
              <w:ind w:left="220"/>
              <w:spacing w:after="0"/>
              <w:rPr>
                <w:sz w:val="20"/>
                <w:szCs w:val="20"/>
                <w:color w:val="auto"/>
              </w:rPr>
            </w:pPr>
            <w:r>
              <w:rPr>
                <w:rFonts w:ascii="Arial" w:cs="Arial" w:eastAsia="Arial" w:hAnsi="Arial"/>
                <w:sz w:val="17"/>
                <w:szCs w:val="17"/>
                <w:color w:val="auto"/>
              </w:rPr>
              <w:t>Rotary and Mission Systems</w:t>
            </w:r>
          </w:p>
        </w:tc>
        <w:tc>
          <w:tcPr>
            <w:tcW w:w="26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423</w:t>
            </w:r>
          </w:p>
        </w:tc>
        <w:tc>
          <w:tcPr>
            <w:tcW w:w="50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521</w:t>
            </w:r>
          </w:p>
        </w:tc>
      </w:tr>
      <w:tr>
        <w:trPr>
          <w:trHeight w:val="230"/>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281</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379</w:t>
            </w:r>
          </w:p>
        </w:tc>
      </w:tr>
      <w:tr>
        <w:trPr>
          <w:trHeight w:val="223"/>
        </w:trPr>
        <w:tc>
          <w:tcPr>
            <w:tcW w:w="7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business segment operating profit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1,823</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2,085</w:t>
            </w:r>
          </w:p>
        </w:tc>
      </w:tr>
      <w:tr>
        <w:trPr>
          <w:trHeight w:val="223"/>
        </w:trPr>
        <w:tc>
          <w:tcPr>
            <w:tcW w:w="7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Unallocated items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00" w:type="dxa"/>
            <w:vAlign w:val="bottom"/>
          </w:tcPr>
          <w:p>
            <w:pPr>
              <w:ind w:left="360"/>
              <w:spacing w:after="0"/>
              <w:rPr>
                <w:sz w:val="20"/>
                <w:szCs w:val="20"/>
                <w:color w:val="auto"/>
              </w:rPr>
            </w:pPr>
            <w:r>
              <w:rPr>
                <w:rFonts w:ascii="Arial" w:cs="Arial" w:eastAsia="Arial" w:hAnsi="Arial"/>
                <w:sz w:val="17"/>
                <w:szCs w:val="17"/>
                <w:color w:val="auto"/>
              </w:rPr>
              <w:t>FAS/CAS pension operating adjustment</w:t>
            </w:r>
          </w:p>
        </w:tc>
        <w:tc>
          <w:tcPr>
            <w:tcW w:w="26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421</w:t>
            </w:r>
          </w:p>
        </w:tc>
        <w:tc>
          <w:tcPr>
            <w:tcW w:w="50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379</w:t>
            </w: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Intangible asset amortization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(50)</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r>
      <w:tr>
        <w:trPr>
          <w:trHeight w:val="230"/>
        </w:trPr>
        <w:tc>
          <w:tcPr>
            <w:tcW w:w="7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(131)</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w:t>
            </w:r>
          </w:p>
        </w:tc>
      </w:tr>
      <w:tr>
        <w:trPr>
          <w:trHeight w:val="223"/>
        </w:trPr>
        <w:tc>
          <w:tcPr>
            <w:tcW w:w="7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unallocated items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240</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287</w:t>
            </w:r>
          </w:p>
        </w:tc>
      </w:tr>
      <w:tr>
        <w:trPr>
          <w:trHeight w:val="223"/>
        </w:trPr>
        <w:tc>
          <w:tcPr>
            <w:tcW w:w="7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consolidated operating profit</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2,063</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2,372</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Intersegment sales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7"/>
                <w:szCs w:val="17"/>
                <w:color w:val="auto"/>
              </w:rPr>
              <w:t>Aeronautics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93</w:t>
            </w: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89</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Missiles and Fire Control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238</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169</w:t>
            </w:r>
          </w:p>
        </w:tc>
      </w:tr>
      <w:tr>
        <w:trPr>
          <w:trHeight w:val="229"/>
        </w:trPr>
        <w:tc>
          <w:tcPr>
            <w:tcW w:w="7900" w:type="dxa"/>
            <w:vAlign w:val="bottom"/>
          </w:tcPr>
          <w:p>
            <w:pPr>
              <w:ind w:left="220"/>
              <w:spacing w:after="0"/>
              <w:rPr>
                <w:sz w:val="20"/>
                <w:szCs w:val="20"/>
                <w:color w:val="auto"/>
              </w:rPr>
            </w:pPr>
            <w:r>
              <w:rPr>
                <w:rFonts w:ascii="Arial" w:cs="Arial" w:eastAsia="Arial" w:hAnsi="Arial"/>
                <w:sz w:val="17"/>
                <w:szCs w:val="17"/>
                <w:color w:val="auto"/>
              </w:rPr>
              <w:t>Rotary and Mission Systems</w:t>
            </w:r>
          </w:p>
        </w:tc>
        <w:tc>
          <w:tcPr>
            <w:tcW w:w="26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Arial" w:cs="Arial" w:eastAsia="Arial" w:hAnsi="Arial"/>
                <w:sz w:val="17"/>
                <w:szCs w:val="17"/>
                <w:b w:val="1"/>
                <w:bCs w:val="1"/>
                <w:color w:val="auto"/>
              </w:rPr>
              <w:t>595</w:t>
            </w:r>
          </w:p>
        </w:tc>
        <w:tc>
          <w:tcPr>
            <w:tcW w:w="50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564</w:t>
            </w:r>
          </w:p>
        </w:tc>
      </w:tr>
      <w:tr>
        <w:trPr>
          <w:trHeight w:val="230"/>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81</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83</w:t>
            </w:r>
          </w:p>
        </w:tc>
      </w:tr>
      <w:tr>
        <w:trPr>
          <w:trHeight w:val="230"/>
        </w:trPr>
        <w:tc>
          <w:tcPr>
            <w:tcW w:w="7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intersegment sales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1,007</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905</w:t>
            </w:r>
          </w:p>
        </w:tc>
      </w:tr>
    </w:tbl>
    <w:p>
      <w:pPr>
        <w:spacing w:after="0" w:line="112" w:lineRule="exact"/>
        <w:rPr>
          <w:sz w:val="20"/>
          <w:szCs w:val="20"/>
          <w:color w:val="auto"/>
        </w:rPr>
      </w:pPr>
    </w:p>
    <w:p>
      <w:pPr>
        <w:ind w:left="420" w:right="40" w:hanging="412"/>
        <w:spacing w:after="0" w:line="305" w:lineRule="auto"/>
        <w:tabs>
          <w:tab w:leader="none" w:pos="413" w:val="left"/>
        </w:tabs>
        <w:numPr>
          <w:ilvl w:val="0"/>
          <w:numId w:val="3"/>
        </w:numPr>
        <w:rPr>
          <w:rFonts w:ascii="Arial" w:cs="Arial" w:eastAsia="Arial" w:hAnsi="Arial"/>
          <w:sz w:val="9"/>
          <w:szCs w:val="9"/>
          <w:color w:val="auto"/>
        </w:rPr>
      </w:pPr>
      <w:r>
        <w:rPr>
          <w:rFonts w:ascii="Arial" w:cs="Arial" w:eastAsia="Arial" w:hAnsi="Arial"/>
          <w:sz w:val="14"/>
          <w:szCs w:val="14"/>
          <w:color w:val="auto"/>
        </w:rPr>
        <w:t>Operating profit by segment includes certain immaterial items, such as other income (primarily equity earnings) that are not presented separately in the table. Accordingly, the difference between sales less operating costs and expenses may not equal operating profit by segment.</w:t>
      </w:r>
    </w:p>
    <w:p>
      <w:pPr>
        <w:spacing w:after="0" w:line="108"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Segment results exclude intersegment transactions as these activities are eliminated in consolidation and are not considered in assessing the performance of each segment. As described below, segment operating profit also excludes other transactions that are not part of management’s evaluation of segment operating performance, which are included in “Unallocated items” to reconcile total segment operating profit to consolidated amounts. Business segment operating profit includes our share of earnings or losses from equity method investees as the operating activities of the equity method investees are closely aligned with the operations of our business segments. See “Note 10 - Other” for a discussion related to certain factors that may impact the comparability of sales and operating profit of our business segments.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Items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Business segment operating profit excludes the FAS/CAS pension operating adjustment discussed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stock-based compensation expense, changes in the fair value of assets and liabilities for deferred compensation plans, significant severance charges, significant asset impairments, intangible asset amortization expense, and other miscellaneous corporate activities. Collectively these items are included in “Unallocated items” to reconcile total segment operating profit to consolidated operating profit.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FAS/CAS Pension Operating Adjustment</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segments’ results of operations include pension expense only as calculated under CAS, which we refer to as CAS pension cost. We recover CAS pension cost through the pricing of our products and services on U.S. Government contracts and, therefore, recognize CAS pension cost in each of our business segments’ sales and operating costs and expenses. Our consolidated financial statements must present pension expense calculated in accordance with Financial Accounting Standards (FAS) requirements under U.S. GAAP. The operating portion of the total FAS/CAS pension adjustment represents the difference between the service cost component of FAS pension expense and total CAS pension cost. The non-service FAS pension expense components are included in non-service FAS pension expense in our consolidated statements of earnings. As a result, to the extent that CAS pension cost exceeds the service cost component of FAS pension expense, we have a favorable FAS/CAS pension operating adjustment.</w:t>
      </w:r>
    </w:p>
    <w:p>
      <w:pPr>
        <w:spacing w:after="0" w:line="158" w:lineRule="exact"/>
        <w:rPr>
          <w:sz w:val="20"/>
          <w:szCs w:val="20"/>
          <w:color w:val="auto"/>
        </w:rPr>
      </w:pPr>
    </w:p>
    <w:p>
      <w:pPr>
        <w:ind w:right="580" w:firstLine="405"/>
        <w:spacing w:after="0" w:line="287" w:lineRule="auto"/>
        <w:rPr>
          <w:sz w:val="20"/>
          <w:szCs w:val="20"/>
          <w:color w:val="auto"/>
        </w:rPr>
      </w:pPr>
      <w:r>
        <w:rPr>
          <w:rFonts w:ascii="Arial" w:cs="Arial" w:eastAsia="Arial" w:hAnsi="Arial"/>
          <w:sz w:val="18"/>
          <w:szCs w:val="18"/>
          <w:color w:val="auto"/>
        </w:rPr>
        <w:t>The total FAS/CAS pension adjustments, including the service and non-service cost components of FAS pension expense for our qualified defined benefit pension plans,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51"/>
              <w:spacing w:after="0" w:line="169" w:lineRule="exact"/>
              <w:rPr>
                <w:sz w:val="20"/>
                <w:szCs w:val="20"/>
                <w:color w:val="auto"/>
              </w:rPr>
            </w:pPr>
            <w:r>
              <w:rPr>
                <w:rFonts w:ascii="Arial" w:cs="Arial" w:eastAsia="Arial" w:hAnsi="Arial"/>
                <w:sz w:val="18"/>
                <w:szCs w:val="18"/>
                <w:b w:val="1"/>
                <w:bCs w:val="1"/>
                <w:color w:val="auto"/>
              </w:rPr>
              <w:t>March 29,</w:t>
            </w:r>
          </w:p>
        </w:tc>
        <w:tc>
          <w:tcPr>
            <w:tcW w:w="480" w:type="dxa"/>
            <w:vAlign w:val="bottom"/>
          </w:tcPr>
          <w:p>
            <w:pPr>
              <w:spacing w:after="0"/>
              <w:rPr>
                <w:sz w:val="14"/>
                <w:szCs w:val="14"/>
                <w:color w:val="auto"/>
              </w:rPr>
            </w:pPr>
          </w:p>
        </w:tc>
        <w:tc>
          <w:tcPr>
            <w:tcW w:w="1340" w:type="dxa"/>
            <w:vAlign w:val="bottom"/>
          </w:tcPr>
          <w:p>
            <w:pPr>
              <w:jc w:val="right"/>
              <w:ind w:right="291"/>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FAS pension expense and CAS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7"/>
                <w:szCs w:val="17"/>
                <w:color w:val="auto"/>
              </w:rPr>
              <w:t>FAS pension expense</w:t>
            </w:r>
          </w:p>
        </w:tc>
        <w:tc>
          <w:tcPr>
            <w:tcW w:w="3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91"/>
              <w:spacing w:after="0"/>
              <w:rPr>
                <w:sz w:val="20"/>
                <w:szCs w:val="20"/>
                <w:color w:val="auto"/>
              </w:rPr>
            </w:pPr>
            <w:r>
              <w:rPr>
                <w:rFonts w:ascii="Arial" w:cs="Arial" w:eastAsia="Arial" w:hAnsi="Arial"/>
                <w:sz w:val="18"/>
                <w:szCs w:val="18"/>
                <w:b w:val="1"/>
                <w:bCs w:val="1"/>
                <w:color w:val="auto"/>
              </w:rPr>
              <w:t>(92)</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1"/>
              <w:spacing w:after="0"/>
              <w:rPr>
                <w:sz w:val="20"/>
                <w:szCs w:val="20"/>
                <w:color w:val="auto"/>
              </w:rPr>
            </w:pPr>
            <w:r>
              <w:rPr>
                <w:rFonts w:ascii="Arial" w:cs="Arial" w:eastAsia="Arial" w:hAnsi="Arial"/>
                <w:sz w:val="18"/>
                <w:szCs w:val="18"/>
                <w:color w:val="auto"/>
              </w:rPr>
              <w:t>(111)</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CAS pension cost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b w:val="1"/>
                <w:bCs w:val="1"/>
                <w:color w:val="auto"/>
              </w:rPr>
              <w:t>433</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392</w:t>
            </w:r>
          </w:p>
        </w:tc>
      </w:tr>
      <w:tr>
        <w:trPr>
          <w:trHeight w:val="223"/>
        </w:trPr>
        <w:tc>
          <w:tcPr>
            <w:tcW w:w="78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Total FAS/CAS pension adjustment</w:t>
            </w:r>
          </w:p>
        </w:tc>
        <w:tc>
          <w:tcPr>
            <w:tcW w:w="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341</w:t>
            </w: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281</w:t>
            </w:r>
          </w:p>
        </w:tc>
      </w:tr>
      <w:tr>
        <w:trPr>
          <w:trHeight w:val="250"/>
        </w:trPr>
        <w:tc>
          <w:tcPr>
            <w:tcW w:w="7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Service and non-service cost reconciliation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FAS pension service cost</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(12)</w:t>
            </w:r>
          </w:p>
        </w:tc>
        <w:tc>
          <w:tcPr>
            <w:tcW w:w="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(13)</w:t>
            </w:r>
          </w:p>
        </w:tc>
      </w:tr>
      <w:tr>
        <w:trPr>
          <w:trHeight w:val="229"/>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CAS pension cost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7"/>
                <w:szCs w:val="17"/>
                <w:b w:val="1"/>
                <w:bCs w:val="1"/>
                <w:color w:val="auto"/>
              </w:rPr>
              <w:t>433</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color w:val="auto"/>
              </w:rPr>
              <w:t>392</w:t>
            </w:r>
          </w:p>
        </w:tc>
      </w:tr>
      <w:tr>
        <w:trPr>
          <w:trHeight w:val="223"/>
        </w:trPr>
        <w:tc>
          <w:tcPr>
            <w:tcW w:w="78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FAS/CAS pension operating adjustment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b w:val="1"/>
                <w:bCs w:val="1"/>
                <w:color w:val="auto"/>
              </w:rPr>
              <w:t>421</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379</w:t>
            </w:r>
          </w:p>
        </w:tc>
      </w:tr>
      <w:tr>
        <w:trPr>
          <w:trHeight w:val="230"/>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Non-service FAS pension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(80)</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(98)</w:t>
            </w:r>
          </w:p>
        </w:tc>
      </w:tr>
      <w:tr>
        <w:trPr>
          <w:trHeight w:val="230"/>
        </w:trPr>
        <w:tc>
          <w:tcPr>
            <w:tcW w:w="7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Total FAS/CAS pension adjustment</w:t>
            </w:r>
          </w:p>
        </w:tc>
        <w:tc>
          <w:tcPr>
            <w:tcW w:w="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7"/>
                <w:szCs w:val="17"/>
                <w:b w:val="1"/>
                <w:bCs w:val="1"/>
                <w:color w:val="auto"/>
              </w:rPr>
              <w:t>341</w:t>
            </w:r>
          </w:p>
        </w:tc>
        <w:tc>
          <w:tcPr>
            <w:tcW w:w="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7"/>
                <w:szCs w:val="17"/>
                <w:color w:val="auto"/>
              </w:rPr>
              <w:t>281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Sales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by products and services, contract type, customer, and geographic region were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5"/>
          </w:tcPr>
          <w:p>
            <w:pPr>
              <w:jc w:val="center"/>
              <w:ind w:right="235"/>
              <w:spacing w:after="0"/>
              <w:rPr>
                <w:sz w:val="20"/>
                <w:szCs w:val="20"/>
                <w:color w:val="auto"/>
              </w:rPr>
            </w:pPr>
            <w:r>
              <w:rPr>
                <w:rFonts w:ascii="Arial" w:cs="Arial" w:eastAsia="Arial" w:hAnsi="Arial"/>
                <w:sz w:val="17"/>
                <w:szCs w:val="17"/>
                <w:b w:val="1"/>
                <w:bCs w:val="1"/>
                <w:color w:val="auto"/>
              </w:rPr>
              <w:t>Quarter Ended March 29, 2026</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5"/>
        </w:trPr>
        <w:tc>
          <w:tcPr>
            <w:tcW w:w="4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9"/>
              </w:rPr>
              <w:t>Aeronautics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MFC</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RMS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Space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Products</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5,505</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3,323</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3,172</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2,831</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14,831</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Services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1,448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326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819</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3,190</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6,953</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3,649</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3,991</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3,428</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18,021</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 by contract type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Fixed-price</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4,497</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2,661</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2,330</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922</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10,410</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Cost-reimbursable</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2,456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988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1,661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7,611</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6,953</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3,649</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3,991</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3,428</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18,021</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 by customer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7"/>
                <w:szCs w:val="17"/>
                <w:color w:val="auto"/>
              </w:rPr>
              <w:t>U.S. Government</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4,133</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2,372</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2,468</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3,337</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12,310</w:t>
            </w:r>
          </w:p>
        </w:tc>
        <w:tc>
          <w:tcPr>
            <w:tcW w:w="60" w:type="dxa"/>
            <w:vAlign w:val="bottom"/>
          </w:tcPr>
          <w:p>
            <w:pPr>
              <w:spacing w:after="0"/>
              <w:rPr>
                <w:sz w:val="19"/>
                <w:szCs w:val="19"/>
                <w:color w:val="auto"/>
              </w:rPr>
            </w:pPr>
          </w:p>
        </w:tc>
      </w:tr>
      <w:tr>
        <w:trPr>
          <w:trHeight w:val="229"/>
        </w:trPr>
        <w:tc>
          <w:tcPr>
            <w:tcW w:w="4080" w:type="dxa"/>
            <w:vAlign w:val="bottom"/>
            <w:shd w:val="clear" w:color="auto" w:fill="CCEEFF"/>
          </w:tcPr>
          <w:p>
            <w:pPr>
              <w:ind w:left="220"/>
              <w:spacing w:after="0" w:line="229"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2,809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1,277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1,473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5,642</w:t>
            </w:r>
          </w:p>
        </w:tc>
        <w:tc>
          <w:tcPr>
            <w:tcW w:w="6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U.S. commercial and other</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w:t>
            </w:r>
          </w:p>
        </w:tc>
        <w:tc>
          <w:tcPr>
            <w:tcW w:w="60" w:type="dxa"/>
            <w:vAlign w:val="bottom"/>
            <w:tcBorders>
              <w:bottom w:val="single" w:sz="8" w:color="auto"/>
            </w:tcBorders>
          </w:tcPr>
          <w:p>
            <w:pPr>
              <w:spacing w:after="0"/>
              <w:rPr>
                <w:sz w:val="19"/>
                <w:szCs w:val="19"/>
                <w:color w:val="auto"/>
              </w:rPr>
            </w:pPr>
          </w:p>
        </w:tc>
      </w:tr>
      <w:tr>
        <w:trPr>
          <w:trHeight w:val="223"/>
        </w:trPr>
        <w:tc>
          <w:tcPr>
            <w:tcW w:w="4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6,953</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3,649</w:t>
            </w:r>
          </w:p>
        </w:tc>
        <w:tc>
          <w:tcPr>
            <w:tcW w:w="3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3,991</w:t>
            </w:r>
          </w:p>
        </w:tc>
        <w:tc>
          <w:tcPr>
            <w:tcW w:w="3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3,428</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18,021</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Sales by geographic region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4,144</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2,372</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2,518</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3,345</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12,379</w:t>
            </w:r>
          </w:p>
        </w:tc>
        <w:tc>
          <w:tcPr>
            <w:tcW w:w="6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Europe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1,437</w:t>
            </w:r>
          </w:p>
        </w:tc>
        <w:tc>
          <w:tcPr>
            <w:tcW w:w="3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587</w:t>
            </w:r>
          </w:p>
        </w:tc>
        <w:tc>
          <w:tcPr>
            <w:tcW w:w="3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571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2,625</w:t>
            </w:r>
          </w:p>
        </w:tc>
        <w:tc>
          <w:tcPr>
            <w:tcW w:w="60" w:type="dxa"/>
            <w:vAlign w:val="bottom"/>
          </w:tcPr>
          <w:p>
            <w:pPr>
              <w:spacing w:after="0"/>
              <w:rPr>
                <w:sz w:val="19"/>
                <w:szCs w:val="19"/>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Asia Pacific</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907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442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1,669</w:t>
            </w:r>
          </w:p>
        </w:tc>
        <w:tc>
          <w:tcPr>
            <w:tcW w:w="6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225</w:t>
            </w:r>
          </w:p>
        </w:tc>
        <w:tc>
          <w:tcPr>
            <w:tcW w:w="3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390</w:t>
            </w:r>
          </w:p>
        </w:tc>
        <w:tc>
          <w:tcPr>
            <w:tcW w:w="3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170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794</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554</w:t>
            </w:r>
          </w:p>
        </w:tc>
        <w:tc>
          <w:tcPr>
            <w:tcW w:w="60" w:type="dxa"/>
            <w:vAlign w:val="bottom"/>
            <w:tcBorders>
              <w:bottom w:val="single" w:sz="8" w:color="auto"/>
            </w:tcBorders>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6,953</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3,649</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3,991</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3,428</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18,021</w:t>
            </w:r>
          </w:p>
        </w:tc>
        <w:tc>
          <w:tcPr>
            <w:tcW w:w="60" w:type="dxa"/>
            <w:vAlign w:val="bottom"/>
            <w:tcBorders>
              <w:bottom w:val="single" w:sz="8" w:color="auto"/>
            </w:tcBorders>
          </w:tcPr>
          <w:p>
            <w:pPr>
              <w:spacing w:after="0"/>
              <w:rPr>
                <w:sz w:val="20"/>
                <w:szCs w:val="20"/>
                <w:color w:val="auto"/>
              </w:rPr>
            </w:pPr>
          </w:p>
        </w:tc>
      </w:tr>
      <w:tr>
        <w:trPr>
          <w:trHeight w:val="552"/>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right="275"/>
              <w:spacing w:after="0"/>
              <w:rPr>
                <w:sz w:val="20"/>
                <w:szCs w:val="20"/>
                <w:color w:val="auto"/>
              </w:rPr>
            </w:pPr>
            <w:r>
              <w:rPr>
                <w:rFonts w:ascii="Arial" w:cs="Arial" w:eastAsia="Arial" w:hAnsi="Arial"/>
                <w:sz w:val="17"/>
                <w:szCs w:val="17"/>
                <w:b w:val="1"/>
                <w:bCs w:val="1"/>
                <w:color w:val="auto"/>
              </w:rPr>
              <w:t>Quarter Ended March 30, 2025</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5"/>
        </w:trPr>
        <w:tc>
          <w:tcPr>
            <w:tcW w:w="4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Aeronautics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MFC</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rPr>
              <w:t>RMS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Space</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Arial" w:cs="Arial" w:eastAsia="Arial" w:hAnsi="Arial"/>
                <w:sz w:val="17"/>
                <w:szCs w:val="17"/>
                <w:color w:val="auto"/>
              </w:rPr>
              <w:t>Products</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5,746</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3,017</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3,496</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2,677</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14,936</w:t>
            </w:r>
          </w:p>
        </w:tc>
        <w:tc>
          <w:tcPr>
            <w:tcW w:w="60" w:type="dxa"/>
            <w:vAlign w:val="bottom"/>
          </w:tcPr>
          <w:p>
            <w:pPr>
              <w:spacing w:after="0"/>
              <w:rPr>
                <w:sz w:val="19"/>
                <w:szCs w:val="19"/>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Services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356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528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3,027</w:t>
            </w:r>
          </w:p>
        </w:tc>
        <w:tc>
          <w:tcPr>
            <w:tcW w:w="60" w:type="dxa"/>
            <w:vAlign w:val="bottom"/>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7,057</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3,373</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4,328</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3,205</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17,963</w:t>
            </w:r>
          </w:p>
        </w:tc>
        <w:tc>
          <w:tcPr>
            <w:tcW w:w="60" w:type="dxa"/>
            <w:vAlign w:val="bottom"/>
          </w:tcPr>
          <w:p>
            <w:pPr>
              <w:spacing w:after="0"/>
              <w:rPr>
                <w:sz w:val="19"/>
                <w:szCs w:val="19"/>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 by contract type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Arial" w:cs="Arial" w:eastAsia="Arial" w:hAnsi="Arial"/>
                <w:sz w:val="17"/>
                <w:szCs w:val="17"/>
                <w:color w:val="auto"/>
              </w:rPr>
              <w:t>Fixed-price</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4,713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2,440</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2,660</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942</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10,755</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Cost-reimbursable</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933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2,263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60" w:type="dxa"/>
            <w:vAlign w:val="bottom"/>
          </w:tcPr>
          <w:p>
            <w:pPr>
              <w:spacing w:after="0"/>
              <w:rPr>
                <w:sz w:val="19"/>
                <w:szCs w:val="19"/>
                <w:color w:val="auto"/>
              </w:rPr>
            </w:pPr>
          </w:p>
        </w:tc>
      </w:tr>
      <w:tr>
        <w:trPr>
          <w:trHeight w:val="223"/>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7,057</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3,373</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4,328</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3,205</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17,963</w:t>
            </w:r>
          </w:p>
        </w:tc>
        <w:tc>
          <w:tcPr>
            <w:tcW w:w="60" w:type="dxa"/>
            <w:vAlign w:val="bottom"/>
          </w:tcPr>
          <w:p>
            <w:pPr>
              <w:spacing w:after="0"/>
              <w:rPr>
                <w:sz w:val="19"/>
                <w:szCs w:val="19"/>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 by customer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Arial" w:cs="Arial" w:eastAsia="Arial" w:hAnsi="Arial"/>
                <w:sz w:val="17"/>
                <w:szCs w:val="17"/>
                <w:color w:val="auto"/>
              </w:rPr>
              <w:t>U.S. Government</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4,642</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2,391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2,787</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3,129</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12,949</w:t>
            </w:r>
          </w:p>
        </w:tc>
        <w:tc>
          <w:tcPr>
            <w:tcW w:w="60" w:type="dxa"/>
            <w:vAlign w:val="bottom"/>
          </w:tcPr>
          <w:p>
            <w:pPr>
              <w:spacing w:after="0"/>
              <w:rPr>
                <w:sz w:val="19"/>
                <w:szCs w:val="19"/>
                <w:color w:val="auto"/>
              </w:rPr>
            </w:pPr>
          </w:p>
        </w:tc>
      </w:tr>
      <w:tr>
        <w:trPr>
          <w:trHeight w:val="232"/>
        </w:trPr>
        <w:tc>
          <w:tcPr>
            <w:tcW w:w="4080" w:type="dxa"/>
            <w:vAlign w:val="bottom"/>
            <w:shd w:val="clear" w:color="auto" w:fill="CCEEFF"/>
          </w:tcPr>
          <w:p>
            <w:pPr>
              <w:ind w:left="220"/>
              <w:spacing w:after="0" w:line="23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(a)</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978</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4,922</w:t>
            </w:r>
          </w:p>
        </w:tc>
        <w:tc>
          <w:tcPr>
            <w:tcW w:w="60" w:type="dxa"/>
            <w:vAlign w:val="bottom"/>
          </w:tcPr>
          <w:p>
            <w:pPr>
              <w:spacing w:after="0"/>
              <w:rPr>
                <w:sz w:val="20"/>
                <w:szCs w:val="20"/>
                <w:color w:val="auto"/>
              </w:rPr>
            </w:pPr>
          </w:p>
        </w:tc>
      </w:tr>
      <w:tr>
        <w:trPr>
          <w:trHeight w:val="227"/>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U.S. commercial and other</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60" w:type="dxa"/>
            <w:vAlign w:val="bottom"/>
          </w:tcPr>
          <w:p>
            <w:pPr>
              <w:spacing w:after="0"/>
              <w:rPr>
                <w:sz w:val="19"/>
                <w:szCs w:val="19"/>
                <w:color w:val="auto"/>
              </w:rPr>
            </w:pPr>
          </w:p>
        </w:tc>
      </w:tr>
      <w:tr>
        <w:trPr>
          <w:trHeight w:val="223"/>
        </w:trPr>
        <w:tc>
          <w:tcPr>
            <w:tcW w:w="4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7,057</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3,373</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4,328</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3,205</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17,963</w:t>
            </w:r>
          </w:p>
        </w:tc>
        <w:tc>
          <w:tcPr>
            <w:tcW w:w="60" w:type="dxa"/>
            <w:vAlign w:val="bottom"/>
          </w:tcPr>
          <w:p>
            <w:pPr>
              <w:spacing w:after="0"/>
              <w:rPr>
                <w:sz w:val="19"/>
                <w:szCs w:val="19"/>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Sales by geographic region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2,395</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3,134</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13,041</w:t>
            </w:r>
          </w:p>
        </w:tc>
        <w:tc>
          <w:tcPr>
            <w:tcW w:w="60" w:type="dxa"/>
            <w:vAlign w:val="bottom"/>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Arial" w:cs="Arial" w:eastAsia="Arial" w:hAnsi="Arial"/>
                <w:sz w:val="17"/>
                <w:szCs w:val="17"/>
                <w:color w:val="auto"/>
              </w:rPr>
              <w:t>Europe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1,247</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395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304</w:t>
            </w:r>
          </w:p>
        </w:tc>
        <w:tc>
          <w:tcPr>
            <w:tcW w:w="36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1,968</w:t>
            </w:r>
          </w:p>
        </w:tc>
        <w:tc>
          <w:tcPr>
            <w:tcW w:w="60" w:type="dxa"/>
            <w:vAlign w:val="bottom"/>
          </w:tcPr>
          <w:p>
            <w:pPr>
              <w:spacing w:after="0"/>
              <w:rPr>
                <w:sz w:val="19"/>
                <w:szCs w:val="19"/>
                <w:color w:val="auto"/>
              </w:rPr>
            </w:pPr>
          </w:p>
        </w:tc>
      </w:tr>
      <w:tr>
        <w:trPr>
          <w:trHeight w:val="232"/>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Asia Pacific</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224</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47</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60" w:type="dxa"/>
            <w:vAlign w:val="bottom"/>
          </w:tcPr>
          <w:p>
            <w:pPr>
              <w:spacing w:after="0"/>
              <w:rPr>
                <w:sz w:val="20"/>
                <w:szCs w:val="20"/>
                <w:color w:val="auto"/>
              </w:rPr>
            </w:pPr>
          </w:p>
        </w:tc>
      </w:tr>
      <w:tr>
        <w:trPr>
          <w:trHeight w:val="227"/>
        </w:trPr>
        <w:tc>
          <w:tcPr>
            <w:tcW w:w="408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148</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342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212</w:t>
            </w:r>
          </w:p>
        </w:tc>
        <w:tc>
          <w:tcPr>
            <w:tcW w:w="36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704</w:t>
            </w:r>
          </w:p>
        </w:tc>
        <w:tc>
          <w:tcPr>
            <w:tcW w:w="60" w:type="dxa"/>
            <w:vAlign w:val="bottom"/>
          </w:tcPr>
          <w:p>
            <w:pPr>
              <w:spacing w:after="0"/>
              <w:rPr>
                <w:sz w:val="19"/>
                <w:szCs w:val="19"/>
                <w:color w:val="auto"/>
              </w:rPr>
            </w:pP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60" w:type="dxa"/>
            <w:vAlign w:val="bottom"/>
          </w:tcPr>
          <w:p>
            <w:pPr>
              <w:spacing w:after="0"/>
              <w:rPr>
                <w:sz w:val="19"/>
                <w:szCs w:val="19"/>
                <w:color w:val="auto"/>
              </w:rPr>
            </w:pPr>
          </w:p>
        </w:tc>
      </w:tr>
      <w:tr>
        <w:trPr>
          <w:trHeight w:val="232"/>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7,057</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3,373</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4,328</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3,205</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17,963</w:t>
            </w:r>
          </w:p>
        </w:tc>
        <w:tc>
          <w:tcPr>
            <w:tcW w:w="60" w:type="dxa"/>
            <w:vAlign w:val="bottom"/>
          </w:tcPr>
          <w:p>
            <w:pPr>
              <w:spacing w:after="0"/>
              <w:rPr>
                <w:sz w:val="20"/>
                <w:szCs w:val="20"/>
                <w:color w:val="auto"/>
              </w:rPr>
            </w:pPr>
          </w:p>
        </w:tc>
      </w:tr>
    </w:tbl>
    <w:p>
      <w:pPr>
        <w:spacing w:after="0" w:line="121" w:lineRule="exact"/>
        <w:rPr>
          <w:sz w:val="20"/>
          <w:szCs w:val="20"/>
          <w:color w:val="auto"/>
        </w:rPr>
      </w:pPr>
    </w:p>
    <w:p>
      <w:pPr>
        <w:ind w:left="420" w:right="820" w:hanging="412"/>
        <w:spacing w:after="0" w:line="227" w:lineRule="auto"/>
        <w:tabs>
          <w:tab w:leader="none" w:pos="41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foreign military sales (FMS) contracted through the U.S. Government and direct commercial sales to international governments and other international customers.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Our Aeronautics business segment includes our largest program, the F-35 Lightning II, an international multi-role, multi-variant, stealth fighter aircraft. Sales for the F-35 program represented approximately 27% and 25% of our total consolidated sales for the quarters ended March 29, 2026 and March 30,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Assets</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83"/>
        </w:trPr>
        <w:tc>
          <w:tcPr>
            <w:tcW w:w="7200" w:type="dxa"/>
            <w:vAlign w:val="bottom"/>
          </w:tcPr>
          <w:p>
            <w:pPr>
              <w:ind w:left="420"/>
              <w:spacing w:after="0"/>
              <w:rPr>
                <w:sz w:val="20"/>
                <w:szCs w:val="20"/>
                <w:color w:val="auto"/>
              </w:rPr>
            </w:pPr>
            <w:r>
              <w:rPr>
                <w:rFonts w:ascii="Arial" w:cs="Arial" w:eastAsia="Arial" w:hAnsi="Arial"/>
                <w:sz w:val="18"/>
                <w:szCs w:val="18"/>
                <w:color w:val="auto"/>
              </w:rPr>
              <w:t>Total assets for each of our business segments were as follows (in millions):</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8"/>
        </w:trPr>
        <w:tc>
          <w:tcPr>
            <w:tcW w:w="7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jc w:val="right"/>
              <w:ind w:right="150"/>
              <w:spacing w:after="0" w:line="199" w:lineRule="exact"/>
              <w:rPr>
                <w:sz w:val="20"/>
                <w:szCs w:val="20"/>
                <w:color w:val="auto"/>
              </w:rPr>
            </w:pPr>
            <w:r>
              <w:rPr>
                <w:rFonts w:ascii="Arial" w:cs="Arial" w:eastAsia="Arial" w:hAnsi="Arial"/>
                <w:sz w:val="18"/>
                <w:szCs w:val="18"/>
                <w:b w:val="1"/>
                <w:bCs w:val="1"/>
                <w:color w:val="auto"/>
              </w:rPr>
              <w:t>March 29,</w:t>
            </w:r>
          </w:p>
        </w:tc>
        <w:tc>
          <w:tcPr>
            <w:tcW w:w="400" w:type="dxa"/>
            <w:vAlign w:val="bottom"/>
          </w:tcPr>
          <w:p>
            <w:pPr>
              <w:spacing w:after="0"/>
              <w:rPr>
                <w:sz w:val="17"/>
                <w:szCs w:val="17"/>
                <w:color w:val="auto"/>
              </w:rPr>
            </w:pPr>
          </w:p>
        </w:tc>
        <w:tc>
          <w:tcPr>
            <w:tcW w:w="14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7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15,396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14,673</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MFC</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7,501</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6,304</w:t>
            </w: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RMS</w:t>
            </w:r>
          </w:p>
        </w:tc>
        <w:tc>
          <w:tcPr>
            <w:tcW w:w="100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16,480</w:t>
            </w:r>
          </w:p>
        </w:tc>
        <w:tc>
          <w:tcPr>
            <w:tcW w:w="40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16,576</w:t>
            </w:r>
          </w:p>
        </w:tc>
      </w:tr>
      <w:tr>
        <w:trPr>
          <w:trHeight w:val="230"/>
        </w:trPr>
        <w:tc>
          <w:tcPr>
            <w:tcW w:w="7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1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7,822</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7,755</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business segment assets</w:t>
            </w:r>
          </w:p>
        </w:tc>
        <w:tc>
          <w:tcPr>
            <w:tcW w:w="100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47,199</w:t>
            </w:r>
          </w:p>
        </w:tc>
        <w:tc>
          <w:tcPr>
            <w:tcW w:w="40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45,308</w:t>
            </w:r>
          </w:p>
        </w:tc>
      </w:tr>
      <w:tr>
        <w:trPr>
          <w:trHeight w:val="230"/>
        </w:trPr>
        <w:tc>
          <w:tcPr>
            <w:tcW w:w="7200" w:type="dxa"/>
            <w:vAlign w:val="bottom"/>
            <w:tcBorders>
              <w:bottom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Corporate assets </w:t>
            </w:r>
            <w:r>
              <w:rPr>
                <w:rFonts w:ascii="Arial" w:cs="Arial" w:eastAsia="Arial" w:hAnsi="Arial"/>
                <w:sz w:val="23"/>
                <w:szCs w:val="23"/>
                <w:color w:val="auto"/>
                <w:vertAlign w:val="superscript"/>
              </w:rPr>
              <w:t>(a)</w:t>
            </w:r>
          </w:p>
        </w:tc>
        <w:tc>
          <w:tcPr>
            <w:tcW w:w="1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12,039</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14,532</w:t>
            </w:r>
          </w:p>
        </w:tc>
      </w:tr>
      <w:tr>
        <w:trPr>
          <w:trHeight w:val="230"/>
        </w:trPr>
        <w:tc>
          <w:tcPr>
            <w:tcW w:w="7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59,238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59,840</w:t>
            </w:r>
          </w:p>
        </w:tc>
      </w:tr>
    </w:tbl>
    <w:p>
      <w:pPr>
        <w:spacing w:after="0" w:line="134" w:lineRule="exact"/>
        <w:rPr>
          <w:sz w:val="20"/>
          <w:szCs w:val="20"/>
          <w:color w:val="auto"/>
        </w:rPr>
      </w:pPr>
    </w:p>
    <w:p>
      <w:pPr>
        <w:ind w:left="420" w:right="20" w:hanging="412"/>
        <w:spacing w:after="0" w:line="233" w:lineRule="auto"/>
        <w:tabs>
          <w:tab w:leader="none" w:pos="41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Corporate assets primarily include cash and cash equivalents, deferred income taxes, assets for the portion of environmental costs that are probable of future recovery, property, plant and equipment used in our corporate operations, assets held in a trust for deferred compensation plans, and other marketable investments.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0"/>
                <w:szCs w:val="20"/>
                <w:color w:val="auto"/>
              </w:rPr>
            </w:pPr>
            <w:r>
              <w:rPr>
                <w:rFonts w:ascii="Arial" w:cs="Arial" w:eastAsia="Arial" w:hAnsi="Arial"/>
                <w:sz w:val="18"/>
                <w:szCs w:val="18"/>
                <w:b w:val="1"/>
                <w:bCs w:val="1"/>
                <w:color w:val="auto"/>
              </w:rPr>
              <w:t>NOTE 4 - CONTRACT ASSETS AND LIABILITIES</w:t>
            </w:r>
          </w:p>
        </w:tc>
        <w:tc>
          <w:tcPr>
            <w:tcW w:w="25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384"/>
        </w:trPr>
        <w:tc>
          <w:tcPr>
            <w:tcW w:w="6840" w:type="dxa"/>
            <w:vAlign w:val="bottom"/>
          </w:tcPr>
          <w:p>
            <w:pPr>
              <w:ind w:left="420"/>
              <w:spacing w:after="0"/>
              <w:rPr>
                <w:sz w:val="20"/>
                <w:szCs w:val="20"/>
                <w:color w:val="auto"/>
              </w:rPr>
            </w:pPr>
            <w:r>
              <w:rPr>
                <w:rFonts w:ascii="Arial" w:cs="Arial" w:eastAsia="Arial" w:hAnsi="Arial"/>
                <w:sz w:val="18"/>
                <w:szCs w:val="18"/>
                <w:color w:val="auto"/>
              </w:rPr>
              <w:t>Contract assets and contract liabilities were as follows (in millions):</w:t>
            </w:r>
          </w:p>
        </w:tc>
        <w:tc>
          <w:tcPr>
            <w:tcW w:w="2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7"/>
        </w:trPr>
        <w:tc>
          <w:tcPr>
            <w:tcW w:w="6840" w:type="dxa"/>
            <w:vAlign w:val="bottom"/>
          </w:tcPr>
          <w:p>
            <w:pPr>
              <w:spacing w:after="0"/>
              <w:rPr>
                <w:sz w:val="17"/>
                <w:szCs w:val="17"/>
                <w:color w:val="auto"/>
              </w:rPr>
            </w:pPr>
          </w:p>
        </w:tc>
        <w:tc>
          <w:tcPr>
            <w:tcW w:w="256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29,</w:t>
            </w:r>
          </w:p>
        </w:tc>
        <w:tc>
          <w:tcPr>
            <w:tcW w:w="1820" w:type="dxa"/>
            <w:vAlign w:val="bottom"/>
          </w:tcPr>
          <w:p>
            <w:pPr>
              <w:jc w:val="right"/>
              <w:ind w:right="145"/>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68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820" w:type="dxa"/>
            <w:vAlign w:val="bottom"/>
            <w:tcBorders>
              <w:bottom w:val="single" w:sz="8" w:color="auto"/>
            </w:tcBorders>
          </w:tcPr>
          <w:p>
            <w:pPr>
              <w:jc w:val="right"/>
              <w:ind w:right="525"/>
              <w:spacing w:after="0"/>
              <w:rPr>
                <w:sz w:val="20"/>
                <w:szCs w:val="20"/>
                <w:color w:val="auto"/>
              </w:rPr>
            </w:pPr>
            <w:r>
              <w:rPr>
                <w:rFonts w:ascii="Arial" w:cs="Arial" w:eastAsia="Arial" w:hAnsi="Arial"/>
                <w:sz w:val="18"/>
                <w:szCs w:val="18"/>
                <w:b w:val="1"/>
                <w:bCs w:val="1"/>
                <w:color w:val="auto"/>
              </w:rPr>
              <w:t>2025</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    15,885</w:t>
            </w:r>
          </w:p>
        </w:tc>
        <w:tc>
          <w:tcPr>
            <w:tcW w:w="1820" w:type="dxa"/>
            <w:vAlign w:val="bottom"/>
            <w:shd w:val="clear" w:color="auto" w:fill="CCEEFF"/>
          </w:tcPr>
          <w:p>
            <w:pPr>
              <w:jc w:val="right"/>
              <w:ind w:right="485"/>
              <w:spacing w:after="0"/>
              <w:rPr>
                <w:sz w:val="20"/>
                <w:szCs w:val="20"/>
                <w:color w:val="auto"/>
              </w:rPr>
            </w:pPr>
            <w:r>
              <w:rPr>
                <w:rFonts w:ascii="Arial" w:cs="Arial" w:eastAsia="Arial" w:hAnsi="Arial"/>
                <w:sz w:val="18"/>
                <w:szCs w:val="18"/>
                <w:color w:val="auto"/>
              </w:rPr>
              <w:t>$13,001</w:t>
            </w:r>
          </w:p>
        </w:tc>
      </w:tr>
      <w:tr>
        <w:trPr>
          <w:trHeight w:val="237"/>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2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10,735</w:t>
            </w:r>
          </w:p>
        </w:tc>
        <w:tc>
          <w:tcPr>
            <w:tcW w:w="1820" w:type="dxa"/>
            <w:vAlign w:val="bottom"/>
            <w:tcBorders>
              <w:bottom w:val="single" w:sz="8" w:color="auto"/>
            </w:tcBorders>
          </w:tcPr>
          <w:p>
            <w:pPr>
              <w:jc w:val="right"/>
              <w:ind w:right="485"/>
              <w:spacing w:after="0"/>
              <w:rPr>
                <w:sz w:val="20"/>
                <w:szCs w:val="20"/>
                <w:color w:val="auto"/>
              </w:rPr>
            </w:pPr>
            <w:r>
              <w:rPr>
                <w:rFonts w:ascii="Arial" w:cs="Arial" w:eastAsia="Arial" w:hAnsi="Arial"/>
                <w:sz w:val="18"/>
                <w:szCs w:val="18"/>
                <w:color w:val="auto"/>
              </w:rPr>
              <w:t>11,440</w:t>
            </w:r>
          </w:p>
        </w:tc>
      </w:tr>
    </w:tbl>
    <w:p>
      <w:pPr>
        <w:spacing w:after="0" w:line="25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Contract assets include unbilled amounts typically resulting from sales under contracts when the percentage-of-completion cost-to-cost method of revenue recognition is utilized and revenue recognized exceeds the amount billed to the customer. These assets are primarily driven by the recognition of revenue related to the satisfaction or partial satisfaction of performance obligations for which we have not yet billed our customers. During the quarter ended March 29, 2026, contract assets increased $2.9 billion primarily due to the F-35 program at Aeronautics. There were no significant credit or impairment losses related to our contract assets during the quarters ended March 29, 2026 and March 30, 2025.</w:t>
      </w:r>
    </w:p>
    <w:p>
      <w:pPr>
        <w:spacing w:after="0" w:line="15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Contract liabilities include advance payments and billings in excess of revenue recognized. These liabilities decreased $705 million during the quarter ended March 29, 2026, primarily due to revenue recognized in excess of payments received on performance obligations (primarily for integrated air and missile defense programs at MFC). During the quarter ended March 29, 2026, we recognized $ 3.0 billion of our contract liabilities at December 31, 2025 as revenue. During the quarter ended March 30, 2025, we recognized $3.2 billion of our contract liabilities at December 31, 2024 as revenue.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8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2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97"/>
        </w:trPr>
        <w:tc>
          <w:tcPr>
            <w:tcW w:w="6180" w:type="dxa"/>
            <w:vAlign w:val="bottom"/>
          </w:tcPr>
          <w:p>
            <w:pPr>
              <w:ind w:left="460"/>
              <w:spacing w:after="0"/>
              <w:rPr>
                <w:sz w:val="20"/>
                <w:szCs w:val="20"/>
                <w:color w:val="auto"/>
              </w:rPr>
            </w:pPr>
            <w:r>
              <w:rPr>
                <w:rFonts w:ascii="Arial" w:cs="Arial" w:eastAsia="Arial" w:hAnsi="Arial"/>
                <w:sz w:val="18"/>
                <w:szCs w:val="18"/>
                <w:color w:val="auto"/>
              </w:rPr>
              <w:t>Inventories consisted of the following (in millions):</w:t>
            </w:r>
          </w:p>
        </w:tc>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8"/>
        </w:trPr>
        <w:tc>
          <w:tcPr>
            <w:tcW w:w="6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0" w:type="dxa"/>
            <w:vAlign w:val="bottom"/>
          </w:tcPr>
          <w:p>
            <w:pPr>
              <w:jc w:val="right"/>
              <w:ind w:right="150"/>
              <w:spacing w:after="0" w:line="199" w:lineRule="exact"/>
              <w:rPr>
                <w:sz w:val="20"/>
                <w:szCs w:val="20"/>
                <w:color w:val="auto"/>
              </w:rPr>
            </w:pPr>
            <w:r>
              <w:rPr>
                <w:rFonts w:ascii="Arial" w:cs="Arial" w:eastAsia="Arial" w:hAnsi="Arial"/>
                <w:sz w:val="18"/>
                <w:szCs w:val="18"/>
                <w:b w:val="1"/>
                <w:bCs w:val="1"/>
                <w:color w:val="auto"/>
              </w:rPr>
              <w:t>March 29,</w:t>
            </w:r>
          </w:p>
        </w:tc>
        <w:tc>
          <w:tcPr>
            <w:tcW w:w="400" w:type="dxa"/>
            <w:vAlign w:val="bottom"/>
          </w:tcPr>
          <w:p>
            <w:pPr>
              <w:spacing w:after="0"/>
              <w:rPr>
                <w:sz w:val="17"/>
                <w:szCs w:val="17"/>
                <w:color w:val="auto"/>
              </w:rPr>
            </w:pPr>
          </w:p>
        </w:tc>
        <w:tc>
          <w:tcPr>
            <w:tcW w:w="14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spares and supplies</w:t>
            </w:r>
          </w:p>
        </w:tc>
        <w:tc>
          <w:tcPr>
            <w:tcW w:w="2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665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659</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2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3,388</w:t>
            </w:r>
          </w:p>
        </w:tc>
        <w:tc>
          <w:tcPr>
            <w:tcW w:w="40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2,667</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198</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198</w:t>
            </w:r>
          </w:p>
        </w:tc>
      </w:tr>
      <w:tr>
        <w:trPr>
          <w:trHeight w:val="230"/>
        </w:trPr>
        <w:tc>
          <w:tcPr>
            <w:tcW w:w="6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inventories</w:t>
            </w:r>
          </w:p>
        </w:tc>
        <w:tc>
          <w:tcPr>
            <w:tcW w:w="2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4,251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3,524</w:t>
            </w:r>
          </w:p>
        </w:tc>
      </w:tr>
    </w:tbl>
    <w:p>
      <w:pPr>
        <w:spacing w:after="0" w:line="2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determine that the contract award is probable, the costs generate or enhance resources that will be used in satisfying performance obligations, and the costs are recoverable (referred to as pre-contract costs). These advance procurement costs are generally incurred in order to enhance our ability to achieve schedule and certain customer milestones. Pre-contract costs that are initially capitalized in inventory are eventually generally recognized as operating costs consistent with the transfer of products and services to the customer upon the receipt of the anticipated contract. All other pre-contract costs, including start-up costs, are expensed as incurred. As of March 29, 2026 and December 31, 2025, $1.9 billion and $1.5 billion of pre-contract costs (primarily the F-35 program and classified contracts at Aeronautics and Sikorsky programs at RMS) were included in work-in-process inventories.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RETIREMENT BENEFITS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pretax FAS pension expense related to our qualified defined benefit pension plans consisted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March 29,</w:t>
            </w:r>
          </w:p>
        </w:tc>
        <w:tc>
          <w:tcPr>
            <w:tcW w:w="480" w:type="dxa"/>
            <w:vAlign w:val="bottom"/>
          </w:tcPr>
          <w:p>
            <w:pPr>
              <w:spacing w:after="0"/>
              <w:rPr>
                <w:sz w:val="15"/>
                <w:szCs w:val="15"/>
                <w:color w:val="auto"/>
              </w:rPr>
            </w:pPr>
          </w:p>
        </w:tc>
        <w:tc>
          <w:tcPr>
            <w:tcW w:w="132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March 30,</w:t>
            </w:r>
          </w:p>
        </w:tc>
      </w:tr>
      <w:tr>
        <w:trPr>
          <w:trHeight w:val="235"/>
        </w:trPr>
        <w:tc>
          <w:tcPr>
            <w:tcW w:w="7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Qualified defined benefit pension plans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Non-operating:</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(347)</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(368)</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354</w:t>
            </w:r>
          </w:p>
        </w:tc>
        <w:tc>
          <w:tcPr>
            <w:tcW w:w="4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360</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actuarial losses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(80)</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(78)</w:t>
            </w:r>
          </w:p>
        </w:tc>
      </w:tr>
      <w:tr>
        <w:trPr>
          <w:trHeight w:val="229"/>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w:t>
            </w:r>
          </w:p>
        </w:tc>
      </w:tr>
      <w:tr>
        <w:trPr>
          <w:trHeight w:val="223"/>
        </w:trPr>
        <w:tc>
          <w:tcPr>
            <w:tcW w:w="7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Non-service FAS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(80)</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(98)</w:t>
            </w:r>
          </w:p>
        </w:tc>
      </w:tr>
      <w:tr>
        <w:trPr>
          <w:trHeight w:val="230"/>
        </w:trPr>
        <w:tc>
          <w:tcPr>
            <w:tcW w:w="79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FAS pension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(92)</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(111)</w:t>
            </w:r>
          </w:p>
        </w:tc>
      </w:tr>
    </w:tbl>
    <w:p>
      <w:pPr>
        <w:spacing w:after="0" w:line="23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record the service cost component of FAS pension expense for our qualified defined benefit pension plans in consolidated operating profit and the non-service components in non-service FAS pension expense on our consolidated statements of earnings.</w:t>
      </w:r>
    </w:p>
    <w:p>
      <w:pPr>
        <w:spacing w:after="0" w:line="126" w:lineRule="exact"/>
        <w:rPr>
          <w:sz w:val="20"/>
          <w:szCs w:val="20"/>
          <w:color w:val="auto"/>
        </w:rPr>
      </w:pPr>
    </w:p>
    <w:p>
      <w:pPr>
        <w:jc w:val="both"/>
        <w:ind w:right="40" w:firstLine="405"/>
        <w:spacing w:after="0" w:line="287" w:lineRule="auto"/>
        <w:rPr>
          <w:sz w:val="20"/>
          <w:szCs w:val="20"/>
          <w:color w:val="auto"/>
        </w:rPr>
      </w:pPr>
      <w:r>
        <w:rPr>
          <w:rFonts w:ascii="Arial" w:cs="Arial" w:eastAsia="Arial" w:hAnsi="Arial"/>
          <w:sz w:val="18"/>
          <w:szCs w:val="18"/>
          <w:color w:val="auto"/>
        </w:rPr>
        <w:t>Total FAS income for our other retirement benefit plans was not material during the quarters ended March 29, 2026 and March 30, 2025 and is part of other non-operating income, net on our consolidated statements of earnings.</w:t>
      </w:r>
    </w:p>
    <w:p>
      <w:pPr>
        <w:spacing w:after="0" w:line="112"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color w:val="auto"/>
        </w:rPr>
        <w:t>The required funding of our qualified defined benefit pension plans is determined in accordance with the Employee Retirement Income Security Act of 1974 (ERISA), as amended, along with consideration of CAS and Internal Revenue Code rules. We made no contributions to our qualified defined benefit pension plans during the quarters ended 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LEGAL PROCEEDINGS AND CONTINGENCIES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we cannot predict the outcome of legal or other proceedings with certainty, where there is at least a reasonable possibility that a loss may be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or environmental matters, a reasonably possible loss or range of loss associated with any individual proceeding or matter cannot be estimated.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including matters arising under federal, state, local and foreign requirements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do not believe that these matters, including the legal proceedings described below, will have a material adverse effect on the company as a whole, notwithstanding that the unfavorable resolution of any matter may have a material effect on our net earnings and cash flows in the period in which it is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Securities-Related Actions</w:t>
      </w:r>
    </w:p>
    <w:p>
      <w:pPr>
        <w:spacing w:after="0" w:line="183"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On July 28, 2025, a putative class action was filed—and subsequently amended on January 12, 2026—in United States District Court for the Southern District of New York against us and certain current and former members of our senior management. The shareholder plaintiffs assert claims under Sections 10(b) and 20(a) of the Securities Exchange Act of 1934 (Exchange Act), on behalf of persons and entities that purchased or otherwise acquired our securities between January 23, 2024 and July 21, 2025. Plaintiffs seek unspecified losses allegedly caused by alleged misstatements about certain classified programs in the Aeronautics and MFC business segments and F-35 program, which were allegedly revealed to be false when we announced estimated losses relating to certain of those programs. In addition, based on allegations substantially similar to the above-described securities class action, on September 11, 2025, a shareholder derivative complaint was filed in the United States District Court for the District of Maryland against current and former members of our Board of Directors and senior management. We are named as a nominal defendant. The derivative complaint asserts claims under Sections 14(a), 20(a), and 10(b) of the Exchange Act, as well as claims for breach of fiduciary duty, abuse of control, gross mismanagement, corporate waste, unjust enrichment, and contribution. Based on the information available to date, we do not believe that these matters will have a material adverse effect on our results of operations, financial condition, or liquidity.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Lockheed Martin v. Metropolitan Transportation Authority</w:t>
      </w:r>
    </w:p>
    <w:p>
      <w:pPr>
        <w:spacing w:after="0" w:line="18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 -week bench trial and the filing of post-trial pleadings by the parties. We continue to await a decision from the District Court. Although this matter relates to our former Information Systems &amp; Global Solutions business (IS&amp;GS), we retained responsibility for the litigation when we divested IS&amp;GS in 2016.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8"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other facilities for which we may have contractual responsibility, and at third-party sites where we have been designated as a potentially responsible party (PRP). These proceedings could result in fines, penalties, cost reimbursements or contributions, compensatory or treble damages or non-monetary sanctions or relief.</w:t>
      </w:r>
    </w:p>
    <w:p>
      <w:pPr>
        <w:spacing w:after="0" w:line="139"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At March 29, 2026 and December 31, 2025, the aggregate amount of liabilities recorded for environmental remediation matters was $656 million and $659 million, most of which are recorded in other noncurrent liabilities on our consolidated balance sheets. We have recorded assets for the portion of environmental costs that are probable of future recovery totaling $602 million and $605 million at March 29, 2026 and December 31, 2025, most of which are recorded in other noncurrent assets on our consolidated balance sheets.</w:t>
      </w:r>
    </w:p>
    <w:p>
      <w:pPr>
        <w:spacing w:after="0" w:line="13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continue to pursue claims against other PRPs, including the U.S. Government, for recovery of costs incurred or for contribution to site remediation costs, and are conducting remediation activities under various consent decrees, orders, and agreements relating to soil, groundwater, sediment, or surface water contamination at certain sites of former or current operations. Under certain of these agreements, the U.S. Government and/or a private parties reimburse us an amount equal to a percentage, specific to each site, of expenditures for certain remediation activities in their capacity as PRPs under the Comprehensive Environmental Response, Compensation and Liability Act (CERCLA).</w:t>
      </w:r>
    </w:p>
    <w:p>
      <w:pPr>
        <w:spacing w:after="0" w:line="155"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timing and extent of remediation costs remain uncertain. New site-specific information or changes in federal or state regulation could increase current liability and recoverable asset estimates. We perform quarterly reviews of these liabilities and receivables, projecting costs, and recoveries over a period of approximately 20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185"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$3.3 billion and $3.5 billion at March 29, 2026 and December 31, 2025.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us, whether relating to U.S. Government contracts or conducted for other reasons, could result in civil or criminal penalties and administrative sanctions, including reductions of the value of contracts, contract modifications or terminations, forfeiture of profits, suspension of payments, repayments, fines or penalties being imposed upon us, suspension, proposed debarment, debarment from eligibility for future U.S. Government contracting, or suspension of export privileges. Reductions of the value of contracts, contract modifications or terminations, forfeiture of profits, suspension of payments, repayments, fines and penalties could have a material impact on financial condition and results of operations in any particular reporting period, and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49" w:lineRule="exact"/>
        <w:rPr>
          <w:sz w:val="20"/>
          <w:szCs w:val="20"/>
          <w:color w:val="auto"/>
        </w:rPr>
      </w:pPr>
    </w:p>
    <w:p>
      <w:pPr>
        <w:ind w:right="40" w:firstLine="445"/>
        <w:spacing w:after="0" w:line="282" w:lineRule="auto"/>
        <w:rPr>
          <w:sz w:val="20"/>
          <w:szCs w:val="20"/>
          <w:color w:val="auto"/>
        </w:rPr>
      </w:pPr>
      <w:r>
        <w:rPr>
          <w:rFonts w:ascii="Arial" w:cs="Arial" w:eastAsia="Arial" w:hAnsi="Arial"/>
          <w:sz w:val="17"/>
          <w:szCs w:val="17"/>
          <w:color w:val="auto"/>
        </w:rPr>
        <w:t>Additionally, 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60" w:type="dxa"/>
            <w:vAlign w:val="bottom"/>
          </w:tcPr>
          <w:p>
            <w:pPr>
              <w:spacing w:after="0"/>
              <w:rPr>
                <w:sz w:val="20"/>
                <w:szCs w:val="20"/>
                <w:color w:val="auto"/>
              </w:rPr>
            </w:pPr>
            <w:r>
              <w:rPr>
                <w:rFonts w:ascii="Arial" w:cs="Arial" w:eastAsia="Arial" w:hAnsi="Arial"/>
                <w:sz w:val="18"/>
                <w:szCs w:val="18"/>
                <w:b w:val="1"/>
                <w:bCs w:val="1"/>
                <w:color w:val="auto"/>
              </w:rPr>
              <w:t>NOTE 8 - FAIR VALUE MEASUREMENTS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7"/>
        </w:trPr>
        <w:tc>
          <w:tcPr>
            <w:tcW w:w="10020" w:type="dxa"/>
            <w:vAlign w:val="bottom"/>
            <w:gridSpan w:val="11"/>
          </w:tcPr>
          <w:p>
            <w:pPr>
              <w:ind w:left="460"/>
              <w:spacing w:after="0"/>
              <w:rPr>
                <w:sz w:val="20"/>
                <w:szCs w:val="20"/>
                <w:color w:val="auto"/>
              </w:rPr>
            </w:pPr>
            <w:r>
              <w:rPr>
                <w:rFonts w:ascii="Arial" w:cs="Arial" w:eastAsia="Arial" w:hAnsi="Arial"/>
                <w:sz w:val="18"/>
                <w:szCs w:val="18"/>
                <w:color w:val="auto"/>
              </w:rPr>
              <w:t>Assets and liabilities measured and recorded at fair value on a recurring basis consisted of the following (in millions):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5"/>
        </w:trPr>
        <w:tc>
          <w:tcPr>
            <w:tcW w:w="4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29, 2026</w:t>
            </w: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4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1,056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342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339</w:t>
            </w: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7"/>
        </w:trPr>
        <w:tc>
          <w:tcPr>
            <w:tcW w:w="4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r>
    </w:tbl>
    <w:p>
      <w:pPr>
        <w:spacing w:after="0" w:line="238"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Substantially all assets measured at fair value, other than derivatives, represent assets held in a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00" w:lineRule="exact"/>
        <w:rPr>
          <w:sz w:val="20"/>
          <w:szCs w:val="20"/>
          <w:color w:val="auto"/>
        </w:rPr>
      </w:pPr>
    </w:p>
    <w:p>
      <w:pPr>
        <w:ind w:right="120" w:firstLine="405"/>
        <w:spacing w:after="0" w:line="246" w:lineRule="auto"/>
        <w:rPr>
          <w:sz w:val="20"/>
          <w:szCs w:val="20"/>
          <w:color w:val="auto"/>
        </w:rPr>
      </w:pPr>
      <w:r>
        <w:rPr>
          <w:rFonts w:ascii="Arial" w:cs="Arial" w:eastAsia="Arial" w:hAnsi="Arial"/>
          <w:sz w:val="18"/>
          <w:szCs w:val="18"/>
          <w:color w:val="auto"/>
        </w:rPr>
        <w:t>We also make investments in companies that we believe are advancing or developing new technologies applicable to our business. These investments are primarily in early-stage companies and may be in the form of common or preferred stock, warrants, convertible debt securities, investments in funds or other investments. Most of these investments are in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 $736 million and $669 million at March 29, 2026 and December 31, 2025. Net gains or losses recorded due to adjustments in valuation and/or sales of investments were not material for the quarters ended March 29, 2026 and March 30, 2025.</w:t>
      </w:r>
    </w:p>
    <w:p>
      <w:pPr>
        <w:spacing w:after="0" w:line="148" w:lineRule="exact"/>
        <w:rPr>
          <w:sz w:val="20"/>
          <w:szCs w:val="20"/>
          <w:color w:val="auto"/>
        </w:rPr>
      </w:pPr>
    </w:p>
    <w:p>
      <w:pPr>
        <w:ind w:right="40" w:firstLine="405"/>
        <w:spacing w:after="0" w:line="243" w:lineRule="auto"/>
        <w:rPr>
          <w:sz w:val="20"/>
          <w:szCs w:val="20"/>
          <w:color w:val="auto"/>
        </w:rPr>
      </w:pPr>
      <w:r>
        <w:rPr>
          <w:rFonts w:ascii="Arial" w:cs="Arial" w:eastAsia="Arial" w:hAnsi="Arial"/>
          <w:sz w:val="18"/>
          <w:szCs w:val="18"/>
          <w:color w:val="auto"/>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auto"/>
        </w:rPr>
        <w:t>The aggregate notional amount of our outstanding interest rate swaps was $1.3 billion at both March 29, 2026 and December 31, 2025. The aggregate notional amount of our outstanding foreign currency hedges was $7.3 billion and $7.2 billion at March 29, 2026 and December 31, 2025. The fair values of our outstanding interest rate swaps and foreign currency hedges at March 29, 2026 and December 31, 2025 were not significant. Derivative instruments did not have a material impact on net earnings and comprehensive income during the quarters ended March 29, 2026 and March 30, 2025. The impact of derivative instruments on our consolidated statements of cash flows is included in net cash provided by operating activities. Substantially all of our derivatives are designated for hedge accounting.</w:t>
      </w:r>
    </w:p>
    <w:p>
      <w:pPr>
        <w:spacing w:after="0" w:line="148" w:lineRule="exact"/>
        <w:rPr>
          <w:sz w:val="20"/>
          <w:szCs w:val="20"/>
          <w:color w:val="auto"/>
        </w:rPr>
      </w:pPr>
    </w:p>
    <w:p>
      <w:pPr>
        <w:ind w:right="220" w:firstLine="445"/>
        <w:spacing w:after="0" w:line="255" w:lineRule="auto"/>
        <w:rPr>
          <w:sz w:val="20"/>
          <w:szCs w:val="20"/>
          <w:color w:val="auto"/>
        </w:rPr>
      </w:pPr>
      <w:r>
        <w:rPr>
          <w:rFonts w:ascii="Arial" w:cs="Arial" w:eastAsia="Arial" w:hAnsi="Arial"/>
          <w:sz w:val="18"/>
          <w:szCs w:val="18"/>
          <w:color w:val="auto"/>
        </w:rPr>
        <w:t>In addition to the financial instruments listed in the table above, we hold other financial instruments, including cash and cash equivalents, receivables, accounts payable, commercial paper and debt. The carrying amounts for cash and cash equivalents, receivables and accounts payable approximated their fair values. The estimated fair value of our outstanding debt was $20.4 billion and $22.0 billion at March 29, 2026 and December 31, 2025. The outstanding principal amount of debt, including short-term and long-term debt, was</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$21.9 billion and $22.9 billion at March 29, 2026 and December 31, 2025, excluding $1.2 billion of unamortized discounts and issuance costs at both March 29, 2026 and December 31, 2025. The estimated fair values of our outstanding debt were determined based on the present value of future cash flows using model-derived valuations that use observable inputs such as interest rates and credit spreads (Level 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8" w:lineRule="exact"/>
        <w:rPr>
          <w:sz w:val="20"/>
          <w:szCs w:val="20"/>
          <w:color w:val="auto"/>
        </w:rPr>
      </w:pPr>
    </w:p>
    <w:p>
      <w:pPr>
        <w:ind w:right="460" w:firstLine="445"/>
        <w:spacing w:after="0" w:line="262" w:lineRule="auto"/>
        <w:rPr>
          <w:sz w:val="20"/>
          <w:szCs w:val="20"/>
          <w:color w:val="auto"/>
        </w:rPr>
      </w:pPr>
      <w:r>
        <w:rPr>
          <w:rFonts w:ascii="Arial" w:cs="Arial" w:eastAsia="Arial" w:hAnsi="Arial"/>
          <w:sz w:val="18"/>
          <w:szCs w:val="18"/>
          <w:color w:val="auto"/>
        </w:rPr>
        <w:t>We paid cash dividends of $816 million ($3.45 per share) during the quarter ended March 29, 2026. The total amount of dividends declared may differ from the total amount of dividends paid during a period due to the timing of dividend-equivalents paid on RSUs and PSUs. These dividend-equivalents are accrued during the vesting period and are paid upon the vesting of the RSUs and PSUs, which primarily occurs in the first quarter each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 (AOCL)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balance of AOCL, net of tax, consisted of the following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Retirement</w:t>
            </w:r>
          </w:p>
        </w:tc>
        <w:tc>
          <w:tcPr>
            <w:tcW w:w="200" w:type="dxa"/>
            <w:vAlign w:val="bottom"/>
          </w:tcPr>
          <w:p>
            <w:pPr>
              <w:spacing w:after="0"/>
              <w:rPr>
                <w:sz w:val="18"/>
                <w:szCs w:val="18"/>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Other, net</w:t>
            </w:r>
          </w:p>
        </w:tc>
        <w:tc>
          <w:tcPr>
            <w:tcW w:w="300" w:type="dxa"/>
            <w:vAlign w:val="bottom"/>
          </w:tcPr>
          <w:p>
            <w:pPr>
              <w:spacing w:after="0"/>
              <w:rPr>
                <w:sz w:val="18"/>
                <w:szCs w:val="18"/>
                <w:color w:val="auto"/>
              </w:rPr>
            </w:pPr>
          </w:p>
        </w:tc>
        <w:tc>
          <w:tcPr>
            <w:tcW w:w="1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AOCL</w:t>
            </w:r>
          </w:p>
        </w:tc>
        <w:tc>
          <w:tcPr>
            <w:tcW w:w="0" w:type="dxa"/>
            <w:vAlign w:val="bottom"/>
          </w:tcPr>
          <w:p>
            <w:pPr>
              <w:spacing w:after="0"/>
              <w:rPr>
                <w:sz w:val="1"/>
                <w:szCs w:val="1"/>
                <w:color w:val="auto"/>
              </w:rPr>
            </w:pPr>
          </w:p>
        </w:tc>
      </w:tr>
      <w:tr>
        <w:trPr>
          <w:trHeight w:val="235"/>
        </w:trPr>
        <w:tc>
          <w:tcPr>
            <w:tcW w:w="6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Benefits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(7,542)</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102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AOCL</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Amortization of net actuarial losses and prior service costs </w:t>
            </w:r>
            <w:r>
              <w:rPr>
                <w:rFonts w:ascii="Arial" w:cs="Arial" w:eastAsia="Arial" w:hAnsi="Arial"/>
                <w:sz w:val="23"/>
                <w:szCs w:val="23"/>
                <w:color w:val="auto"/>
                <w:vertAlign w:val="superscript"/>
              </w:rPr>
              <w:t>(a)</w:t>
            </w:r>
          </w:p>
        </w:tc>
        <w:tc>
          <w:tcPr>
            <w:tcW w:w="102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reclassified from AOCL</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62</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March 29, 2026</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(7,496)</w:t>
            </w: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Amounts reclassified from AOCL</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Amortization of net actuarial losses and prior service costs </w:t>
            </w:r>
            <w:r>
              <w:rPr>
                <w:rFonts w:ascii="Arial" w:cs="Arial" w:eastAsia="Arial" w:hAnsi="Arial"/>
                <w:sz w:val="23"/>
                <w:szCs w:val="23"/>
                <w:color w:val="auto"/>
                <w:vertAlign w:val="superscript"/>
              </w:rPr>
              <w:t>(a)</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reclassified from AOCL</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other comprehensive income</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30, 2025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1"/>
          <w:szCs w:val="11"/>
          <w:color w:val="auto"/>
        </w:rPr>
      </w:pPr>
      <w:r>
        <w:rPr>
          <w:rFonts w:ascii="Arial" w:cs="Arial" w:eastAsia="Arial" w:hAnsi="Arial"/>
          <w:sz w:val="18"/>
          <w:szCs w:val="18"/>
          <w:color w:val="auto"/>
        </w:rPr>
        <w:t>Reclassifications from AOCL related to retirement benefits were recorded as a component of FAS expense for each period presented.</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84" w:lineRule="exact"/>
        <w:rPr>
          <w:rFonts w:ascii="Arial" w:cs="Arial" w:eastAsia="Arial" w:hAnsi="Arial"/>
          <w:sz w:val="11"/>
          <w:szCs w:val="11"/>
          <w:color w:val="auto"/>
        </w:rPr>
      </w:pPr>
    </w:p>
    <w:p>
      <w:pPr>
        <w:ind w:left="5520"/>
        <w:spacing w:after="0"/>
        <w:rPr>
          <w:rFonts w:ascii="Arial" w:cs="Arial" w:eastAsia="Arial" w:hAnsi="Arial"/>
          <w:sz w:val="11"/>
          <w:szCs w:val="11"/>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Estimates</w:t>
      </w:r>
    </w:p>
    <w:p>
      <w:pPr>
        <w:spacing w:after="0" w:line="18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We generate sales from long-term contracts for the research, design, development, manufacture, integration and sustainment of advanced technology systems, products and services.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spacing w:after="0" w:line="142"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Significant judgments and assumptions are made in estimating contract sales, costs, and profit. We estimate profit as the difference between total estimated sales and total estimated costs to complete the contract and recognize profit as costs are incurred (over time sales recognition) or when the customer accepts the product or service (point in time sales recognition). 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sales recognized will not occur when the uncertainty associated with the variable consideration is subsequently resolved. We also estimate variable consideration as the most likely amount, which we expect to be entitled. Contract costs include significant estimates related to labor, subcontractors, materials, overhead, general and administrative expenses, and costs to fulfill our industrial cooperation agreements, sometimes referred to as offset or localization agreements, required under certain contracts with international customers. Significant estimates related to costs include, but are not limited to, the complexity and scope of the work to be performed, labor productivity and availability, labor rates including terms of collective bargaining arrangements, execution by our subcontractors, the availability and cost of materials including any impact from changing costs or inflation, the length of time to complete the performance obligation, overhead and general and administrative cost rates, and estimated useful lives of components and assets, among others. In particular, fixed-price development programs involve significant management judgment, as development contracts by nature have elements that have not been done before and thus, are highly subject to future unexpected changes in estimates as described below.</w:t>
      </w:r>
    </w:p>
    <w:p>
      <w:pPr>
        <w:spacing w:after="0" w:line="15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 developed product versus a mature product), the schedule and associated tasks (e.g., the number and type of milestone events) and costs (e.g., labor, subcontractors, materials, overhead, general and administrative expenses, and offset or localization agreements). The initial profit booking rate of each contract considers risks surrounding the ability to achieve the technical requirements, schedule and costs in the initial estimated total costs to complete the contract. We review our estimates related to sales, cost, and profit for each contract at least annually or when a change in circumstances warrants a modification to a previous estimate. For significant contracts, we review our estimates more frequently. As part of this process, management reviews information including, but not limited to, any outstanding key contract matters, progress towards completion and the related program schedule, identified risks and opportunities, and the related changes in estimates of revenues and costs. Profit booking rates may increase during the performance of the contract if we successfully retire risks related to earning variable consideration and/or the technical, schedule and cost aspects of the contract, which decreases the estimated total costs to complete the contract or may increase the variable consideration we expect to receive on the contract, which we refer to as favorable profit booking rate adjustments. Conversely, our profit booking rates may decrease if the estimated total costs to complete the contract increase or our estimates of variable consideration we expect to receive decrease, which we refer to as unfavorable profit booking rate adjustments.</w:t>
      </w:r>
    </w:p>
    <w:p>
      <w:pPr>
        <w:spacing w:after="0" w:line="143"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profit booking rate adjustments represent the cumulative effect of the changes on current and prior periods; sales and operating margins in future periods are recognized as if the revised estimates had been used since contract inception. Profit booking rate adjustments can have a significant effect on our financial statements and affect the comparability of our segment sales, operating profit and operating margin. Segment operating profit and margin can also be impacted favorably or unfavorably by, for example, certain items such as the positive resolution of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matters, cost recoveries on severance and restructuring, insurance recoveries and gains on sales of assets, as well as unfavorable items including the adverse resolution of contractual matters, supply chain disruptions, restructuring charges (except for significant severance actions, which are excluded from segment operating results), reserves for disputes, certain asset impairments, and losses on sales of certain assets.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effect of profit booking rate adjustments on our financial results (in millions,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March 29,</w:t>
            </w:r>
          </w:p>
        </w:tc>
        <w:tc>
          <w:tcPr>
            <w:tcW w:w="560" w:type="dxa"/>
            <w:vAlign w:val="bottom"/>
          </w:tcPr>
          <w:p>
            <w:pPr>
              <w:spacing w:after="0"/>
              <w:rPr>
                <w:sz w:val="14"/>
                <w:szCs w:val="14"/>
                <w:color w:val="auto"/>
              </w:rPr>
            </w:pPr>
          </w:p>
        </w:tc>
        <w:tc>
          <w:tcPr>
            <w:tcW w:w="15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r>
      <w:tr>
        <w:trPr>
          <w:trHeight w:val="223"/>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216</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496</w:t>
            </w:r>
          </w:p>
        </w:tc>
      </w:tr>
      <w:tr>
        <w:trPr>
          <w:trHeight w:val="230"/>
        </w:trPr>
        <w:tc>
          <w:tcPr>
            <w:tcW w:w="7520" w:type="dxa"/>
            <w:vAlign w:val="bottom"/>
          </w:tcPr>
          <w:p>
            <w:pPr>
              <w:ind w:left="40"/>
              <w:spacing w:after="0"/>
              <w:rPr>
                <w:sz w:val="20"/>
                <w:szCs w:val="20"/>
                <w:color w:val="auto"/>
              </w:rPr>
            </w:pPr>
            <w:r>
              <w:rPr>
                <w:rFonts w:ascii="Arial" w:cs="Arial" w:eastAsia="Arial" w:hAnsi="Arial"/>
                <w:sz w:val="18"/>
                <w:szCs w:val="18"/>
                <w:color w:val="auto"/>
              </w:rPr>
              <w:t>Segment operating profit</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215</w:t>
            </w:r>
          </w:p>
        </w:tc>
        <w:tc>
          <w:tcPr>
            <w:tcW w:w="56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480</w:t>
            </w:r>
          </w:p>
        </w:tc>
      </w:tr>
      <w:tr>
        <w:trPr>
          <w:trHeight w:val="229"/>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segment operating profit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12 %</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23 %</w:t>
            </w:r>
          </w:p>
        </w:tc>
      </w:tr>
      <w:tr>
        <w:trPr>
          <w:trHeight w:val="229"/>
        </w:trPr>
        <w:tc>
          <w:tcPr>
            <w:tcW w:w="75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170</w:t>
            </w:r>
          </w:p>
        </w:tc>
        <w:tc>
          <w:tcPr>
            <w:tcW w:w="56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379</w:t>
            </w:r>
          </w:p>
        </w:tc>
      </w:tr>
      <w:tr>
        <w:trPr>
          <w:trHeight w:val="237"/>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0.74</w:t>
            </w:r>
          </w:p>
        </w:tc>
        <w:tc>
          <w:tcPr>
            <w:tcW w:w="5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1.61</w:t>
            </w:r>
          </w:p>
        </w:tc>
      </w:tr>
    </w:tbl>
    <w:p>
      <w:pPr>
        <w:spacing w:after="0" w:line="251" w:lineRule="exact"/>
        <w:rPr>
          <w:sz w:val="20"/>
          <w:szCs w:val="20"/>
          <w:color w:val="auto"/>
        </w:rPr>
      </w:pPr>
    </w:p>
    <w:p>
      <w:pPr>
        <w:ind w:right="200" w:firstLine="405"/>
        <w:spacing w:after="0" w:line="278" w:lineRule="auto"/>
        <w:rPr>
          <w:sz w:val="20"/>
          <w:szCs w:val="20"/>
          <w:color w:val="auto"/>
        </w:rPr>
      </w:pPr>
      <w:r>
        <w:rPr>
          <w:rFonts w:ascii="Arial" w:cs="Arial" w:eastAsia="Arial" w:hAnsi="Arial"/>
          <w:sz w:val="17"/>
          <w:szCs w:val="17"/>
          <w:color w:val="auto"/>
        </w:rPr>
        <w:t>During the quarter ended March 29, 2026, we recorded unfavorable profit adjustments of $125 million on the F-16 program as a result of production performance and development delays, $ 85 million on the C-130 program as a result of continued diminishing manufacturing source integration challenges and associated delivery delays, and $130 million of favorable profit adjustment on the F-35 program. During the quarter ended March 30, 2025, we recorded $185 million of adjustments resulting from favorable performance upon completion on certain commercial civil space programs at our Space business segment and a classified program at our Aeronautics business segment.</w:t>
      </w:r>
    </w:p>
    <w:p>
      <w:pPr>
        <w:spacing w:after="0" w:line="12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 However, some of our existing development programs are contracted on a fixed-price basis or include cost-type contracting for the development phase with fixed-price production options and our customers continue to implement procurement strategies such as these that shift risk to contractors. Competitively bid programs with fixed-price development work or fixed-price production options increase the risk of a reach-forward loss upon contract award and during the period of 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results in any period that they are recognized. Any such losses are recognized in the period in which the loss is evident.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Aeronautics Classified Program</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experienced significant performance issues on an existing classified program at our Aeronautics business segment. The initial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phase is on a fixed-price incentive fee contract with fixed-price incentive fee options for additional phases. Phases within the program involve</w:t>
      </w:r>
    </w:p>
    <w:p>
      <w:pPr>
        <w:spacing w:after="0" w:line="234" w:lineRule="auto"/>
        <w:rPr>
          <w:sz w:val="20"/>
          <w:szCs w:val="20"/>
          <w:color w:val="auto"/>
        </w:rPr>
      </w:pPr>
      <w:r>
        <w:rPr>
          <w:rFonts w:ascii="Arial" w:cs="Arial" w:eastAsia="Arial" w:hAnsi="Arial"/>
          <w:sz w:val="18"/>
          <w:szCs w:val="18"/>
          <w:color w:val="auto"/>
        </w:rPr>
        <w:t>highly complex design and systems integration. Challenges and performance issues continued into 2025 and had a greater impact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schedule and costs than previously estimated. There were also new, unanticipated events that occurred in 2025 that impacted the program’s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performance, as described below. As a result of performance issues with the program, Aeronautics performed a comprehensive review of its</w:t>
      </w:r>
    </w:p>
    <w:p>
      <w:pPr>
        <w:spacing w:after="0" w:line="234" w:lineRule="auto"/>
        <w:rPr>
          <w:sz w:val="20"/>
          <w:szCs w:val="20"/>
          <w:color w:val="auto"/>
        </w:rPr>
      </w:pPr>
      <w:r>
        <w:rPr>
          <w:rFonts w:ascii="Arial" w:cs="Arial" w:eastAsia="Arial" w:hAnsi="Arial"/>
          <w:sz w:val="18"/>
          <w:szCs w:val="18"/>
          <w:color w:val="auto"/>
        </w:rPr>
        <w:t>design, integration, test, and other processes to achieve the technical requirements of the program, which was completed in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of 2025. The events that occurred in 2025, and the comprehensive review completed in the second quarter of 2025, resulted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program’s processes and testing approach and led to an extension of the program’s schedule, which drove a</w:t>
      </w:r>
    </w:p>
    <w:p>
      <w:pPr>
        <w:spacing w:after="0" w:line="234" w:lineRule="auto"/>
        <w:rPr>
          <w:sz w:val="20"/>
          <w:szCs w:val="20"/>
          <w:color w:val="auto"/>
        </w:rPr>
      </w:pPr>
      <w:r>
        <w:rPr>
          <w:rFonts w:ascii="Arial" w:cs="Arial" w:eastAsia="Arial" w:hAnsi="Arial"/>
          <w:sz w:val="18"/>
          <w:szCs w:val="18"/>
          <w:color w:val="auto"/>
        </w:rPr>
        <w:t>substantial increase in cost estimates. As a result, during the second quarter of 2025, we recognized additional reach-forward losses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$950 million across both phases of the program. The primary drivers of the additional reach-forward losses recognized in the second quarter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 2025 included: (1) software development performance degradation and integration findings observed over a continued period; (2)</w:t>
      </w:r>
    </w:p>
    <w:p>
      <w:pPr>
        <w:spacing w:after="0" w:line="234" w:lineRule="auto"/>
        <w:rPr>
          <w:sz w:val="20"/>
          <w:szCs w:val="20"/>
          <w:color w:val="auto"/>
        </w:rPr>
      </w:pPr>
      <w:r>
        <w:rPr>
          <w:rFonts w:ascii="Arial" w:cs="Arial" w:eastAsia="Arial" w:hAnsi="Arial"/>
          <w:sz w:val="18"/>
          <w:szCs w:val="18"/>
          <w:color w:val="auto"/>
        </w:rPr>
        <w:t>learnings in recent software and build experience on another program specifically relevant to the program; (3) significant changes in test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customer discussions and changes in test execution strategy; (4) safety-critical and other necessary design and engineering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changes in response to certain observed performance degradation and a discrete event; and (5) complete schedule realignment, including</w:t>
      </w:r>
    </w:p>
    <w:p>
      <w:pPr>
        <w:spacing w:after="0"/>
        <w:rPr>
          <w:sz w:val="20"/>
          <w:szCs w:val="20"/>
          <w:color w:val="auto"/>
        </w:rPr>
      </w:pPr>
      <w:r>
        <w:rPr>
          <w:rFonts w:ascii="Arial" w:cs="Arial" w:eastAsia="Arial" w:hAnsi="Arial"/>
          <w:sz w:val="18"/>
          <w:szCs w:val="18"/>
          <w:color w:val="auto"/>
        </w:rPr>
        <w:t>as a result of items (1) through (4).</w:t>
      </w:r>
    </w:p>
    <w:p>
      <w:pPr>
        <w:spacing w:after="0" w:line="167" w:lineRule="exact"/>
        <w:rPr>
          <w:sz w:val="20"/>
          <w:szCs w:val="20"/>
          <w:color w:val="auto"/>
        </w:rPr>
      </w:pPr>
    </w:p>
    <w:p>
      <w:pPr>
        <w:ind w:right="20" w:firstLine="405"/>
        <w:spacing w:after="0" w:line="243" w:lineRule="auto"/>
        <w:rPr>
          <w:sz w:val="20"/>
          <w:szCs w:val="20"/>
          <w:color w:val="auto"/>
        </w:rPr>
      </w:pPr>
      <w:r>
        <w:rPr>
          <w:rFonts w:ascii="Arial" w:cs="Arial" w:eastAsia="Arial" w:hAnsi="Arial"/>
          <w:sz w:val="18"/>
          <w:szCs w:val="18"/>
          <w:color w:val="auto"/>
        </w:rPr>
        <w:t>As of March 29, 2026, cumulative losses recognized to date on this program remained at approximately $1.8 billion across both phases. As of March 29, 2026, $450 million of the losses remained accrued in other current liabilities in our consolidated balance sheet. We continue to proactively manage the technical requirements and our performance, the remaining work and any future changes in scope or schedule, and estimated costs to complete the program, including future phases. Due to the nature of the highly complex design and systems integration on this program, we may need to record additional losses in future periods if performance issues, increases in scope, or increases in cost from prior estimates indicate that further losses are evident. Our estimates may change, in particular, as we conduct further development and testing on the program, which may lead to new findings or cause us to modify our expectations or understandings of the risks inherent in the program. Any such losses could be material to our financial results in any period that they are recognized. We and our industry team will continue to incur advanced procurement costs (also referred to as pre-contract costs) to enhance our ability to achieve the schedule and certain milestones which could be significant. We will monitor the recoverability of pre-contract costs, which could be impacted by our assessment of the customer’s decision regarding the funding of future phases of the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MFC Classified Program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MFC business segment has been performing under a competitively bid classified contract, which includes a cost-reimbursable 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for the initial phase of the program and multiple fixed-price options for additional phases. We previously disclosed that the options</w:t>
      </w:r>
    </w:p>
    <w:p>
      <w:pPr>
        <w:spacing w:after="0" w:line="234" w:lineRule="auto"/>
        <w:rPr>
          <w:sz w:val="20"/>
          <w:szCs w:val="20"/>
          <w:color w:val="auto"/>
        </w:rPr>
      </w:pPr>
      <w:r>
        <w:rPr>
          <w:rFonts w:ascii="Arial" w:cs="Arial" w:eastAsia="Arial" w:hAnsi="Arial"/>
          <w:sz w:val="18"/>
          <w:szCs w:val="18"/>
          <w:color w:val="auto"/>
        </w:rPr>
        <w:t>may be exercised over the next several years and, if performed, we expect they would each be at a loss. Based upon performance to date,</w:t>
      </w:r>
    </w:p>
    <w:p>
      <w:pPr>
        <w:spacing w:after="0" w:line="235" w:lineRule="auto"/>
        <w:rPr>
          <w:sz w:val="20"/>
          <w:szCs w:val="20"/>
          <w:color w:val="auto"/>
        </w:rPr>
      </w:pPr>
      <w:r>
        <w:rPr>
          <w:rFonts w:ascii="Arial" w:cs="Arial" w:eastAsia="Arial" w:hAnsi="Arial"/>
          <w:sz w:val="18"/>
          <w:szCs w:val="18"/>
          <w:color w:val="auto"/>
        </w:rPr>
        <w:t>future requirements of the program, discussions with the customer, and anticipated customer funding, among other factors, we continue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believe it is probable that all unexercised options will be exercised. As we perform on the cost-reimbursable base contract and the options,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our estimates of cost necessary to complete the scope on the contract. Our estimates could change based on our</w:t>
      </w:r>
    </w:p>
    <w:p>
      <w:pPr>
        <w:spacing w:after="0" w:line="234" w:lineRule="auto"/>
        <w:rPr>
          <w:sz w:val="20"/>
          <w:szCs w:val="20"/>
          <w:color w:val="auto"/>
        </w:rPr>
      </w:pPr>
      <w:r>
        <w:rPr>
          <w:rFonts w:ascii="Arial" w:cs="Arial" w:eastAsia="Arial" w:hAnsi="Arial"/>
          <w:sz w:val="18"/>
          <w:szCs w:val="18"/>
          <w:color w:val="auto"/>
        </w:rPr>
        <w:t>performance, supplier negotiations and their performance, macroeconomic impacts, and discoveries made in the execution of these options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on the cost-reimbursable base contract. As of March 29, 2026, cumulative losses recognized on the program remained at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$1.46 billion in total, of which, $1.12 billion remained accrued in other current liabilities in our consolidated balance sheet. Any changes to our</w:t>
      </w:r>
    </w:p>
    <w:p>
      <w:pPr>
        <w:spacing w:after="0" w:line="234" w:lineRule="auto"/>
        <w:rPr>
          <w:sz w:val="20"/>
          <w:szCs w:val="20"/>
          <w:color w:val="auto"/>
        </w:rPr>
      </w:pPr>
      <w:r>
        <w:rPr>
          <w:rFonts w:ascii="Arial" w:cs="Arial" w:eastAsia="Arial" w:hAnsi="Arial"/>
          <w:sz w:val="18"/>
          <w:szCs w:val="18"/>
          <w:color w:val="auto"/>
        </w:rPr>
        <w:t>estimates or assumptions may result in additional losses and such losses could be material to our financial results in any period that they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Canadian Maritime Helicopter Program</w:t>
      </w:r>
    </w:p>
    <w:p>
      <w:pPr>
        <w:spacing w:after="0" w:line="185" w:lineRule="exact"/>
        <w:rPr>
          <w:sz w:val="20"/>
          <w:szCs w:val="20"/>
          <w:color w:val="auto"/>
        </w:rPr>
      </w:pPr>
    </w:p>
    <w:p>
      <w:pPr>
        <w:ind w:right="80" w:firstLine="405"/>
        <w:spacing w:after="0" w:line="246" w:lineRule="auto"/>
        <w:rPr>
          <w:sz w:val="20"/>
          <w:szCs w:val="20"/>
          <w:color w:val="auto"/>
        </w:rPr>
      </w:pPr>
      <w:r>
        <w:rPr>
          <w:rFonts w:ascii="Arial" w:cs="Arial" w:eastAsia="Arial" w:hAnsi="Arial"/>
          <w:sz w:val="18"/>
          <w:szCs w:val="18"/>
          <w:color w:val="auto"/>
        </w:rPr>
        <w:t>Our RMS business segment has been performing the Canadian Maritime Helicopter Program (CMHP) under multiple contracts with the Canadian government. The program provides for design, development, and production of CH-148 aircraft (the Original Equipment contract), which is a military variant of the S-92 helicopter, and for logistical support to the fleet (the In Service Support contract) over an extended time period. The final aircraft under the program was delivered to Canada during the third quarter of 2025 and subsequently accepted. The program has experienced performance issues and we have previously recorded losses on the program. We have been in discussions with the Canadian government to potentially restructure certain contractual terms and conditions that may be beneficial to both parties. As of March 29, 2026, cumulative losses recognized on the program remained at approximately $670 million and approximately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$605 million of contract assets remained on the balance sheet. Any restructuring discussions may be prolonged or unsuccessful, and could result in a contract termination, and are dependent upon Canadian government resources and priorities and other factors outside of our control, such as trade relations with the United States. These items in addition to future performance issues or changes in our estimates may affect our ability to recover our costs, including recovery of the contract assets recognized on the balance sheet and our assessment of the reach-forward loss, and potential damages, which could be material to our financial results in any period that they are recognized.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Türkish Utility Helicopter Program</w:t>
      </w:r>
    </w:p>
    <w:p>
      <w:pPr>
        <w:spacing w:after="0" w:line="185" w:lineRule="exact"/>
        <w:rPr>
          <w:sz w:val="20"/>
          <w:szCs w:val="20"/>
          <w:color w:val="auto"/>
        </w:rPr>
      </w:pPr>
    </w:p>
    <w:p>
      <w:pPr>
        <w:ind w:firstLine="405"/>
        <w:spacing w:after="0" w:line="242" w:lineRule="auto"/>
        <w:rPr>
          <w:sz w:val="20"/>
          <w:szCs w:val="20"/>
          <w:color w:val="auto"/>
        </w:rPr>
      </w:pPr>
      <w:r>
        <w:rPr>
          <w:rFonts w:ascii="Arial" w:cs="Arial" w:eastAsia="Arial" w:hAnsi="Arial"/>
          <w:sz w:val="18"/>
          <w:szCs w:val="18"/>
          <w:color w:val="auto"/>
        </w:rPr>
        <w:t>As previously disclosed, sanctions imposed in 2020 by the U.S. Government on Turkey’s defense procurement agency (SSB) and certain persons affected our ability to perform under our contracts with Türkish industry for the Türkish Utility Helicopter Program (TUHP), which anticipates co-production with Türkish industry for production of T70 helicopters for use in Türkiye, as well as the related provision of Türkish goods and services under buy-back or offset obligations. During the second quarter of 2025, we recognized a loss of $95 million in light of the status of restructuring discussions with our prime customer and the status of the TUHP. In the fourth quarter of 2025, we finalized an agreement with our prime contract customer to terminate the existing TUHP contracts and establish new contracts for a reduced scope of work, which became effective in January 2026. Our performance under the new contracts is subject to the receipt of U.S. export authorizations and we have obtained an amendment to our manufacturing license agreement and are in the process of obtaining the remaining licenses needed to support our obligations under the new contracts. If we are unsuccessful, our customer could drawdown on letters of credit, which could negatively affect our cash flows and our ability to recover our costs, and we could incur additional losses of up to approximately $115 million. As of March 29, 2026, cumulative losses recognized to date on the program remained at approximately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$130 million and the program remains in a contract liability position on the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March 29, 2026, our ending backlog was $186.4 billion. We expect to recognize approximately 34% of our backlog over the next 12 months and a total of approximately 58% over the next 24 months as revenue with the remainder recognized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8" w:lineRule="exact"/>
        <w:rPr>
          <w:sz w:val="20"/>
          <w:szCs w:val="20"/>
          <w:color w:val="auto"/>
        </w:rPr>
      </w:pPr>
    </w:p>
    <w:p>
      <w:pPr>
        <w:ind w:right="360" w:firstLine="405"/>
        <w:spacing w:after="0" w:line="252" w:lineRule="auto"/>
        <w:rPr>
          <w:sz w:val="20"/>
          <w:szCs w:val="20"/>
          <w:color w:val="auto"/>
        </w:rPr>
      </w:pPr>
      <w:r>
        <w:rPr>
          <w:rFonts w:ascii="Arial" w:cs="Arial" w:eastAsia="Arial" w:hAnsi="Arial"/>
          <w:sz w:val="18"/>
          <w:szCs w:val="18"/>
          <w:color w:val="auto"/>
        </w:rPr>
        <w:t>Our effective income tax rates were 16.1% and 15.9% for the quarters ended March 29, 2026 and March 30, 2025. The rates for all periods benefited from the tax deductions for foreign derived deduction eligible income (formerly known as foreign derived intangible income), research and development tax credits, dividends paid to our defined contribution plans with an employee stock ownership plan feature and employee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2025-06, </w:t>
      </w:r>
      <w:r>
        <w:rPr>
          <w:rFonts w:ascii="Arial" w:cs="Arial" w:eastAsia="Arial" w:hAnsi="Arial"/>
          <w:sz w:val="18"/>
          <w:szCs w:val="18"/>
          <w:i w:val="1"/>
          <w:iCs w:val="1"/>
          <w:color w:val="auto"/>
        </w:rPr>
        <w:t>Intangibles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Goodwill and Other – Internal-Use Software (Subtopic 350-40): Targeted Improvements to the Accounting for Internal-Use Software</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removes all references to project stages throughout FASB Accounting Standards Codification (ASC) Subtopic 350-40, </w:t>
      </w:r>
      <w:r>
        <w:rPr>
          <w:rFonts w:ascii="Arial" w:cs="Arial" w:eastAsia="Arial" w:hAnsi="Arial"/>
          <w:sz w:val="18"/>
          <w:szCs w:val="18"/>
          <w:i w:val="1"/>
          <w:iCs w:val="1"/>
          <w:color w:val="auto"/>
        </w:rPr>
        <w:t>Internal-Use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Software </w:t>
      </w:r>
      <w:r>
        <w:rPr>
          <w:rFonts w:ascii="Arial" w:cs="Arial" w:eastAsia="Arial" w:hAnsi="Arial"/>
          <w:sz w:val="18"/>
          <w:szCs w:val="18"/>
          <w:color w:val="auto"/>
        </w:rPr>
        <w:t>and clarifies the threshold entities apply to begin capitalizing costs. Under the new standard, cost capitalization should only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when an entity has committed to funding a software project and it is probable the project will be completed and the software will be used for its intended function. The amendments are effective for annual reporting periods beginning after December 15, 2027 and interim reporting periods within those annual reporting periods. Entities may apply the guidance using a prospective, retrospective or modified transition approach. Early adoption is permitted as of the beginning of an annual reporting period. We are currently determining the preferred transition approach and assessing the impact of the ASU on our disclosures and financial statements, including the timing of its adoption.</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ASU requires entities to disclose certain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purchases of inventory, employee compensation, depreciation, and intangible asset amortization, by caption. In addition, entities must provide a qualitative description of the amounts remaining in relevant expense captions that are not separately disaggregated quantitatively. The amendments are effective for annual reporting periods beginning after December 15, 2026, and for interim reporting periods beginning after December 15, 2027, with early adoption permitted. We are evaluating the impact of this ASU and expect the standard will only affect our disclosures and will not impact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the accompanying consolidated balance sheet of Lockheed Martin Corporation (the Company) as of March 29, 2026, the related consolidated statements of earnings, comprehensive income, cash flows and equity for the three-month periods ended March 29, 2026 and March 30, 2025,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2025, the related consolidated statements of earnings, comprehensive income, cash flows and equity for the year then ended, and the related notes (not presented herein); and in our report dated January 29, 2026, we expressed an unqualified audit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to consolidated financial statements herein and with our Annual Report on Form 10-K for the year ended December 31, 2025 (2025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are a global aerospace and defense technology company that builds and sustains the solutions America and its allies need to deter conflict and advance national security and scientific exploration objectives. Our four business areas – Aeronautics, Missiles and Fire Control, Rotary and Mission Systems,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 During the quarter ended March 29, 2026, 69% of our $18.0 billion in sales were from the U.S. Government, either as a prime contractor or as a subcontractor (including 59% from U.S. Department of War (DoW), also known as the Department of Defense under 10 U.S.C. § 111(a)), and 31% were from international customers (including foreign military sales (FMS) contracted through the U.S. Government).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w:t>
      </w:r>
    </w:p>
    <w:p>
      <w:pPr>
        <w:spacing w:after="0" w:line="18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operate in a complex and evolving global security environment. Conflicts or tensions in areas such as the Middle East, Europe, and the Pacific region have heightened tensions and highlighted security requirements globally, including in these regions as well as the U.S. Although these tensions and conflicts may drive interest in specific products or services as countries seek to improve their security posture, our business primarily operates on a long-cycle basis. As a result, the U.S. Government has been broadly focused on increasing industry capacity to meet long-term demand. We continue to work with the U.S. Government, international partners, and our supply chain to increase capacity and enhance our ability to scale our operations to meet potential demand, deliver critical capabilities, and replenish depleted U.S. and allied stockpiles of products that have been consumed over the past several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and Geopolitical Environment</w:t>
      </w:r>
    </w:p>
    <w:p>
      <w:pPr>
        <w:spacing w:after="0" w:line="198"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Our business and financial performance are impacted by a combination of macroeconomic factors, such as inflationary pressures, impacts from technological change, and market volatility, as well as operational challenges, including supply chain delays and disruptions, and workforce challenges and labor shortfalls. These factors have contributed, and may continue to contribute, to increased costs, delays, disruptions and other performance challenges, as well as competing demands for limited resources to address such increased costs and other challenges, for our company, our suppliers and partners, and our customers.</w:t>
      </w:r>
    </w:p>
    <w:p>
      <w:pPr>
        <w:spacing w:after="0" w:line="13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have experienced, and continue to experience, supply chain challenges, including supplier shortages and performance issues. While on-time deliveries are stable, pressures remain in certain areas, and we are proactively working with our suppliers to meet our contract commitments. In addition, macroeconomic conditions including elevated levels of inflation present risks for us, our suppliers and the stability of the broader defense industrial base. Supply chain challenges, including both the availability and cost of goods, may be further impacted due to the imposition of tariffs and the availability of raw materials including rare earth minerals. If we experience significant supply chain issues or high rates of inflation, and are unable to successfully mitigate the impact, our future profits, margins and cash flows, particularly for existing fixed-price contracts, may be adversely affected. We remain committed to our ongoing efforts to increase the efficiency of our operations and improve the cost competitiveness and affordability of our products and services, which may, in part, offset cost increases from inflation.</w:t>
      </w:r>
    </w:p>
    <w:p>
      <w:pPr>
        <w:spacing w:after="0" w:line="14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Certain materials and component parts that go into making our products are imported into the U.S. and are subject to tariffs, sanctions, embargoes, export and import controls, and other trade restrictions. Changes in trade policies, including tariffs and other restrictions, may affect the cost or availability of certain materials and components. While we continue to monitor these developments and pursue mitigation strategies where appropriate, excluding the near-term cash flow impact, we do not currently expect existing tariffs to have a material long-term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Significant changes in tax, trade, or other policies either in the U.S. or other countries, as well as any fluctuation in foreign exchange rates as a result of such activity, could materially increase our tax burden, the price we pay for materials and component parts, the price our customers pay, and result in delays in products received or non-delivery from our suppliers as well as impact the availability of materials (including rare earth minerals), which could materially impact our business and financial results.</w:t>
      </w:r>
    </w:p>
    <w:p>
      <w:pPr>
        <w:spacing w:after="0" w:line="13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recent government actions relating to rare earth minerals that are used in certain of our products have raised concerns about supply availability. We are monitoring the rare earth minerals supply chain and maintaining active engagement with our suppliers as the regulatory landscape evolves. If we are unable to successfully mitigate disruptions to the availability of rare earth minerals, our future profits, margins and cash flows may be adversely affected.</w:t>
      </w:r>
    </w:p>
    <w:p>
      <w:pPr>
        <w:spacing w:after="0" w:line="122" w:lineRule="exact"/>
        <w:rPr>
          <w:sz w:val="20"/>
          <w:szCs w:val="20"/>
          <w:color w:val="auto"/>
        </w:rPr>
      </w:pPr>
    </w:p>
    <w:p>
      <w:pPr>
        <w:ind w:right="400" w:firstLine="445"/>
        <w:spacing w:after="0" w:line="271" w:lineRule="auto"/>
        <w:rPr>
          <w:sz w:val="20"/>
          <w:szCs w:val="20"/>
          <w:color w:val="auto"/>
        </w:rPr>
      </w:pPr>
      <w:r>
        <w:rPr>
          <w:rFonts w:ascii="Arial" w:cs="Arial" w:eastAsia="Arial" w:hAnsi="Arial"/>
          <w:sz w:val="18"/>
          <w:szCs w:val="18"/>
          <w:color w:val="auto"/>
        </w:rPr>
        <w:t>For additional risks to the company related to the geopolitical and economic environment, see Part I, Item 1A, “Risk Factors” of our 2025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Budget Environment</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primary customer is the U.S. Government, from which we derived 69% of our sales during the quarter ended March 29, 2026, including 59% from the DoW. Funding for U.S. Government programs is subject to a variety of factors that can affect our business, including the Administration’s budget requests and procurement priorities and policies, annual congressional budget authorization and appropriation processes, and other U.S. Government domestic and international priorities. U.S. Government spending levels, particularly defense spending, and timely funding thereof can affect our financial performance over the short and long term.</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National Defense Authorization Act (NDAA) for FY 2026 was signed into law on December 18, 2025. This legislation authorizes $901 billion for Defense. On February 3, 2026, the President signed the Consolidated Appropriations Act, 2026 funding the DoW through the end of the fiscal year, September 30, 2026. This legislation provides $839.2 billion in funding for the DoW representing an $8.4 billion increase over the topline in the President’s DoW Budget Request. The One Big Beautiful Bill Act (the Tax Act) was signed by the President on July 4, 2025. The bill provides more than $150 billion in mandatory funding for the DoW available until September 30, 2029.</w:t>
      </w:r>
    </w:p>
    <w:p>
      <w:pPr>
        <w:spacing w:after="0" w:line="139"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On April 3, 2026, the Administration released the FY 2027 Defense topline request. The FY 2027 proposal seeks a historic $1.5 trillion defense budget, driven by a large discretionary base request and an additional $350 billion of mandatory funding through reconciliation. It emphasizes a $760 billion weapons</w:t>
      </w:r>
      <w:r>
        <w:rPr>
          <w:rFonts w:ascii="MS PGothic" w:cs="MS PGothic" w:eastAsia="MS PGothic" w:hAnsi="MS PGothic"/>
          <w:sz w:val="18"/>
          <w:szCs w:val="18"/>
          <w:color w:val="auto"/>
        </w:rPr>
        <w:t>‑</w:t>
      </w:r>
      <w:r>
        <w:rPr>
          <w:rFonts w:ascii="Arial" w:cs="Arial" w:eastAsia="Arial" w:hAnsi="Arial"/>
          <w:sz w:val="18"/>
          <w:szCs w:val="18"/>
          <w:color w:val="auto"/>
        </w:rPr>
        <w:t>procurement and modernization effort—highlighting commitment to munitions framework deals, Golden Dome missile defense, a major shipbuilding program, and an increase in F</w:t>
      </w:r>
      <w:r>
        <w:rPr>
          <w:rFonts w:ascii="MS PGothic" w:cs="MS PGothic" w:eastAsia="MS PGothic" w:hAnsi="MS PGothic"/>
          <w:sz w:val="18"/>
          <w:szCs w:val="18"/>
          <w:color w:val="auto"/>
        </w:rPr>
        <w:t>‑</w:t>
      </w:r>
      <w:r>
        <w:rPr>
          <w:rFonts w:ascii="Arial" w:cs="Arial" w:eastAsia="Arial" w:hAnsi="Arial"/>
          <w:sz w:val="18"/>
          <w:szCs w:val="18"/>
          <w:color w:val="auto"/>
        </w:rPr>
        <w:t>35 purchases. The approach is reliant upon Congress to pass a second reconciliation bill. We will continue to monitor the FY 2027 budget cycle as additional information is released.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Administration indicating their desire for a significant increase in defense spending in FY 2027, we anticipate the federal budget, additional potential tax law changes, and regulatory environment will continue to be subject to debate and compromise shaped by, among other things, the Administration and Congress, heightened political tensions, the global security environment, inflationary pressures, and macroeconomic conditions. The result may be shifting funding priorities, which could have material impacts on defense spending broadly and our programs. Additionally, the Administration continues to take steps to evaluate government-wide and defense-specific staffing and procurement, which includes assessing mission priorities, procurement methods, program performance, and other factors and then potentially taking action based on those assessments. Those actions remain uncertain and could result in impacts to both our current and future business prospects and financial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discussion of U.S. Government funding risks, in Part I, Item 1A, “Risk Factors” of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ind w:right="140" w:firstLine="445"/>
        <w:spacing w:after="0" w:line="245" w:lineRule="auto"/>
        <w:rPr>
          <w:sz w:val="20"/>
          <w:szCs w:val="20"/>
          <w:color w:val="auto"/>
        </w:rPr>
      </w:pPr>
      <w:r>
        <w:rPr>
          <w:rFonts w:ascii="Arial" w:cs="Arial" w:eastAsia="Arial" w:hAnsi="Arial"/>
          <w:sz w:val="18"/>
          <w:szCs w:val="18"/>
          <w:color w:val="auto"/>
        </w:rPr>
        <w:t>Our operating cycle is primarily long-term and involves many types of contracts for the design, development, manufacture, integration, and sustainment of products and related activities with varying delivery schedules. Additionally, we close our books and records on the last</w:t>
      </w:r>
    </w:p>
    <w:p>
      <w:pPr>
        <w:ind w:right="200"/>
        <w:spacing w:after="0"/>
        <w:rPr>
          <w:sz w:val="20"/>
          <w:szCs w:val="20"/>
          <w:color w:val="auto"/>
        </w:rPr>
      </w:pPr>
      <w:r>
        <w:rPr>
          <w:rFonts w:ascii="Arial" w:cs="Arial" w:eastAsia="Arial" w:hAnsi="Arial"/>
          <w:sz w:val="17"/>
          <w:szCs w:val="17"/>
          <w:color w:val="auto"/>
        </w:rPr>
        <w:t>Sunday of each month, except for the month of December, as our fiscal year ends on December 31, to align our financial closing with our business processes. Because of this, the number of weeks in a reporting quarter may vary slightly during the year and for comparable prior</w:t>
      </w:r>
    </w:p>
    <w:p>
      <w:pPr>
        <w:spacing w:after="0" w:line="1" w:lineRule="exact"/>
        <w:rPr>
          <w:sz w:val="20"/>
          <w:szCs w:val="20"/>
          <w:color w:val="auto"/>
        </w:rPr>
      </w:pPr>
    </w:p>
    <w:p>
      <w:pPr>
        <w:jc w:val="both"/>
        <w:ind w:right="580"/>
        <w:spacing w:after="0" w:line="242" w:lineRule="auto"/>
        <w:rPr>
          <w:sz w:val="20"/>
          <w:szCs w:val="20"/>
          <w:color w:val="auto"/>
        </w:rPr>
      </w:pPr>
      <w:r>
        <w:rPr>
          <w:rFonts w:ascii="Arial" w:cs="Arial" w:eastAsia="Arial" w:hAnsi="Arial"/>
          <w:sz w:val="18"/>
          <w:szCs w:val="18"/>
          <w:color w:val="auto"/>
        </w:rPr>
        <w:t>year periods.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results of operations were as follows (in millions,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March 29,</w:t>
            </w:r>
          </w:p>
        </w:tc>
        <w:tc>
          <w:tcPr>
            <w:tcW w:w="480" w:type="dxa"/>
            <w:vAlign w:val="bottom"/>
          </w:tcPr>
          <w:p>
            <w:pPr>
              <w:spacing w:after="0"/>
              <w:rPr>
                <w:sz w:val="14"/>
                <w:szCs w:val="14"/>
                <w:color w:val="auto"/>
              </w:rPr>
            </w:pPr>
          </w:p>
        </w:tc>
        <w:tc>
          <w:tcPr>
            <w:tcW w:w="13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18,021</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17,963</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(15,943)</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(15,640)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2,078</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2,323</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(15)</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2,063</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2,372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(269)</w:t>
            </w:r>
          </w:p>
        </w:tc>
        <w:tc>
          <w:tcPr>
            <w:tcW w:w="48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(268)</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FAS pension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(80)</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(98)</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60</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1,774</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2,036</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(286)</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(324)</w:t>
            </w: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1,488</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1,712</w:t>
            </w:r>
          </w:p>
        </w:tc>
      </w:tr>
      <w:tr>
        <w:trPr>
          <w:trHeight w:val="217"/>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6.44</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7.28</w:t>
            </w:r>
          </w:p>
        </w:tc>
      </w:tr>
    </w:tbl>
    <w:p>
      <w:pPr>
        <w:spacing w:after="0" w:line="292" w:lineRule="exact"/>
        <w:rPr>
          <w:sz w:val="20"/>
          <w:szCs w:val="20"/>
          <w:color w:val="auto"/>
        </w:rPr>
      </w:pPr>
    </w:p>
    <w:p>
      <w:pPr>
        <w:jc w:val="both"/>
        <w:ind w:right="120" w:firstLine="445"/>
        <w:spacing w:after="0" w:line="268" w:lineRule="auto"/>
        <w:rPr>
          <w:sz w:val="20"/>
          <w:szCs w:val="20"/>
          <w:color w:val="auto"/>
        </w:rPr>
      </w:pPr>
      <w:r>
        <w:rPr>
          <w:rFonts w:ascii="Arial" w:cs="Arial" w:eastAsia="Arial" w:hAnsi="Arial"/>
          <w:sz w:val="18"/>
          <w:szCs w:val="18"/>
          <w:color w:val="auto"/>
        </w:rPr>
        <w:t>Certain amounts reported in other income, net, including our share of earnings or losses from equity method investees, are included in the operating profit of our business segments. Accordingly, such amounts are included in the discussion of our business segment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Operating Costs and Expenses</w:t>
      </w:r>
    </w:p>
    <w:p>
      <w:pPr>
        <w:spacing w:after="0" w:line="185"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We generate sales from the delivery of products and services to our customers. Substantially all of our contracts are accounted for using the percentage-of-completion cost-to-cost method. Under the percentage-of-completion cost-to-cost method, we record sales on contracts over time based upon our progress towards completion on a particular contract, generally using a cost-to-cost measure, as well as our estimate of the profit to be earned at completion.</w:t>
      </w:r>
    </w:p>
    <w:p>
      <w:pPr>
        <w:spacing w:after="0" w:line="203" w:lineRule="exact"/>
        <w:rPr>
          <w:sz w:val="20"/>
          <w:szCs w:val="20"/>
          <w:color w:val="auto"/>
        </w:rPr>
      </w:pPr>
    </w:p>
    <w:p>
      <w:pPr>
        <w:jc w:val="both"/>
        <w:ind w:right="360" w:firstLine="445"/>
        <w:spacing w:after="0" w:line="262" w:lineRule="auto"/>
        <w:rPr>
          <w:sz w:val="20"/>
          <w:szCs w:val="20"/>
          <w:color w:val="auto"/>
        </w:rPr>
      </w:pPr>
      <w:r>
        <w:rPr>
          <w:rFonts w:ascii="Arial" w:cs="Arial" w:eastAsia="Arial" w:hAnsi="Arial"/>
          <w:sz w:val="18"/>
          <w:szCs w:val="18"/>
          <w:color w:val="auto"/>
        </w:rPr>
        <w:t>Operating costs and expenses,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w:t>
      </w:r>
    </w:p>
    <w:p>
      <w:pPr>
        <w:spacing w:after="0" w:line="190" w:lineRule="exact"/>
        <w:rPr>
          <w:sz w:val="20"/>
          <w:szCs w:val="20"/>
          <w:color w:val="auto"/>
        </w:rPr>
      </w:pPr>
    </w:p>
    <w:p>
      <w:pPr>
        <w:ind w:right="360" w:firstLine="445"/>
        <w:spacing w:after="0" w:line="253" w:lineRule="auto"/>
        <w:rPr>
          <w:sz w:val="20"/>
          <w:szCs w:val="20"/>
          <w:color w:val="auto"/>
        </w:rPr>
      </w:pPr>
      <w:r>
        <w:rPr>
          <w:rFonts w:ascii="Arial" w:cs="Arial" w:eastAsia="Arial" w:hAnsi="Arial"/>
          <w:sz w:val="18"/>
          <w:szCs w:val="18"/>
          <w:color w:val="auto"/>
        </w:rPr>
        <w:t>Except for potential impacts to our programs resulting from supply chain disruptions, inflation, and tariffs, we have not identified any additional developing trends in operating costs and expenses for products and services that could have a material impact on our future operations.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16"/>
        </w:trPr>
        <w:tc>
          <w:tcPr>
            <w:tcW w:w="7560" w:type="dxa"/>
            <w:vAlign w:val="bottom"/>
            <w:gridSpan w:val="2"/>
          </w:tcPr>
          <w:p>
            <w:pPr>
              <w:ind w:left="460"/>
              <w:spacing w:after="0"/>
              <w:rPr>
                <w:sz w:val="20"/>
                <w:szCs w:val="20"/>
                <w:color w:val="auto"/>
              </w:rPr>
            </w:pPr>
            <w:r>
              <w:rPr>
                <w:rFonts w:ascii="Arial" w:cs="Arial" w:eastAsia="Arial" w:hAnsi="Arial"/>
                <w:sz w:val="18"/>
                <w:szCs w:val="18"/>
                <w:color w:val="auto"/>
              </w:rPr>
              <w:t>Our consolidated sales and operating costs and expenses were as follows (in millions):</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4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gridSpan w:val="4"/>
          </w:tcPr>
          <w:p>
            <w:pPr>
              <w:ind w:left="80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14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March 29,</w:t>
            </w:r>
          </w:p>
        </w:tc>
        <w:tc>
          <w:tcPr>
            <w:tcW w:w="3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March 30,</w:t>
            </w:r>
          </w:p>
        </w:tc>
        <w:tc>
          <w:tcPr>
            <w:tcW w:w="80" w:type="dxa"/>
            <w:vAlign w:val="bottom"/>
          </w:tcPr>
          <w:p>
            <w:pPr>
              <w:spacing w:after="0"/>
              <w:rPr>
                <w:sz w:val="14"/>
                <w:szCs w:val="14"/>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14,831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14,936</w:t>
            </w:r>
          </w:p>
        </w:tc>
        <w:tc>
          <w:tcPr>
            <w:tcW w:w="8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of total sales</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82.3%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3,190</w:t>
            </w:r>
          </w:p>
        </w:tc>
        <w:tc>
          <w:tcPr>
            <w:tcW w:w="3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3,027</w:t>
            </w:r>
          </w:p>
        </w:tc>
        <w:tc>
          <w:tcPr>
            <w:tcW w:w="80" w:type="dxa"/>
            <w:vAlign w:val="bottom"/>
          </w:tcPr>
          <w:p>
            <w:pPr>
              <w:spacing w:after="0"/>
              <w:rPr>
                <w:sz w:val="19"/>
                <w:szCs w:val="19"/>
                <w:color w:val="auto"/>
              </w:rPr>
            </w:pPr>
          </w:p>
        </w:tc>
      </w:tr>
      <w:tr>
        <w:trPr>
          <w:trHeight w:val="230"/>
        </w:trPr>
        <w:tc>
          <w:tcPr>
            <w:tcW w:w="75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of total sales</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17.7%</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auto"/>
            </w:tcBorders>
            <w:shd w:val="clear" w:color="auto" w:fill="CCEEFF"/>
          </w:tcPr>
          <w:p>
            <w:pPr>
              <w:spacing w:after="0"/>
              <w:rPr>
                <w:sz w:val="19"/>
                <w:szCs w:val="19"/>
                <w:color w:val="auto"/>
              </w:rPr>
            </w:pPr>
          </w:p>
        </w:tc>
      </w:tr>
      <w:tr>
        <w:trPr>
          <w:trHeight w:val="223"/>
        </w:trPr>
        <w:tc>
          <w:tcPr>
            <w:tcW w:w="75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Total sales</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18,021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17,963</w:t>
            </w:r>
          </w:p>
        </w:tc>
        <w:tc>
          <w:tcPr>
            <w:tcW w:w="80" w:type="dxa"/>
            <w:vAlign w:val="bottom"/>
            <w:tcBorders>
              <w:bottom w:val="single" w:sz="8" w:color="auto"/>
            </w:tcBorders>
          </w:tcPr>
          <w:p>
            <w:pPr>
              <w:spacing w:after="0"/>
              <w:rPr>
                <w:sz w:val="19"/>
                <w:szCs w:val="19"/>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(13,398)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(13,284)</w:t>
            </w:r>
          </w:p>
        </w:tc>
        <w:tc>
          <w:tcPr>
            <w:tcW w:w="80" w:type="dxa"/>
            <w:vAlign w:val="bottom"/>
          </w:tcPr>
          <w:p>
            <w:pPr>
              <w:spacing w:after="0"/>
              <w:rPr>
                <w:sz w:val="19"/>
                <w:szCs w:val="19"/>
                <w:color w:val="auto"/>
              </w:rPr>
            </w:pPr>
          </w:p>
        </w:tc>
      </w:tr>
      <w:tr>
        <w:trPr>
          <w:trHeight w:val="230"/>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of product sales</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90.3%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(2,784)</w:t>
            </w:r>
          </w:p>
        </w:tc>
        <w:tc>
          <w:tcPr>
            <w:tcW w:w="34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(2,640)</w:t>
            </w:r>
          </w:p>
        </w:tc>
        <w:tc>
          <w:tcPr>
            <w:tcW w:w="8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of service sales</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87.3%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9"/>
                <w:szCs w:val="19"/>
                <w:color w:val="auto"/>
              </w:rPr>
            </w:pPr>
          </w:p>
        </w:tc>
      </w:tr>
      <w:tr>
        <w:trPr>
          <w:trHeight w:val="230"/>
        </w:trPr>
        <w:tc>
          <w:tcPr>
            <w:tcW w:w="7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unallocated, net</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239</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auto"/>
            </w:tcBorders>
          </w:tcPr>
          <w:p>
            <w:pPr>
              <w:spacing w:after="0"/>
              <w:rPr>
                <w:sz w:val="19"/>
                <w:szCs w:val="19"/>
                <w:color w:val="auto"/>
              </w:rPr>
            </w:pPr>
          </w:p>
        </w:tc>
      </w:tr>
      <w:tr>
        <w:trPr>
          <w:trHeight w:val="230"/>
        </w:trPr>
        <w:tc>
          <w:tcPr>
            <w:tcW w:w="75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(15,943)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(15,640)</w:t>
            </w:r>
          </w:p>
        </w:tc>
        <w:tc>
          <w:tcPr>
            <w:tcW w:w="80" w:type="dxa"/>
            <w:vAlign w:val="bottom"/>
            <w:tcBorders>
              <w:bottom w:val="single" w:sz="8" w:color="auto"/>
            </w:tcBorders>
            <w:shd w:val="clear" w:color="auto" w:fill="CCEEFF"/>
          </w:tcPr>
          <w:p>
            <w:pPr>
              <w:spacing w:after="0"/>
              <w:rPr>
                <w:sz w:val="20"/>
                <w:szCs w:val="20"/>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and Costs</w:t>
      </w:r>
    </w:p>
    <w:p>
      <w:pPr>
        <w:spacing w:after="0" w:line="183"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Product sales during the quarter ended March 29, 2026 decreased $105 million, or 1%, compared to the same period in 2025. Lower product sales of approximately $ 325 million at RMS and $240 million at Aeronautics were offset by higher product sales of $305 million at MFC and $155 million at Space. Lower product sales at RMS were due to lower volume on radar and CH-53K programs. Lower product sales at Aeronautics were due to lower volume on classified programs. Higher product sales at MFC were due to production ramp-up on PAC-3 contracts, Joint Air-to-Surface Standoff Missile (JASSM), Long Range Anti-Ship Missile (LRASM) and Precision Strike Missile (PrSM) programs. Higher product sales at Space were due to higher volume on Fleet Ballistic Missile (FBM) programs.</w:t>
      </w:r>
    </w:p>
    <w:p>
      <w:pPr>
        <w:spacing w:after="0" w:line="155" w:lineRule="exact"/>
        <w:rPr>
          <w:sz w:val="20"/>
          <w:szCs w:val="20"/>
          <w:color w:val="auto"/>
        </w:rPr>
      </w:pPr>
    </w:p>
    <w:p>
      <w:pPr>
        <w:jc w:val="both"/>
        <w:ind w:right="200" w:firstLine="445"/>
        <w:spacing w:after="0" w:line="262" w:lineRule="auto"/>
        <w:rPr>
          <w:sz w:val="20"/>
          <w:szCs w:val="20"/>
          <w:color w:val="auto"/>
        </w:rPr>
      </w:pPr>
      <w:r>
        <w:rPr>
          <w:rFonts w:ascii="Arial" w:cs="Arial" w:eastAsia="Arial" w:hAnsi="Arial"/>
          <w:sz w:val="18"/>
          <w:szCs w:val="18"/>
          <w:color w:val="auto"/>
        </w:rPr>
        <w:t>Product costs during the quarter ended March 29, 2026 increased $114 million, or 1%, compared to the same period in 2025. Higher product costs of approximately of $255 million at MFC and $245 million at Space were offset by lower product costs of $245 million at RMS and $140 million at Aeronautics. These changes reflected production ramp-up at MFC, higher volume at Space and lower volumes at RMS and Aeronautics, as described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Sales and Costs</w:t>
      </w:r>
    </w:p>
    <w:p>
      <w:pPr>
        <w:spacing w:after="0" w:line="183"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Service sales during the quarter ended March 29, 2026 increased $163 million, or 5%, compared to the same period in 2025. The increase was primarily attributable to due to higher service sales of approximately $135 million at Aeronautics as a result of higher volume on the F-35 sustainment contracts.</w:t>
      </w:r>
    </w:p>
    <w:p>
      <w:pPr>
        <w:spacing w:after="0" w:line="144"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Service costs during the quarter ended March 29, 2026 increased $144 million, or 5%, compared to the same period in 2025. The increase was primarily attributable to higher service costs of approximately $140 million at Aeronautics, which is consistent with the higher service sales as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Unallocated, Net</w:t>
      </w:r>
    </w:p>
    <w:p>
      <w:pPr>
        <w:spacing w:after="0" w:line="18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Other unallocated, net primarily includes the FAS/CAS pension operating adjustment (which represents the difference between total CAS pension cost recorded in our business segments’ results of operations and the service cost component of FAS pension expense), stock-based compensation expense, changes in the fair value of assets and liabilities for deferred compensation plans, significant severance charges, significant asset impairments, intangible asset amortization expense, and other miscellaneous corporate activities. These items are not allocated to the business segments and, therefore, are not allocated to operating costs and expenses for products or services. Other unallocated, net reduced operating expenses by $239 million and $284 million during the quarters ended March 29, 2026 and March 30, 2025. The fluctuations in other unallocated, net were due to costs associated with various corporate items, none of which were individually significant.</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85"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Other expense, net was $15 million during the quarter ended March 29, 2026, compared to other income, net of $49 million during the quarter ended March 30, 2025. Other (expense) income, net, primarily includes earnings generated by equity method investees, as well as gains or losses for acquisitions, divestitures, and other items, none of which are individually significant. The decrease in other expense (income), net resulted primarily from an intellectual property license arrangement during the quarter ended March 30,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Non-service FAS Pension Expense</w:t>
      </w:r>
    </w:p>
    <w:p>
      <w:pPr>
        <w:spacing w:after="0" w:line="239" w:lineRule="exact"/>
        <w:rPr>
          <w:sz w:val="20"/>
          <w:szCs w:val="20"/>
          <w:color w:val="auto"/>
        </w:rPr>
      </w:pPr>
    </w:p>
    <w:p>
      <w:pPr>
        <w:ind w:right="40" w:firstLine="405"/>
        <w:spacing w:after="0" w:line="271" w:lineRule="auto"/>
        <w:rPr>
          <w:sz w:val="20"/>
          <w:szCs w:val="20"/>
          <w:color w:val="auto"/>
        </w:rPr>
      </w:pPr>
      <w:r>
        <w:rPr>
          <w:rFonts w:ascii="Arial" w:cs="Arial" w:eastAsia="Arial" w:hAnsi="Arial"/>
          <w:sz w:val="18"/>
          <w:szCs w:val="18"/>
          <w:color w:val="auto"/>
        </w:rPr>
        <w:t>Non-service FAS pension expense was $80 million and $98 million during the quarters ended March 29, 2026 and March 30, 2025. See “Note 6 - Retirement Benefits” included in our Notes to Consolidated Financial Statements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net</w:t>
      </w:r>
    </w:p>
    <w:p>
      <w:pPr>
        <w:spacing w:after="0" w:line="252"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auto"/>
        </w:rPr>
        <w:t>Other non-operating income, net primarily includes gains or losses related to adjustments in valuation of early-stage company investments or gains or losses upon the sale of these investments and interest income earned on cash and cash equivalents. Other non-operating income, net was $60 million and $ 30 million during the quarters ended March 29, 2026 and March 30, 2025. See “Note 8 - Fair Value Measurements” included in our Notes to Consolidated Financial Statements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5"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auto"/>
        </w:rPr>
        <w:t>Our effective income tax rates were 16.1% and 15.9% for the quarters ended March 29, 2026 and March 30, 2025. The rates for all periods benefited from the tax deductions for foreign derived deduction eligible income (formerly known as foreign derived intangible income), research and development tax credits, dividends paid to our defined contribution plans with an employee stock ownership plan feature and employee equity awards.</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Changes in U.S. (federal or state) or foreign tax laws and regulations, or their interpretation and application (including those with retroactive effect),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retirement benefit obligations, actual cash contributions to our retirement benefit plans and the change in the amount or reevaluation of uncertain tax positions.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4, 2025, the President signed into law the Tax Act. Key provisions included the permanent reinstatement of immediate expensing for domestic research expenditures, the restoration of full expensing for qualified machinery, equipment and other short-lived assets, and several modifications to existing corporate alternative minimum tax (CAMT) and international tax provisions. On February 18, 2026, the U.S.</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Department of Treasury issued Notice 2026-7 (the Notice) providing additional interim guidance regarding the application of the CAMT. We are continuing to evaluate the impacts of the Tax Act and the Notice and there could be additional impacts to our financial results or cash flows.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regularly under audit or examination by tax authorities, including U.S. and foreign tax authorities (Australia, Canada, India, Italy, Japan, Poland, the United Kingdom, and other countries). The final resolution of tax audits and any related administrative reviews or litigation could result in unanticipated increases in our tax expense and changes to the timing of tax payments, which could affect profitability and cash flows for any particular reporting period. These increases or changes could have a material impact on financial condition and results of operations in such period.</w:t>
      </w:r>
    </w:p>
    <w:p>
      <w:pPr>
        <w:spacing w:after="0" w:line="13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Organisation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 2. The OECD issued new administrative guidance on January 5, 2026, with respect to Pillar 2 which modifies key aspects of the framework for countries to enact in their own laws. This new guidance reaffirms we do not expect Pillar 2 to have a material impact on our effective tax rate or our financial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85"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We reported net earnings of $1.5 billion ($6.44 per share) and and $1.7 billion ($ 7.28 per share) during the quarters ended March 29, 2026 and March 30, 2025. Net earnings and earnings per share for the quarter ended March 29, 2026 were affected by the factors mentioned above. Earnings per share also benefited from a net decrease of approximately 4.2 million weighted average common shares outstanding during the quarter ended March 29, 2026, compared to the same period in 2025. The reduction in weighted average common shares was a result of share repurchases in 2025, but none during the quarter ended March 29, 2026, partially offset by share issuances under our stock-based awards and certain defined contribution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OF OPERATIONS</w:t>
      </w:r>
    </w:p>
    <w:p>
      <w:pPr>
        <w:spacing w:after="0" w:line="198" w:lineRule="exact"/>
        <w:rPr>
          <w:sz w:val="20"/>
          <w:szCs w:val="20"/>
          <w:color w:val="auto"/>
        </w:rPr>
      </w:pPr>
    </w:p>
    <w:p>
      <w:pPr>
        <w:jc w:val="both"/>
        <w:ind w:right="240" w:firstLine="445"/>
        <w:spacing w:after="0" w:line="268" w:lineRule="auto"/>
        <w:rPr>
          <w:sz w:val="20"/>
          <w:szCs w:val="20"/>
          <w:color w:val="auto"/>
        </w:rPr>
      </w:pPr>
      <w:r>
        <w:rPr>
          <w:rFonts w:ascii="Arial" w:cs="Arial" w:eastAsia="Arial" w:hAnsi="Arial"/>
          <w:sz w:val="18"/>
          <w:szCs w:val="18"/>
          <w:color w:val="auto"/>
        </w:rPr>
        <w:t>Our operations are organized into four business segments, which also comprise our reportable segments: Aeronautics, Missiles and Fire Control (MFC), Rotary and Mission Systems (RMS) and Space. We generally organize our business segments based on the nature of products and services offered.</w:t>
      </w:r>
    </w:p>
    <w:p>
      <w:pPr>
        <w:spacing w:after="0" w:line="130"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Business segment operating profit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See “Note 3 - Information on Business Segments – Unallocated Items” included in our Notes to Consolidated Financial Statements for additional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ind w:left="460"/>
              <w:spacing w:after="0"/>
              <w:rPr>
                <w:sz w:val="20"/>
                <w:szCs w:val="20"/>
                <w:color w:val="auto"/>
              </w:rPr>
            </w:pPr>
            <w:r>
              <w:rPr>
                <w:rFonts w:ascii="Arial" w:cs="Arial" w:eastAsia="Arial" w:hAnsi="Arial"/>
                <w:sz w:val="18"/>
                <w:szCs w:val="18"/>
                <w:color w:val="auto"/>
              </w:rPr>
              <w:t>Sales and operating profit for each of our business segments were as follows (in millions):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7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March 29,</w:t>
            </w:r>
          </w:p>
        </w:tc>
        <w:tc>
          <w:tcPr>
            <w:tcW w:w="480" w:type="dxa"/>
            <w:vAlign w:val="bottom"/>
          </w:tcPr>
          <w:p>
            <w:pPr>
              <w:spacing w:after="0"/>
              <w:rPr>
                <w:sz w:val="15"/>
                <w:szCs w:val="15"/>
                <w:color w:val="auto"/>
              </w:rPr>
            </w:pPr>
          </w:p>
        </w:tc>
        <w:tc>
          <w:tcPr>
            <w:tcW w:w="134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March 30,</w:t>
            </w:r>
          </w:p>
        </w:tc>
      </w:tr>
      <w:tr>
        <w:trPr>
          <w:trHeight w:val="235"/>
        </w:trPr>
        <w:tc>
          <w:tcPr>
            <w:tcW w:w="7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Aeronautics</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6,953</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7,057</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Missiles and Fire Control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3,649</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3,373</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Rotary and Mission Systems</w:t>
            </w:r>
          </w:p>
        </w:tc>
        <w:tc>
          <w:tcPr>
            <w:tcW w:w="36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3,991</w:t>
            </w:r>
          </w:p>
        </w:tc>
        <w:tc>
          <w:tcPr>
            <w:tcW w:w="48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4,328</w:t>
            </w: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Space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3,428</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3,205</w:t>
            </w:r>
          </w:p>
        </w:tc>
      </w:tr>
      <w:tr>
        <w:trPr>
          <w:trHeight w:val="223"/>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sales</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18,021</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17,963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Aeronautics</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619</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720</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Missiles and Fire Control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500</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465</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Rotary and Mission Systems</w:t>
            </w:r>
          </w:p>
        </w:tc>
        <w:tc>
          <w:tcPr>
            <w:tcW w:w="36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423</w:t>
            </w:r>
          </w:p>
        </w:tc>
        <w:tc>
          <w:tcPr>
            <w:tcW w:w="48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521</w:t>
            </w: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Space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281</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379</w:t>
            </w:r>
          </w:p>
        </w:tc>
      </w:tr>
      <w:tr>
        <w:trPr>
          <w:trHeight w:val="223"/>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business segment operating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1,823</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2,085</w:t>
            </w: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 items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FAS/CAS pension operating adjustment</w:t>
            </w:r>
          </w:p>
        </w:tc>
        <w:tc>
          <w:tcPr>
            <w:tcW w:w="36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421</w:t>
            </w:r>
          </w:p>
        </w:tc>
        <w:tc>
          <w:tcPr>
            <w:tcW w:w="48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379</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 amortization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w:t>
            </w:r>
          </w:p>
        </w:tc>
      </w:tr>
      <w:tr>
        <w:trPr>
          <w:trHeight w:val="230"/>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(131)</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w:t>
            </w:r>
          </w:p>
        </w:tc>
      </w:tr>
      <w:tr>
        <w:trPr>
          <w:trHeight w:val="223"/>
        </w:trPr>
        <w:tc>
          <w:tcPr>
            <w:tcW w:w="7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unallocated items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240</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287</w:t>
            </w:r>
          </w:p>
        </w:tc>
      </w:tr>
      <w:tr>
        <w:trPr>
          <w:trHeight w:val="230"/>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consolidated operating profit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2,063</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2,372</w:t>
            </w:r>
          </w:p>
        </w:tc>
      </w:tr>
    </w:tbl>
    <w:p>
      <w:pPr>
        <w:spacing w:after="0" w:line="29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Management evaluates performance on our contracts by focusing on sales and operating profit and not by type or amount of operating expense. Consequently, our discussion of business segment performance focuses on sales and operating profit, consistent with our approach for managing the business. This approach is consistent throughout the life cycle of our contracts, as management assesses the bidding of each contract by focusing on sales and operating profit and monitors performance on our contracts in a similar manner through their completion. This method and assumptions used to evaluate contracts and recognize revenue, including the use of percentage-of-completion accounting for contracts with continuous transfer of control to the customer, are consistent with those described in our 2025 Form 10-K under “Management’s Discussion and Analysis of Financial Condition and Results of Operations”. Additionally, for updates related to fixed-price contracts, see “Note 10 - Other” included in our Notes to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Changes in sales and operating profit generally are expressed in terms of volume, contract mix, and/or performance (referred to as profit booking rate adjustments).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 Contract mix primarily refers to changes in the ratio of contract type or life cycle (e.g., cost-type, fixed-price, development, production and/or sustainment) and other cost recoveries.</w:t>
      </w:r>
    </w:p>
    <w:p>
      <w:pPr>
        <w:spacing w:after="0" w:line="139"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Comparability of our segment sales, operating profit and operating margin may be impacted favorably or unfavorably by changes in profit booking rates on our contracts, see “Note 10 - Other” included in our Notes to Consolidated Financial Statements.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effect of our consolidated net profit booking rate adjustments on segment operating profit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191"/>
              <w:spacing w:after="0" w:line="169" w:lineRule="exact"/>
              <w:rPr>
                <w:sz w:val="20"/>
                <w:szCs w:val="20"/>
                <w:color w:val="auto"/>
              </w:rPr>
            </w:pPr>
            <w:r>
              <w:rPr>
                <w:rFonts w:ascii="Arial" w:cs="Arial" w:eastAsia="Arial" w:hAnsi="Arial"/>
                <w:sz w:val="18"/>
                <w:szCs w:val="18"/>
                <w:b w:val="1"/>
                <w:bCs w:val="1"/>
                <w:color w:val="auto"/>
              </w:rPr>
              <w:t>March 29,</w:t>
            </w:r>
          </w:p>
        </w:tc>
        <w:tc>
          <w:tcPr>
            <w:tcW w:w="520" w:type="dxa"/>
            <w:vAlign w:val="bottom"/>
          </w:tcPr>
          <w:p>
            <w:pPr>
              <w:spacing w:after="0"/>
              <w:rPr>
                <w:sz w:val="14"/>
                <w:szCs w:val="14"/>
                <w:color w:val="auto"/>
              </w:rPr>
            </w:pPr>
          </w:p>
        </w:tc>
        <w:tc>
          <w:tcPr>
            <w:tcW w:w="14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15</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w:t>
            </w: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Missiles and Fire Control</w:t>
            </w:r>
          </w:p>
        </w:tc>
        <w:tc>
          <w:tcPr>
            <w:tcW w:w="260" w:type="dxa"/>
            <w:vAlign w:val="bottom"/>
          </w:tcPr>
          <w:p>
            <w:pPr>
              <w:spacing w:after="0"/>
              <w:rPr>
                <w:sz w:val="19"/>
                <w:szCs w:val="19"/>
                <w:color w:val="auto"/>
              </w:rPr>
            </w:pPr>
          </w:p>
        </w:tc>
        <w:tc>
          <w:tcPr>
            <w:tcW w:w="1260" w:type="dxa"/>
            <w:vAlign w:val="bottom"/>
          </w:tcPr>
          <w:p>
            <w:pPr>
              <w:jc w:val="right"/>
              <w:ind w:right="271"/>
              <w:spacing w:after="0"/>
              <w:rPr>
                <w:sz w:val="20"/>
                <w:szCs w:val="20"/>
                <w:color w:val="auto"/>
              </w:rPr>
            </w:pPr>
            <w:r>
              <w:rPr>
                <w:rFonts w:ascii="Arial" w:cs="Arial" w:eastAsia="Arial" w:hAnsi="Arial"/>
                <w:sz w:val="18"/>
                <w:szCs w:val="18"/>
                <w:b w:val="1"/>
                <w:bCs w:val="1"/>
                <w:color w:val="auto"/>
              </w:rPr>
              <w:t>135</w:t>
            </w:r>
          </w:p>
        </w:tc>
        <w:tc>
          <w:tcPr>
            <w:tcW w:w="5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130</w:t>
            </w:r>
          </w:p>
        </w:tc>
      </w:tr>
      <w:tr>
        <w:trPr>
          <w:trHeight w:val="229"/>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Rotary and Mission Systems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35</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85</w:t>
            </w:r>
          </w:p>
        </w:tc>
      </w:tr>
      <w:tr>
        <w:trPr>
          <w:trHeight w:val="230"/>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30</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155</w:t>
            </w:r>
          </w:p>
        </w:tc>
      </w:tr>
      <w:tr>
        <w:trPr>
          <w:trHeight w:val="230"/>
        </w:trPr>
        <w:tc>
          <w:tcPr>
            <w:tcW w:w="7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net adjustments to segment operating profit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7"/>
                <w:szCs w:val="17"/>
                <w:b w:val="1"/>
                <w:bCs w:val="1"/>
                <w:color w:val="auto"/>
              </w:rPr>
              <w:t>215</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480</w:t>
            </w:r>
          </w:p>
        </w:tc>
      </w:tr>
    </w:tbl>
    <w:p>
      <w:pPr>
        <w:spacing w:after="0" w:line="251" w:lineRule="exact"/>
        <w:rPr>
          <w:sz w:val="20"/>
          <w:szCs w:val="20"/>
          <w:color w:val="auto"/>
        </w:rPr>
      </w:pPr>
    </w:p>
    <w:p>
      <w:pPr>
        <w:ind w:right="200" w:firstLine="405"/>
        <w:spacing w:after="0" w:line="278" w:lineRule="auto"/>
        <w:rPr>
          <w:sz w:val="20"/>
          <w:szCs w:val="20"/>
          <w:color w:val="auto"/>
        </w:rPr>
      </w:pPr>
      <w:r>
        <w:rPr>
          <w:rFonts w:ascii="Arial" w:cs="Arial" w:eastAsia="Arial" w:hAnsi="Arial"/>
          <w:sz w:val="17"/>
          <w:szCs w:val="17"/>
          <w:color w:val="auto"/>
        </w:rPr>
        <w:t>During the quarter ended March 29, 2026, we recorded unfavorable profit adjustments of $125 million on the F-16 program as a result of production performance and development delays, $ 85 million on the C-130 program as a result of continued diminishing manufacturing source integration challenges and associated delivery delays, and $130 million of favorable profit adjustment on the F-35 program. During the quarter ended March 30, 2025, we recorded $185 million of adjustments resulting from favorable performance upon completion on certain commercial civil space programs at our Space business segment and a classified program at our Aeronautics business segment.</w:t>
      </w:r>
    </w:p>
    <w:p>
      <w:pPr>
        <w:spacing w:after="0" w:line="110"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There are certain programs where there is a risk of additional losses, including Aeronautics, MFC and RMS business segments. For further discussion regarding the losses recognized on these programs, including factors that could contribute to potential future losses, see “Note 10 - Other” included in our Notes to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Aeronautics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our Aeronautics business segment were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230"/>
              <w:spacing w:after="0" w:line="177" w:lineRule="exact"/>
              <w:rPr>
                <w:sz w:val="20"/>
                <w:szCs w:val="20"/>
                <w:color w:val="auto"/>
              </w:rPr>
            </w:pPr>
            <w:r>
              <w:rPr>
                <w:rFonts w:ascii="Arial" w:cs="Arial" w:eastAsia="Arial" w:hAnsi="Arial"/>
                <w:sz w:val="18"/>
                <w:szCs w:val="18"/>
                <w:b w:val="1"/>
                <w:bCs w:val="1"/>
                <w:color w:val="auto"/>
              </w:rPr>
              <w:t>March 29,</w:t>
            </w:r>
          </w:p>
        </w:tc>
        <w:tc>
          <w:tcPr>
            <w:tcW w:w="580" w:type="dxa"/>
            <w:vAlign w:val="bottom"/>
          </w:tcPr>
          <w:p>
            <w:pPr>
              <w:spacing w:after="0"/>
              <w:rPr>
                <w:sz w:val="15"/>
                <w:szCs w:val="15"/>
                <w:color w:val="auto"/>
              </w:rPr>
            </w:pPr>
          </w:p>
        </w:tc>
        <w:tc>
          <w:tcPr>
            <w:tcW w:w="150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March 30,</w:t>
            </w:r>
          </w:p>
        </w:tc>
      </w:tr>
      <w:tr>
        <w:trPr>
          <w:trHeight w:val="235"/>
        </w:trPr>
        <w:tc>
          <w:tcPr>
            <w:tcW w:w="7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2025</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6,953</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7,057</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619</w:t>
            </w:r>
          </w:p>
        </w:tc>
        <w:tc>
          <w:tcPr>
            <w:tcW w:w="580" w:type="dxa"/>
            <w:vAlign w:val="bottom"/>
          </w:tcPr>
          <w:p>
            <w:pPr>
              <w:spacing w:after="0"/>
              <w:rPr>
                <w:sz w:val="19"/>
                <w:szCs w:val="19"/>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720</w:t>
            </w:r>
          </w:p>
        </w:tc>
      </w:tr>
      <w:tr>
        <w:trPr>
          <w:trHeight w:val="23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8.9%</w:t>
            </w:r>
          </w:p>
        </w:tc>
        <w:tc>
          <w:tcPr>
            <w:tcW w:w="5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10.2%</w:t>
            </w:r>
          </w:p>
        </w:tc>
      </w:tr>
    </w:tbl>
    <w:p>
      <w:pPr>
        <w:spacing w:after="0" w:line="238" w:lineRule="exact"/>
        <w:rPr>
          <w:sz w:val="20"/>
          <w:szCs w:val="20"/>
          <w:color w:val="auto"/>
        </w:rPr>
      </w:pPr>
    </w:p>
    <w:p>
      <w:pPr>
        <w:ind w:right="40" w:firstLine="445"/>
        <w:spacing w:after="0" w:line="244" w:lineRule="auto"/>
        <w:rPr>
          <w:sz w:val="20"/>
          <w:szCs w:val="20"/>
          <w:color w:val="auto"/>
        </w:rPr>
      </w:pPr>
      <w:r>
        <w:rPr>
          <w:rFonts w:ascii="Arial" w:cs="Arial" w:eastAsia="Arial" w:hAnsi="Arial"/>
          <w:sz w:val="18"/>
          <w:szCs w:val="18"/>
          <w:color w:val="auto"/>
        </w:rPr>
        <w:t>Aeronautics’ sales during the quarter ended March 29, 2026 decreased $104 million, or 1%, compared to the same period in 2025. The decrease was primarily attributable to lower sales of approximately $325 million on classified programs due to lower volume; and approximately $145 million for the F-16 program due to the sales impact of unfavorable profit adjustments recognized in first quarter of 2026 and lower production volume. These decreases were partially offset by higher sales of approximately $325 million for the F-35 program due to higher volume on sustainment contracts.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445"/>
        <w:spacing w:after="0" w:line="245" w:lineRule="auto"/>
        <w:rPr>
          <w:sz w:val="20"/>
          <w:szCs w:val="20"/>
          <w:color w:val="auto"/>
        </w:rPr>
      </w:pPr>
      <w:r>
        <w:rPr>
          <w:rFonts w:ascii="Arial" w:cs="Arial" w:eastAsia="Arial" w:hAnsi="Arial"/>
          <w:sz w:val="18"/>
          <w:szCs w:val="18"/>
          <w:color w:val="auto"/>
        </w:rPr>
        <w:t>Aeronautics’ operating profit during the quarter ended March 29, 2026 decreased $101 million, or 14%, compared to the same period in 2025, primarily due to a $95 million decrease in profit booking rate adjustments. This decrease in profit book rate adjustments reflects $125</w:t>
      </w:r>
    </w:p>
    <w:p>
      <w:pPr>
        <w:ind w:right="180"/>
        <w:spacing w:after="0"/>
        <w:rPr>
          <w:sz w:val="20"/>
          <w:szCs w:val="20"/>
          <w:color w:val="auto"/>
        </w:rPr>
      </w:pPr>
      <w:r>
        <w:rPr>
          <w:rFonts w:ascii="Arial" w:cs="Arial" w:eastAsia="Arial" w:hAnsi="Arial"/>
          <w:sz w:val="17"/>
          <w:szCs w:val="17"/>
          <w:color w:val="auto"/>
        </w:rPr>
        <w:t>million of unfavorable profit adjustments on the F-16 program as a result of production performance and development delays; $ 55 million of net unfavorable profit adjustments on the C-130 program as a result of continued diminishing manufacturing source integration challenges</w:t>
      </w:r>
    </w:p>
    <w:p>
      <w:pPr>
        <w:spacing w:after="0" w:line="1" w:lineRule="exact"/>
        <w:rPr>
          <w:sz w:val="20"/>
          <w:szCs w:val="20"/>
          <w:color w:val="auto"/>
        </w:rPr>
      </w:pPr>
    </w:p>
    <w:p>
      <w:pPr>
        <w:jc w:val="both"/>
        <w:ind w:right="220"/>
        <w:spacing w:after="0" w:line="242" w:lineRule="auto"/>
        <w:rPr>
          <w:sz w:val="20"/>
          <w:szCs w:val="20"/>
          <w:color w:val="auto"/>
        </w:rPr>
      </w:pPr>
      <w:r>
        <w:rPr>
          <w:rFonts w:ascii="Arial" w:cs="Arial" w:eastAsia="Arial" w:hAnsi="Arial"/>
          <w:sz w:val="18"/>
          <w:szCs w:val="18"/>
          <w:color w:val="auto"/>
        </w:rPr>
        <w:t>and associated delivery delays; and the absence of an $80 million adjustment that occurred in the quarter ended March 30, 2025 resulting from favorable performance at completion on a classified program. These decreases in profit booking rate adjustments were partially offset by $130 million of higher favorable profit adjustments on the F-35 program.</w:t>
      </w:r>
    </w:p>
    <w:p>
      <w:pPr>
        <w:spacing w:after="0" w:line="139" w:lineRule="exact"/>
        <w:rPr>
          <w:sz w:val="20"/>
          <w:szCs w:val="20"/>
          <w:color w:val="auto"/>
        </w:rPr>
      </w:pPr>
    </w:p>
    <w:p>
      <w:pPr>
        <w:jc w:val="both"/>
        <w:ind w:right="340" w:firstLine="445"/>
        <w:spacing w:after="0" w:line="253" w:lineRule="auto"/>
        <w:rPr>
          <w:sz w:val="20"/>
          <w:szCs w:val="20"/>
          <w:color w:val="auto"/>
        </w:rPr>
      </w:pPr>
      <w:r>
        <w:rPr>
          <w:rFonts w:ascii="Arial" w:cs="Arial" w:eastAsia="Arial" w:hAnsi="Arial"/>
          <w:sz w:val="18"/>
          <w:szCs w:val="18"/>
          <w:color w:val="auto"/>
        </w:rPr>
        <w:t>Additionally, during the first quarter of 2026, we delivered 32 F-35 aircraft. Since the program inception through March 29, 2026, we delivered 1,325 production F-35 aircraft, including 948 F-35A variants, 245 F-35B variants and 132 F-35C variants, and our backlog as of that date was 336 aircraft.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Missiles and Fire Control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our MFC business segment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March 29,</w:t>
            </w:r>
          </w:p>
        </w:tc>
        <w:tc>
          <w:tcPr>
            <w:tcW w:w="580" w:type="dxa"/>
            <w:vAlign w:val="bottom"/>
          </w:tcPr>
          <w:p>
            <w:pPr>
              <w:spacing w:after="0"/>
              <w:rPr>
                <w:sz w:val="15"/>
                <w:szCs w:val="15"/>
                <w:color w:val="auto"/>
              </w:rPr>
            </w:pPr>
          </w:p>
        </w:tc>
        <w:tc>
          <w:tcPr>
            <w:tcW w:w="150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March 30,</w:t>
            </w:r>
          </w:p>
        </w:tc>
      </w:tr>
      <w:tr>
        <w:trPr>
          <w:trHeight w:val="235"/>
        </w:trPr>
        <w:tc>
          <w:tcPr>
            <w:tcW w:w="7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2025</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3,649</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3,373</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1340" w:type="dxa"/>
            <w:vAlign w:val="bottom"/>
          </w:tcPr>
          <w:p>
            <w:pPr>
              <w:ind w:left="540"/>
              <w:spacing w:after="0"/>
              <w:rPr>
                <w:sz w:val="20"/>
                <w:szCs w:val="20"/>
                <w:color w:val="auto"/>
              </w:rPr>
            </w:pPr>
            <w:r>
              <w:rPr>
                <w:rFonts w:ascii="Arial" w:cs="Arial" w:eastAsia="Arial" w:hAnsi="Arial"/>
                <w:sz w:val="18"/>
                <w:szCs w:val="18"/>
                <w:b w:val="1"/>
                <w:bCs w:val="1"/>
                <w:color w:val="auto"/>
              </w:rPr>
              <w:t>500</w:t>
            </w:r>
          </w:p>
        </w:tc>
        <w:tc>
          <w:tcPr>
            <w:tcW w:w="580" w:type="dxa"/>
            <w:vAlign w:val="bottom"/>
          </w:tcPr>
          <w:p>
            <w:pPr>
              <w:spacing w:after="0"/>
              <w:rPr>
                <w:sz w:val="19"/>
                <w:szCs w:val="19"/>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465</w:t>
            </w:r>
          </w:p>
        </w:tc>
      </w:tr>
      <w:tr>
        <w:trPr>
          <w:trHeight w:val="237"/>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13.7%</w:t>
            </w:r>
          </w:p>
        </w:tc>
        <w:tc>
          <w:tcPr>
            <w:tcW w:w="5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13.8%</w:t>
            </w:r>
          </w:p>
        </w:tc>
      </w:tr>
    </w:tbl>
    <w:p>
      <w:pPr>
        <w:spacing w:after="0" w:line="251" w:lineRule="exact"/>
        <w:rPr>
          <w:sz w:val="20"/>
          <w:szCs w:val="20"/>
          <w:color w:val="auto"/>
        </w:rPr>
      </w:pPr>
    </w:p>
    <w:p>
      <w:pPr>
        <w:ind w:right="240" w:firstLine="405"/>
        <w:spacing w:after="0" w:line="268" w:lineRule="auto"/>
        <w:rPr>
          <w:sz w:val="20"/>
          <w:szCs w:val="20"/>
          <w:color w:val="auto"/>
        </w:rPr>
      </w:pPr>
      <w:r>
        <w:rPr>
          <w:rFonts w:ascii="Arial" w:cs="Arial" w:eastAsia="Arial" w:hAnsi="Arial"/>
          <w:sz w:val="18"/>
          <w:szCs w:val="18"/>
          <w:color w:val="auto"/>
        </w:rPr>
        <w:t>MFC’s sales during the quarter ended March 29, 2026 increased $276 million, or 8%, compared to the same period in 2025. This increase was primarily attributable to production ramp-up of $190 million at integrated air and missile defense programs (existing contracts on PAC-3) and $75 million at tactical and strike missile programs (JASSM, LRASM and PrSM).</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MFC’s operating profit during the quarter ended March 29, 2026 increased $35 million, or 8%, compared to the same period in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attributable to higher sales volume previously described.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Rotary and Mission Systems</w:t>
      </w:r>
    </w:p>
    <w:p>
      <w:pPr>
        <w:spacing w:after="0" w:line="185" w:lineRule="exact"/>
        <w:rPr>
          <w:sz w:val="20"/>
          <w:szCs w:val="20"/>
          <w:color w:val="auto"/>
        </w:rPr>
      </w:pPr>
    </w:p>
    <w:p>
      <w:pPr>
        <w:ind w:right="40" w:firstLine="405"/>
        <w:spacing w:after="0" w:line="226" w:lineRule="exact"/>
        <w:rPr>
          <w:sz w:val="20"/>
          <w:szCs w:val="20"/>
          <w:color w:val="auto"/>
        </w:rPr>
      </w:pPr>
      <w:r>
        <w:rPr>
          <w:rFonts w:ascii="Arial" w:cs="Arial" w:eastAsia="Arial" w:hAnsi="Arial"/>
          <w:sz w:val="18"/>
          <w:szCs w:val="18"/>
          <w:color w:val="auto"/>
        </w:rPr>
        <w:t>Effective January 2026, the Integrated Warfare Systems and Sensors (IWSS) and C6ISR lines of business within RMS were restructured and renamed Sensors, Effectors &amp; Mission Systems (SEMS) and Mission Integrated Command and Control (MIC2). This includes realignment of various programs, such as Aegis and River-Class Destroyer (RCD) moving from what was historically IWSS to MIC2, which more closely aligns with C6ISR. SEMS and MIC2 will therefore incorporate an updated mix of existing program portfolios designed to accelerate mission</w:t>
      </w:r>
      <w:r>
        <w:rPr>
          <w:rFonts w:ascii="MS PGothic" w:cs="MS PGothic" w:eastAsia="MS PGothic" w:hAnsi="MS PGothic"/>
          <w:sz w:val="18"/>
          <w:szCs w:val="18"/>
          <w:color w:val="auto"/>
        </w:rPr>
        <w:t>‑</w:t>
      </w:r>
      <w:r>
        <w:rPr>
          <w:rFonts w:ascii="Arial" w:cs="Arial" w:eastAsia="Arial" w:hAnsi="Arial"/>
          <w:sz w:val="18"/>
          <w:szCs w:val="18"/>
          <w:color w:val="auto"/>
        </w:rPr>
        <w:t>focused solutions and enhance our customers’ experience.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Summary operating results for our RMS business segment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80"/>
              <w:spacing w:after="0" w:line="169" w:lineRule="exact"/>
              <w:rPr>
                <w:sz w:val="20"/>
                <w:szCs w:val="20"/>
                <w:color w:val="auto"/>
              </w:rPr>
            </w:pPr>
            <w:r>
              <w:rPr>
                <w:rFonts w:ascii="Arial" w:cs="Arial" w:eastAsia="Arial" w:hAnsi="Arial"/>
                <w:sz w:val="18"/>
                <w:szCs w:val="18"/>
                <w:b w:val="1"/>
                <w:bCs w:val="1"/>
                <w:color w:val="auto"/>
              </w:rPr>
              <w:t>March 29,</w:t>
            </w:r>
          </w:p>
        </w:tc>
        <w:tc>
          <w:tcPr>
            <w:tcW w:w="580" w:type="dxa"/>
            <w:vAlign w:val="bottom"/>
          </w:tcPr>
          <w:p>
            <w:pPr>
              <w:spacing w:after="0"/>
              <w:rPr>
                <w:sz w:val="14"/>
                <w:szCs w:val="14"/>
                <w:color w:val="auto"/>
              </w:rPr>
            </w:pPr>
          </w:p>
        </w:tc>
        <w:tc>
          <w:tcPr>
            <w:tcW w:w="1500" w:type="dxa"/>
            <w:vAlign w:val="bottom"/>
          </w:tcPr>
          <w:p>
            <w:pPr>
              <w:ind w:left="18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4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2025</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3,991</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4,328</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1340" w:type="dxa"/>
            <w:vAlign w:val="bottom"/>
          </w:tcPr>
          <w:p>
            <w:pPr>
              <w:ind w:left="540"/>
              <w:spacing w:after="0"/>
              <w:rPr>
                <w:sz w:val="20"/>
                <w:szCs w:val="20"/>
                <w:color w:val="auto"/>
              </w:rPr>
            </w:pPr>
            <w:r>
              <w:rPr>
                <w:rFonts w:ascii="Arial" w:cs="Arial" w:eastAsia="Arial" w:hAnsi="Arial"/>
                <w:sz w:val="18"/>
                <w:szCs w:val="18"/>
                <w:b w:val="1"/>
                <w:bCs w:val="1"/>
                <w:color w:val="auto"/>
              </w:rPr>
              <w:t>423</w:t>
            </w:r>
          </w:p>
        </w:tc>
        <w:tc>
          <w:tcPr>
            <w:tcW w:w="580" w:type="dxa"/>
            <w:vAlign w:val="bottom"/>
          </w:tcPr>
          <w:p>
            <w:pPr>
              <w:spacing w:after="0"/>
              <w:rPr>
                <w:sz w:val="19"/>
                <w:szCs w:val="19"/>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521</w:t>
            </w:r>
          </w:p>
        </w:tc>
      </w:tr>
      <w:tr>
        <w:trPr>
          <w:trHeight w:val="236"/>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10.6%</w:t>
            </w:r>
          </w:p>
        </w:tc>
        <w:tc>
          <w:tcPr>
            <w:tcW w:w="5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12.0%</w:t>
            </w:r>
          </w:p>
        </w:tc>
      </w:tr>
    </w:tbl>
    <w:p>
      <w:pPr>
        <w:spacing w:after="0" w:line="251"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RMS’ sales during the quarter ended March 29, 2026 decreased $337 million, or 8%, compared to the same period in 2025. The decrease was primarily attributable to lower net sales of $170 million on SEMS programs due to lower volume on radar programs; and $110 million on Sikorsky helicopter programs (CH-53K, Seahawk and Black Hawk) primarily due to lower volume and the sales impact of unfavorable profit adjustments recognized in the quarter ended March 29, 2026.</w:t>
      </w:r>
    </w:p>
    <w:p>
      <w:pPr>
        <w:spacing w:after="0" w:line="136"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RMS’ operating profit during the quarter ended March 29, 2026 decreased $98 million, or 19%, compared to the same period in 2025. This was primarily attributable to a $50 million decrease in profit booking rate adjustments largely</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driven by unfavorable profit adjustments on the CH-53K and Seahawk programs; and the absence of a $50 million cost recovery related to an intellectual property license arrangement that occurred in the quarter ended March 30,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our Space business segment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March 29,</w:t>
            </w:r>
          </w:p>
        </w:tc>
        <w:tc>
          <w:tcPr>
            <w:tcW w:w="580" w:type="dxa"/>
            <w:vAlign w:val="bottom"/>
          </w:tcPr>
          <w:p>
            <w:pPr>
              <w:spacing w:after="0"/>
              <w:rPr>
                <w:sz w:val="14"/>
                <w:szCs w:val="14"/>
                <w:color w:val="auto"/>
              </w:rPr>
            </w:pPr>
          </w:p>
        </w:tc>
        <w:tc>
          <w:tcPr>
            <w:tcW w:w="15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3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3,428</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3,205</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281</w:t>
            </w:r>
          </w:p>
        </w:tc>
        <w:tc>
          <w:tcPr>
            <w:tcW w:w="58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379</w:t>
            </w:r>
          </w:p>
        </w:tc>
      </w:tr>
      <w:tr>
        <w:trPr>
          <w:trHeight w:val="237"/>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8.2%</w:t>
            </w:r>
          </w:p>
        </w:tc>
        <w:tc>
          <w:tcPr>
            <w:tcW w:w="5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11.8%</w:t>
            </w:r>
          </w:p>
        </w:tc>
      </w:tr>
    </w:tbl>
    <w:p>
      <w:pPr>
        <w:spacing w:after="0" w:line="25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Space’s sales during the quarter ended March 29, 2026 increased $223 million, or 7%, compared to the same period in 2025. This increase was primarily attributable to higher sales volume of $245 million for strategic and missile defense programs on the FBM and Next Generation Interceptor (NGI) programs.</w:t>
      </w:r>
    </w:p>
    <w:p>
      <w:pPr>
        <w:spacing w:after="0" w:line="13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Space’s operating profit during the quarter ended March 29, 2026 decreased $98 million, or 26%, compared to the same period in 2025. This decrease was primarily attributable to a $125 million decrease in profit booking rate adjustments driven by favorable performance at completion on certain commercial civil space programs for the quarter ended March 30, 2025; partially offset by an increase from higher sales volume previously described.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At March 29, 2026, we had cash and cash equivalents of $1.9 billion that was generally available to fund ordinary business operations without significant legal, regulatory or other restrictions. Our principal source of liquidity is our cash from operations and access to credit markets. Access to credit markets includes our revolving credit facilities, including the ability to issue commercial paper. We may, as conditions warrant, issue commercial paper backed by our revolving credit facility to manage the timing of cash flows. There were no borrowings outstanding under the revolving credit facilities or the commercial paper program at March 29, 2026 or December 31, 2025.</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Cash received from customers is our primary source of cash from operations. However, from time to time, we fund customer programs ourselves pending government appropriations or prior to contract award. If we incur costs in excess of funds obligated on the contract or in advance of a contract award, this negatively affects our cash flows, and we may be at risk for reimbursement of the excess costs. In addition, when estimates of total costs to be incurred on a contract exceed total estimates of the transaction price, a provision for the entire loss is determined at the contract level and is recorded in the period in which the loss is evident, which we refer to as a reach-forward loss. These reach-forward losses do not have an immediate cash flow impact, but as future costs are incurred on these contracts, these losses will negatively impact cash flows over the remaining period of performance.</w:t>
      </w:r>
    </w:p>
    <w:p>
      <w:pPr>
        <w:spacing w:after="0" w:line="156"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Increases in costs due to tariffs may impact our cash flows, as we may not be able to fully recover these costs, and even if recovery is possible, it may not occur in the same period as the incurred costs. See “Business Overview” discussion above.</w:t>
      </w:r>
    </w:p>
    <w:p>
      <w:pPr>
        <w:spacing w:after="0" w:line="11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Billing timetables and payment terms on our contracts vary based on a number of factors, including the contract type. We generally bill and collect cash more frequently under cost-reimbursable contracts, which represented approximately 42% of the sales we recorded during the quarter ended March 29, 2026, as we are authorized to bill as the costs are incurred. A number of our fixed-price contracts may provide for performance-based payments, which allow us to bill and collect cash as we perform on the contract as we achieve milestones. The amounts of performance-based payments and the related milestones are determined in the negotiation of each contract. The timing of such payments may differ from the timing of the costs incurred related to our contract performance, thereby affecting our cash flows.</w:t>
      </w:r>
    </w:p>
    <w:p>
      <w:pPr>
        <w:spacing w:after="0" w:line="142" w:lineRule="exact"/>
        <w:rPr>
          <w:sz w:val="20"/>
          <w:szCs w:val="20"/>
          <w:color w:val="auto"/>
        </w:rPr>
      </w:pPr>
    </w:p>
    <w:p>
      <w:pPr>
        <w:jc w:val="both"/>
        <w:ind w:right="220" w:firstLine="405"/>
        <w:spacing w:after="0" w:line="268" w:lineRule="auto"/>
        <w:rPr>
          <w:sz w:val="20"/>
          <w:szCs w:val="20"/>
          <w:color w:val="auto"/>
        </w:rPr>
      </w:pPr>
      <w:r>
        <w:rPr>
          <w:rFonts w:ascii="Arial" w:cs="Arial" w:eastAsia="Arial" w:hAnsi="Arial"/>
          <w:sz w:val="18"/>
          <w:szCs w:val="18"/>
          <w:color w:val="auto"/>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cumulative amount of cash collected during the life of the contract should not vary due to these items.</w:t>
      </w:r>
    </w:p>
    <w:p>
      <w:pPr>
        <w:spacing w:after="0" w:line="13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seek to maintain a disciplined and dynamic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 As we implement our digital and business transformation, which includes implementation of new systems, the timing of certain of our cash flows may be temporarily impacted within a calendar year.</w:t>
      </w:r>
    </w:p>
    <w:p>
      <w:pPr>
        <w:spacing w:after="0" w:line="142" w:lineRule="exact"/>
        <w:rPr>
          <w:sz w:val="20"/>
          <w:szCs w:val="20"/>
          <w:color w:val="auto"/>
        </w:rPr>
      </w:pPr>
    </w:p>
    <w:p>
      <w:pPr>
        <w:ind w:right="240" w:firstLine="405"/>
        <w:spacing w:after="0" w:line="282" w:lineRule="auto"/>
        <w:rPr>
          <w:sz w:val="20"/>
          <w:szCs w:val="20"/>
          <w:color w:val="auto"/>
        </w:rPr>
      </w:pPr>
      <w:r>
        <w:rPr>
          <w:rFonts w:ascii="Arial" w:cs="Arial" w:eastAsia="Arial" w:hAnsi="Arial"/>
          <w:sz w:val="17"/>
          <w:szCs w:val="17"/>
          <w:color w:val="auto"/>
        </w:rPr>
        <w:t>We continue to actively manage our debt levels, including maturities and interest rates. We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or arrangements for our cash and operational needs.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actively manage our pension obligations and expect to continue to opportunistically manage our pension obligations through additional contributions at our discretion, the purchase of group annuity contracts or other actions for portions of our outstanding defined benefit pension obligations using assets from the pension trust. See “Note 6 - Retirement Benefits” included in our Notes to Consolidated Financial Statements for additional information.</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cash flow information followed by a discussion of the key elements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March 29,</w:t>
            </w:r>
          </w:p>
        </w:tc>
        <w:tc>
          <w:tcPr>
            <w:tcW w:w="480" w:type="dxa"/>
            <w:vAlign w:val="bottom"/>
          </w:tcPr>
          <w:p>
            <w:pPr>
              <w:spacing w:after="0"/>
              <w:rPr>
                <w:sz w:val="14"/>
                <w:szCs w:val="14"/>
                <w:color w:val="auto"/>
              </w:rPr>
            </w:pPr>
          </w:p>
        </w:tc>
        <w:tc>
          <w:tcPr>
            <w:tcW w:w="13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4,121</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2,483</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1,488</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1,712</w:t>
            </w: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Noncash adjustments</w:t>
            </w:r>
          </w:p>
        </w:tc>
        <w:tc>
          <w:tcPr>
            <w:tcW w:w="26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642</w:t>
            </w:r>
          </w:p>
        </w:tc>
        <w:tc>
          <w:tcPr>
            <w:tcW w:w="48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423</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working capital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(1,515)</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(258)</w:t>
            </w:r>
          </w:p>
        </w:tc>
      </w:tr>
      <w:tr>
        <w:trPr>
          <w:trHeight w:val="229"/>
        </w:trPr>
        <w:tc>
          <w:tcPr>
            <w:tcW w:w="7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(395)</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(468)</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220</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1,409</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(541)</w:t>
            </w:r>
          </w:p>
        </w:tc>
        <w:tc>
          <w:tcPr>
            <w:tcW w:w="48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(430)</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(1,906)</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(1,659)</w:t>
            </w:r>
          </w:p>
        </w:tc>
      </w:tr>
      <w:tr>
        <w:trPr>
          <w:trHeight w:val="223"/>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(2,227)</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(680)</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1,894</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1,803</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Net cash provided by operating activities during the quarter ended March 29, 2026 decreased $1.2 billion compared to the same period in 2025. The decrease in cash from operations was primarily due to higher working capital largely as a result of timing of billing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 - Free Cash Flow</w:t>
      </w:r>
    </w:p>
    <w:p>
      <w:pPr>
        <w:spacing w:after="0" w:line="198"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While management believes that free cash flow as a non-GAAP financial measure may be useful in evaluating our financial performance, it should be considered supplemental to, and not 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substitute for, financial information prepared in accordance with GAAP and may not be comparable to similarly titled measures used by other companies.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cash provided by operating activities to free cash flow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March 29,</w:t>
            </w:r>
          </w:p>
        </w:tc>
        <w:tc>
          <w:tcPr>
            <w:tcW w:w="480" w:type="dxa"/>
            <w:vAlign w:val="bottom"/>
          </w:tcPr>
          <w:p>
            <w:pPr>
              <w:spacing w:after="0"/>
              <w:rPr>
                <w:sz w:val="15"/>
                <w:szCs w:val="15"/>
                <w:color w:val="auto"/>
              </w:rPr>
            </w:pPr>
          </w:p>
        </w:tc>
        <w:tc>
          <w:tcPr>
            <w:tcW w:w="134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March 30,</w:t>
            </w:r>
          </w:p>
        </w:tc>
      </w:tr>
      <w:tr>
        <w:trPr>
          <w:trHeight w:val="235"/>
        </w:trPr>
        <w:tc>
          <w:tcPr>
            <w:tcW w:w="7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from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220</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1,409</w:t>
            </w:r>
          </w:p>
        </w:tc>
      </w:tr>
      <w:tr>
        <w:trPr>
          <w:trHeight w:val="229"/>
        </w:trPr>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(511)</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(454)</w:t>
            </w:r>
          </w:p>
        </w:tc>
      </w:tr>
      <w:tr>
        <w:trPr>
          <w:trHeight w:val="23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(291)</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955</w:t>
            </w:r>
          </w:p>
        </w:tc>
      </w:tr>
    </w:tbl>
    <w:p>
      <w:pPr>
        <w:spacing w:after="0" w:line="251"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Free cash flow during the quarter ended March 29, 2026 decreased $1.2 billion compared to the same period in 2025 primarily due to operating cash flow drivers described above and higher software expenditures.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Net cash used for investing activities during the quarter ended March 29, 2026 increased $111 million compared to the same period in 2025. Capital expenditures totaled $511 million and $454 million during the quarter ended March 29, 2026 and March 30, 2025. The majority of our capital expenditures are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Net cash used for financing activities during the quarter ended March 29, 2026 increased $247 million compared to the same period in 2025. During the quarter ended March 29, 2026, we repaid $1.0 billion of long-term notes with a fixed interest rate of 3.55% according to their scheduled maturities. Additionally, during the quarter ended March 29, 2026, we did not make any repurchase of our common stock, compared to $750 million to repurchase 1.7 million shares during the same period in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5"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See “Note 7 - Legal Proceedings and Contingencies” included in our Notes to Consolidated Financial Statements for information regarding our contingent obligations, including off-balance sheet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8"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There have been no significant changes to the critical accounting policies disclosed in Part II, Item 7, “Management’s Discussion and Analysis of Financial Condition and Results of Operations” of our 2025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As disclosed in Part II, Item 7A, “Quantitative and Qualitative Disclosures About Market Risk” of our 2025 Form 10-K, we transact business globally and are subject to risks associated with changing foreign currency exchange rates. We enter into foreign currency hedges such as forward and option contracts that change in value as foreign currency exchange rates change. Our exposures to market risk have not changed materially since December 31, 2025. See “Note 8 - Fair Value Measurements” included in our Notes to Consolidated Financial Statements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We performed an evaluation of the effectiveness of our disclosure controls and procedures as of March 29, 2026.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operating and effective as of March 29, 2026.</w:t>
      </w:r>
    </w:p>
    <w:p>
      <w:pPr>
        <w:spacing w:after="0" w:line="13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first quarter of 2026, we completed the first of a multi-year phased implementation of our new enterprise resource planning (ERP) system for one of our business segments, which is designed to streamline our processes and enhance the flow of information. We updated our internal controls to reflect changes to the financial reporting business processes impacted by the implementation. There have been no other changes in our internal control over financial reporting during the quarter ended March 29, 2026,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This Form 10 -Q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pacing w:after="0" w:line="179" w:lineRule="exact"/>
        <w:rPr>
          <w:sz w:val="20"/>
          <w:szCs w:val="20"/>
          <w:color w:val="auto"/>
        </w:rPr>
      </w:pPr>
    </w:p>
    <w:p>
      <w:pPr>
        <w:ind w:left="460" w:right="420" w:hanging="331"/>
        <w:spacing w:after="0" w:line="253"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contracts with the U.S. Government, which are dependent on U.S. Government funding and can be terminated for convenience, and our ability to negotiate favorable contract terms;</w:t>
      </w:r>
    </w:p>
    <w:p>
      <w:pPr>
        <w:ind w:left="460" w:right="68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budget uncertainty, the risk of future budget cuts, the impact of continuing resolution funding mechanisms, the debt ceiling and government shutdowns, and changing funding and acquisition priorities;</w:t>
      </w:r>
    </w:p>
    <w:p>
      <w:pPr>
        <w:ind w:left="460" w:right="10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development, production, sustainment, performance, schedule, cost and requirements of complex and technologically advanced programs, including the F-35 program;</w:t>
      </w:r>
    </w:p>
    <w:p>
      <w:pPr>
        <w:ind w:left="460" w:right="38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production rates and orders for significant programs, compliance with stringent performance and reliability standards, and materials availability, including government furnished equipment and rare earth minerals;</w:t>
      </w:r>
    </w:p>
    <w:p>
      <w:pPr>
        <w:ind w:left="460" w:right="44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contract awards or contract definitization, decisions by government customers to impose contract terms following undefinitized contract actions, achievement of performance milestones, customer acceptance of product deliveries, and receipt of customer payments;</w:t>
      </w:r>
    </w:p>
    <w:p>
      <w:pPr>
        <w:spacing w:after="0" w:line="1" w:lineRule="exact"/>
        <w:rPr>
          <w:rFonts w:ascii="Arial" w:cs="Arial" w:eastAsia="Arial" w:hAnsi="Arial"/>
          <w:sz w:val="18"/>
          <w:szCs w:val="18"/>
          <w:color w:val="auto"/>
        </w:rPr>
      </w:pPr>
    </w:p>
    <w:p>
      <w:pPr>
        <w:ind w:left="460" w:right="4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recover costs under U.S. Government contracts, the mix of fixed-price and cost-reimbursable contracts and the risks inherent in preparing estimates for fixed-price contracts (particularly for complex and technologically advanced programs);</w:t>
      </w:r>
    </w:p>
    <w:p>
      <w:pPr>
        <w:ind w:left="460" w:right="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procurement and other policies, laws, regulations and executive actions that affect our and our industry’s, programs, future opportunities, and financial performance, including those relating to mission priorities, competing domestic and international spending, contracting terms (such as fixed-price requirements), acquisition process reforms, treatment of contractor performance issues, and contractor access to competitive opportunities;</w:t>
      </w:r>
    </w:p>
    <w:p>
      <w:pPr>
        <w:spacing w:after="0" w:line="1" w:lineRule="exact"/>
        <w:rPr>
          <w:rFonts w:ascii="Arial" w:cs="Arial" w:eastAsia="Arial" w:hAnsi="Arial"/>
          <w:sz w:val="18"/>
          <w:szCs w:val="18"/>
          <w:color w:val="auto"/>
        </w:rPr>
      </w:pPr>
    </w:p>
    <w:p>
      <w:pPr>
        <w:ind w:left="460" w:right="48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and/or financial viability of key suppliers, teammates, joint ventures (including United Launch Alliance), joint venture partners, subcontractors and customers;</w:t>
      </w: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capital market and political conditions in the U.S. and globally;</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inflation and other cost pressures;</w:t>
      </w:r>
    </w:p>
    <w:p>
      <w:pPr>
        <w:spacing w:after="0" w:line="9" w:lineRule="exact"/>
        <w:rPr>
          <w:rFonts w:ascii="Arial" w:cs="Arial" w:eastAsia="Arial" w:hAnsi="Arial"/>
          <w:sz w:val="18"/>
          <w:szCs w:val="18"/>
          <w:color w:val="auto"/>
        </w:rPr>
      </w:pPr>
    </w:p>
    <w:p>
      <w:pPr>
        <w:ind w:left="460" w:right="56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actions that restrict or prevent the sale or delivery of our products (such as delays in approvals for exports requiring Congressional notification);</w:t>
      </w:r>
    </w:p>
    <w:p>
      <w:pPr>
        <w:ind w:left="460" w:right="12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policy and international trade actions taken by governments such as tariffs, sanctions, embargoes, export and import controls, buying preferences, and other trade restrictions;</w:t>
      </w:r>
    </w:p>
    <w:p>
      <w:pPr>
        <w:ind w:left="460" w:right="40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expanding into and doing business in adjacent markets and internationally and the risks posed by international sales, including potential effects from fluctuations in currency exchange rates;</w:t>
      </w: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non-U.S. national priorities and government budgets and planned orders;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competitive environment for our products and services;</w:t>
      </w:r>
    </w:p>
    <w:p>
      <w:pPr>
        <w:spacing w:after="0" w:line="9" w:lineRule="exact"/>
        <w:rPr>
          <w:rFonts w:ascii="Arial" w:cs="Arial" w:eastAsia="Arial" w:hAnsi="Arial"/>
          <w:sz w:val="18"/>
          <w:szCs w:val="18"/>
          <w:color w:val="auto"/>
        </w:rPr>
      </w:pPr>
    </w:p>
    <w:p>
      <w:pPr>
        <w:ind w:left="460" w:right="40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commercialize new technologies and products, including emerging digital and network technologies and capabilities;</w:t>
      </w: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benefit fully from or adequately protect our intellectual property rights;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a highly skilled workforce and the impact of work stoppages or other labor disruptions;</w:t>
      </w:r>
    </w:p>
    <w:p>
      <w:pPr>
        <w:sectPr>
          <w:pgSz w:w="11900" w:h="16838" w:orient="portrait"/>
          <w:cols w:equalWidth="0" w:num="1">
            <w:col w:w="11160"/>
          </w:cols>
          <w:pgMar w:left="320" w:top="29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or other security threats or other disruptions faced by us or our suppliers;</w:t>
      </w:r>
    </w:p>
    <w:p>
      <w:pPr>
        <w:spacing w:after="0" w:line="27" w:lineRule="exact"/>
        <w:rPr>
          <w:rFonts w:ascii="Arial" w:cs="Arial" w:eastAsia="Arial" w:hAnsi="Arial"/>
          <w:sz w:val="18"/>
          <w:szCs w:val="18"/>
          <w:color w:val="auto"/>
        </w:rPr>
      </w:pPr>
    </w:p>
    <w:p>
      <w:pPr>
        <w:ind w:left="460" w:right="6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and continue, and the timing and impact of, capitalization changes such as share repurchases, dividend payments and financing transactions, including as a result of presidential executive orders;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and projections;</w:t>
      </w:r>
    </w:p>
    <w:p>
      <w:pPr>
        <w:spacing w:after="0" w:line="9" w:lineRule="exact"/>
        <w:rPr>
          <w:rFonts w:ascii="Arial" w:cs="Arial" w:eastAsia="Arial" w:hAnsi="Arial"/>
          <w:sz w:val="18"/>
          <w:szCs w:val="18"/>
          <w:color w:val="auto"/>
        </w:rPr>
      </w:pPr>
    </w:p>
    <w:p>
      <w:pPr>
        <w:ind w:left="460" w:right="1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pension plan assumptions and actual returns on pension assets; cash funding requirements and pension annuity contracts and associated charges;</w:t>
      </w:r>
    </w:p>
    <w:p>
      <w:pPr>
        <w:ind w:left="460" w:right="8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realizing the anticipated benefits of acquisitions or divestitures, investments, joint ventures, teaming arrangements or internal reorganizations, and market volatility affecting the fair value of investments that are marked to market;</w:t>
      </w:r>
    </w:p>
    <w:p>
      <w:pPr>
        <w:ind w:left="460" w:right="20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fund and increase production capabilities and the efficiency of its operations and improve the affordability of its products and services, including through digital transformation and cost reduction initiatives;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an impairment of our assets, including the potential impairment of goodwill and intangibles;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adequacy of our insurance and indemnities;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laws, regulations, policies, and customer requirements relating to environmental matters;</w:t>
      </w:r>
    </w:p>
    <w:p>
      <w:pPr>
        <w:spacing w:after="0" w:line="9" w:lineRule="exact"/>
        <w:rPr>
          <w:rFonts w:ascii="Arial" w:cs="Arial" w:eastAsia="Arial" w:hAnsi="Arial"/>
          <w:sz w:val="18"/>
          <w:szCs w:val="18"/>
          <w:color w:val="auto"/>
        </w:rPr>
      </w:pPr>
    </w:p>
    <w:p>
      <w:pPr>
        <w:ind w:left="460" w:right="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public health crises, natural disasters and other severe weather conditions on our business and financial results, including supply chain disruptions and delays, employee absences, and program delays;</w:t>
      </w:r>
    </w:p>
    <w:p>
      <w:pPr>
        <w:ind w:left="460" w:right="34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U.S. or foreign tax, export or other laws, regulations, and policies and their interpretation or application, and changes in the amount or reevaluation of uncertain tax positions; and</w:t>
      </w:r>
    </w:p>
    <w:p>
      <w:pPr>
        <w:ind w:left="460" w:hanging="331"/>
        <w:spacing w:after="0" w:line="258"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bid protests, environmental remediation efforts, audits, administrative reviews, government investigations or government allegations that we have failed to comply with law, other contingencies and U.S. Government identification of deficiencies in our business systems.</w:t>
      </w:r>
    </w:p>
    <w:p>
      <w:pPr>
        <w:spacing w:after="0" w:line="15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These are only some of the factors that may affect the forward-looking statements contained in this Form 10-Q. For a discussion identifying additional important factors that could cause actual results to differ materially from those anticipated in the forward-looking statements, see our filings with the U.S. Securities and Exchange Commission (SEC) including, but not limited to, “Management’s Discussion and Analysis of Financial Condition and Results of Operations” and “Risk Factors” in our 2025 Form 10-K and subsequent Quarterly Reports on Form 10-Q. Our filings may be accessed through the Investor Relations page of our website, www.lockheedmartin.com/investor, or through the website maintained by the SEC at www.sec.gov. Information contained on or made available through our website or other websites mentioned in this Form 10-Q is not incorporated into and is not a part of this Form 10-Q, and any references to our website are intended to be inactive textual references only.</w:t>
      </w:r>
    </w:p>
    <w:p>
      <w:pPr>
        <w:spacing w:after="0" w:line="144"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Form 10-Q speak only as of the date of our filing. Except where required by applicable law, we expressly disclaim a duty to provide updates to forward-looking statements after the date of this Form 10-Q to reflect subsequent events, changed circumstances, changes in expectations, or the estimates and assumptions associated with them. The forward-looking statements in this Form 10-Q are intended to be subject to the safe harbor protection provided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For information regarding legal proceedings and environmental matters, including current estimates of the amounts that we believe are required for remediation or clean-up to the extent estimable, see “Note 7 - Legal Proceedings and Contingencies — Legal Proceedings and Environmental Matters” included in our Notes to Consolidated Financial Statements in this Form 10-Q, which is hereby incorporated by reference. For additional information and a description of previously reported matters, see also “Critical Accounting Policies – Environmental Matters” in “Management’s Discussion and Analysis of Financial Condition and Results of Operations” and “Note 14 – Legal Proceedings, Commitments and Contingencies,” in our 2025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Except for the risk factor discussed below, there have been no other material changes to the risk factors disclosed in Part I, Item 1A, “Risk Factors” of our 2025 Form 10-K. These risks and uncertainties described in our risk factors have the potential to materially affect our business, results of operations, financial condition, cash flows, projected results and future prospects. These risks are not exclusive and additional risks to which we are subject include the factors mentioned under “Forward-Looking Statements” and the risks described in “Management’s Discussion and Analysis of Financial Condition and Results of Operations” in this Form 10-Q.</w:t>
      </w:r>
    </w:p>
    <w:p>
      <w:pPr>
        <w:spacing w:after="0" w:line="208" w:lineRule="exact"/>
        <w:rPr>
          <w:sz w:val="20"/>
          <w:szCs w:val="20"/>
          <w:color w:val="auto"/>
        </w:rPr>
      </w:pPr>
    </w:p>
    <w:p>
      <w:pPr>
        <w:jc w:val="both"/>
        <w:ind w:right="180"/>
        <w:spacing w:after="0" w:line="325" w:lineRule="auto"/>
        <w:rPr>
          <w:sz w:val="20"/>
          <w:szCs w:val="20"/>
          <w:color w:val="auto"/>
        </w:rPr>
      </w:pPr>
      <w:r>
        <w:rPr>
          <w:rFonts w:ascii="Arial" w:cs="Arial" w:eastAsia="Arial" w:hAnsi="Arial"/>
          <w:sz w:val="17"/>
          <w:szCs w:val="17"/>
          <w:b w:val="1"/>
          <w:bCs w:val="1"/>
          <w:i w:val="1"/>
          <w:iCs w:val="1"/>
          <w:color w:val="auto"/>
        </w:rPr>
        <w:t>If we fail to successfully complete or manage acquisitions, divestitures, equity investments and other transactions or if acquired entities or equity investments fail to perform as expected, our financial results, business and future prospects could be harmed.</w:t>
      </w:r>
    </w:p>
    <w:p>
      <w:pPr>
        <w:spacing w:after="0" w:line="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hold investments in joint ventures, including United Launch Alliance (ULA), that are accounted for under the equity method. Our investment in ULA was $544 million and $551 million at March 29, 2026 and December 31, 2025, respectively. To the extent that performance challenges associated with the development, production or launch of ULA’s Vulcan Centaur rocket adversely affect ULA’s business, financial condition or results of operations, we could be exposed to operating losses generated by the joint venture or impairments of our investment in the joint venture. Additionally, we expect to provide financial guarantees in support of ULA in the future and may be required to provide additional financial support to ULA to support its liquidity or ongoing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equity securities during the quarter ended March 29, 2026.</w:t>
      </w:r>
    </w:p>
    <w:p>
      <w:pPr>
        <w:spacing w:after="0" w:line="185" w:lineRule="exact"/>
        <w:rPr>
          <w:sz w:val="20"/>
          <w:szCs w:val="20"/>
          <w:color w:val="auto"/>
        </w:rPr>
      </w:pPr>
    </w:p>
    <w:p>
      <w:pPr>
        <w:ind w:right="320" w:firstLine="445"/>
        <w:spacing w:after="0" w:line="273" w:lineRule="auto"/>
        <w:rPr>
          <w:sz w:val="20"/>
          <w:szCs w:val="20"/>
          <w:color w:val="auto"/>
        </w:rPr>
      </w:pPr>
      <w:r>
        <w:rPr>
          <w:rFonts w:ascii="Arial" w:cs="Arial" w:eastAsia="Arial" w:hAnsi="Arial"/>
          <w:sz w:val="18"/>
          <w:szCs w:val="18"/>
          <w:color w:val="auto"/>
        </w:rPr>
        <w:t>The following table provides information about our repurchases of our common stock that is registered pursuant to Section 12 of the Securities Exchange Act of 1934 during the quarter ended March 29, 2026.</w:t>
      </w:r>
    </w:p>
    <w:tbl>
      <w:tblPr>
        <w:tblLayout w:type="fixed"/>
        <w:tblInd w:w="0" w:type="dxa"/>
        <w:tblCellMar>
          <w:top w:w="0" w:type="dxa"/>
          <w:left w:w="0" w:type="dxa"/>
          <w:bottom w:w="0" w:type="dxa"/>
          <w:right w:w="0" w:type="dxa"/>
        </w:tblCellMar>
      </w:tblPr>
      <w:tr>
        <w:trPr>
          <w:trHeight w:val="191"/>
        </w:trPr>
        <w:tc>
          <w:tcPr>
            <w:tcW w:w="4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6"/>
                <w:szCs w:val="16"/>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300" w:type="dxa"/>
            <w:vAlign w:val="bottom"/>
          </w:tcPr>
          <w:p>
            <w:pPr>
              <w:spacing w:after="0"/>
              <w:rPr>
                <w:sz w:val="15"/>
                <w:szCs w:val="15"/>
                <w:color w:val="auto"/>
              </w:rPr>
            </w:pPr>
          </w:p>
        </w:tc>
        <w:tc>
          <w:tcPr>
            <w:tcW w:w="12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8"/>
              </w:rPr>
              <w:t>Average</w:t>
            </w:r>
          </w:p>
        </w:tc>
        <w:tc>
          <w:tcPr>
            <w:tcW w:w="184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84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w w:val="99"/>
              </w:rPr>
              <w:t>Part of Publicly</w:t>
            </w:r>
          </w:p>
        </w:tc>
        <w:tc>
          <w:tcPr>
            <w:tcW w:w="2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May Yet be Purchased</w:t>
            </w:r>
          </w:p>
        </w:tc>
        <w:tc>
          <w:tcPr>
            <w:tcW w:w="0" w:type="dxa"/>
            <w:vAlign w:val="bottom"/>
          </w:tcPr>
          <w:p>
            <w:pPr>
              <w:spacing w:after="0"/>
              <w:rPr>
                <w:sz w:val="1"/>
                <w:szCs w:val="1"/>
                <w:color w:val="auto"/>
              </w:rPr>
            </w:pPr>
          </w:p>
        </w:tc>
      </w:tr>
      <w:tr>
        <w:trPr>
          <w:trHeight w:val="189"/>
        </w:trPr>
        <w:tc>
          <w:tcPr>
            <w:tcW w:w="4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xml:space="preserve">Period </w:t>
            </w:r>
            <w:r>
              <w:rPr>
                <w:rFonts w:ascii="Arial" w:cs="Arial" w:eastAsia="Arial" w:hAnsi="Arial"/>
                <w:sz w:val="23"/>
                <w:szCs w:val="23"/>
                <w:color w:val="auto"/>
                <w:vertAlign w:val="superscript"/>
              </w:rPr>
              <w:t>(a)</w:t>
            </w:r>
          </w:p>
        </w:tc>
        <w:tc>
          <w:tcPr>
            <w:tcW w:w="14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of Shares</w:t>
            </w:r>
          </w:p>
        </w:tc>
        <w:tc>
          <w:tcPr>
            <w:tcW w:w="300" w:type="dxa"/>
            <w:vAlign w:val="bottom"/>
          </w:tcPr>
          <w:p>
            <w:pPr>
              <w:spacing w:after="0"/>
              <w:rPr>
                <w:sz w:val="16"/>
                <w:szCs w:val="16"/>
                <w:color w:val="auto"/>
              </w:rPr>
            </w:pPr>
          </w:p>
        </w:tc>
        <w:tc>
          <w:tcPr>
            <w:tcW w:w="124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8"/>
              </w:rPr>
              <w:t>Price Paid</w:t>
            </w:r>
          </w:p>
        </w:tc>
        <w:tc>
          <w:tcPr>
            <w:tcW w:w="18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6"/>
                <w:szCs w:val="16"/>
                <w:color w:val="auto"/>
              </w:rPr>
            </w:pPr>
          </w:p>
        </w:tc>
        <w:tc>
          <w:tcPr>
            <w:tcW w:w="20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9"/>
              </w:rPr>
              <w:t>Purchased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c>
          <w:tcPr>
            <w:tcW w:w="1840" w:type="dxa"/>
            <w:vAlign w:val="bottom"/>
            <w:tcBorders>
              <w:bottom w:val="single" w:sz="8" w:color="auto"/>
            </w:tcBorders>
            <w:gridSpan w:val="2"/>
          </w:tcPr>
          <w:p>
            <w:pPr>
              <w:jc w:val="center"/>
              <w:ind w:left="10"/>
              <w:spacing w:after="0" w:line="230"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3"/>
                <w:szCs w:val="23"/>
                <w:color w:val="auto"/>
                <w:w w:val="96"/>
                <w:vertAlign w:val="superscript"/>
              </w:rPr>
              <w:t>(b)</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30"/>
              <w:spacing w:after="0" w:line="230"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color w:val="auto"/>
                <w:w w:val="94"/>
                <w:vertAlign w:val="superscript"/>
              </w:rPr>
              <w:t>(b)</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January 1, 2026 – January 25, 2026 </w:t>
            </w:r>
            <w:r>
              <w:rPr>
                <w:rFonts w:ascii="Arial" w:cs="Arial" w:eastAsia="Arial" w:hAnsi="Arial"/>
                <w:sz w:val="23"/>
                <w:szCs w:val="23"/>
                <w:color w:val="auto"/>
                <w:vertAlign w:val="superscript"/>
              </w:rPr>
              <w:t>(c)</w:t>
            </w:r>
          </w:p>
        </w:tc>
        <w:tc>
          <w:tcPr>
            <w:tcW w:w="1280" w:type="dxa"/>
            <w:vAlign w:val="bottom"/>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23"/>
                <w:szCs w:val="23"/>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489.13</w:t>
            </w:r>
          </w:p>
        </w:tc>
        <w:tc>
          <w:tcPr>
            <w:tcW w:w="18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430"/>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January 26, 2026 – February 22, 2026 </w:t>
            </w:r>
            <w:r>
              <w:rPr>
                <w:rFonts w:ascii="Arial" w:cs="Arial" w:eastAsia="Arial" w:hAnsi="Arial"/>
                <w:sz w:val="23"/>
                <w:szCs w:val="23"/>
                <w:color w:val="auto"/>
                <w:vertAlign w:val="superscript"/>
              </w:rPr>
              <w:t>(c)</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February 23, 2026 – March 29, 2026 </w:t>
            </w:r>
            <w:r>
              <w:rPr>
                <w:rFonts w:ascii="Arial" w:cs="Arial" w:eastAsia="Arial" w:hAnsi="Arial"/>
                <w:sz w:val="23"/>
                <w:szCs w:val="23"/>
                <w:color w:val="auto"/>
                <w:vertAlign w:val="superscript"/>
              </w:rPr>
              <w:t>(c)</w:t>
            </w:r>
          </w:p>
        </w:tc>
        <w:tc>
          <w:tcPr>
            <w:tcW w:w="1280" w:type="dxa"/>
            <w:vAlign w:val="bottom"/>
          </w:tcPr>
          <w:p>
            <w:pPr>
              <w:jc w:val="right"/>
              <w:spacing w:after="0"/>
              <w:rPr>
                <w:sz w:val="20"/>
                <w:szCs w:val="20"/>
                <w:color w:val="auto"/>
              </w:rPr>
            </w:pPr>
            <w:r>
              <w:rPr>
                <w:rFonts w:ascii="Arial" w:cs="Arial" w:eastAsia="Arial" w:hAnsi="Arial"/>
                <w:sz w:val="18"/>
                <w:szCs w:val="18"/>
                <w:color w:val="auto"/>
              </w:rPr>
              <w:t>226,763</w:t>
            </w:r>
          </w:p>
        </w:tc>
        <w:tc>
          <w:tcPr>
            <w:tcW w:w="140" w:type="dxa"/>
            <w:vAlign w:val="bottom"/>
          </w:tcPr>
          <w:p>
            <w:pPr>
              <w:spacing w:after="0"/>
              <w:rPr>
                <w:sz w:val="23"/>
                <w:szCs w:val="23"/>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657.99</w:t>
            </w:r>
          </w:p>
        </w:tc>
        <w:tc>
          <w:tcPr>
            <w:tcW w:w="18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430"/>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30"/>
        </w:trPr>
        <w:tc>
          <w:tcPr>
            <w:tcW w:w="4160" w:type="dxa"/>
            <w:vAlign w:val="bottom"/>
            <w:tcBorders>
              <w:top w:val="single" w:sz="8" w:color="CCEEFF"/>
              <w:bottom w:val="single" w:sz="8" w:color="auto"/>
            </w:tcBorders>
            <w:shd w:val="clear" w:color="auto" w:fill="CCEEFF"/>
          </w:tcPr>
          <w:p>
            <w:pPr>
              <w:ind w:left="68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(c)</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227,362</w:t>
            </w:r>
          </w:p>
        </w:tc>
        <w:tc>
          <w:tcPr>
            <w:tcW w:w="14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657.55</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2060" w:type="dxa"/>
            <w:vAlign w:val="bottom"/>
            <w:tcBorders>
              <w:top w:val="single" w:sz="8" w:color="CCEEFF"/>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20" w:right="60" w:hanging="412"/>
        <w:spacing w:after="0" w:line="228" w:lineRule="auto"/>
        <w:tabs>
          <w:tab w:leader="none" w:pos="41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March 29, 2026 was the last day of our March 2026 fiscal month.</w:t>
      </w:r>
    </w:p>
    <w:p>
      <w:pPr>
        <w:spacing w:after="0" w:line="28" w:lineRule="exact"/>
        <w:rPr>
          <w:rFonts w:ascii="Arial" w:cs="Arial" w:eastAsia="Arial" w:hAnsi="Arial"/>
          <w:sz w:val="21"/>
          <w:szCs w:val="21"/>
          <w:color w:val="auto"/>
          <w:vertAlign w:val="superscript"/>
        </w:rPr>
      </w:pPr>
    </w:p>
    <w:p>
      <w:pPr>
        <w:ind w:left="420" w:right="260" w:hanging="412"/>
        <w:spacing w:after="0" w:line="238" w:lineRule="auto"/>
        <w:tabs>
          <w:tab w:leader="none" w:pos="41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 2010, our Board of Directors approved a share repurchase program pursuant to which we are authorized to repurchase our common stock in privately negotiated transactions or in the open market at prices per share not exceeding the then-current market prices. We did not repurchase any shares during the quarter ended March 29, 2026.</w:t>
      </w:r>
    </w:p>
    <w:p>
      <w:pPr>
        <w:spacing w:after="0" w:line="30" w:lineRule="exact"/>
        <w:rPr>
          <w:rFonts w:ascii="Arial" w:cs="Arial" w:eastAsia="Arial" w:hAnsi="Arial"/>
          <w:sz w:val="21"/>
          <w:szCs w:val="21"/>
          <w:color w:val="auto"/>
          <w:vertAlign w:val="superscript"/>
        </w:rPr>
      </w:pPr>
    </w:p>
    <w:p>
      <w:pPr>
        <w:ind w:left="420" w:right="140" w:hanging="412"/>
        <w:spacing w:after="0" w:line="238" w:lineRule="auto"/>
        <w:tabs>
          <w:tab w:leader="none" w:pos="40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During the quarter ended March 29, 2026, the total number of shares purchased included 227,362 shares that were transferred to us by employees in satisfaction of tax withholding obligations associated with the vesting of restricted stock units and performance stock units. These purchases were made pursuant to a separate authorization by our Board of Directors and are not included within the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None of our directors or executive officers adopted or terminated a Rule 10b5-1 trading arrangement or adopted or terminated a non-Rule 10b5-1 trading arrangement (as defined in Item 408(c) of Regulation S-K) during the quarter ended March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80" w:type="dxa"/>
            <w:vAlign w:val="bottom"/>
          </w:tcPr>
          <w:p>
            <w:pPr>
              <w:spacing w:after="0"/>
              <w:rPr>
                <w:sz w:val="20"/>
                <w:szCs w:val="20"/>
                <w:color w:val="auto"/>
              </w:rPr>
            </w:pPr>
            <w:r>
              <w:rPr>
                <w:rFonts w:ascii="Arial" w:cs="Arial" w:eastAsia="Arial" w:hAnsi="Arial"/>
                <w:sz w:val="18"/>
                <w:szCs w:val="18"/>
                <w:b w:val="1"/>
                <w:bCs w:val="1"/>
                <w:color w:val="auto"/>
                <w:w w:val="98"/>
              </w:rPr>
              <w:t>ITEM 6. Exhibits</w:t>
            </w: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420"/>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98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Description</w:t>
            </w: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9840" w:type="dxa"/>
            <w:vAlign w:val="bottom"/>
            <w:gridSpan w:val="7"/>
          </w:tcPr>
          <w:p>
            <w:pPr>
              <w:spacing w:after="0"/>
              <w:rPr>
                <w:sz w:val="20"/>
                <w:szCs w:val="20"/>
                <w:color w:val="auto"/>
              </w:rPr>
            </w:pPr>
            <w:r>
              <w:rPr>
                <w:rFonts w:ascii="Arial" w:cs="Arial" w:eastAsia="Arial" w:hAnsi="Arial"/>
                <w:sz w:val="18"/>
                <w:szCs w:val="18"/>
                <w:color w:val="0000FF"/>
              </w:rPr>
              <w:t>Form of 2026 Annual Restricted Stock Unit Award Agreement under the Lockheed Martin Corporation 2020 Incentive</w:t>
            </w:r>
          </w:p>
        </w:tc>
      </w:tr>
      <w:tr>
        <w:trPr>
          <w:trHeight w:val="156"/>
        </w:trPr>
        <w:tc>
          <w:tcPr>
            <w:tcW w:w="1380" w:type="dxa"/>
            <w:vAlign w:val="bottom"/>
          </w:tcPr>
          <w:p>
            <w:pPr>
              <w:spacing w:after="0"/>
              <w:rPr>
                <w:sz w:val="13"/>
                <w:szCs w:val="13"/>
                <w:color w:val="auto"/>
              </w:rPr>
            </w:pPr>
          </w:p>
        </w:tc>
        <w:tc>
          <w:tcPr>
            <w:tcW w:w="93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Performance Award Plan</w:t>
            </w:r>
          </w:p>
        </w:tc>
        <w:tc>
          <w:tcPr>
            <w:tcW w:w="54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277"/>
        </w:trPr>
        <w:tc>
          <w:tcPr>
            <w:tcW w:w="1380" w:type="dxa"/>
            <w:vAlign w:val="bottom"/>
          </w:tcPr>
          <w:p>
            <w:pPr>
              <w:ind w:left="20"/>
              <w:spacing w:after="0"/>
              <w:rPr>
                <w:sz w:val="20"/>
                <w:szCs w:val="20"/>
                <w:color w:val="auto"/>
              </w:rPr>
            </w:pPr>
            <w:r>
              <w:rPr>
                <w:rFonts w:ascii="Arial" w:cs="Arial" w:eastAsia="Arial" w:hAnsi="Arial"/>
                <w:sz w:val="18"/>
                <w:szCs w:val="18"/>
                <w:color w:val="auto"/>
              </w:rPr>
              <w:t>10.2</w:t>
            </w:r>
          </w:p>
        </w:tc>
        <w:tc>
          <w:tcPr>
            <w:tcW w:w="9840" w:type="dxa"/>
            <w:vAlign w:val="bottom"/>
            <w:gridSpan w:val="7"/>
          </w:tcPr>
          <w:p>
            <w:pPr>
              <w:spacing w:after="0"/>
              <w:rPr>
                <w:sz w:val="20"/>
                <w:szCs w:val="20"/>
                <w:color w:val="auto"/>
              </w:rPr>
            </w:pPr>
            <w:r>
              <w:rPr>
                <w:rFonts w:ascii="Arial" w:cs="Arial" w:eastAsia="Arial" w:hAnsi="Arial"/>
                <w:sz w:val="18"/>
                <w:szCs w:val="18"/>
                <w:color w:val="0000FF"/>
              </w:rPr>
              <w:t>Form of Performance Stock Unit Award Agreement (2026 - 2028 Performance Period) under the Lockheed Martin</w:t>
            </w:r>
          </w:p>
        </w:tc>
      </w:tr>
      <w:tr>
        <w:trPr>
          <w:trHeight w:val="156"/>
        </w:trPr>
        <w:tc>
          <w:tcPr>
            <w:tcW w:w="138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Corporation 2020 Incentive Performance Award Plan</w:t>
            </w:r>
          </w:p>
        </w:tc>
        <w:tc>
          <w:tcPr>
            <w:tcW w:w="48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r>
      <w:tr>
        <w:trPr>
          <w:trHeight w:val="277"/>
        </w:trPr>
        <w:tc>
          <w:tcPr>
            <w:tcW w:w="1380" w:type="dxa"/>
            <w:vAlign w:val="bottom"/>
          </w:tcPr>
          <w:p>
            <w:pPr>
              <w:ind w:left="20"/>
              <w:spacing w:after="0"/>
              <w:rPr>
                <w:sz w:val="20"/>
                <w:szCs w:val="20"/>
                <w:color w:val="auto"/>
              </w:rPr>
            </w:pPr>
            <w:r>
              <w:rPr>
                <w:rFonts w:ascii="Arial" w:cs="Arial" w:eastAsia="Arial" w:hAnsi="Arial"/>
                <w:sz w:val="18"/>
                <w:szCs w:val="18"/>
                <w:color w:val="auto"/>
              </w:rPr>
              <w:t>10.3</w:t>
            </w:r>
          </w:p>
        </w:tc>
        <w:tc>
          <w:tcPr>
            <w:tcW w:w="9840" w:type="dxa"/>
            <w:vAlign w:val="bottom"/>
            <w:gridSpan w:val="7"/>
          </w:tcPr>
          <w:p>
            <w:pPr>
              <w:spacing w:after="0"/>
              <w:rPr>
                <w:sz w:val="20"/>
                <w:szCs w:val="20"/>
                <w:color w:val="auto"/>
              </w:rPr>
            </w:pPr>
            <w:r>
              <w:rPr>
                <w:rFonts w:ascii="Arial" w:cs="Arial" w:eastAsia="Arial" w:hAnsi="Arial"/>
                <w:sz w:val="18"/>
                <w:szCs w:val="18"/>
                <w:color w:val="0000FF"/>
              </w:rPr>
              <w:t>2021 Lockheed Martin Corporation Management Incentive Compensation Plan as Amended and Restated Effective</w:t>
            </w:r>
          </w:p>
        </w:tc>
      </w:tr>
      <w:tr>
        <w:trPr>
          <w:trHeight w:val="156"/>
        </w:trPr>
        <w:tc>
          <w:tcPr>
            <w:tcW w:w="1380" w:type="dxa"/>
            <w:vAlign w:val="bottom"/>
          </w:tcPr>
          <w:p>
            <w:pPr>
              <w:spacing w:after="0"/>
              <w:rPr>
                <w:sz w:val="13"/>
                <w:szCs w:val="13"/>
                <w:color w:val="auto"/>
              </w:rPr>
            </w:pPr>
          </w:p>
        </w:tc>
        <w:tc>
          <w:tcPr>
            <w:tcW w:w="13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January 1, 2026</w:t>
            </w:r>
          </w:p>
        </w:tc>
        <w:tc>
          <w:tcPr>
            <w:tcW w:w="7880" w:type="dxa"/>
            <w:vAlign w:val="bottom"/>
            <w:tcBorders>
              <w:top w:val="single" w:sz="8" w:color="0000FF"/>
            </w:tcBorders>
            <w:gridSpan w:val="4"/>
          </w:tcPr>
          <w:p>
            <w:pPr>
              <w:spacing w:after="0"/>
              <w:rPr>
                <w:sz w:val="13"/>
                <w:szCs w:val="13"/>
                <w:color w:val="auto"/>
              </w:rPr>
            </w:pPr>
          </w:p>
        </w:tc>
        <w:tc>
          <w:tcPr>
            <w:tcW w:w="660" w:type="dxa"/>
            <w:vAlign w:val="bottom"/>
            <w:gridSpan w:val="2"/>
          </w:tcPr>
          <w:p>
            <w:pPr>
              <w:spacing w:after="0"/>
              <w:rPr>
                <w:sz w:val="13"/>
                <w:szCs w:val="13"/>
                <w:color w:val="auto"/>
              </w:rPr>
            </w:pPr>
          </w:p>
        </w:tc>
      </w:tr>
    </w:tbl>
    <w:p>
      <w:pPr>
        <w:spacing w:after="0" w:line="103" w:lineRule="exact"/>
        <w:rPr>
          <w:sz w:val="20"/>
          <w:szCs w:val="20"/>
          <w:color w:val="auto"/>
        </w:rPr>
      </w:pPr>
    </w:p>
    <w:p>
      <w:pPr>
        <w:ind w:left="1380" w:hanging="135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Acknowledgment of Independent Registered Public Accounting Firm</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31.1</w:t>
            </w:r>
          </w:p>
        </w:tc>
        <w:tc>
          <w:tcPr>
            <w:tcW w:w="72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James D. Taiclet pursuant to Section 302 of the Sarbanes-Oxley Act of 2002</w:t>
            </w:r>
          </w:p>
        </w:tc>
      </w:tr>
      <w:tr>
        <w:trPr>
          <w:trHeight w:val="264"/>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31.2</w:t>
            </w:r>
          </w:p>
        </w:tc>
        <w:tc>
          <w:tcPr>
            <w:tcW w:w="7280" w:type="dxa"/>
            <w:vAlign w:val="bottom"/>
            <w:gridSpan w:val="2"/>
          </w:tcPr>
          <w:p>
            <w:pPr>
              <w:spacing w:after="0"/>
              <w:rPr>
                <w:sz w:val="20"/>
                <w:szCs w:val="20"/>
                <w:color w:val="auto"/>
              </w:rPr>
            </w:pPr>
            <w:r>
              <w:rPr>
                <w:rFonts w:ascii="Arial" w:cs="Arial" w:eastAsia="Arial" w:hAnsi="Arial"/>
                <w:sz w:val="18"/>
                <w:szCs w:val="18"/>
                <w:color w:val="0000FF"/>
              </w:rPr>
              <w:t>Certification of Evan T. Scott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76" w:lineRule="exact"/>
        <w:rPr>
          <w:sz w:val="20"/>
          <w:szCs w:val="20"/>
          <w:color w:val="auto"/>
        </w:rPr>
      </w:pPr>
    </w:p>
    <w:p>
      <w:pPr>
        <w:ind w:left="1380" w:right="20" w:hanging="135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Certification of James D. Taiclet and Evan T. Scott pursuant to 18 U.S.C. Section 1350, as adopted pursuant to Section 906 of the Sarbanes-Oxley Act of 2002</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30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39"/>
        </w:trPr>
        <w:tc>
          <w:tcPr>
            <w:tcW w:w="1060" w:type="dxa"/>
            <w:vAlign w:val="bottom"/>
          </w:tcPr>
          <w:p>
            <w:pPr>
              <w:spacing w:after="0"/>
              <w:rPr>
                <w:sz w:val="20"/>
                <w:szCs w:val="20"/>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embedded within the Inline XBRL document</w:t>
            </w:r>
          </w:p>
        </w:tc>
      </w:tr>
      <w:tr>
        <w:trPr>
          <w:trHeight w:val="292"/>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5" w:lineRule="exact"/>
        <w:rPr>
          <w:sz w:val="20"/>
          <w:szCs w:val="20"/>
          <w:color w:val="auto"/>
        </w:rPr>
      </w:pPr>
    </w:p>
    <w:p>
      <w:pPr>
        <w:ind w:left="1380" w:right="80" w:hanging="135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Lockheed Martin Corporation</w:t>
            </w:r>
          </w:p>
        </w:tc>
      </w:tr>
      <w:tr>
        <w:trPr>
          <w:trHeight w:val="254"/>
        </w:trPr>
        <w:tc>
          <w:tcPr>
            <w:tcW w:w="5700" w:type="dxa"/>
            <w:vAlign w:val="bottom"/>
          </w:tcPr>
          <w:p>
            <w:pPr>
              <w:spacing w:after="0"/>
              <w:rPr>
                <w:sz w:val="22"/>
                <w:szCs w:val="22"/>
                <w:color w:val="auto"/>
              </w:rPr>
            </w:pPr>
          </w:p>
        </w:tc>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980" w:type="dxa"/>
            <w:vAlign w:val="bottom"/>
          </w:tcPr>
          <w:p>
            <w:pPr>
              <w:spacing w:after="0"/>
              <w:rPr>
                <w:sz w:val="22"/>
                <w:szCs w:val="22"/>
                <w:color w:val="auto"/>
              </w:rPr>
            </w:pPr>
          </w:p>
        </w:tc>
      </w:tr>
      <w:tr>
        <w:trPr>
          <w:trHeight w:val="455"/>
        </w:trPr>
        <w:tc>
          <w:tcPr>
            <w:tcW w:w="5700" w:type="dxa"/>
            <w:vAlign w:val="bottom"/>
          </w:tcPr>
          <w:p>
            <w:pPr>
              <w:spacing w:after="0"/>
              <w:rPr>
                <w:sz w:val="20"/>
                <w:szCs w:val="20"/>
                <w:color w:val="auto"/>
              </w:rPr>
            </w:pPr>
            <w:r>
              <w:rPr>
                <w:rFonts w:ascii="Arial" w:cs="Arial" w:eastAsia="Arial" w:hAnsi="Arial"/>
                <w:sz w:val="18"/>
                <w:szCs w:val="18"/>
                <w:color w:val="auto"/>
              </w:rPr>
              <w:t>Date: April 23, 2026</w:t>
            </w:r>
          </w:p>
        </w:tc>
        <w:tc>
          <w:tcPr>
            <w:tcW w:w="4300" w:type="dxa"/>
            <w:vAlign w:val="bottom"/>
            <w:gridSpan w:val="3"/>
          </w:tcPr>
          <w:p>
            <w:pPr>
              <w:spacing w:after="0"/>
              <w:rPr>
                <w:sz w:val="20"/>
                <w:szCs w:val="20"/>
                <w:color w:val="auto"/>
              </w:rPr>
            </w:pPr>
            <w:r>
              <w:rPr>
                <w:rFonts w:ascii="Arial" w:cs="Arial" w:eastAsia="Arial" w:hAnsi="Arial"/>
                <w:sz w:val="18"/>
                <w:szCs w:val="18"/>
                <w:color w:val="auto"/>
              </w:rPr>
              <w:t>By: /s/ H. Edward Paul III</w:t>
            </w:r>
          </w:p>
        </w:tc>
      </w:tr>
      <w:tr>
        <w:trPr>
          <w:trHeight w:val="245"/>
        </w:trPr>
        <w:tc>
          <w:tcPr>
            <w:tcW w:w="5700" w:type="dxa"/>
            <w:vAlign w:val="bottom"/>
          </w:tcPr>
          <w:p>
            <w:pPr>
              <w:spacing w:after="0"/>
              <w:rPr>
                <w:sz w:val="21"/>
                <w:szCs w:val="21"/>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Edward Paul III</w:t>
            </w:r>
          </w:p>
        </w:tc>
        <w:tc>
          <w:tcPr>
            <w:tcW w:w="2300" w:type="dxa"/>
            <w:vAlign w:val="bottom"/>
            <w:gridSpan w:val="2"/>
          </w:tcPr>
          <w:p>
            <w:pPr>
              <w:spacing w:after="0"/>
              <w:rPr>
                <w:sz w:val="21"/>
                <w:szCs w:val="21"/>
                <w:color w:val="auto"/>
              </w:rPr>
            </w:pPr>
          </w:p>
        </w:tc>
      </w:tr>
      <w:tr>
        <w:trPr>
          <w:trHeight w:val="229"/>
        </w:trPr>
        <w:tc>
          <w:tcPr>
            <w:tcW w:w="570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r>
        <w:trPr>
          <w:trHeight w:val="239"/>
        </w:trPr>
        <w:tc>
          <w:tcPr>
            <w:tcW w:w="5700" w:type="dxa"/>
            <w:vAlign w:val="bottom"/>
          </w:tcPr>
          <w:p>
            <w:pPr>
              <w:spacing w:after="0"/>
              <w:rPr>
                <w:sz w:val="20"/>
                <w:szCs w:val="20"/>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w w:val="99"/>
              </w:rPr>
              <w:t>(Duly 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80"/>
          </w:cols>
          <w:pgMar w:left="320" w:top="296" w:right="79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10.1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Award Date: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288925</wp:posOffset>
            </wp:positionV>
            <wp:extent cx="2588895" cy="531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88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340" w:right="2760"/>
        <w:spacing w:after="0" w:line="289" w:lineRule="auto"/>
        <w:rPr>
          <w:sz w:val="20"/>
          <w:szCs w:val="20"/>
          <w:color w:val="auto"/>
        </w:rPr>
      </w:pPr>
      <w:r>
        <w:rPr>
          <w:rFonts w:ascii="Arial" w:cs="Arial" w:eastAsia="Arial" w:hAnsi="Arial"/>
          <w:sz w:val="19"/>
          <w:szCs w:val="19"/>
          <w:b w:val="1"/>
          <w:bCs w:val="1"/>
          <w:color w:val="auto"/>
        </w:rPr>
        <w:t>RESTRICTED STOCK UNIT AWARD AGREEMENT (ANNUAL) GRANTED UNDER THE LOCKHEED MARTIN CORPORATION 2020 INCENTIVE PERFORMANCE AWARD PLAN</w:t>
      </w:r>
    </w:p>
    <w:p>
      <w:pPr>
        <w:spacing w:after="0" w:line="169"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THIS DOCUMENT CONSTITUTES PART OF A PROSPECTUS COVERING</w:t>
      </w:r>
    </w:p>
    <w:p>
      <w:pPr>
        <w:spacing w:after="0" w:line="3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SECURITIES THAT HAVE BEEN REGISTERED UNDER THE</w:t>
      </w:r>
    </w:p>
    <w:p>
      <w:pPr>
        <w:jc w:val="center"/>
        <w:spacing w:after="0"/>
        <w:rPr>
          <w:sz w:val="20"/>
          <w:szCs w:val="20"/>
          <w:color w:val="auto"/>
        </w:rPr>
      </w:pPr>
      <w:r>
        <w:rPr>
          <w:rFonts w:ascii="Arial" w:cs="Arial" w:eastAsia="Arial" w:hAnsi="Arial"/>
          <w:sz w:val="20"/>
          <w:szCs w:val="20"/>
          <w:b w:val="1"/>
          <w:bCs w:val="1"/>
          <w:color w:val="auto"/>
        </w:rPr>
        <w:t>SECURITIES ACT OF 1933</w:t>
      </w:r>
    </w:p>
    <w:p>
      <w:pPr>
        <w:spacing w:after="0" w:line="238" w:lineRule="exact"/>
        <w:rPr>
          <w:sz w:val="20"/>
          <w:szCs w:val="20"/>
          <w:color w:val="auto"/>
        </w:rPr>
      </w:pPr>
    </w:p>
    <w:p>
      <w:pPr>
        <w:jc w:val="both"/>
        <w:ind w:firstLine="263"/>
        <w:spacing w:after="0" w:line="259" w:lineRule="auto"/>
        <w:rPr>
          <w:sz w:val="20"/>
          <w:szCs w:val="20"/>
          <w:color w:val="auto"/>
        </w:rPr>
      </w:pPr>
      <w:r>
        <w:rPr>
          <w:rFonts w:ascii="Arial" w:cs="Arial" w:eastAsia="Arial" w:hAnsi="Arial"/>
          <w:sz w:val="20"/>
          <w:szCs w:val="20"/>
          <w:color w:val="auto"/>
        </w:rPr>
        <w:t>This Award Agreement applies to the Restricted Stock Units (“RSUs”) granted by Lockheed Martin Corporation to you as of the Award Date (defined above) under the Lockheed Martin Corporation 2020 Incentive Performance Award Plan (“Plan”). The term Restricted Stock Unit or RSU as used in this Award Agreement refers only to the Restricted Stock Units awarded to you under this Award Agreement. References to the “Corporation” include Lockheed Martin Corporation and its Subsidiaries.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Each RSU entitles you, upon satisfaction of the continuous employment and other requirements set forth in this Award Agreement and the Plan, to receive from the Corporation: (i) one (1) share of the Corporation’s common stock, par value $1.00 per share (“Stock”); and (ii) a cash payment equal to the sum of any cash dividends paid to stockholders of the Corporation during the Restricted Period (as defined below), each in accordance with the terms of this Award Agreement, the Plan, and any rules and procedures adopted by the Management Development and Compensation Committee (“Committee”) of the Board of Directors.</w:t>
      </w:r>
    </w:p>
    <w:p>
      <w:pPr>
        <w:spacing w:after="0" w:line="214" w:lineRule="exact"/>
        <w:rPr>
          <w:sz w:val="20"/>
          <w:szCs w:val="20"/>
          <w:color w:val="auto"/>
        </w:rPr>
      </w:pPr>
    </w:p>
    <w:p>
      <w:pPr>
        <w:jc w:val="both"/>
        <w:ind w:firstLine="315"/>
        <w:spacing w:after="0" w:line="254" w:lineRule="auto"/>
        <w:rPr>
          <w:sz w:val="20"/>
          <w:szCs w:val="20"/>
          <w:color w:val="auto"/>
        </w:rPr>
      </w:pPr>
      <w:r>
        <w:rPr>
          <w:rFonts w:ascii="Arial" w:cs="Arial" w:eastAsia="Arial" w:hAnsi="Arial"/>
          <w:sz w:val="20"/>
          <w:szCs w:val="20"/>
          <w:color w:val="auto"/>
        </w:rPr>
        <w:t>This Award Agreement sets forth some of the terms and conditions of your Award under the Plan, as determined by the Committee. Additional terms and conditions, including tax information, are contained in the Plan and in the Prospectus relating to the Plan of which the Plan and this Award Agreement are a part. In the event of a conflict between this Award Agreement and the Plan, the Plan document will control. The number of RSUs applicable to your Award are set forth in the electronic stock plan award recordkeeping system (“Stock Plan System”) maintained by the Corporation or its designee at https://atwork.morganstanley.com. The Prospectus is also available at this website.</w:t>
      </w:r>
    </w:p>
    <w:p>
      <w:pPr>
        <w:spacing w:after="0" w:line="200" w:lineRule="exact"/>
        <w:rPr>
          <w:sz w:val="20"/>
          <w:szCs w:val="20"/>
          <w:color w:val="auto"/>
        </w:rPr>
      </w:pPr>
    </w:p>
    <w:p>
      <w:pPr>
        <w:jc w:val="both"/>
        <w:ind w:firstLine="233"/>
        <w:spacing w:after="0" w:line="263" w:lineRule="auto"/>
        <w:rPr>
          <w:sz w:val="20"/>
          <w:szCs w:val="20"/>
          <w:color w:val="auto"/>
        </w:rPr>
      </w:pPr>
      <w:r>
        <w:rPr>
          <w:rFonts w:ascii="Arial" w:cs="Arial" w:eastAsia="Arial" w:hAnsi="Arial"/>
          <w:sz w:val="20"/>
          <w:szCs w:val="20"/>
          <w:color w:val="auto"/>
        </w:rPr>
        <w:t xml:space="preserve">Except as described in Section 9, your Award is not effective or enforceable until you properly acknowledge your acceptance of the Award by completing the electronic receipt on the Stock Plan System as soon as possible but in no event later than May 31, 2026 (“Acceptance Deadline”). </w:t>
      </w:r>
      <w:r>
        <w:rPr>
          <w:rFonts w:ascii="Arial" w:cs="Arial" w:eastAsia="Arial" w:hAnsi="Arial"/>
          <w:sz w:val="20"/>
          <w:szCs w:val="20"/>
          <w:b w:val="1"/>
          <w:bCs w:val="1"/>
          <w:color w:val="auto"/>
        </w:rPr>
        <w:t>Except as described in Section 9, if you do not properly acknowledge your acceptance</w:t>
      </w:r>
      <w:r>
        <w:rPr>
          <w:rFonts w:ascii="Arial" w:cs="Arial" w:eastAsia="Arial" w:hAnsi="Arial"/>
          <w:sz w:val="20"/>
          <w:szCs w:val="20"/>
          <w:color w:val="auto"/>
        </w:rPr>
        <w:t xml:space="preserve"> </w:t>
      </w:r>
      <w:r>
        <w:rPr>
          <w:rFonts w:ascii="Arial" w:cs="Arial" w:eastAsia="Arial" w:hAnsi="Arial"/>
          <w:sz w:val="20"/>
          <w:szCs w:val="20"/>
          <w:b w:val="1"/>
          <w:bCs w:val="1"/>
          <w:color w:val="auto"/>
        </w:rPr>
        <w:t>of this Award Agreement on or before the Acceptance Deadline, this Award will be forfeited.</w:t>
      </w:r>
    </w:p>
    <w:p>
      <w:pPr>
        <w:sectPr>
          <w:pgSz w:w="11900" w:h="16838" w:orient="portrait"/>
          <w:cols w:equalWidth="0" w:num="1">
            <w:col w:w="11240"/>
          </w:cols>
          <w:pgMar w:left="320" w:top="1412"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Assuming prompt and proper acknowledgement of your acceptance of this Award Agreement as described above and in Section 9, this Award will be effective as of the Award Date. Acceptance of this Award Agreement constitutes your consent to any action taken under the Plan consistent with its terms with respect to this Award and your agreement to be bound by the restrictions contained in Section 9 and Exhibit A, including any addenda thereto (“Post-Employment Conduct Agreement”), and Exhibit B (“Stock Ownership Requirements”), as amended from time to time.</w:t>
      </w:r>
    </w:p>
    <w:p>
      <w:pPr>
        <w:spacing w:after="0" w:line="221"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2"/>
          <w:szCs w:val="22"/>
          <w:b w:val="1"/>
          <w:bCs w:val="1"/>
          <w:color w:val="auto"/>
        </w:rPr>
        <w:t>CONSIDERATION FOR AWARD</w:t>
      </w:r>
    </w:p>
    <w:p>
      <w:pPr>
        <w:spacing w:after="0" w:line="253" w:lineRule="exact"/>
        <w:rPr>
          <w:sz w:val="20"/>
          <w:szCs w:val="20"/>
          <w:color w:val="auto"/>
        </w:rPr>
      </w:pPr>
    </w:p>
    <w:p>
      <w:pPr>
        <w:jc w:val="both"/>
        <w:ind w:firstLine="233"/>
        <w:spacing w:after="0" w:line="262" w:lineRule="auto"/>
        <w:rPr>
          <w:sz w:val="20"/>
          <w:szCs w:val="20"/>
          <w:color w:val="auto"/>
        </w:rPr>
      </w:pPr>
      <w:r>
        <w:rPr>
          <w:rFonts w:ascii="Arial" w:cs="Arial" w:eastAsia="Arial" w:hAnsi="Arial"/>
          <w:sz w:val="20"/>
          <w:szCs w:val="20"/>
          <w:color w:val="auto"/>
        </w:rPr>
        <w:t>The consideration for the RSUs is your continued service to the Corporation as an Employee during the Restricted Period set forth below. If you do not continue to perform services for the Corporation as an Employee during the entire Restricted Period as set forth below under “RESTRICTED PERIOD, FORFEITURE,” your Award will be forfeited in whole or in part.</w:t>
      </w:r>
    </w:p>
    <w:p>
      <w:pPr>
        <w:spacing w:after="0" w:line="198"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20"/>
          <w:szCs w:val="20"/>
          <w:b w:val="1"/>
          <w:bCs w:val="1"/>
          <w:color w:val="auto"/>
        </w:rPr>
      </w:pPr>
      <w:r>
        <w:rPr>
          <w:rFonts w:ascii="Arial" w:cs="Arial" w:eastAsia="Arial" w:hAnsi="Arial"/>
          <w:sz w:val="22"/>
          <w:szCs w:val="22"/>
          <w:b w:val="1"/>
          <w:bCs w:val="1"/>
          <w:color w:val="auto"/>
        </w:rPr>
        <w:t>RIGHTS OF OWNERSHIP, RESTRICTIONS ON TRANSFER</w:t>
      </w:r>
    </w:p>
    <w:p>
      <w:pPr>
        <w:spacing w:after="0" w:line="253" w:lineRule="exact"/>
        <w:rPr>
          <w:sz w:val="20"/>
          <w:szCs w:val="20"/>
          <w:color w:val="auto"/>
        </w:rPr>
      </w:pPr>
    </w:p>
    <w:p>
      <w:pPr>
        <w:jc w:val="both"/>
        <w:ind w:firstLine="346"/>
        <w:spacing w:after="0" w:line="254" w:lineRule="auto"/>
        <w:rPr>
          <w:sz w:val="20"/>
          <w:szCs w:val="20"/>
          <w:color w:val="auto"/>
        </w:rPr>
      </w:pPr>
      <w:r>
        <w:rPr>
          <w:rFonts w:ascii="Arial" w:cs="Arial" w:eastAsia="Arial" w:hAnsi="Arial"/>
          <w:sz w:val="20"/>
          <w:szCs w:val="20"/>
          <w:color w:val="auto"/>
        </w:rPr>
        <w:t>During the Restricted Period, your RSUs will be subject to forfeiture. Until the Restricted Period ends with respect to a particular RSU and a share of Stock is delivered to you, you generally will not have the rights and privileges of a stockholder. In particular, you will not have the right to vote your RSUs on any matter put to the stockholders of the Corporation; you may not sell, transfer, assign, pledge, use as collateral or otherwise dispose of or encumber RSUs; and you will not have the right to receive any dividends paid to stockholders or dividend equivalents on the RSUs.</w:t>
      </w:r>
    </w:p>
    <w:p>
      <w:pPr>
        <w:spacing w:after="0" w:line="214"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20"/>
          <w:szCs w:val="20"/>
          <w:color w:val="auto"/>
        </w:rPr>
        <w:t>Upon expiration or termination of the Restricted Period with respect to your RSUs, and subject to the forfeiture provisions set forth below, each RSU for which the restrictions have lapsed will be exchanged for a certificate (either in paper or book entry form) evidencing one (1) share of Stock issued in your name and a cash amount equal to the dividends that would have been paid to you had you owned such share from the Award Date until the expiration or termination of the Restricted Period (“Deferred Dividend Equivalents” or “DDEs”). Your shares and the cash payment for the DDEs will be delivered to you as soon as practicable, but not later than sixty (60) days after the expiration or termination of the Restricted Period, and in no event later than the March 15 following the expiration or termination of such Restricted Period (or, for taxpayers in Canada or as otherwise required by local country law, in no event later than the December 31 following the expiration or termination of such Restricted Period).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certificates delivered to you may contain any legend the Corporation determines is appropriate under the securities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laws.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You are responsible for payment of all Taxes imposed on you as a result of the Award. The Corporation will comply with all applicable U.S. Tax withholding requirements applicable to the RSUs, the DDEs, and associated Stock. Please see the Prospectus for the Plan for a discussion of certain material U.S. Tax consequences of the Award. Any withholding Tax on shares of Stock (and associated DDEs) deliverable to you will be satisfied by means of the Corporation’s reducing the number of shares of Stock (and associated DDEs) deliverable to you in respect of a vested Award. If you are an Insider at the time of income tax withholding, the Corporation will base withholding on the highest individual tax rate. If you are not an Insider at</w:t>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time of income tax withholding, the Corporation will base withholding on the highest individual tax rate, unless you elect otherwise in accordance with procedures established by the Corporation during an election window that may be offered by the Corporation. If you elect a lower tax rate for withholding, then you may owe additional taxes as a result of the payment of the Award.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If any Tax withholding is required with respect to any Award (including with respect to associated DDEs) during the Restricted Period, the Corporation generally shall reduce the Award by the number of shares of Stock and/or the amount of associated DDEs with a value equal to the Tax withholding obligation and such shares of Stock and/or DDEs will be used to satisfy the Tax withholding obligation.</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Corporation shall also have the right to (i) offset any other obligation of the Corporation to you (including but not limited to by withholding from your salary) by an amount sufficient to satisfy the Tax withholding obligation, or (ii) require you (or your estate) to pay the Corporation an amount equal to the Tax withholding obligation.</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If you are a taxpayer in a country other than the U.S., you agree to make appropriate arrangements with the Corporation or its subsidiaries for the satisfaction of all income and employment tax withholding requirements, as well as social insurance contributions applicable to the RSUs, the DDEs, and associated Stock. Please see the tax summary for your country on the Stock Plan System at https://atwork.morganstanley.com. If you are a taxpayer in a country other than the U.S., you represent that you will consult with your own tax advisors in connection with this Award and that you are not relying on the Corporation for any tax advice. If you are a taxpayer in Australia, any cash payment pursuant this Award Agreement will be inclusive of superannuation.</w:t>
      </w:r>
    </w:p>
    <w:p>
      <w:pPr>
        <w:spacing w:after="0" w:line="220" w:lineRule="exact"/>
        <w:rPr>
          <w:sz w:val="20"/>
          <w:szCs w:val="20"/>
          <w:color w:val="auto"/>
        </w:rPr>
      </w:pPr>
    </w:p>
    <w:p>
      <w:pPr>
        <w:jc w:val="both"/>
        <w:ind w:firstLine="251"/>
        <w:spacing w:after="0" w:line="250" w:lineRule="auto"/>
        <w:rPr>
          <w:sz w:val="20"/>
          <w:szCs w:val="20"/>
          <w:color w:val="auto"/>
        </w:rPr>
      </w:pPr>
      <w:r>
        <w:rPr>
          <w:rFonts w:ascii="Arial" w:cs="Arial" w:eastAsia="Arial" w:hAnsi="Arial"/>
          <w:sz w:val="20"/>
          <w:szCs w:val="20"/>
          <w:color w:val="auto"/>
        </w:rPr>
        <w:t>If a payment under this Award constitutes nonqualified deferred compensation under Section 409A of the Code, no payment due upon termination of employment shall be made unless the termination of employment is a “separation from service” as defined in Section 409A of the Code and accompanying regulations. In the event Code section 409A(a)(2)(B)(i) applies because you are a specified employee receiving a distribution on account of a termination of employment, delivery of Stock and the DDEs may be delayed for six months from such date. Similarly, if you are an Insider subject to the reporting provisions of Section 16(a) of the Securities Exchange Act of 1934 (“Exchange Act”), delivery of Stock following the expiration of the Restricted Period for any reason may be delayed for six months. For example, if the delivery of the Stock would result in a nonexempt short-swing transaction under Section 16(b) of the Exchange Act, delivery will be delayed until the earliest date upon which the delivery either would not result in a nonexempt short-swing transaction or would otherwise not result in liability under Section 16(b) of the Exchange Act.</w:t>
      </w:r>
    </w:p>
    <w:p>
      <w:pPr>
        <w:spacing w:after="0" w:line="223" w:lineRule="exact"/>
        <w:rPr>
          <w:sz w:val="20"/>
          <w:szCs w:val="20"/>
          <w:color w:val="auto"/>
        </w:rPr>
      </w:pPr>
    </w:p>
    <w:p>
      <w:pPr>
        <w:jc w:val="both"/>
        <w:ind w:firstLine="295"/>
        <w:spacing w:after="0" w:line="255" w:lineRule="auto"/>
        <w:rPr>
          <w:sz w:val="20"/>
          <w:szCs w:val="20"/>
          <w:color w:val="auto"/>
        </w:rPr>
      </w:pPr>
      <w:r>
        <w:rPr>
          <w:rFonts w:ascii="Arial" w:cs="Arial" w:eastAsia="Arial" w:hAnsi="Arial"/>
          <w:sz w:val="20"/>
          <w:szCs w:val="20"/>
          <w:color w:val="auto"/>
        </w:rPr>
        <w:t>After the Stock is delivered to you, you will enjoy all of the rights and privileges associated with ownership of the shares, including the right to vote on any matter put to stockholder vote, to receive dividends, and to encumber, sell or otherwise transfer the shares. You should note, however, that, while the shares would thus be free of the restrictions imposed during the Restricted Period, your ability to sell or pledge the shares may be limited under the federal securities laws or corporate policy.</w:t>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In the event of your death, the Stock and cash payment for the DDEs in respect of your RSUs will be transferred to your Beneficiary (as defined in the Plan).</w:t>
      </w:r>
    </w:p>
    <w:p>
      <w:pPr>
        <w:spacing w:after="0" w:line="174"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20"/>
          <w:szCs w:val="20"/>
          <w:b w:val="1"/>
          <w:bCs w:val="1"/>
          <w:color w:val="auto"/>
        </w:rPr>
      </w:pPr>
      <w:r>
        <w:rPr>
          <w:rFonts w:ascii="Arial" w:cs="Arial" w:eastAsia="Arial" w:hAnsi="Arial"/>
          <w:sz w:val="22"/>
          <w:szCs w:val="22"/>
          <w:b w:val="1"/>
          <w:bCs w:val="1"/>
          <w:color w:val="auto"/>
        </w:rPr>
        <w:t>RESTRICTED PERIOD, FORFEITURE</w:t>
      </w:r>
    </w:p>
    <w:p>
      <w:pPr>
        <w:spacing w:after="0" w:line="2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Except as otherwise provided in Section 4 below or as required to satisfy a Tax withholding obligation as provided in Section 2 above, all of your RSUs will be forfeited and all of your rights to the RSUs and to receive Stock for your RSUs and to receive cash payment for the DDEs will cease without further obligation on the part of the Corporation unless (i) except as described in Section 9, you personally accept this Award Agreement as provided in Section 9 by the Acceptance Deadline, and</w:t>
      </w:r>
    </w:p>
    <w:p>
      <w:pPr>
        <w:spacing w:after="0" w:line="1" w:lineRule="exact"/>
        <w:rPr>
          <w:sz w:val="20"/>
          <w:szCs w:val="20"/>
          <w:color w:val="auto"/>
        </w:rPr>
      </w:pPr>
    </w:p>
    <w:p>
      <w:pPr>
        <w:jc w:val="both"/>
        <w:ind w:firstLine="8"/>
        <w:spacing w:after="0" w:line="253" w:lineRule="auto"/>
        <w:tabs>
          <w:tab w:leader="none" w:pos="302" w:val="left"/>
        </w:tabs>
        <w:numPr>
          <w:ilvl w:val="0"/>
          <w:numId w:val="17"/>
        </w:numPr>
        <w:rPr>
          <w:rFonts w:ascii="Arial" w:cs="Arial" w:eastAsia="Arial" w:hAnsi="Arial"/>
          <w:sz w:val="20"/>
          <w:szCs w:val="20"/>
          <w:color w:val="auto"/>
        </w:rPr>
      </w:pPr>
      <w:r>
        <w:rPr>
          <w:rFonts w:ascii="Arial" w:cs="Arial" w:eastAsia="Arial" w:hAnsi="Arial"/>
          <w:sz w:val="20"/>
          <w:szCs w:val="20"/>
          <w:color w:val="auto"/>
        </w:rPr>
        <w:t>you provide services to the Corporation as an Employee of the Corporation throughout the entire Restricted Period. The Restricted Period begins on the Award Date and terminates on February 25, 2029 (the “Vesting Date”), subject only to the specific exceptions provided below.</w:t>
      </w:r>
    </w:p>
    <w:p>
      <w:pPr>
        <w:spacing w:after="0" w:line="220"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20"/>
          <w:szCs w:val="20"/>
          <w:b w:val="1"/>
          <w:bCs w:val="1"/>
          <w:color w:val="auto"/>
        </w:rPr>
      </w:pPr>
      <w:r>
        <w:rPr>
          <w:rFonts w:ascii="Arial" w:cs="Arial" w:eastAsia="Arial" w:hAnsi="Arial"/>
          <w:sz w:val="22"/>
          <w:szCs w:val="22"/>
          <w:b w:val="1"/>
          <w:bCs w:val="1"/>
          <w:color w:val="auto"/>
        </w:rPr>
        <w:t>DEATH, DISABILITY, LAYOFF, RETIREMENT</w:t>
      </w:r>
    </w:p>
    <w:p>
      <w:pPr>
        <w:spacing w:after="0" w:line="262" w:lineRule="exact"/>
        <w:rPr>
          <w:sz w:val="20"/>
          <w:szCs w:val="20"/>
          <w:color w:val="auto"/>
        </w:rPr>
      </w:pPr>
    </w:p>
    <w:p>
      <w:pPr>
        <w:ind w:left="1120" w:hanging="464"/>
        <w:spacing w:after="0"/>
        <w:tabs>
          <w:tab w:leader="none" w:pos="1120" w:val="left"/>
        </w:tabs>
        <w:numPr>
          <w:ilvl w:val="0"/>
          <w:numId w:val="19"/>
        </w:numPr>
        <w:rPr>
          <w:rFonts w:ascii="Arial" w:cs="Arial" w:eastAsia="Arial" w:hAnsi="Arial"/>
          <w:sz w:val="20"/>
          <w:szCs w:val="20"/>
          <w:color w:val="auto"/>
        </w:rPr>
      </w:pPr>
      <w:r>
        <w:rPr>
          <w:rFonts w:ascii="Arial" w:cs="Arial" w:eastAsia="Arial" w:hAnsi="Arial"/>
          <w:sz w:val="22"/>
          <w:szCs w:val="22"/>
          <w:u w:val="single" w:color="auto"/>
          <w:color w:val="auto"/>
        </w:rPr>
        <w:t>Death and Disability</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20"/>
          <w:szCs w:val="20"/>
          <w:color w:val="auto"/>
        </w:rPr>
        <w:t>Your RSUs and the DDEs will immediately vest and no longer be subject to the continuing employment requirement if:</w:t>
      </w:r>
    </w:p>
    <w:p>
      <w:pPr>
        <w:spacing w:after="0" w:line="256" w:lineRule="exact"/>
        <w:rPr>
          <w:sz w:val="20"/>
          <w:szCs w:val="20"/>
          <w:color w:val="auto"/>
        </w:rPr>
      </w:pPr>
    </w:p>
    <w:p>
      <w:pPr>
        <w:ind w:left="1700" w:hanging="396"/>
        <w:spacing w:after="0"/>
        <w:tabs>
          <w:tab w:leader="none" w:pos="1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you die while still employed by the Corporation; or</w:t>
      </w:r>
    </w:p>
    <w:p>
      <w:pPr>
        <w:spacing w:after="0" w:line="242" w:lineRule="exact"/>
        <w:rPr>
          <w:rFonts w:ascii="Arial" w:cs="Arial" w:eastAsia="Arial" w:hAnsi="Arial"/>
          <w:sz w:val="20"/>
          <w:szCs w:val="20"/>
          <w:color w:val="auto"/>
        </w:rPr>
      </w:pPr>
    </w:p>
    <w:p>
      <w:pPr>
        <w:ind w:left="1960" w:hanging="656"/>
        <w:spacing w:after="0" w:line="274" w:lineRule="auto"/>
        <w:tabs>
          <w:tab w:leader="none" w:pos="1767" w:val="left"/>
        </w:tabs>
        <w:numPr>
          <w:ilvl w:val="0"/>
          <w:numId w:val="20"/>
        </w:numPr>
        <w:rPr>
          <w:rFonts w:ascii="Arial" w:cs="Arial" w:eastAsia="Arial" w:hAnsi="Arial"/>
          <w:sz w:val="19"/>
          <w:szCs w:val="19"/>
          <w:color w:val="auto"/>
        </w:rPr>
      </w:pPr>
      <w:r>
        <w:rPr>
          <w:rFonts w:ascii="Arial" w:cs="Arial" w:eastAsia="Arial" w:hAnsi="Arial"/>
          <w:sz w:val="19"/>
          <w:szCs w:val="19"/>
          <w:color w:val="auto"/>
        </w:rPr>
        <w:t>you terminate employment as a result of your total disability. Your employment will be treated as terminating because of a total disability on the date you commence receiving a benefit under the Corporation’s long-term disability plan in which you participate (or, if you are not enrolled in the Corporation’s long-term disability plan, on the date on which long-term disability benefits would have commenced under the plan under which you would have been covered, had you enrolled, using the standards set forth in that plan).</w:t>
      </w:r>
    </w:p>
    <w:p>
      <w:pPr>
        <w:spacing w:after="0" w:line="184" w:lineRule="exact"/>
        <w:rPr>
          <w:sz w:val="20"/>
          <w:szCs w:val="20"/>
          <w:color w:val="auto"/>
        </w:rPr>
      </w:pPr>
    </w:p>
    <w:p>
      <w:pPr>
        <w:jc w:val="both"/>
        <w:ind w:firstLine="274"/>
        <w:spacing w:after="0" w:line="259" w:lineRule="auto"/>
        <w:rPr>
          <w:sz w:val="20"/>
          <w:szCs w:val="20"/>
          <w:color w:val="auto"/>
        </w:rPr>
      </w:pPr>
      <w:r>
        <w:rPr>
          <w:rFonts w:ascii="Arial" w:cs="Arial" w:eastAsia="Arial" w:hAnsi="Arial"/>
          <w:sz w:val="20"/>
          <w:szCs w:val="20"/>
          <w:color w:val="auto"/>
        </w:rPr>
        <w:t>The vested RSUs will be exchanged for shares of Stock, and the DDEs will be paid in cash as soon as practicable, but no later than sixty (60) days after the date of your termination of employment, on account of death or total disability, and in no event later than the March 15 next following the year in which such termination occurs (or, for taxpayers in Canada or as otherwise required by local country law, in no event later than the December 31 following such termination).</w:t>
      </w:r>
    </w:p>
    <w:p>
      <w:pPr>
        <w:spacing w:after="0" w:line="209" w:lineRule="exact"/>
        <w:rPr>
          <w:sz w:val="20"/>
          <w:szCs w:val="20"/>
          <w:color w:val="auto"/>
        </w:rPr>
      </w:pPr>
    </w:p>
    <w:p>
      <w:pPr>
        <w:jc w:val="both"/>
        <w:ind w:firstLine="281"/>
        <w:spacing w:after="0" w:line="255" w:lineRule="auto"/>
        <w:rPr>
          <w:sz w:val="20"/>
          <w:szCs w:val="20"/>
          <w:color w:val="auto"/>
        </w:rPr>
      </w:pPr>
      <w:r>
        <w:rPr>
          <w:rFonts w:ascii="Arial" w:cs="Arial" w:eastAsia="Arial" w:hAnsi="Arial"/>
          <w:sz w:val="20"/>
          <w:szCs w:val="20"/>
          <w:color w:val="auto"/>
        </w:rPr>
        <w:t>Except as otherwise determined by the Corporation in its discretion in accordance with Section 9, in the event that you die and have not properly acknowledged acceptance of the Award prior to your death (or by the Acceptance Deadline, whichever comes first), you will forfeit all of your RSUs granted hereunder and all of your rights to the RSUs and to receive Stock for your RSUs and the DDEs will cease without further obligation on the part of the Corporation.</w:t>
      </w:r>
    </w:p>
    <w:p>
      <w:pPr>
        <w:spacing w:after="0" w:line="219"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20"/>
          <w:szCs w:val="20"/>
          <w:color w:val="auto"/>
        </w:rPr>
      </w:pPr>
      <w:r>
        <w:rPr>
          <w:rFonts w:ascii="Arial" w:cs="Arial" w:eastAsia="Arial" w:hAnsi="Arial"/>
          <w:sz w:val="22"/>
          <w:szCs w:val="22"/>
          <w:u w:val="single" w:color="auto"/>
          <w:color w:val="auto"/>
        </w:rPr>
        <w:t>Retirement</w:t>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20"/>
          <w:szCs w:val="20"/>
          <w:color w:val="auto"/>
        </w:rPr>
        <w:t>If you retire from the Corporation and the effective date of your retirement is after August 25, 2026 (the “Minimum Service Date”), but before the Vesting Date, you will continue to vest in your RSUs and the DDEs as if you had remained employed by the Corporation until the Vesting Date. The effective date of your retirement is the first day following the date you terminate service with the Corporation.</w:t>
      </w:r>
    </w:p>
    <w:p>
      <w:pPr>
        <w:spacing w:after="0" w:line="19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20"/>
          <w:szCs w:val="20"/>
          <w:color w:val="auto"/>
        </w:rPr>
        <w:t>The vested RSUs will be exchanged for shares of Stock, and the related DDEs associated with the vested portion of your RSUs will be paid in cash, on or as soon as practicable after the Vesting Date, but in no event later than the March 15 following the end of the Restricted Period (or, for taxpayers in Canada or as otherwise required by local country law, in no event later than the December 31 following the end of the Restricted Period).</w:t>
      </w:r>
    </w:p>
    <w:p>
      <w:pPr>
        <w:spacing w:after="0" w:line="209" w:lineRule="exact"/>
        <w:rPr>
          <w:sz w:val="20"/>
          <w:szCs w:val="20"/>
          <w:color w:val="auto"/>
        </w:rPr>
      </w:pPr>
    </w:p>
    <w:p>
      <w:pPr>
        <w:jc w:val="both"/>
        <w:ind w:right="20" w:firstLine="243"/>
        <w:spacing w:after="0" w:line="271" w:lineRule="auto"/>
        <w:rPr>
          <w:sz w:val="20"/>
          <w:szCs w:val="20"/>
          <w:color w:val="auto"/>
        </w:rPr>
      </w:pPr>
      <w:r>
        <w:rPr>
          <w:rFonts w:ascii="Arial" w:cs="Arial" w:eastAsia="Arial" w:hAnsi="Arial"/>
          <w:sz w:val="20"/>
          <w:szCs w:val="20"/>
          <w:color w:val="auto"/>
        </w:rPr>
        <w:t>For purposes of this provision, the term “retirement” means retirement from service following attainment of (i) age 55 and ten years of service (at the time of termination), or (ii) age 65.</w:t>
      </w:r>
    </w:p>
    <w:p>
      <w:pPr>
        <w:spacing w:after="0" w:line="205" w:lineRule="exact"/>
        <w:rPr>
          <w:sz w:val="20"/>
          <w:szCs w:val="20"/>
          <w:color w:val="auto"/>
        </w:rPr>
      </w:pPr>
    </w:p>
    <w:p>
      <w:pPr>
        <w:ind w:left="1100" w:hanging="444"/>
        <w:spacing w:after="0"/>
        <w:tabs>
          <w:tab w:leader="none" w:pos="1100"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Layoff</w:t>
      </w:r>
    </w:p>
    <w:p>
      <w:pPr>
        <w:spacing w:after="0" w:line="251" w:lineRule="exact"/>
        <w:rPr>
          <w:sz w:val="20"/>
          <w:szCs w:val="20"/>
          <w:color w:val="auto"/>
        </w:rPr>
      </w:pPr>
    </w:p>
    <w:p>
      <w:pPr>
        <w:jc w:val="both"/>
        <w:ind w:firstLine="291"/>
        <w:spacing w:after="0" w:line="252" w:lineRule="auto"/>
        <w:rPr>
          <w:sz w:val="20"/>
          <w:szCs w:val="20"/>
          <w:color w:val="auto"/>
        </w:rPr>
      </w:pPr>
      <w:r>
        <w:rPr>
          <w:rFonts w:ascii="Arial" w:cs="Arial" w:eastAsia="Arial" w:hAnsi="Arial"/>
          <w:sz w:val="20"/>
          <w:szCs w:val="20"/>
          <w:color w:val="auto"/>
        </w:rPr>
        <w:t>If you are laid off by the Corporation (including through a voluntary separation program that constitutes a window program under Section 409A of the Code) and the effective date of your layoff is after the Minimum Service Date, but before the Vesting Date, you will be eligible to receive a fraction of your RSUs and the associated DDEs on such fraction, with the numerator of such fraction being the number of days in the Restricted Period before your employment as an Employee terminated due to layoff, and the denominator being the total number of days in the Restricted Period. Fractional shares shall be rounded up to the next whole share. Notwithstanding the foregoing, if you are an employee who has been identified by the Corporation as subject to Divestiture (as defined in Section 6 below), and the effective date of your layoff is after the Award Date but before the Minimum Service Date, you will be eligible for pro-rata vesting as described in this Section 4(c).</w:t>
      </w:r>
    </w:p>
    <w:p>
      <w:pPr>
        <w:spacing w:after="0" w:line="201" w:lineRule="exact"/>
        <w:rPr>
          <w:sz w:val="20"/>
          <w:szCs w:val="20"/>
          <w:color w:val="auto"/>
        </w:rPr>
      </w:pPr>
    </w:p>
    <w:p>
      <w:pPr>
        <w:jc w:val="both"/>
        <w:ind w:firstLine="213"/>
        <w:spacing w:after="0" w:line="258" w:lineRule="auto"/>
        <w:rPr>
          <w:sz w:val="20"/>
          <w:szCs w:val="20"/>
          <w:color w:val="auto"/>
        </w:rPr>
      </w:pPr>
      <w:r>
        <w:rPr>
          <w:rFonts w:ascii="Arial" w:cs="Arial" w:eastAsia="Arial" w:hAnsi="Arial"/>
          <w:sz w:val="20"/>
          <w:szCs w:val="20"/>
          <w:color w:val="auto"/>
        </w:rPr>
        <w:t>As a condition to the vesting of any RSUs (and associated DDEs) upon your layoff in accordance with this Section, you will be required to execute and deliver to the Corporation a general release of claims against the Corporation in a form acceptable to the Corporation within the time period specified by the Corporation in such release and not revoke such release within any revocation period provided for therein. Except as otherwise expressly provided by the Corporation in writing, a failure to satisfy this condition will result in forfeiture of such RSUs (and associated DDEs) upon your layoff during the Restricted Period.</w:t>
      </w:r>
    </w:p>
    <w:p>
      <w:pPr>
        <w:spacing w:after="0" w:line="19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20"/>
          <w:szCs w:val="20"/>
          <w:color w:val="auto"/>
        </w:rPr>
        <w:t>The vested portion of your RSUs will be exchanged for shares of Stock, and the related DDEs associated with the vested portion of your RSUs will be paid in cash, on or as soon as practicable after the Vesting Date, but in no event later than the March 15 following the end of the Restricted Period (or, for taxpayers in Canada or as otherwise required by local country law, in no event later than the December 31 following the end of the Restricted Period).</w:t>
      </w:r>
    </w:p>
    <w:p>
      <w:pPr>
        <w:spacing w:after="0" w:line="209" w:lineRule="exact"/>
        <w:rPr>
          <w:sz w:val="20"/>
          <w:szCs w:val="20"/>
          <w:color w:val="auto"/>
        </w:rPr>
      </w:pPr>
    </w:p>
    <w:p>
      <w:pPr>
        <w:jc w:val="both"/>
        <w:ind w:firstLine="250"/>
        <w:spacing w:after="0" w:line="255" w:lineRule="auto"/>
        <w:rPr>
          <w:sz w:val="20"/>
          <w:szCs w:val="20"/>
          <w:color w:val="auto"/>
        </w:rPr>
      </w:pPr>
      <w:r>
        <w:rPr>
          <w:rFonts w:ascii="Arial" w:cs="Arial" w:eastAsia="Arial" w:hAnsi="Arial"/>
          <w:sz w:val="20"/>
          <w:szCs w:val="20"/>
          <w:color w:val="auto"/>
        </w:rPr>
        <w:t>If you are employed in Canada, for purposes of the Award Agreement, the date of termination of employment will be the last day of actual and active employment. For the avoidance of doubt, except as may be required by applicable minimum standards legislation, no period of notice or payment in lieu of notice that is given or that ought to have been given under any applicable law or contract in respect of such termination of employment that follows or is in</w:t>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respect of a period after your last day of actual and active employment, if any, will be considered as extending your period of employment for purposes of determining your entitlement under this Award Agreement.</w:t>
      </w:r>
    </w:p>
    <w:p>
      <w:pPr>
        <w:spacing w:after="0" w:line="174"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20"/>
          <w:szCs w:val="20"/>
          <w:b w:val="1"/>
          <w:bCs w:val="1"/>
          <w:color w:val="auto"/>
        </w:rPr>
      </w:pPr>
      <w:r>
        <w:rPr>
          <w:rFonts w:ascii="Arial" w:cs="Arial" w:eastAsia="Arial" w:hAnsi="Arial"/>
          <w:sz w:val="22"/>
          <w:szCs w:val="22"/>
          <w:b w:val="1"/>
          <w:bCs w:val="1"/>
          <w:color w:val="auto"/>
        </w:rPr>
        <w:t>RESIGNATION OR TERMINATION BEFORE THE VESTING DATE</w:t>
      </w:r>
    </w:p>
    <w:p>
      <w:pPr>
        <w:spacing w:after="0" w:line="253" w:lineRule="exact"/>
        <w:rPr>
          <w:sz w:val="20"/>
          <w:szCs w:val="20"/>
          <w:color w:val="auto"/>
        </w:rPr>
      </w:pPr>
    </w:p>
    <w:p>
      <w:pPr>
        <w:jc w:val="both"/>
        <w:ind w:firstLine="222"/>
        <w:spacing w:after="0" w:line="262" w:lineRule="auto"/>
        <w:rPr>
          <w:sz w:val="20"/>
          <w:szCs w:val="20"/>
          <w:color w:val="auto"/>
        </w:rPr>
      </w:pPr>
      <w:r>
        <w:rPr>
          <w:rFonts w:ascii="Arial" w:cs="Arial" w:eastAsia="Arial" w:hAnsi="Arial"/>
          <w:sz w:val="20"/>
          <w:szCs w:val="20"/>
          <w:color w:val="auto"/>
        </w:rPr>
        <w:t>Except where prohibited by law, if you resign or your employment otherwise terminates before the Vesting Date, other than on account of death, total disability, layoff, or retirement (as described above), or Divestiture or Change in Control (as described below), you will forfeit your RSUs and the related DDEs on the date of your termination.</w:t>
      </w:r>
    </w:p>
    <w:p>
      <w:pPr>
        <w:spacing w:after="0" w:line="205" w:lineRule="exact"/>
        <w:rPr>
          <w:sz w:val="20"/>
          <w:szCs w:val="20"/>
          <w:color w:val="auto"/>
        </w:rPr>
      </w:pPr>
    </w:p>
    <w:p>
      <w:pPr>
        <w:jc w:val="both"/>
        <w:ind w:firstLine="328"/>
        <w:spacing w:after="0" w:line="251" w:lineRule="auto"/>
        <w:rPr>
          <w:sz w:val="20"/>
          <w:szCs w:val="20"/>
          <w:color w:val="auto"/>
        </w:rPr>
      </w:pPr>
      <w:r>
        <w:rPr>
          <w:rFonts w:ascii="Arial" w:cs="Arial" w:eastAsia="Arial" w:hAnsi="Arial"/>
          <w:sz w:val="20"/>
          <w:szCs w:val="20"/>
          <w:color w:val="auto"/>
        </w:rPr>
        <w:t>Except where prohibited by law, if your employment terminates for any reason before the Vesting Date, by action of the Corporation due to your misconduct, then you will forfeit your RSUs and the associated DDEs on the date of your termination. If your employment terminates due to your misconduct after the Minimum Service Date, but before the Vesting Date, then you will not be eligible for continued vesting under Section 4(b) of the Award Agreement, even if at the time of your termination due to misconduct you have attained (i) age 55 and ten years of service, or (ii) age 65. The business area or Enterprise Operations review committee responsible for determinations of misconduct, or the Committee if you are an Elected Officer, will determine if your employment terminates due to misconduct.</w:t>
      </w:r>
    </w:p>
    <w:p>
      <w:pPr>
        <w:spacing w:after="0" w:line="226"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20"/>
          <w:szCs w:val="20"/>
          <w:b w:val="1"/>
          <w:bCs w:val="1"/>
          <w:color w:val="auto"/>
        </w:rPr>
      </w:pPr>
      <w:r>
        <w:rPr>
          <w:rFonts w:ascii="Arial" w:cs="Arial" w:eastAsia="Arial" w:hAnsi="Arial"/>
          <w:sz w:val="22"/>
          <w:szCs w:val="22"/>
          <w:b w:val="1"/>
          <w:bCs w:val="1"/>
          <w:color w:val="auto"/>
        </w:rPr>
        <w:t>DIVESTITURE</w:t>
      </w:r>
    </w:p>
    <w:p>
      <w:pPr>
        <w:spacing w:after="0" w:line="24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20"/>
          <w:szCs w:val="20"/>
          <w:color w:val="auto"/>
        </w:rPr>
        <w:t>In the event of a Divestiture (as defined below) of all or substantially all of a business operation of the Corporation and such Divestiture results in the termination of your employment with the Corporation or its subsidiaries and the transfer of such employment to the other party to the Divestiture or the entity resulting from the Divestiture (or its affiliate), then the Committee may arrange for such other party or entity to assume or continue your RSUs or substitute equivalent restricted securities for your RSUs, with the same terms and conditions that apply to your RSUs pursuant to this Award Agreement, and the remainder of this Section 6 shall not apply.</w:t>
      </w:r>
    </w:p>
    <w:p>
      <w:pPr>
        <w:spacing w:after="0" w:line="214" w:lineRule="exact"/>
        <w:rPr>
          <w:sz w:val="20"/>
          <w:szCs w:val="20"/>
          <w:color w:val="auto"/>
        </w:rPr>
      </w:pPr>
    </w:p>
    <w:p>
      <w:pPr>
        <w:jc w:val="both"/>
        <w:ind w:firstLine="222"/>
        <w:spacing w:after="0" w:line="262" w:lineRule="auto"/>
        <w:rPr>
          <w:sz w:val="20"/>
          <w:szCs w:val="20"/>
          <w:color w:val="auto"/>
        </w:rPr>
      </w:pPr>
      <w:r>
        <w:rPr>
          <w:rFonts w:ascii="Arial" w:cs="Arial" w:eastAsia="Arial" w:hAnsi="Arial"/>
          <w:sz w:val="20"/>
          <w:szCs w:val="20"/>
          <w:color w:val="auto"/>
        </w:rPr>
        <w:t>If (i) such assumption, continuance or substitution of your RSUs does not occur, (ii) the Divestiture results in the termination of your employment with the Corporation or its subsidiaries, and (iii) your employment transfers to the other party to the Divestiture or the entity resulting from the Divestiture (or its affiliate), then the following rules will apply:</w:t>
      </w:r>
    </w:p>
    <w:p>
      <w:pPr>
        <w:spacing w:after="0" w:line="205" w:lineRule="exact"/>
        <w:rPr>
          <w:sz w:val="20"/>
          <w:szCs w:val="20"/>
          <w:color w:val="auto"/>
        </w:rPr>
      </w:pPr>
    </w:p>
    <w:p>
      <w:pPr>
        <w:jc w:val="both"/>
        <w:ind w:firstLine="248"/>
        <w:spacing w:after="0" w:line="255" w:lineRule="auto"/>
        <w:tabs>
          <w:tab w:leader="none" w:pos="722"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Pro-rata Vesting</w:t>
      </w:r>
      <w:r>
        <w:rPr>
          <w:rFonts w:ascii="Arial" w:cs="Arial" w:eastAsia="Arial" w:hAnsi="Arial"/>
          <w:sz w:val="20"/>
          <w:szCs w:val="20"/>
          <w:color w:val="auto"/>
        </w:rPr>
        <w:t>. You shall be eligible to receive a fraction of your RSUs and the associated DDEs with respect to such fraction. The numerator of such fraction shall equal the number of days in the Restricted Period before your employment as an Employee terminated due to the Divestiture, and the denominator shall equal the total number of days in the Restricted Period. Fractional shares shall be rounded up to the next whole share.</w:t>
      </w:r>
    </w:p>
    <w:p>
      <w:pPr>
        <w:spacing w:after="0" w:line="210" w:lineRule="exact"/>
        <w:rPr>
          <w:rFonts w:ascii="Arial" w:cs="Arial" w:eastAsia="Arial" w:hAnsi="Arial"/>
          <w:sz w:val="20"/>
          <w:szCs w:val="20"/>
          <w:color w:val="auto"/>
        </w:rPr>
      </w:pPr>
    </w:p>
    <w:p>
      <w:pPr>
        <w:jc w:val="both"/>
        <w:ind w:firstLine="235"/>
        <w:spacing w:after="0" w:line="254" w:lineRule="auto"/>
        <w:tabs>
          <w:tab w:leader="none" w:pos="695"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Special Rule if Retirement Eligible</w:t>
      </w:r>
      <w:r>
        <w:rPr>
          <w:rFonts w:ascii="Arial" w:cs="Arial" w:eastAsia="Arial" w:hAnsi="Arial"/>
          <w:sz w:val="20"/>
          <w:szCs w:val="20"/>
          <w:color w:val="auto"/>
        </w:rPr>
        <w:t>. Notwithstanding Section 6(a) immediately above, if at the time your employment with the Corporation or its subsidiaries terminates due to Divestiture and transfers to the other party to the Divestiture or the resulting entity to the Divestiture (or its affiliate), you are eligible for retirement treatment under Section 4(b) above (without regard to whether your termination occurs after the Minimum Service Date), then the Corporation will treat you as having retired and apply the vesting provision in Section 4(b) above to your RSUs.</w:t>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282"/>
        <w:spacing w:after="0" w:line="254" w:lineRule="auto"/>
        <w:tabs>
          <w:tab w:leader="none" w:pos="77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 Further Rights</w:t>
      </w:r>
      <w:r>
        <w:rPr>
          <w:rFonts w:ascii="Arial" w:cs="Arial" w:eastAsia="Arial" w:hAnsi="Arial"/>
          <w:sz w:val="20"/>
          <w:szCs w:val="20"/>
          <w:color w:val="auto"/>
        </w:rPr>
        <w:t>. The Committee shall have complete and absolute discretion to make the determinations called for under this Section 6, and all such determinations shall be binding on you and on any person who claims all or any part of your RSUs and associated DDEs on your behalf as well as on the Corporation. If you terminate employment during the Restricted Period due to Divestiture but are eligible to receive a portion of your RSUs and associated DDEs as a result of this Section 6, payment of such portion of your RSUs and associated DDEs shall be in full satisfaction of all rights you have under this Award Agreement and you will receive shares of Stock in exchange for RSUs and the cash payment for the DDEs as soon as practicable, but no later than sixty (60) days after your termination of employment with the Corporation.</w:t>
      </w:r>
    </w:p>
    <w:p>
      <w:pPr>
        <w:spacing w:after="0" w:line="200" w:lineRule="exact"/>
        <w:rPr>
          <w:sz w:val="20"/>
          <w:szCs w:val="20"/>
          <w:color w:val="auto"/>
        </w:rPr>
      </w:pPr>
    </w:p>
    <w:p>
      <w:pPr>
        <w:jc w:val="both"/>
        <w:ind w:firstLine="249"/>
        <w:spacing w:after="0" w:line="258" w:lineRule="auto"/>
        <w:rPr>
          <w:sz w:val="20"/>
          <w:szCs w:val="20"/>
          <w:color w:val="auto"/>
        </w:rPr>
      </w:pPr>
      <w:r>
        <w:rPr>
          <w:rFonts w:ascii="Arial" w:cs="Arial" w:eastAsia="Arial" w:hAnsi="Arial"/>
          <w:sz w:val="20"/>
          <w:szCs w:val="20"/>
          <w:color w:val="auto"/>
        </w:rPr>
        <w:t>For the purposes of this Section 6, the term “Divestiture” shall mean a transaction that results in the transfer of control of the business operation divested to any person, corporation, association, partnership, joint venture, limited liability company or other business entity of which less than 50% of the voting stock or other equity interests (in the case of entities other than corporations), is owned or controlled directly or indirectly by the Corporation, by one or more of the Corporation’s subsidiaries or by a combination thereof.</w:t>
      </w:r>
    </w:p>
    <w:p>
      <w:pPr>
        <w:spacing w:after="0" w:line="201"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20"/>
          <w:szCs w:val="20"/>
          <w:b w:val="1"/>
          <w:bCs w:val="1"/>
          <w:color w:val="auto"/>
        </w:rPr>
      </w:pPr>
      <w:r>
        <w:rPr>
          <w:rFonts w:ascii="Arial" w:cs="Arial" w:eastAsia="Arial" w:hAnsi="Arial"/>
          <w:sz w:val="22"/>
          <w:szCs w:val="22"/>
          <w:b w:val="1"/>
          <w:bCs w:val="1"/>
          <w:color w:val="auto"/>
        </w:rPr>
        <w:t>CHANGE IN CONTROL DURING THE RESTRICTED PERIOD</w:t>
      </w:r>
    </w:p>
    <w:p>
      <w:pPr>
        <w:spacing w:after="0" w:line="253"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20"/>
          <w:szCs w:val="20"/>
          <w:color w:val="auto"/>
        </w:rPr>
        <w:t>In the event of a consummation of a Change in Control during the Restricted Period, the number of RSUs subject to this Award and associated DDEs will become vested (i) on the effective date of the Change in Control if the RSUs are not assumed, continued, or equivalent restricted securities are not substituted for the RSUs by the Corporation or its successor, or (ii) if the RSUs are assumed, continued or substituted by the Corporation or its successor, on the effective date of your involuntary termination by the Corporation or its successor other than for Cause (as defined herein, not including death or total disability) or your voluntary termination with Good Reason (as defined herein), in either case, within the 24-month period following the consummation of the Change in Control.</w:t>
      </w:r>
    </w:p>
    <w:p>
      <w:pPr>
        <w:spacing w:after="0" w:line="220" w:lineRule="exact"/>
        <w:rPr>
          <w:sz w:val="20"/>
          <w:szCs w:val="20"/>
          <w:color w:val="auto"/>
        </w:rPr>
      </w:pPr>
    </w:p>
    <w:p>
      <w:pPr>
        <w:jc w:val="both"/>
        <w:ind w:firstLine="340"/>
        <w:spacing w:after="0" w:line="259" w:lineRule="auto"/>
        <w:rPr>
          <w:sz w:val="20"/>
          <w:szCs w:val="20"/>
          <w:color w:val="auto"/>
        </w:rPr>
      </w:pPr>
      <w:r>
        <w:rPr>
          <w:rFonts w:ascii="Arial" w:cs="Arial" w:eastAsia="Arial" w:hAnsi="Arial"/>
          <w:sz w:val="20"/>
          <w:szCs w:val="20"/>
          <w:color w:val="auto"/>
        </w:rPr>
        <w:t>In the event the RSUs and associated DDEs vest in accordance with this Section 7 (whether immediately following the Change in Control or following your termination), the shares of Stock or equivalent substituted securities in which you have become vested and the associated DDEs (less any Tax withholding) shall be delivered to you within 14 days of the date on which you become vested.</w:t>
      </w:r>
    </w:p>
    <w:p>
      <w:pPr>
        <w:spacing w:after="0" w:line="204" w:lineRule="exact"/>
        <w:rPr>
          <w:sz w:val="20"/>
          <w:szCs w:val="20"/>
          <w:color w:val="auto"/>
        </w:rPr>
      </w:pPr>
    </w:p>
    <w:p>
      <w:pPr>
        <w:ind w:left="1120" w:hanging="464"/>
        <w:spacing w:after="0"/>
        <w:tabs>
          <w:tab w:leader="none" w:pos="1120" w:val="left"/>
        </w:tabs>
        <w:numPr>
          <w:ilvl w:val="0"/>
          <w:numId w:val="29"/>
        </w:numPr>
        <w:rPr>
          <w:rFonts w:ascii="Arial" w:cs="Arial" w:eastAsia="Arial" w:hAnsi="Arial"/>
          <w:sz w:val="20"/>
          <w:szCs w:val="20"/>
          <w:color w:val="auto"/>
        </w:rPr>
      </w:pPr>
      <w:r>
        <w:rPr>
          <w:rFonts w:ascii="Arial" w:cs="Arial" w:eastAsia="Arial" w:hAnsi="Arial"/>
          <w:sz w:val="22"/>
          <w:szCs w:val="22"/>
          <w:color w:val="auto"/>
        </w:rPr>
        <w:t>“Cause” shall mean either of the following:</w:t>
      </w:r>
    </w:p>
    <w:p>
      <w:pPr>
        <w:spacing w:after="0" w:line="200" w:lineRule="exact"/>
        <w:rPr>
          <w:rFonts w:ascii="Arial" w:cs="Arial" w:eastAsia="Arial" w:hAnsi="Arial"/>
          <w:sz w:val="20"/>
          <w:szCs w:val="20"/>
          <w:color w:val="auto"/>
        </w:rPr>
      </w:pPr>
    </w:p>
    <w:p>
      <w:pPr>
        <w:spacing w:after="0" w:line="235" w:lineRule="exact"/>
        <w:rPr>
          <w:rFonts w:ascii="Arial" w:cs="Arial" w:eastAsia="Arial" w:hAnsi="Arial"/>
          <w:sz w:val="20"/>
          <w:szCs w:val="20"/>
          <w:color w:val="auto"/>
        </w:rPr>
      </w:pPr>
    </w:p>
    <w:p>
      <w:pPr>
        <w:ind w:left="1960" w:hanging="656"/>
        <w:spacing w:after="0" w:line="285" w:lineRule="auto"/>
        <w:tabs>
          <w:tab w:leader="none" w:pos="1802" w:val="left"/>
        </w:tabs>
        <w:numPr>
          <w:ilvl w:val="1"/>
          <w:numId w:val="29"/>
        </w:numPr>
        <w:rPr>
          <w:rFonts w:ascii="Arial" w:cs="Arial" w:eastAsia="Arial" w:hAnsi="Arial"/>
          <w:sz w:val="20"/>
          <w:szCs w:val="20"/>
          <w:color w:val="auto"/>
        </w:rPr>
      </w:pPr>
      <w:r>
        <w:rPr>
          <w:rFonts w:ascii="Arial" w:cs="Arial" w:eastAsia="Arial" w:hAnsi="Arial"/>
          <w:sz w:val="22"/>
          <w:szCs w:val="22"/>
          <w:color w:val="auto"/>
        </w:rPr>
        <w:t>Conviction for an act of fraud, embezzlement, theft or other act constituting a felony (other than traffic-related offenses or as a result of vicarious liability); or</w:t>
      </w:r>
    </w:p>
    <w:p>
      <w:pPr>
        <w:spacing w:after="0" w:line="344" w:lineRule="exact"/>
        <w:rPr>
          <w:rFonts w:ascii="Arial" w:cs="Arial" w:eastAsia="Arial" w:hAnsi="Arial"/>
          <w:sz w:val="20"/>
          <w:szCs w:val="20"/>
          <w:color w:val="auto"/>
        </w:rPr>
      </w:pPr>
    </w:p>
    <w:p>
      <w:pPr>
        <w:jc w:val="both"/>
        <w:ind w:left="1960" w:hanging="656"/>
        <w:spacing w:after="0" w:line="264" w:lineRule="auto"/>
        <w:tabs>
          <w:tab w:leader="none" w:pos="1927" w:val="left"/>
        </w:tabs>
        <w:numPr>
          <w:ilvl w:val="1"/>
          <w:numId w:val="29"/>
        </w:numPr>
        <w:rPr>
          <w:rFonts w:ascii="Arial" w:cs="Arial" w:eastAsia="Arial" w:hAnsi="Arial"/>
          <w:sz w:val="20"/>
          <w:szCs w:val="20"/>
          <w:color w:val="auto"/>
        </w:rPr>
      </w:pPr>
      <w:r>
        <w:rPr>
          <w:rFonts w:ascii="Arial" w:cs="Arial" w:eastAsia="Arial" w:hAnsi="Arial"/>
          <w:sz w:val="22"/>
          <w:szCs w:val="22"/>
          <w:color w:val="auto"/>
        </w:rPr>
        <w:t>Willful misconduct that is materially injurious to the Corporation’s financial position, operating results or reputation; provided, however that no act or failure to act shall be considered “willful” unless done, or omitted to be done, by you (a) in bad faith; (b) for the purpose of</w:t>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960"/>
        <w:spacing w:after="0" w:line="257" w:lineRule="auto"/>
        <w:rPr>
          <w:sz w:val="20"/>
          <w:szCs w:val="20"/>
          <w:color w:val="auto"/>
        </w:rPr>
      </w:pPr>
      <w:r>
        <w:rPr>
          <w:rFonts w:ascii="Arial" w:cs="Arial" w:eastAsia="Arial" w:hAnsi="Arial"/>
          <w:sz w:val="22"/>
          <w:szCs w:val="22"/>
          <w:color w:val="auto"/>
        </w:rPr>
        <w:t>receiving an actual improper personal benefit in the form of money, property or services; or (c) in circumstances where you had reasonable cause to believe that the act or failure to act was unlawful.</w:t>
      </w:r>
    </w:p>
    <w:p>
      <w:pPr>
        <w:spacing w:after="0" w:line="389" w:lineRule="exact"/>
        <w:rPr>
          <w:sz w:val="20"/>
          <w:szCs w:val="20"/>
          <w:color w:val="auto"/>
        </w:rPr>
      </w:pPr>
    </w:p>
    <w:p>
      <w:pPr>
        <w:ind w:right="260" w:firstLine="656"/>
        <w:spacing w:after="0" w:line="272" w:lineRule="auto"/>
        <w:tabs>
          <w:tab w:leader="none" w:pos="1110" w:val="left"/>
        </w:tabs>
        <w:numPr>
          <w:ilvl w:val="0"/>
          <w:numId w:val="30"/>
        </w:numPr>
        <w:rPr>
          <w:rFonts w:ascii="Arial" w:cs="Arial" w:eastAsia="Arial" w:hAnsi="Arial"/>
          <w:sz w:val="20"/>
          <w:szCs w:val="20"/>
          <w:color w:val="auto"/>
        </w:rPr>
      </w:pPr>
      <w:r>
        <w:rPr>
          <w:rFonts w:ascii="Arial" w:cs="Arial" w:eastAsia="Arial" w:hAnsi="Arial"/>
          <w:sz w:val="22"/>
          <w:szCs w:val="22"/>
          <w:color w:val="auto"/>
        </w:rPr>
        <w:t>“Good Reason” shall mean, without your express written consent, the occurrence of any one or more of the following after the Change in Control:</w:t>
      </w:r>
    </w:p>
    <w:p>
      <w:pPr>
        <w:spacing w:after="0" w:line="371" w:lineRule="exact"/>
        <w:rPr>
          <w:rFonts w:ascii="Arial" w:cs="Arial" w:eastAsia="Arial" w:hAnsi="Arial"/>
          <w:sz w:val="20"/>
          <w:szCs w:val="20"/>
          <w:color w:val="auto"/>
        </w:rPr>
      </w:pPr>
    </w:p>
    <w:p>
      <w:pPr>
        <w:ind w:left="1700" w:hanging="396"/>
        <w:spacing w:after="0"/>
        <w:tabs>
          <w:tab w:leader="none" w:pos="1700" w:val="left"/>
        </w:tabs>
        <w:numPr>
          <w:ilvl w:val="1"/>
          <w:numId w:val="30"/>
        </w:numPr>
        <w:rPr>
          <w:rFonts w:ascii="Arial" w:cs="Arial" w:eastAsia="Arial" w:hAnsi="Arial"/>
          <w:sz w:val="20"/>
          <w:szCs w:val="20"/>
          <w:color w:val="auto"/>
        </w:rPr>
      </w:pPr>
      <w:r>
        <w:rPr>
          <w:rFonts w:ascii="Arial" w:cs="Arial" w:eastAsia="Arial" w:hAnsi="Arial"/>
          <w:sz w:val="22"/>
          <w:szCs w:val="22"/>
          <w:color w:val="auto"/>
        </w:rPr>
        <w:t>A material and substantial reduction in the nature or status of your authority or responsibilities;</w:t>
      </w:r>
    </w:p>
    <w:p>
      <w:pPr>
        <w:spacing w:after="0" w:line="200" w:lineRule="exact"/>
        <w:rPr>
          <w:rFonts w:ascii="Arial" w:cs="Arial" w:eastAsia="Arial" w:hAnsi="Arial"/>
          <w:sz w:val="20"/>
          <w:szCs w:val="20"/>
          <w:color w:val="auto"/>
        </w:rPr>
      </w:pPr>
    </w:p>
    <w:p>
      <w:pPr>
        <w:spacing w:after="0" w:line="235" w:lineRule="exact"/>
        <w:rPr>
          <w:rFonts w:ascii="Arial" w:cs="Arial" w:eastAsia="Arial" w:hAnsi="Arial"/>
          <w:sz w:val="20"/>
          <w:szCs w:val="20"/>
          <w:color w:val="auto"/>
        </w:rPr>
      </w:pPr>
    </w:p>
    <w:p>
      <w:pPr>
        <w:ind w:left="1740" w:hanging="436"/>
        <w:spacing w:after="0"/>
        <w:tabs>
          <w:tab w:leader="none" w:pos="1740" w:val="left"/>
        </w:tabs>
        <w:numPr>
          <w:ilvl w:val="1"/>
          <w:numId w:val="30"/>
        </w:numPr>
        <w:rPr>
          <w:rFonts w:ascii="Arial" w:cs="Arial" w:eastAsia="Arial" w:hAnsi="Arial"/>
          <w:sz w:val="20"/>
          <w:szCs w:val="20"/>
          <w:color w:val="auto"/>
        </w:rPr>
      </w:pPr>
      <w:r>
        <w:rPr>
          <w:rFonts w:ascii="Arial" w:cs="Arial" w:eastAsia="Arial" w:hAnsi="Arial"/>
          <w:sz w:val="22"/>
          <w:szCs w:val="22"/>
          <w:color w:val="auto"/>
        </w:rPr>
        <w:t>A material reduction in your annualized rate of base salary;</w:t>
      </w:r>
    </w:p>
    <w:p>
      <w:pPr>
        <w:spacing w:after="0" w:line="260" w:lineRule="exact"/>
        <w:rPr>
          <w:rFonts w:ascii="Arial" w:cs="Arial" w:eastAsia="Arial" w:hAnsi="Arial"/>
          <w:sz w:val="20"/>
          <w:szCs w:val="20"/>
          <w:color w:val="auto"/>
        </w:rPr>
      </w:pPr>
    </w:p>
    <w:p>
      <w:pPr>
        <w:ind w:left="1960" w:hanging="656"/>
        <w:spacing w:after="0" w:line="249" w:lineRule="auto"/>
        <w:tabs>
          <w:tab w:leader="none" w:pos="1836" w:val="left"/>
        </w:tabs>
        <w:numPr>
          <w:ilvl w:val="1"/>
          <w:numId w:val="30"/>
        </w:numPr>
        <w:rPr>
          <w:rFonts w:ascii="Arial" w:cs="Arial" w:eastAsia="Arial" w:hAnsi="Arial"/>
          <w:sz w:val="20"/>
          <w:szCs w:val="20"/>
          <w:color w:val="auto"/>
        </w:rPr>
      </w:pPr>
      <w:r>
        <w:rPr>
          <w:rFonts w:ascii="Arial" w:cs="Arial" w:eastAsia="Arial" w:hAnsi="Arial"/>
          <w:sz w:val="22"/>
          <w:szCs w:val="22"/>
          <w:color w:val="auto"/>
        </w:rPr>
        <w:t>A material reduction in the aggregate value of your level of participation in any short or long term incentive cash compensation plan, employee benefit or retirement plan or compensation practices, arrangements, or policies;</w:t>
      </w:r>
    </w:p>
    <w:p>
      <w:pPr>
        <w:spacing w:after="0" w:line="2" w:lineRule="exact"/>
        <w:rPr>
          <w:rFonts w:ascii="Arial" w:cs="Arial" w:eastAsia="Arial" w:hAnsi="Arial"/>
          <w:sz w:val="20"/>
          <w:szCs w:val="20"/>
          <w:color w:val="auto"/>
        </w:rPr>
      </w:pPr>
    </w:p>
    <w:p>
      <w:pPr>
        <w:ind w:left="1960" w:hanging="656"/>
        <w:spacing w:after="0" w:line="266" w:lineRule="auto"/>
        <w:tabs>
          <w:tab w:leader="none" w:pos="1820" w:val="left"/>
        </w:tabs>
        <w:numPr>
          <w:ilvl w:val="1"/>
          <w:numId w:val="30"/>
        </w:numPr>
        <w:rPr>
          <w:rFonts w:ascii="Arial" w:cs="Arial" w:eastAsia="Arial" w:hAnsi="Arial"/>
          <w:sz w:val="20"/>
          <w:szCs w:val="20"/>
          <w:color w:val="auto"/>
        </w:rPr>
      </w:pPr>
      <w:r>
        <w:rPr>
          <w:rFonts w:ascii="Arial" w:cs="Arial" w:eastAsia="Arial" w:hAnsi="Arial"/>
          <w:sz w:val="22"/>
          <w:szCs w:val="22"/>
          <w:color w:val="auto"/>
        </w:rPr>
        <w:t>A material reduction in the aggregate level of participation in equity-based incentive compensation plans; or</w:t>
      </w:r>
    </w:p>
    <w:p>
      <w:pPr>
        <w:spacing w:after="0" w:line="188" w:lineRule="exact"/>
        <w:rPr>
          <w:rFonts w:ascii="Arial" w:cs="Arial" w:eastAsia="Arial" w:hAnsi="Arial"/>
          <w:sz w:val="20"/>
          <w:szCs w:val="20"/>
          <w:color w:val="auto"/>
        </w:rPr>
      </w:pPr>
    </w:p>
    <w:p>
      <w:pPr>
        <w:ind w:left="1960" w:hanging="656"/>
        <w:spacing w:after="0" w:line="285" w:lineRule="auto"/>
        <w:tabs>
          <w:tab w:leader="none" w:pos="1763" w:val="left"/>
        </w:tabs>
        <w:numPr>
          <w:ilvl w:val="1"/>
          <w:numId w:val="30"/>
        </w:numPr>
        <w:rPr>
          <w:rFonts w:ascii="Arial" w:cs="Arial" w:eastAsia="Arial" w:hAnsi="Arial"/>
          <w:sz w:val="20"/>
          <w:szCs w:val="20"/>
          <w:color w:val="auto"/>
        </w:rPr>
      </w:pPr>
      <w:r>
        <w:rPr>
          <w:rFonts w:ascii="Arial" w:cs="Arial" w:eastAsia="Arial" w:hAnsi="Arial"/>
          <w:sz w:val="22"/>
          <w:szCs w:val="22"/>
          <w:color w:val="auto"/>
        </w:rPr>
        <w:t>Your principal place of employment is relocated to a location that is greater than 50 miles from your principal place of employment on the date the Change in Control is consummated.</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Your continued employment following an event that would constitute a basis for voluntary termination with Good Reason shall not constitute Good Reason if you consent to, or waive your rights with respect to any circumstances constituting Good Reason. In addition, the occurrence of an event described in (i) through (v) shall constitute the basis for voluntary termination for Good Reason only if you provide written notice of your intent to terminate employment within 90 days of the first occurrence of such event and the Corporation has had at least 30 days from the date on which such notice is provided to cure such occurrence. If you do not terminate employment for Good Reason within 180 days after the first occurrence of the applicable grounds, then you will be deemed to have waived your right to terminate for Good Reason with respect to such grounds.</w:t>
      </w:r>
    </w:p>
    <w:p>
      <w:pPr>
        <w:spacing w:after="0" w:line="196"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20"/>
          <w:szCs w:val="20"/>
          <w:b w:val="1"/>
          <w:bCs w:val="1"/>
          <w:color w:val="auto"/>
        </w:rPr>
      </w:pPr>
      <w:r>
        <w:rPr>
          <w:rFonts w:ascii="Arial" w:cs="Arial" w:eastAsia="Arial" w:hAnsi="Arial"/>
          <w:sz w:val="22"/>
          <w:szCs w:val="22"/>
          <w:b w:val="1"/>
          <w:bCs w:val="1"/>
          <w:color w:val="auto"/>
        </w:rPr>
        <w:t>AMENDMENT AND TERMINATION OF PLAN OR AWARDS</w:t>
      </w:r>
    </w:p>
    <w:p>
      <w:pPr>
        <w:spacing w:after="0" w:line="253"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20"/>
          <w:szCs w:val="20"/>
          <w:color w:val="auto"/>
        </w:rPr>
        <w:t>As provided in Section 9 of the Plan, subject to certain limitations contained within Section 9, the Board of Directors may at any time amend, suspend or discontinue the Plan and the Committee may at any time deviate from or amend this Award Agreement. Notwithstanding Section 9 of the Plan, no such amendment, suspension or discontinuance of the Plan or deviation from or amendment of Award Agreements will, except with your express written consent, adversely affect your rights under this Award Agreement. This Award Agreement shall</w:t>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not be amended or interpreted in a manner that is reasonably believed to result in the imposition of Tax under Section 409A of the Code.</w:t>
      </w:r>
    </w:p>
    <w:p>
      <w:pPr>
        <w:spacing w:after="0" w:line="174"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20"/>
          <w:szCs w:val="20"/>
          <w:b w:val="1"/>
          <w:bCs w:val="1"/>
          <w:color w:val="auto"/>
        </w:rPr>
      </w:pPr>
      <w:r>
        <w:rPr>
          <w:rFonts w:ascii="Arial" w:cs="Arial" w:eastAsia="Arial" w:hAnsi="Arial"/>
          <w:sz w:val="22"/>
          <w:szCs w:val="22"/>
          <w:b w:val="1"/>
          <w:bCs w:val="1"/>
          <w:color w:val="auto"/>
        </w:rPr>
        <w:t>ACCEPTANCE OF AWARD AGREEMENT; ELECTRONIC DELIVERY</w:t>
      </w:r>
    </w:p>
    <w:p>
      <w:pPr>
        <w:spacing w:after="0" w:line="253"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20"/>
          <w:szCs w:val="20"/>
          <w:color w:val="auto"/>
        </w:rPr>
        <w:t>No Award is enforceable until you properly acknowledge your acceptance of this Award Agreement by completing the electronic receipt on the Stock Plan System as soon as possible but in no event later than the Acceptance Deadline. Acceptance of this Award Agreement must be made only by you personally or by a person acting pursuant to a power of attorney in the event of your inability to acknowledge your acceptance (and not by your estate, your spouse or any other person) and constitutes your consent to any action taken under the Plan consistent with its terms with respect to this Award. Notwithstanding the foregoing, this Award will be enforceable and deemed accepted, and will not be forfeited, if you are unable to accept this Award Agreement personally by the Acceptance Deadline, due to your death, disability, incapacity, deployment in the Armed Forces, or similar unforeseen circumstance as determined by the Corporation in its discretion. If you desire to accept this Award, you must acknowledge your acceptance and receipt of this Award Agreement electronically on or before the</w:t>
      </w:r>
    </w:p>
    <w:p>
      <w:pPr>
        <w:spacing w:after="0" w:line="4"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color w:val="auto"/>
        </w:rPr>
        <w:t>Acceptance Deadline, by going to the Stock Plan System at https://atwork.morganstanley.com</w:t>
      </w:r>
      <w:r>
        <w:rPr>
          <w:rFonts w:ascii="Times New Roman" w:cs="Times New Roman" w:eastAsia="Times New Roman" w:hAnsi="Times New Roman"/>
          <w:sz w:val="21"/>
          <w:szCs w:val="21"/>
          <w:color w:val="auto"/>
        </w:rPr>
        <w:t>http://www.stockplanconnect.com/</w:t>
      </w:r>
      <w:r>
        <w:rPr>
          <w:rFonts w:ascii="Arial" w:cs="Arial" w:eastAsia="Arial" w:hAnsi="Arial"/>
          <w:sz w:val="20"/>
          <w:szCs w:val="20"/>
          <w:color w:val="auto"/>
        </w:rPr>
        <w:t>.</w:t>
      </w:r>
    </w:p>
    <w:p>
      <w:pPr>
        <w:spacing w:after="0" w:line="169" w:lineRule="exact"/>
        <w:rPr>
          <w:sz w:val="20"/>
          <w:szCs w:val="20"/>
          <w:color w:val="auto"/>
        </w:rPr>
      </w:pPr>
    </w:p>
    <w:p>
      <w:pPr>
        <w:jc w:val="both"/>
        <w:ind w:firstLine="214"/>
        <w:spacing w:after="0" w:line="286" w:lineRule="auto"/>
        <w:rPr>
          <w:sz w:val="20"/>
          <w:szCs w:val="20"/>
          <w:color w:val="auto"/>
        </w:rPr>
      </w:pPr>
      <w:r>
        <w:rPr>
          <w:rFonts w:ascii="Arial" w:cs="Arial" w:eastAsia="Arial" w:hAnsi="Arial"/>
          <w:sz w:val="20"/>
          <w:szCs w:val="20"/>
          <w:color w:val="auto"/>
        </w:rPr>
        <w:t>Assuming prompt and proper acknowledgment of this Award Agreement as described above, this Award will be effective as of the Award Date.</w:t>
      </w:r>
    </w:p>
    <w:p>
      <w:pPr>
        <w:spacing w:after="0" w:line="181" w:lineRule="exact"/>
        <w:rPr>
          <w:sz w:val="20"/>
          <w:szCs w:val="20"/>
          <w:color w:val="auto"/>
        </w:rPr>
      </w:pPr>
    </w:p>
    <w:p>
      <w:pPr>
        <w:jc w:val="both"/>
        <w:ind w:firstLine="236"/>
        <w:spacing w:after="0" w:line="255" w:lineRule="auto"/>
        <w:rPr>
          <w:sz w:val="20"/>
          <w:szCs w:val="20"/>
          <w:color w:val="auto"/>
        </w:rPr>
      </w:pPr>
      <w:r>
        <w:rPr>
          <w:rFonts w:ascii="Arial" w:cs="Arial" w:eastAsia="Arial" w:hAnsi="Arial"/>
          <w:sz w:val="20"/>
          <w:szCs w:val="20"/>
          <w:color w:val="auto"/>
        </w:rPr>
        <w:t>By accepting this Award Agreement, you consent to receive copies of the Prospectus applicable to this Award from the Stock Plan System (https://atwork.morganstanley.com) as well as to electronic delivery of the Corporation’s annual report on Form 10-K, proxy statement and quarterly reports on Form 10-Q. This consent can only be withdrawn by written notice to the Vice President of Total Rewards at Lockheed Martin Corporation, Mail Point 126, 6801 Rockledge Drive, Bethesda, MD 20817.</w:t>
      </w:r>
    </w:p>
    <w:p>
      <w:pPr>
        <w:spacing w:after="0" w:line="21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20"/>
          <w:szCs w:val="20"/>
          <w:color w:val="auto"/>
        </w:rPr>
        <w:t>The Corporation will deliver any documents related to RSUs awarded under the Plan or future RSUs that may be awarded under the Plan through the Stock Plan System. The Corporation will request your consent to participate in the Plan through the Stock Plan System. You hereby consent to receive such documents and agree to participate in the Plan through the Stock Plan System.</w:t>
      </w:r>
    </w:p>
    <w:p>
      <w:pPr>
        <w:spacing w:after="0" w:line="195" w:lineRule="exact"/>
        <w:rPr>
          <w:sz w:val="20"/>
          <w:szCs w:val="20"/>
          <w:color w:val="auto"/>
        </w:rPr>
      </w:pPr>
    </w:p>
    <w:p>
      <w:pPr>
        <w:jc w:val="both"/>
        <w:ind w:right="20" w:firstLine="236"/>
        <w:spacing w:after="0" w:line="286" w:lineRule="auto"/>
        <w:rPr>
          <w:sz w:val="20"/>
          <w:szCs w:val="20"/>
          <w:color w:val="auto"/>
        </w:rPr>
      </w:pPr>
      <w:r>
        <w:rPr>
          <w:rFonts w:ascii="Arial" w:cs="Arial" w:eastAsia="Arial" w:hAnsi="Arial"/>
          <w:sz w:val="20"/>
          <w:szCs w:val="20"/>
          <w:color w:val="auto"/>
        </w:rPr>
        <w:t>Except as described above, if you do not personally acknowledge your acceptance of this Award Agreement on or before the Acceptance Deadline, this Award will be forfeited as noted above.</w:t>
      </w:r>
    </w:p>
    <w:p>
      <w:pPr>
        <w:spacing w:after="0" w:line="174"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20"/>
          <w:szCs w:val="20"/>
          <w:b w:val="1"/>
          <w:bCs w:val="1"/>
          <w:color w:val="auto"/>
        </w:rPr>
      </w:pPr>
      <w:r>
        <w:rPr>
          <w:rFonts w:ascii="Arial" w:cs="Arial" w:eastAsia="Arial" w:hAnsi="Arial"/>
          <w:sz w:val="22"/>
          <w:szCs w:val="22"/>
          <w:b w:val="1"/>
          <w:bCs w:val="1"/>
          <w:color w:val="auto"/>
        </w:rPr>
        <w:t>POST-EMPLOYMENT COVENANTS</w:t>
      </w:r>
    </w:p>
    <w:p>
      <w:pPr>
        <w:spacing w:after="0" w:line="253" w:lineRule="exact"/>
        <w:rPr>
          <w:sz w:val="20"/>
          <w:szCs w:val="20"/>
          <w:color w:val="auto"/>
        </w:rPr>
      </w:pPr>
    </w:p>
    <w:p>
      <w:pPr>
        <w:ind w:right="20" w:firstLine="244"/>
        <w:spacing w:after="0" w:line="286" w:lineRule="auto"/>
        <w:rPr>
          <w:sz w:val="20"/>
          <w:szCs w:val="20"/>
          <w:color w:val="auto"/>
        </w:rPr>
      </w:pPr>
      <w:r>
        <w:rPr>
          <w:rFonts w:ascii="Arial" w:cs="Arial" w:eastAsia="Arial" w:hAnsi="Arial"/>
          <w:sz w:val="20"/>
          <w:szCs w:val="20"/>
          <w:color w:val="auto"/>
        </w:rPr>
        <w:t>Except where prohibited by law, by accepting this Award Agreement as described in Section 9, you agree to the terms of the Post-Employment Conduct Agreement contained in Exhibit A to this Award Agreement.</w:t>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20"/>
          <w:szCs w:val="20"/>
          <w:b w:val="1"/>
          <w:bCs w:val="1"/>
          <w:color w:val="auto"/>
        </w:rPr>
      </w:pPr>
      <w:r>
        <w:rPr>
          <w:rFonts w:ascii="Arial" w:cs="Arial" w:eastAsia="Arial" w:hAnsi="Arial"/>
          <w:sz w:val="22"/>
          <w:szCs w:val="22"/>
          <w:b w:val="1"/>
          <w:bCs w:val="1"/>
          <w:color w:val="auto"/>
        </w:rPr>
        <w:t>STOCK OWNERSHIP REQUIREMENTS</w:t>
      </w:r>
    </w:p>
    <w:p>
      <w:pPr>
        <w:spacing w:after="0" w:line="2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Except where prohibited by law, by accepting this Award Agreement through the procedure described in Section 9, you acknowledge receipt of the Stock Ownership Requirements (“Ownership Requirements”) attached as Exhibit B and agree to comply with such Ownership Requirements as amended from time to time. If you are not a Vice President (or above) on the Award Date, but you are promoted to Vice President (or above) prior to the Vesting Date, the Ownership Requirements as in effect at that time shall become applicable to you on the date of your promotion to Vice President (or above).</w:t>
      </w:r>
    </w:p>
    <w:p>
      <w:pPr>
        <w:spacing w:after="0" w:line="22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20"/>
          <w:szCs w:val="20"/>
          <w:b w:val="1"/>
          <w:bCs w:val="1"/>
          <w:color w:val="auto"/>
        </w:rPr>
      </w:pPr>
      <w:r>
        <w:rPr>
          <w:rFonts w:ascii="Arial" w:cs="Arial" w:eastAsia="Arial" w:hAnsi="Arial"/>
          <w:sz w:val="22"/>
          <w:szCs w:val="22"/>
          <w:b w:val="1"/>
          <w:bCs w:val="1"/>
          <w:color w:val="auto"/>
        </w:rPr>
        <w:t>DATA PRIVACY CONSENT FOR EMPLOYEES LOCATED OUTSIDE OF THE UNITED STATES</w:t>
      </w:r>
    </w:p>
    <w:p>
      <w:pPr>
        <w:spacing w:after="0" w:line="2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To the extent recognized under applicable law, if you are located outside of the United States, then by accepting this Award Agreement as described in Section 9, you hereby explicitly and unambiguously consent to, and acknowledge the need for, the collection, use and transfer, in electronic or other form, of your Personal Data (defined below) as described in this Award Agreement by and among the Corporation for the exclusive purpose of implementing, administering and managing your participation in the Plan.</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You understand that the Corporation collects, holds, uses, and processes certain information about you, including, but not limited to, your name, home address and telephone number, date of birth, social insurance number or other identification number, salary, nationality, job title, any shares or directorships held in the Corporation, details of all awards or any other entitlement to shares awarded, canceled, exercised, vested, unvested or outstanding in your favor, for the purpose of implementing, administering and managing the Plan (“Personal Data”). The Corporation acts as the controller/owner of this Personal Data, and processes this Personal Data for purposes of implementing, administering, and managing the Plan. The Corporation protects the Personal Data that it receives in the United States from the European Union (“EU”), or any other location outside the United States, in accordance with data transfer agreements based on EU-approved Standard Contractual Clauses.</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You understand that Personal Data may be transferred to any third parties assisting in the implementation, administration and management of the Plan, that these recipients may be located in your country or elsewhere, and that the recipient’s country may have different, including less stringent, data privacy laws and protections than your country. You may request a list with the names and addresses of any third-party recipients of the Personal Data at any time by contacting your local human resources representative. When disclosing Personal Data to these third parties, the Corporation provides appropriate safeguards for protecting the transfer of your Personal Data, such as establishing standard data protection clauses with the third parties as adopted by the European Commission. You may request a copy of, or information about, such safeguards by contacting the Corporate Privacy Office. You recognize that the Corporation and any other possible recipients including any present or future third-party recipients must receive, possess, use, retain and transfer your Personal Data, in electronic or other form, for the purposes of implementing, administering and managing your participation in the Plan, including any requisite transfer of such Personal Data as may be required to a broker or other third party with whom the Corporation may elect to administer the settlement of any award. You understand that Personal Data will be held only as long as is necessary to implement,</w:t>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administer and manage your participation in the Plan and comply with applicable legal requirements.</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To the extent provided by your local law, you may, at any time, have the right to request: access to your Personal Data, rectification of your Personal Data, erasure of your Personal Data, restriction of processing of your Personal Data, portability of your Personal Data and information about the storage and processing of your Personal Data. You may also have the right to object, on grounds related to a particular situation, to the processing of your Personal Data, as well as to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81"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20"/>
          <w:szCs w:val="20"/>
          <w:b w:val="1"/>
          <w:bCs w:val="1"/>
          <w:color w:val="auto"/>
        </w:rPr>
      </w:pPr>
      <w:r>
        <w:rPr>
          <w:rFonts w:ascii="Arial" w:cs="Arial" w:eastAsia="Arial" w:hAnsi="Arial"/>
          <w:sz w:val="22"/>
          <w:szCs w:val="22"/>
          <w:b w:val="1"/>
          <w:bCs w:val="1"/>
          <w:color w:val="auto"/>
        </w:rPr>
        <w:t>EMPLOYEE ACKNOWLEDGEMENT</w:t>
      </w:r>
    </w:p>
    <w:p>
      <w:pPr>
        <w:spacing w:after="0" w:line="25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You acknowledge and agree that:</w:t>
      </w:r>
    </w:p>
    <w:p>
      <w:pPr>
        <w:spacing w:after="0" w:line="25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Plan is discretionary in nature and the Committee may amend, suspend, or terminate it at any time;</w:t>
      </w:r>
    </w:p>
    <w:p>
      <w:pPr>
        <w:spacing w:after="0" w:line="242" w:lineRule="exact"/>
        <w:rPr>
          <w:rFonts w:ascii="Arial" w:cs="Arial" w:eastAsia="Arial" w:hAnsi="Arial"/>
          <w:sz w:val="20"/>
          <w:szCs w:val="20"/>
          <w:color w:val="auto"/>
        </w:rPr>
      </w:pPr>
    </w:p>
    <w:p>
      <w:pPr>
        <w:ind w:right="20" w:firstLine="656"/>
        <w:spacing w:after="0" w:line="286" w:lineRule="auto"/>
        <w:tabs>
          <w:tab w:leader="none" w:pos="1194"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grant of the RSUs is voluntary and occasional and does not create any contractual or other right to receive future grants of any RSUs, or benefits in lieu of any RSUs even if RSUs have been granted repeatedly in the past;</w:t>
      </w:r>
    </w:p>
    <w:p>
      <w:pPr>
        <w:spacing w:after="0" w:line="167" w:lineRule="exact"/>
        <w:rPr>
          <w:rFonts w:ascii="Arial" w:cs="Arial" w:eastAsia="Arial" w:hAnsi="Arial"/>
          <w:sz w:val="20"/>
          <w:szCs w:val="20"/>
          <w:color w:val="auto"/>
        </w:rPr>
      </w:pPr>
    </w:p>
    <w:p>
      <w:pPr>
        <w:ind w:firstLine="656"/>
        <w:spacing w:after="0" w:line="286" w:lineRule="auto"/>
        <w:tabs>
          <w:tab w:leader="none" w:pos="1143" w:val="left"/>
        </w:tabs>
        <w:numPr>
          <w:ilvl w:val="1"/>
          <w:numId w:val="36"/>
        </w:numPr>
        <w:rPr>
          <w:rFonts w:ascii="Arial" w:cs="Arial" w:eastAsia="Arial" w:hAnsi="Arial"/>
          <w:sz w:val="20"/>
          <w:szCs w:val="20"/>
          <w:color w:val="auto"/>
        </w:rPr>
      </w:pPr>
      <w:r>
        <w:rPr>
          <w:rFonts w:ascii="Arial" w:cs="Arial" w:eastAsia="Arial" w:hAnsi="Arial"/>
          <w:sz w:val="20"/>
          <w:szCs w:val="20"/>
          <w:color w:val="auto"/>
        </w:rPr>
        <w:t>all determinations with respect to such future RSUs, if any, including but not limited to the times when RSUs shall be granted or when RSUs shall vest, will be at the sole discretion of the Committee or its delegate;</w:t>
      </w:r>
    </w:p>
    <w:p>
      <w:pPr>
        <w:spacing w:after="0" w:line="180" w:lineRule="exact"/>
        <w:rPr>
          <w:rFonts w:ascii="Arial" w:cs="Arial" w:eastAsia="Arial" w:hAnsi="Arial"/>
          <w:sz w:val="20"/>
          <w:szCs w:val="20"/>
          <w:color w:val="auto"/>
        </w:rPr>
      </w:pPr>
    </w:p>
    <w:p>
      <w:pPr>
        <w:ind w:left="1120" w:hanging="464"/>
        <w:spacing w:after="0"/>
        <w:tabs>
          <w:tab w:leader="none" w:pos="11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your participation in the Plan is voluntary;</w:t>
      </w:r>
    </w:p>
    <w:p>
      <w:pPr>
        <w:spacing w:after="0" w:line="242" w:lineRule="exact"/>
        <w:rPr>
          <w:rFonts w:ascii="Arial" w:cs="Arial" w:eastAsia="Arial" w:hAnsi="Arial"/>
          <w:sz w:val="20"/>
          <w:szCs w:val="20"/>
          <w:color w:val="auto"/>
        </w:rPr>
      </w:pPr>
    </w:p>
    <w:p>
      <w:pPr>
        <w:ind w:firstLine="656"/>
        <w:spacing w:after="0" w:line="286" w:lineRule="auto"/>
        <w:tabs>
          <w:tab w:leader="none" w:pos="1176"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value of the RSUs is an extraordinary item of compensation, which is outside the scope of your employment contract (if any), except as may otherwise be explicitly provided in your employment contract;</w:t>
      </w:r>
    </w:p>
    <w:p>
      <w:pPr>
        <w:spacing w:after="0" w:line="167" w:lineRule="exact"/>
        <w:rPr>
          <w:rFonts w:ascii="Arial" w:cs="Arial" w:eastAsia="Arial" w:hAnsi="Arial"/>
          <w:sz w:val="20"/>
          <w:szCs w:val="20"/>
          <w:color w:val="auto"/>
        </w:rPr>
      </w:pPr>
    </w:p>
    <w:p>
      <w:pPr>
        <w:jc w:val="both"/>
        <w:ind w:firstLine="656"/>
        <w:spacing w:after="0" w:line="262" w:lineRule="auto"/>
        <w:tabs>
          <w:tab w:leader="none" w:pos="1099"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RSUs are not part of normal or expected compensation or salary for any purpose, including, but not limited to, calculating termination, severance, resignation, redundancy, end of service, or similar payments, or bonuses, long-service awards, pension or retirement benefits;</w:t>
      </w:r>
    </w:p>
    <w:p>
      <w:pPr>
        <w:spacing w:after="0" w:line="205" w:lineRule="exact"/>
        <w:rPr>
          <w:rFonts w:ascii="Arial" w:cs="Arial" w:eastAsia="Arial" w:hAnsi="Arial"/>
          <w:sz w:val="20"/>
          <w:szCs w:val="20"/>
          <w:color w:val="auto"/>
        </w:rPr>
      </w:pPr>
    </w:p>
    <w:p>
      <w:pPr>
        <w:ind w:right="20" w:firstLine="656"/>
        <w:spacing w:after="0" w:line="286" w:lineRule="auto"/>
        <w:tabs>
          <w:tab w:leader="none" w:pos="1159"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RSUs shall expire upon termination of your employment for any reason except as may otherwise be explicitly provided in the Plan and this Award Agreement;</w:t>
      </w:r>
    </w:p>
    <w:p>
      <w:pPr>
        <w:spacing w:after="0" w:line="167" w:lineRule="exact"/>
        <w:rPr>
          <w:rFonts w:ascii="Arial" w:cs="Arial" w:eastAsia="Arial" w:hAnsi="Arial"/>
          <w:sz w:val="20"/>
          <w:szCs w:val="20"/>
          <w:color w:val="auto"/>
        </w:rPr>
      </w:pPr>
    </w:p>
    <w:p>
      <w:pPr>
        <w:ind w:left="1120" w:hanging="464"/>
        <w:spacing w:after="0"/>
        <w:tabs>
          <w:tab w:leader="none" w:pos="11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future value of the shares is unknown and cannot be predicted with certainty;</w:t>
      </w:r>
    </w:p>
    <w:p>
      <w:pPr>
        <w:spacing w:after="0" w:line="31" w:lineRule="exact"/>
        <w:rPr>
          <w:rFonts w:ascii="Arial" w:cs="Arial" w:eastAsia="Arial" w:hAnsi="Arial"/>
          <w:sz w:val="20"/>
          <w:szCs w:val="20"/>
          <w:color w:val="auto"/>
        </w:rPr>
      </w:pPr>
    </w:p>
    <w:p>
      <w:pPr>
        <w:jc w:val="both"/>
        <w:ind w:firstLine="656"/>
        <w:spacing w:after="0" w:line="253" w:lineRule="auto"/>
        <w:tabs>
          <w:tab w:leader="none" w:pos="1051" w:val="left"/>
        </w:tabs>
        <w:numPr>
          <w:ilvl w:val="1"/>
          <w:numId w:val="36"/>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arises from the termination of the RSUs in accordance with the Plan and this Award Agreement or diminution in value of the RSUs or Stock and you irrevocably release the Corporation and your employer from any such claim that may arise;</w:t>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56"/>
        <w:spacing w:after="0" w:line="262" w:lineRule="auto"/>
        <w:tabs>
          <w:tab w:leader="none" w:pos="1046"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you are a resident of Australia, the Award is offered pursuant to Part 7.12 Division 1A of the Corporations Act 2001 (Cth) (Note that you may be restricted from selling the Stock within 12 months of acquiring the Stock. You should consult with your personal legal advisor to confirm the requirements for selling the Stock);</w:t>
      </w:r>
    </w:p>
    <w:p>
      <w:pPr>
        <w:spacing w:after="0" w:line="205" w:lineRule="exact"/>
        <w:rPr>
          <w:rFonts w:ascii="Arial" w:cs="Arial" w:eastAsia="Arial" w:hAnsi="Arial"/>
          <w:sz w:val="20"/>
          <w:szCs w:val="20"/>
          <w:color w:val="auto"/>
        </w:rPr>
      </w:pPr>
    </w:p>
    <w:p>
      <w:pPr>
        <w:jc w:val="both"/>
        <w:ind w:firstLine="656"/>
        <w:spacing w:after="0" w:line="254" w:lineRule="auto"/>
        <w:tabs>
          <w:tab w:leader="none" w:pos="1117"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you are a resident of Türkiye, that the offer of this Award is a private offering which shall in no way be considered as a public offering within the meaning of the rules of the Capital Markets Board of Turkey and has been made by the Corporation to you personally in connection with your existing relationship with the Corporation or one or more of its affiliates, subsidiaries and/or related companies, and further, that the Award, the related shares of the Stock and the related offer thereof are not subject to regulation by any securities regulator in Türkiye, or otherwise outside of the U.S.;</w:t>
      </w:r>
    </w:p>
    <w:p>
      <w:pPr>
        <w:spacing w:after="0" w:line="214" w:lineRule="exact"/>
        <w:rPr>
          <w:rFonts w:ascii="Arial" w:cs="Arial" w:eastAsia="Arial" w:hAnsi="Arial"/>
          <w:sz w:val="20"/>
          <w:szCs w:val="20"/>
          <w:color w:val="auto"/>
        </w:rPr>
      </w:pPr>
    </w:p>
    <w:p>
      <w:pPr>
        <w:ind w:firstLine="656"/>
        <w:spacing w:after="0" w:line="271" w:lineRule="auto"/>
        <w:tabs>
          <w:tab w:leader="none" w:pos="1095"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you are a resident of Hong Kong, the Award and any Stock issued thereunder do not constitute a public offer of securities under Hong Kong law;</w:t>
      </w:r>
    </w:p>
    <w:p>
      <w:pPr>
        <w:spacing w:after="0" w:line="169" w:lineRule="exact"/>
        <w:rPr>
          <w:rFonts w:ascii="Arial" w:cs="Arial" w:eastAsia="Arial" w:hAnsi="Arial"/>
          <w:sz w:val="20"/>
          <w:szCs w:val="20"/>
          <w:color w:val="auto"/>
        </w:rPr>
      </w:pPr>
    </w:p>
    <w:p>
      <w:pPr>
        <w:jc w:val="both"/>
        <w:ind w:firstLine="656"/>
        <w:spacing w:after="0" w:line="262" w:lineRule="auto"/>
        <w:tabs>
          <w:tab w:leader="none" w:pos="1291"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you are a resident of Israel, you will hold any Stock issued to you upon the vesting of the Award with the Corporation’s designated broker, and you may not transfer such Stock to an account with another broker or request that share certificates be issued to you, until such time as you sell the Stock; and</w:t>
      </w:r>
    </w:p>
    <w:p>
      <w:pPr>
        <w:spacing w:after="0" w:line="213" w:lineRule="exact"/>
        <w:rPr>
          <w:rFonts w:ascii="Arial" w:cs="Arial" w:eastAsia="Arial" w:hAnsi="Arial"/>
          <w:sz w:val="20"/>
          <w:szCs w:val="20"/>
          <w:color w:val="auto"/>
        </w:rPr>
      </w:pPr>
    </w:p>
    <w:p>
      <w:pPr>
        <w:jc w:val="both"/>
        <w:ind w:firstLine="656"/>
        <w:spacing w:after="0" w:line="253" w:lineRule="auto"/>
        <w:tabs>
          <w:tab w:leader="none" w:pos="1245" w:val="left"/>
        </w:tabs>
        <w:numPr>
          <w:ilvl w:val="0"/>
          <w:numId w:val="37"/>
        </w:numPr>
        <w:rPr>
          <w:rFonts w:ascii="Arial" w:cs="Arial" w:eastAsia="Arial" w:hAnsi="Arial"/>
          <w:sz w:val="20"/>
          <w:szCs w:val="20"/>
          <w:color w:val="auto"/>
        </w:rPr>
      </w:pPr>
      <w:r>
        <w:rPr>
          <w:rFonts w:ascii="Arial" w:cs="Arial" w:eastAsia="Arial" w:hAnsi="Arial"/>
          <w:sz w:val="22"/>
          <w:szCs w:val="22"/>
          <w:color w:val="auto"/>
        </w:rPr>
        <w:t>the grant of the Award is considered a private offering and therefore is not subject to registration in Switzerland. If you are a resident of Switzerland, neither this document nor any other material relating to the Award (i) constitutes a prospectus according to applicable Swiss law, (ii) may be publicly distributed or otherwise made publicly available in Switzerland to any person other than an employee of the Corporation or its subsidiaries or, (iii) has been or will be filed with, approved or supervised by any Swiss reviewing body.</w:t>
      </w:r>
    </w:p>
    <w:p>
      <w:pPr>
        <w:spacing w:after="0" w:line="204"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2"/>
          <w:szCs w:val="22"/>
          <w:b w:val="1"/>
          <w:bCs w:val="1"/>
          <w:color w:val="auto"/>
        </w:rPr>
        <w:t>ENGLISH LANGUAGE</w:t>
      </w:r>
    </w:p>
    <w:p>
      <w:pPr>
        <w:spacing w:after="0" w:line="25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20"/>
          <w:szCs w:val="20"/>
          <w:color w:val="auto"/>
        </w:rPr>
        <w:t>You have received the terms and conditions of this Award Agreement and any other related communications, and you consent to having received these documents in English. If you have received this Award Agreement or any other documents related to the Plan translated into a language other than English, and if the translated version is different from the English version, the English version will control.</w:t>
      </w:r>
    </w:p>
    <w:p>
      <w:pPr>
        <w:spacing w:after="0" w:line="211" w:lineRule="exact"/>
        <w:rPr>
          <w:sz w:val="20"/>
          <w:szCs w:val="20"/>
          <w:color w:val="auto"/>
        </w:rPr>
      </w:pPr>
    </w:p>
    <w:p>
      <w:pPr>
        <w:jc w:val="both"/>
        <w:ind w:firstLine="274"/>
        <w:spacing w:after="0" w:line="254" w:lineRule="auto"/>
        <w:rPr>
          <w:sz w:val="20"/>
          <w:szCs w:val="20"/>
          <w:color w:val="auto"/>
        </w:rPr>
      </w:pPr>
      <w:r>
        <w:rPr>
          <w:rFonts w:ascii="Arial" w:cs="Arial" w:eastAsia="Arial" w:hAnsi="Arial"/>
          <w:sz w:val="20"/>
          <w:szCs w:val="20"/>
          <w:u w:val="single" w:color="auto"/>
          <w:color w:val="auto"/>
        </w:rPr>
        <w:t>Quebec Residents Only</w:t>
      </w:r>
      <w:r>
        <w:rPr>
          <w:rFonts w:ascii="Arial" w:cs="Arial" w:eastAsia="Arial" w:hAnsi="Arial"/>
          <w:sz w:val="20"/>
          <w:szCs w:val="20"/>
          <w:color w:val="auto"/>
        </w:rPr>
        <w:t xml:space="preserve">: </w:t>
      </w:r>
      <w:r>
        <w:rPr>
          <w:rFonts w:ascii="Arial" w:cs="Arial" w:eastAsia="Arial" w:hAnsi="Arial"/>
          <w:sz w:val="20"/>
          <w:szCs w:val="20"/>
          <w:color w:val="212121"/>
        </w:rPr>
        <w:t>The Parties have agreed that this Award Agreement, the Plan as well as any notice, document or</w:t>
      </w:r>
      <w:r>
        <w:rPr>
          <w:rFonts w:ascii="Arial" w:cs="Arial" w:eastAsia="Arial" w:hAnsi="Arial"/>
          <w:sz w:val="20"/>
          <w:szCs w:val="20"/>
          <w:color w:val="auto"/>
        </w:rPr>
        <w:t xml:space="preserve"> </w:t>
      </w:r>
      <w:r>
        <w:rPr>
          <w:rFonts w:ascii="Arial" w:cs="Arial" w:eastAsia="Arial" w:hAnsi="Arial"/>
          <w:sz w:val="20"/>
          <w:szCs w:val="20"/>
          <w:color w:val="212121"/>
        </w:rPr>
        <w:t>instrument relating to them be drawn up in English only. You acknowledge that, upon your reasonable request, the Corporation will provide a French translation of such documents to you. Les parties aux présentes ont convenu que la présente accord, le "Plan," ainsi que tous autres avis, actes ou documents s'y rattachant soient rédigés en anglais seulement. Vous reconnaissez que, à votre demande raisonnable, "the Corporation" fournit une traduction française de ces documents à vous.</w:t>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20"/>
          <w:szCs w:val="20"/>
          <w:b w:val="1"/>
          <w:bCs w:val="1"/>
          <w:color w:val="auto"/>
        </w:rPr>
      </w:pPr>
      <w:r>
        <w:rPr>
          <w:rFonts w:ascii="Arial" w:cs="Arial" w:eastAsia="Arial" w:hAnsi="Arial"/>
          <w:sz w:val="22"/>
          <w:szCs w:val="22"/>
          <w:b w:val="1"/>
          <w:bCs w:val="1"/>
          <w:color w:val="auto"/>
        </w:rPr>
        <w:t>CURRENCY EXCHANGE RISK</w:t>
      </w:r>
    </w:p>
    <w:p>
      <w:pPr>
        <w:spacing w:after="0" w:line="253"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20"/>
          <w:szCs w:val="20"/>
          <w:color w:val="auto"/>
        </w:rPr>
        <w:t>If your functional currency is not the U.S. dollar, you agree and acknowledge that you will bear any and all risk associated with the exchange or fluctuation of currency associated with the RSUs, including without limitation sale of the Stock and payment of DDEs (the “Currency Exchange Risk”). Any cash payments due to you under this Award Agreement will be converted to your functional currency at the rate determined by the Corporation, in its discretion, on the last day of the Restricted Period. You waive and release the Corporation and its subsidiaries from any potential claims arising out of the Currency Exchange Risk.</w:t>
      </w:r>
    </w:p>
    <w:p>
      <w:pPr>
        <w:spacing w:after="0" w:line="207"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0"/>
          <w:szCs w:val="20"/>
          <w:b w:val="1"/>
          <w:bCs w:val="1"/>
          <w:color w:val="auto"/>
        </w:rPr>
      </w:pPr>
      <w:r>
        <w:rPr>
          <w:rFonts w:ascii="Arial" w:cs="Arial" w:eastAsia="Arial" w:hAnsi="Arial"/>
          <w:sz w:val="22"/>
          <w:szCs w:val="22"/>
          <w:b w:val="1"/>
          <w:bCs w:val="1"/>
          <w:color w:val="auto"/>
        </w:rPr>
        <w:t>EXCHANGE CONTROL REQUIREMENTS</w:t>
      </w:r>
    </w:p>
    <w:p>
      <w:pPr>
        <w:spacing w:after="0" w:line="25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20"/>
          <w:szCs w:val="20"/>
          <w:color w:val="auto"/>
        </w:rPr>
        <w:t>You agree and acknowledge that you will comply with any and all exchange control requirements applicable to the RSUs and the sale of Stock and any resulting funds including, without limitation, reporting or repatriation requirements. You further agree and acknowledge that you will determine whether any such requirements are applicable to the Award and any resulting funds, and that you are not relying on the Corporation for any advice in this regard.</w:t>
      </w:r>
    </w:p>
    <w:p>
      <w:pPr>
        <w:spacing w:after="0" w:line="20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20"/>
          <w:szCs w:val="20"/>
          <w:b w:val="1"/>
          <w:bCs w:val="1"/>
          <w:color w:val="auto"/>
        </w:rPr>
      </w:pPr>
      <w:r>
        <w:rPr>
          <w:rFonts w:ascii="Arial" w:cs="Arial" w:eastAsia="Arial" w:hAnsi="Arial"/>
          <w:sz w:val="22"/>
          <w:szCs w:val="22"/>
          <w:b w:val="1"/>
          <w:bCs w:val="1"/>
          <w:color w:val="auto"/>
        </w:rPr>
        <w:t>MISCELLANEOUS</w:t>
      </w:r>
    </w:p>
    <w:p>
      <w:pPr>
        <w:spacing w:after="0" w:line="253" w:lineRule="exact"/>
        <w:rPr>
          <w:sz w:val="20"/>
          <w:szCs w:val="20"/>
          <w:color w:val="auto"/>
        </w:rPr>
      </w:pPr>
    </w:p>
    <w:p>
      <w:pPr>
        <w:jc w:val="both"/>
        <w:ind w:right="20" w:firstLine="571"/>
        <w:spacing w:after="0" w:line="271" w:lineRule="auto"/>
        <w:rPr>
          <w:sz w:val="20"/>
          <w:szCs w:val="20"/>
          <w:color w:val="auto"/>
        </w:rPr>
      </w:pPr>
      <w:r>
        <w:rPr>
          <w:rFonts w:ascii="Arial" w:cs="Arial" w:eastAsia="Arial" w:hAnsi="Arial"/>
          <w:sz w:val="20"/>
          <w:szCs w:val="20"/>
          <w:color w:val="auto"/>
        </w:rPr>
        <w:t>If you are on leave of absence, for the purposes of the Plan, you will be considered to still be in the employ of the Corporation unless otherwise provided in an agreement between you and the Corporation.</w:t>
      </w:r>
    </w:p>
    <w:p>
      <w:pPr>
        <w:spacing w:after="0" w:line="196" w:lineRule="exact"/>
        <w:rPr>
          <w:sz w:val="20"/>
          <w:szCs w:val="20"/>
          <w:color w:val="auto"/>
        </w:rPr>
      </w:pPr>
    </w:p>
    <w:p>
      <w:pPr>
        <w:jc w:val="both"/>
        <w:ind w:firstLine="269"/>
        <w:spacing w:after="0" w:line="254" w:lineRule="auto"/>
        <w:rPr>
          <w:sz w:val="20"/>
          <w:szCs w:val="20"/>
          <w:color w:val="auto"/>
        </w:rPr>
      </w:pPr>
      <w:r>
        <w:rPr>
          <w:rFonts w:ascii="Arial" w:cs="Arial" w:eastAsia="Arial" w:hAnsi="Arial"/>
          <w:sz w:val="20"/>
          <w:szCs w:val="20"/>
          <w:color w:val="auto"/>
        </w:rPr>
        <w:t>Nothing contained in this Award Agreement shall confer upon you any right of continued employment by the Corporation or guarantee that any future awards will be made to you under the Plan. In addition, nothing in this Award Agreement limits in any way the right of the Corporation to terminate your employment at any time. Neither the value of the RSUs awarded to you nor the DDEs will be taken into account for other benefits offered by the Corporation, including but not limited to retirement benefits. Notwithstanding any other provision of this Award Agreement to the contrary, no Stock will be issued to you pursuant to this Award Agreement within six months from the Award Date.</w:t>
      </w:r>
    </w:p>
    <w:p>
      <w:pPr>
        <w:spacing w:after="0" w:line="200" w:lineRule="exact"/>
        <w:rPr>
          <w:sz w:val="20"/>
          <w:szCs w:val="20"/>
          <w:color w:val="auto"/>
        </w:rPr>
      </w:pPr>
    </w:p>
    <w:p>
      <w:pPr>
        <w:jc w:val="both"/>
        <w:ind w:firstLine="221"/>
        <w:spacing w:after="0" w:line="268" w:lineRule="auto"/>
        <w:rPr>
          <w:sz w:val="20"/>
          <w:szCs w:val="20"/>
          <w:color w:val="auto"/>
        </w:rPr>
      </w:pPr>
      <w:r>
        <w:rPr>
          <w:rFonts w:ascii="Arial" w:cs="Arial" w:eastAsia="Arial" w:hAnsi="Arial"/>
          <w:sz w:val="19"/>
          <w:szCs w:val="19"/>
          <w:color w:val="auto"/>
        </w:rPr>
        <w:t xml:space="preserve">Transactions involving Stock delivered under this Award Agreement are subject to the securities laws and CPS 722 (a copy of which has been made available to you). Among other things, CPS 722 prohibits employees of the Corporation from engaging in transactions that violate securities laws or involve hedging or pledging stock. Insiders are subject to additional restrictions. </w:t>
      </w:r>
      <w:r>
        <w:rPr>
          <w:rFonts w:ascii="Arial" w:cs="Arial" w:eastAsia="Arial" w:hAnsi="Arial"/>
          <w:sz w:val="19"/>
          <w:szCs w:val="19"/>
          <w:b w:val="1"/>
          <w:bCs w:val="1"/>
          <w:color w:val="auto"/>
        </w:rPr>
        <w:t>The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Corporation recommends that Insiders consult with the Senior Vice President, General Counsel and Corporate Secretary or staff before entering into any transactions involving Stock or RSUs.</w:t>
      </w:r>
    </w:p>
    <w:p>
      <w:pPr>
        <w:spacing w:after="0" w:line="167" w:lineRule="exact"/>
        <w:rPr>
          <w:sz w:val="20"/>
          <w:szCs w:val="20"/>
          <w:color w:val="auto"/>
        </w:rPr>
      </w:pPr>
    </w:p>
    <w:p>
      <w:pPr>
        <w:jc w:val="both"/>
        <w:ind w:firstLine="251"/>
        <w:spacing w:after="0" w:line="269" w:lineRule="auto"/>
        <w:rPr>
          <w:sz w:val="20"/>
          <w:szCs w:val="20"/>
          <w:color w:val="auto"/>
        </w:rPr>
      </w:pPr>
      <w:r>
        <w:rPr>
          <w:rFonts w:ascii="Arial" w:cs="Arial" w:eastAsia="Arial" w:hAnsi="Arial"/>
          <w:sz w:val="20"/>
          <w:szCs w:val="20"/>
          <w:color w:val="auto"/>
        </w:rPr>
        <w:t>You have no rights as a stockholder to any securities covered by this Award Agreement until the date on which you become the holder of record of such securities. Capitalized terms used, but not defined herein, shall have the meanings ascribed to them in the Plan.</w:t>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Exhibit A</w:t>
      </w:r>
    </w:p>
    <w:p>
      <w:pPr>
        <w:spacing w:after="0" w:line="67"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Post-Employment Conduct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(Annual RSU Grant)</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This Post-Employment Conduct Agreement (this “PECA”) attached as Exhibit A to the Award Agreement with an Award Date of February 25, 2026 (the “Award Agreement”), is entered into in consideration of, among other things, the grant of restricted stock units to me under the Award Agreement (the “RSUs”) pursuant to the Lockheed Martin Corporation 2020 Incentive Performance Award Plan (the “Plan”) and the consideration set forth in Section 2 below. References to the “Corporation” shall include Lockheed Martin Corporation and its Subsidiaries. By accepting the RSUs, I agree as follows:</w:t>
      </w:r>
    </w:p>
    <w:p>
      <w:pPr>
        <w:spacing w:after="0" w:line="214"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Restrictions Following Termination of Employment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656"/>
        <w:spacing w:after="0" w:line="259" w:lineRule="auto"/>
        <w:tabs>
          <w:tab w:leader="none" w:pos="1123"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Covenant Not To Compete</w:t>
      </w:r>
      <w:r>
        <w:rPr>
          <w:rFonts w:ascii="Arial" w:cs="Arial" w:eastAsia="Arial" w:hAnsi="Arial"/>
          <w:sz w:val="20"/>
          <w:szCs w:val="20"/>
          <w:color w:val="auto"/>
        </w:rPr>
        <w:t xml:space="preserve"> – Without the express written consent of the ”Required Approver” (as defined in Section 6), during the “Restricted Period” (as defined in Section 6) I will not, directly or indirectly, be employed by, provide services to, or advise a “Restricted Company” (as defined in Section 6), whether as an employee, advisor, director, officer, partner or consultant, or in any other position, function or role that, in any such case,</w:t>
      </w:r>
    </w:p>
    <w:p>
      <w:pPr>
        <w:spacing w:after="0" w:line="208" w:lineRule="exact"/>
        <w:rPr>
          <w:rFonts w:ascii="Arial" w:cs="Arial" w:eastAsia="Arial" w:hAnsi="Arial"/>
          <w:sz w:val="20"/>
          <w:szCs w:val="20"/>
          <w:color w:val="auto"/>
        </w:rPr>
      </w:pPr>
    </w:p>
    <w:p>
      <w:pPr>
        <w:ind w:left="1960" w:hanging="656"/>
        <w:spacing w:after="0" w:line="271" w:lineRule="auto"/>
        <w:tabs>
          <w:tab w:leader="none" w:pos="1746" w:val="left"/>
        </w:tabs>
        <w:numPr>
          <w:ilvl w:val="2"/>
          <w:numId w:val="42"/>
        </w:numPr>
        <w:rPr>
          <w:rFonts w:ascii="Arial" w:cs="Arial" w:eastAsia="Arial" w:hAnsi="Arial"/>
          <w:sz w:val="20"/>
          <w:szCs w:val="20"/>
          <w:color w:val="auto"/>
        </w:rPr>
      </w:pPr>
      <w:r>
        <w:rPr>
          <w:rFonts w:ascii="Arial" w:cs="Arial" w:eastAsia="Arial" w:hAnsi="Arial"/>
          <w:sz w:val="20"/>
          <w:szCs w:val="20"/>
          <w:color w:val="auto"/>
        </w:rPr>
        <w:t>oversees, controls or affects the design, operation, research, manufacture, marketing, sale or distribution of “Competitive Products or Services” (as defined in Section 6) of or by the Restricted Company, or</w:t>
      </w:r>
    </w:p>
    <w:p>
      <w:pPr>
        <w:spacing w:after="0" w:line="196" w:lineRule="exact"/>
        <w:rPr>
          <w:rFonts w:ascii="Arial" w:cs="Arial" w:eastAsia="Arial" w:hAnsi="Arial"/>
          <w:sz w:val="20"/>
          <w:szCs w:val="20"/>
          <w:color w:val="auto"/>
        </w:rPr>
      </w:pPr>
    </w:p>
    <w:p>
      <w:pPr>
        <w:ind w:left="1960" w:hanging="656"/>
        <w:spacing w:after="0" w:line="254" w:lineRule="auto"/>
        <w:tabs>
          <w:tab w:leader="none" w:pos="1789" w:val="left"/>
        </w:tabs>
        <w:numPr>
          <w:ilvl w:val="2"/>
          <w:numId w:val="42"/>
        </w:numPr>
        <w:rPr>
          <w:rFonts w:ascii="Arial" w:cs="Arial" w:eastAsia="Arial" w:hAnsi="Arial"/>
          <w:sz w:val="20"/>
          <w:szCs w:val="20"/>
          <w:color w:val="auto"/>
        </w:rPr>
      </w:pPr>
      <w:r>
        <w:rPr>
          <w:rFonts w:ascii="Arial" w:cs="Arial" w:eastAsia="Arial" w:hAnsi="Arial"/>
          <w:sz w:val="20"/>
          <w:szCs w:val="20"/>
          <w:color w:val="auto"/>
        </w:rPr>
        <w:t>would involve a substantial risk that the “Confidential or Proprietary Information” (as defined in Section 1(c) below) of the Corporation (including but not limited to technical information or intellectual property, strategic plans, information relating to pricing offered to the Corporation by vendors or suppliers or to prices charged or pricing contemplated to be charged by the Corporation, information relating to employee performance, promotions or identification for promotion, or information relating to the Corporation’s cost base) could be used to the disadvantage of the Corporation.</w:t>
      </w:r>
    </w:p>
    <w:p>
      <w:pPr>
        <w:spacing w:after="0" w:line="2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 1(a) is necessary to protect, among other interests, the Corporation’s trade secrets and other Confidential or Proprietary Information, as defined by Section 1(c), and goodwill in its customers and employees, and (B) Section 1(a) shall not apply to me if I am covered under an applicable state statute or local ordinance or rule prohibiting non-competition restrictions, including on the basis of my income or profession. In addition, Section 1(a) shall only apply while I am employed by or otherwise working for the Corporation if I primarily work or reside in California, Virginia (but only if I am a “low-wage employee” under Virginia Code Section 40.1-28.7:8), Minnesota, North Dakota, or Oklahoma.</w:t>
      </w:r>
    </w:p>
    <w:p>
      <w:pPr>
        <w:spacing w:after="0" w:line="21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To the extent permitted by applicable law, including but not limited to any applicable rules governing attorney conduct (such as the ABA Model Rules of Professional Conduct and state versions thereof), Sections 1(a)(i) and (ii) and Section 1(b) relating to non-solicitation, shall</w:t>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apply to individuals who are employed by the Corporation in an attorney position and whose occupation during the Restricted Period does not include practicing law.</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 lieu of Section 1(a)(i) and (ii), as well as Section 1(b) relating to non-solicitation, the following Section 1(a)(iii) shall apply to individuals who are employed by the Corporation in an attorney position, and whose occupation during the Restricted Period includes practicing law.</w:t>
      </w:r>
    </w:p>
    <w:p>
      <w:pPr>
        <w:spacing w:after="0" w:line="205" w:lineRule="exact"/>
        <w:rPr>
          <w:sz w:val="20"/>
          <w:szCs w:val="20"/>
          <w:color w:val="auto"/>
        </w:rPr>
      </w:pPr>
    </w:p>
    <w:p>
      <w:pPr>
        <w:ind w:left="1960" w:hanging="656"/>
        <w:spacing w:after="0" w:line="254" w:lineRule="auto"/>
        <w:tabs>
          <w:tab w:leader="none" w:pos="1863" w:val="left"/>
        </w:tabs>
        <w:numPr>
          <w:ilvl w:val="0"/>
          <w:numId w:val="43"/>
        </w:numPr>
        <w:rPr>
          <w:rFonts w:ascii="Arial" w:cs="Arial" w:eastAsia="Arial" w:hAnsi="Arial"/>
          <w:sz w:val="20"/>
          <w:szCs w:val="20"/>
          <w:color w:val="auto"/>
        </w:rPr>
      </w:pPr>
      <w:r>
        <w:rPr>
          <w:rFonts w:ascii="Arial" w:cs="Arial" w:eastAsia="Arial" w:hAnsi="Arial"/>
          <w:sz w:val="20"/>
          <w:szCs w:val="20"/>
          <w:color w:val="auto"/>
        </w:rPr>
        <w:t>Post-Employment Activity As a Lawyer – I acknowledge that as counsel to the Corporation, I owe ethical and fiduciary obligations to the Corporation and that at least some of these obligations will continue even after the “Termination Date” (as defined in Section 6). I agree that after my Termination Date I will comply fully with all applicable ethical and fiduciary obligations that I owe to the Corporation. To the extent permitted by applicable law, including but not limited to any applicable rules governing attorney conduct, I agree that I will not:</w:t>
      </w:r>
    </w:p>
    <w:p>
      <w:pPr>
        <w:spacing w:after="0" w:line="213" w:lineRule="exact"/>
        <w:rPr>
          <w:rFonts w:ascii="Arial" w:cs="Arial" w:eastAsia="Arial" w:hAnsi="Arial"/>
          <w:sz w:val="20"/>
          <w:szCs w:val="20"/>
          <w:color w:val="auto"/>
        </w:rPr>
      </w:pPr>
    </w:p>
    <w:p>
      <w:pPr>
        <w:ind w:left="2280" w:hanging="328"/>
        <w:spacing w:after="0" w:line="271" w:lineRule="auto"/>
        <w:tabs>
          <w:tab w:leader="none" w:pos="2526" w:val="left"/>
        </w:tabs>
        <w:numPr>
          <w:ilvl w:val="1"/>
          <w:numId w:val="43"/>
        </w:numPr>
        <w:rPr>
          <w:rFonts w:ascii="Arial" w:cs="Arial" w:eastAsia="Arial" w:hAnsi="Arial"/>
          <w:sz w:val="20"/>
          <w:szCs w:val="20"/>
          <w:color w:val="auto"/>
        </w:rPr>
      </w:pPr>
      <w:r>
        <w:rPr>
          <w:rFonts w:ascii="Arial" w:cs="Arial" w:eastAsia="Arial" w:hAnsi="Arial"/>
          <w:sz w:val="20"/>
          <w:szCs w:val="20"/>
          <w:color w:val="auto"/>
        </w:rPr>
        <w:t>Represent any client in the same or a substantially related matter in which I represented the Corporation where the client’s interests are materially adverse to the Corporation; or</w:t>
      </w:r>
    </w:p>
    <w:p>
      <w:pPr>
        <w:spacing w:after="0" w:line="196" w:lineRule="exact"/>
        <w:rPr>
          <w:rFonts w:ascii="Arial" w:cs="Arial" w:eastAsia="Arial" w:hAnsi="Arial"/>
          <w:sz w:val="20"/>
          <w:szCs w:val="20"/>
          <w:color w:val="auto"/>
        </w:rPr>
      </w:pPr>
    </w:p>
    <w:p>
      <w:pPr>
        <w:jc w:val="both"/>
        <w:ind w:left="2280" w:hanging="328"/>
        <w:spacing w:after="0" w:line="262" w:lineRule="auto"/>
        <w:tabs>
          <w:tab w:leader="none" w:pos="2510" w:val="left"/>
        </w:tabs>
        <w:numPr>
          <w:ilvl w:val="1"/>
          <w:numId w:val="43"/>
        </w:numPr>
        <w:rPr>
          <w:rFonts w:ascii="Arial" w:cs="Arial" w:eastAsia="Arial" w:hAnsi="Arial"/>
          <w:sz w:val="20"/>
          <w:szCs w:val="20"/>
          <w:color w:val="auto"/>
        </w:rPr>
      </w:pPr>
      <w:r>
        <w:rPr>
          <w:rFonts w:ascii="Arial" w:cs="Arial" w:eastAsia="Arial" w:hAnsi="Arial"/>
          <w:sz w:val="20"/>
          <w:szCs w:val="20"/>
          <w:color w:val="auto"/>
        </w:rPr>
        <w:t>Disclose confidential information relating to my representation of the Corporation, including the disclosure of information that is to the disadvantage of the Corporation, except for information that is or becomes generally known.</w:t>
      </w:r>
    </w:p>
    <w:p>
      <w:pPr>
        <w:spacing w:after="0" w:line="205"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The Corporation’s Senior Vice President, General Counsel, and Corporate Secretary or the General Tax Counsel, as applicable, will determine in their discretion whether an individual is employed by the Corporation in an attorney position.</w:t>
      </w:r>
    </w:p>
    <w:p>
      <w:pPr>
        <w:spacing w:after="0" w:line="196" w:lineRule="exact"/>
        <w:rPr>
          <w:sz w:val="20"/>
          <w:szCs w:val="20"/>
          <w:color w:val="auto"/>
        </w:rPr>
      </w:pPr>
    </w:p>
    <w:p>
      <w:pPr>
        <w:jc w:val="both"/>
        <w:ind w:firstLine="656"/>
        <w:spacing w:after="0" w:line="251" w:lineRule="auto"/>
        <w:tabs>
          <w:tab w:leader="none" w:pos="117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Non-Solicit</w:t>
      </w:r>
      <w:r>
        <w:rPr>
          <w:rFonts w:ascii="Arial" w:cs="Arial" w:eastAsia="Arial" w:hAnsi="Arial"/>
          <w:sz w:val="20"/>
          <w:szCs w:val="20"/>
          <w:color w:val="auto"/>
        </w:rPr>
        <w:t xml:space="preserve"> – Without the express written consent of the Required Approver, during the two-year period following the Termination Date, I will not (i) cause or attempt to cause, directly or indirectly, the complete or partial loss of any contract in effect before the Termination Date between the Corporation and any customer, supplier, distributor or manufacturer of or to the Corporation with which I was responsible, in whole or in part, for soliciting, negotiating, implementing, managing, or overseeing or (ii) induce or attempt to induce, directly or indirectly, any person who is an employee of the Corporation with whom I worked or interacted with within two years prior to the Termination Date to cease employment with the Corporation in order to perform work or services for any entity other than the Corporation.</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 1(b)(i) is necessary to protect, among other interests, the Corporation’s trade secrets and other Confidential or Proprietary Information, as defined by Section 1(c), and goodwill in its customers and employees, and (B) Section 1(b)(i) shall not apply to me if I am a “low-wage employee” under Virginia Code Section 40.1-28.7:8 or am covered under an applicable state statute or local ordinance or rule prohibiting non-solicitation restrictions, including on the basis of my income or profession. In addition, if I primarily reside or work in California, Section 1(b) shall apply only while I am employed by or otherwise working for the Corporation.</w:t>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56"/>
        <w:spacing w:after="0" w:line="249" w:lineRule="auto"/>
        <w:tabs>
          <w:tab w:leader="none" w:pos="116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Protection of Proprietary Information</w:t>
      </w:r>
      <w:r>
        <w:rPr>
          <w:rFonts w:ascii="Arial" w:cs="Arial" w:eastAsia="Arial" w:hAnsi="Arial"/>
          <w:sz w:val="20"/>
          <w:szCs w:val="20"/>
          <w:color w:val="auto"/>
        </w:rPr>
        <w:t xml:space="preserve"> – Except to the extent required by law, following my Termination Date, I will have a continuing obligation to comply with the terms of any non-disclosure or similar agreements that I signed while employed by the Corporation committing to hold confidential the “Confidential or Proprietary Information” (as defined below) of the Corporation or any of its affiliates, subsidiaries, related companies, joint ventures, partnerships, customers, suppliers, partners, contractors or agents, in each case in accordance with the terms of such agreements. I will not use or disclose or allow the use or disclosure by others to any person or entity of Confidential or Proprietary Information of the Corporation or others to which I had access or that I was responsible for creating or overseeing during my employment with the Corporation. In the event I become legally compelled (by deposition, interrogatory, request for documents, subpoena, civil investigative demand or otherwise) to disclose any proprietary or confidential information, I will immediately notify the Corporation’s Senior Vice President, General Counsel and Corporate Secretary as to the existence of the obligation and will cooperate with any reasonable request by the Corporation for assistance in seeking to protect the information. All materials to which I have had access, or which were furnished or otherwise made available to me in connection with my employment with the Corporation shall be and remain the property of the Corporation. For purposes of this PECA, “Confidential or Proprietary Information” means trade secrets, as defined by the federal Defend Trade Secrets Act of 2016 and/or applicable state trade secret law, and Sensitive Information within the meaning of CRX-015 (a copy of which has been made available to me), including but not limited to information that a person or entity desires to protect from unauthorized disclosure to third parties that can provide the person or entity with a business, technological, or economic advantage over its competitors, or which, if known or used by third parties or if used by the person’s or entity’s employees or agents in an unauthorized manner, might be detrimental to the person’s or entity’s interests. Confidential or Proprietary Information may include, but is not limited to:</w:t>
      </w:r>
    </w:p>
    <w:p>
      <w:pPr>
        <w:spacing w:after="0" w:line="218" w:lineRule="exact"/>
        <w:rPr>
          <w:rFonts w:ascii="Arial" w:cs="Arial" w:eastAsia="Arial" w:hAnsi="Arial"/>
          <w:sz w:val="20"/>
          <w:szCs w:val="20"/>
          <w:color w:val="auto"/>
        </w:rPr>
      </w:pPr>
    </w:p>
    <w:p>
      <w:pPr>
        <w:ind w:left="1960" w:hanging="656"/>
        <w:spacing w:after="0" w:line="259" w:lineRule="auto"/>
        <w:tabs>
          <w:tab w:leader="none" w:pos="1778" w:val="left"/>
        </w:tabs>
        <w:numPr>
          <w:ilvl w:val="1"/>
          <w:numId w:val="45"/>
        </w:numPr>
        <w:rPr>
          <w:rFonts w:ascii="Arial" w:cs="Arial" w:eastAsia="Arial" w:hAnsi="Arial"/>
          <w:sz w:val="20"/>
          <w:szCs w:val="20"/>
          <w:color w:val="auto"/>
        </w:rPr>
      </w:pPr>
      <w:r>
        <w:rPr>
          <w:rFonts w:ascii="Arial" w:cs="Arial" w:eastAsia="Arial" w:hAnsi="Arial"/>
          <w:sz w:val="20"/>
          <w:szCs w:val="20"/>
          <w:color w:val="auto"/>
        </w:rPr>
        <w:t>existing and contemplated business, marketing and financial business information such as business plans and methods, marketing information, cost estimates, forecasts, financial data, cost or pricing data, bid and proposal information, customer identification, sources of supply, contemplated product lines, proposed business alliances, and information about customers and competitors,</w:t>
      </w:r>
    </w:p>
    <w:p>
      <w:pPr>
        <w:spacing w:after="0" w:line="208" w:lineRule="exact"/>
        <w:rPr>
          <w:rFonts w:ascii="Arial" w:cs="Arial" w:eastAsia="Arial" w:hAnsi="Arial"/>
          <w:sz w:val="20"/>
          <w:szCs w:val="20"/>
          <w:color w:val="auto"/>
        </w:rPr>
      </w:pPr>
    </w:p>
    <w:p>
      <w:pPr>
        <w:ind w:left="1960" w:hanging="656"/>
        <w:spacing w:after="0" w:line="254" w:lineRule="auto"/>
        <w:tabs>
          <w:tab w:leader="none" w:pos="1860" w:val="left"/>
        </w:tabs>
        <w:numPr>
          <w:ilvl w:val="1"/>
          <w:numId w:val="45"/>
        </w:numPr>
        <w:rPr>
          <w:rFonts w:ascii="Arial" w:cs="Arial" w:eastAsia="Arial" w:hAnsi="Arial"/>
          <w:sz w:val="20"/>
          <w:szCs w:val="20"/>
          <w:color w:val="auto"/>
        </w:rPr>
      </w:pPr>
      <w:r>
        <w:rPr>
          <w:rFonts w:ascii="Arial" w:cs="Arial" w:eastAsia="Arial" w:hAnsi="Arial"/>
          <w:sz w:val="20"/>
          <w:szCs w:val="20"/>
          <w:color w:val="auto"/>
        </w:rPr>
        <w:t>existing and contemplated technical information and documentation pertaining to technology, know how, equipment, machines, devices and systems, computer hardware and software, compositions, formulas, products, processes, methods, designs, specifications, mask works, testing or evaluation procedures, manufacturing processes, production techniques, research and development activities, inventions, discoveries, and improvements, and</w:t>
      </w:r>
    </w:p>
    <w:p>
      <w:pPr>
        <w:spacing w:after="0" w:line="214" w:lineRule="exact"/>
        <w:rPr>
          <w:rFonts w:ascii="Arial" w:cs="Arial" w:eastAsia="Arial" w:hAnsi="Arial"/>
          <w:sz w:val="20"/>
          <w:szCs w:val="20"/>
          <w:color w:val="auto"/>
        </w:rPr>
      </w:pPr>
    </w:p>
    <w:p>
      <w:pPr>
        <w:ind w:left="1780" w:hanging="476"/>
        <w:spacing w:after="0"/>
        <w:tabs>
          <w:tab w:leader="none" w:pos="17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for supervisory employees only, human resources and personnel information.</w:t>
      </w:r>
    </w:p>
    <w:p>
      <w:pPr>
        <w:spacing w:after="0" w:line="242" w:lineRule="exact"/>
        <w:rPr>
          <w:rFonts w:ascii="Arial" w:cs="Arial" w:eastAsia="Arial" w:hAnsi="Arial"/>
          <w:sz w:val="20"/>
          <w:szCs w:val="20"/>
          <w:color w:val="auto"/>
        </w:rPr>
      </w:pPr>
    </w:p>
    <w:p>
      <w:pPr>
        <w:jc w:val="both"/>
        <w:ind w:firstLine="656"/>
        <w:spacing w:after="0" w:line="262" w:lineRule="auto"/>
        <w:tabs>
          <w:tab w:leader="none" w:pos="119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No Disparagement</w:t>
      </w:r>
      <w:r>
        <w:rPr>
          <w:rFonts w:ascii="Arial" w:cs="Arial" w:eastAsia="Arial" w:hAnsi="Arial"/>
          <w:sz w:val="20"/>
          <w:szCs w:val="20"/>
          <w:color w:val="auto"/>
        </w:rPr>
        <w:t xml:space="preserve"> – Following the Termination Date, for supervisory or management employees only, I will not make any statements, whether verbal or written, that disparage or reasonably may be interpreted to disparage the Corporation or its directors, officers, employees, technology, products or services with respect to any matter whatsoever.</w:t>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56"/>
        <w:spacing w:after="0" w:line="254" w:lineRule="auto"/>
        <w:tabs>
          <w:tab w:leader="none" w:pos="1245"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Cooperation in Litigation and Investigations</w:t>
      </w:r>
      <w:r>
        <w:rPr>
          <w:rFonts w:ascii="Arial" w:cs="Arial" w:eastAsia="Arial" w:hAnsi="Arial"/>
          <w:sz w:val="20"/>
          <w:szCs w:val="20"/>
          <w:color w:val="auto"/>
        </w:rPr>
        <w:t xml:space="preserve"> – Following the Termination Date, I will, to the extent reasonably requested, cooperate with the Corporation in any pending or future litigation (including alternative dispute resolution proceedings) or investigations in which the Corporation or any of its subsidiaries or affiliates is a party or is required or requested to provide testimony and regarding which, as a result of my employment with the Corporation, I reasonably could be expected to have knowledge or information relevant to the litigation or investigation. Notwithstanding any other provision of this PECA, nothing in this PECA shall affect my obligation to cooperate with any governmental inquiry or investigation or to give truthful testimony in court.</w:t>
      </w:r>
    </w:p>
    <w:p>
      <w:pPr>
        <w:spacing w:after="0" w:line="172" w:lineRule="exact"/>
        <w:rPr>
          <w:rFonts w:ascii="Arial" w:cs="Arial" w:eastAsia="Arial" w:hAnsi="Arial"/>
          <w:sz w:val="20"/>
          <w:szCs w:val="20"/>
          <w:color w:val="auto"/>
        </w:rPr>
      </w:pPr>
    </w:p>
    <w:p>
      <w:pPr>
        <w:jc w:val="both"/>
        <w:ind w:right="20" w:firstLine="656"/>
        <w:spacing w:after="0" w:line="262" w:lineRule="auto"/>
        <w:tabs>
          <w:tab w:leader="none" w:pos="1095"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Communications with Regulatory Authorities</w:t>
      </w:r>
      <w:r>
        <w:rPr>
          <w:rFonts w:ascii="Arial" w:cs="Arial" w:eastAsia="Arial" w:hAnsi="Arial"/>
          <w:sz w:val="20"/>
          <w:szCs w:val="20"/>
          <w:color w:val="auto"/>
        </w:rPr>
        <w:t xml:space="preserve"> – Nothing in this PECA prohibits or restricts me (or my attorney) from initiating communications directly with, responding to an inquiry from, or providing testimony before the Securities and Exchange Commission, Equal Employment Opportunity Commission, or any other federal or state regulatory authority.</w:t>
      </w:r>
    </w:p>
    <w:p>
      <w:pPr>
        <w:spacing w:after="0" w:line="178" w:lineRule="exact"/>
        <w:rPr>
          <w:rFonts w:ascii="Arial" w:cs="Arial" w:eastAsia="Arial" w:hAnsi="Arial"/>
          <w:sz w:val="20"/>
          <w:szCs w:val="20"/>
          <w:color w:val="auto"/>
        </w:rPr>
      </w:pPr>
    </w:p>
    <w:p>
      <w:pPr>
        <w:ind w:firstLine="656"/>
        <w:spacing w:after="0" w:line="286" w:lineRule="auto"/>
        <w:tabs>
          <w:tab w:leader="none" w:pos="1327"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Notices (including under the Defend Trade Secrets Act and National Labor Relations Act)</w:t>
      </w:r>
      <w:r>
        <w:rPr>
          <w:rFonts w:ascii="Arial" w:cs="Arial" w:eastAsia="Arial" w:hAnsi="Arial"/>
          <w:sz w:val="20"/>
          <w:szCs w:val="20"/>
          <w:color w:val="auto"/>
        </w:rPr>
        <w:t xml:space="preserve"> – Notwithstanding anything in this PECA to the contrary:</w:t>
      </w:r>
    </w:p>
    <w:p>
      <w:pPr>
        <w:spacing w:after="0" w:line="140" w:lineRule="exact"/>
        <w:rPr>
          <w:rFonts w:ascii="Arial" w:cs="Arial" w:eastAsia="Arial" w:hAnsi="Arial"/>
          <w:sz w:val="20"/>
          <w:szCs w:val="20"/>
          <w:color w:val="auto"/>
        </w:rPr>
      </w:pPr>
    </w:p>
    <w:p>
      <w:pPr>
        <w:ind w:left="1960" w:hanging="656"/>
        <w:spacing w:after="0" w:line="277" w:lineRule="auto"/>
        <w:tabs>
          <w:tab w:leader="none" w:pos="1740" w:val="left"/>
        </w:tabs>
        <w:numPr>
          <w:ilvl w:val="1"/>
          <w:numId w:val="46"/>
        </w:numPr>
        <w:rPr>
          <w:rFonts w:ascii="Arial" w:cs="Arial" w:eastAsia="Arial" w:hAnsi="Arial"/>
          <w:sz w:val="19"/>
          <w:szCs w:val="19"/>
          <w:color w:val="auto"/>
        </w:rPr>
      </w:pPr>
      <w:r>
        <w:rPr>
          <w:rFonts w:ascii="Arial" w:cs="Arial" w:eastAsia="Arial" w:hAnsi="Arial"/>
          <w:sz w:val="19"/>
          <w:szCs w:val="19"/>
          <w:color w:val="auto"/>
        </w:rPr>
        <w:t>I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w:t>
      </w:r>
    </w:p>
    <w:p>
      <w:pPr>
        <w:spacing w:after="0" w:line="165" w:lineRule="exact"/>
        <w:rPr>
          <w:rFonts w:ascii="Arial" w:cs="Arial" w:eastAsia="Arial" w:hAnsi="Arial"/>
          <w:sz w:val="19"/>
          <w:szCs w:val="19"/>
          <w:color w:val="auto"/>
        </w:rPr>
      </w:pPr>
    </w:p>
    <w:p>
      <w:pPr>
        <w:ind w:left="1960" w:hanging="656"/>
        <w:spacing w:after="0" w:line="255" w:lineRule="auto"/>
        <w:tabs>
          <w:tab w:leader="none" w:pos="1806" w:val="left"/>
        </w:tabs>
        <w:numPr>
          <w:ilvl w:val="1"/>
          <w:numId w:val="46"/>
        </w:numPr>
        <w:rPr>
          <w:rFonts w:ascii="Arial" w:cs="Arial" w:eastAsia="Arial" w:hAnsi="Arial"/>
          <w:sz w:val="20"/>
          <w:szCs w:val="20"/>
          <w:color w:val="auto"/>
        </w:rPr>
      </w:pPr>
      <w:r>
        <w:rPr>
          <w:rFonts w:ascii="Arial" w:cs="Arial" w:eastAsia="Arial" w:hAnsi="Arial"/>
          <w:sz w:val="20"/>
          <w:szCs w:val="20"/>
          <w:color w:val="auto"/>
        </w:rPr>
        <w:t>If I file a lawsuit for retaliation by the Corporation for reporting a suspected violation of law, I may disclose the Corporation’s trade secrets to my attorney and use the trade secret information in the court proceeding if I (1) file any document containing the trade secret under seal; and (2) do not disclose the trade secret, except pursuant to court order.</w:t>
      </w:r>
    </w:p>
    <w:p>
      <w:pPr>
        <w:spacing w:after="0" w:line="183" w:lineRule="exact"/>
        <w:rPr>
          <w:rFonts w:ascii="Arial" w:cs="Arial" w:eastAsia="Arial" w:hAnsi="Arial"/>
          <w:sz w:val="20"/>
          <w:szCs w:val="20"/>
          <w:color w:val="auto"/>
        </w:rPr>
      </w:pPr>
    </w:p>
    <w:p>
      <w:pPr>
        <w:ind w:left="1960" w:hanging="656"/>
        <w:spacing w:after="0" w:line="251" w:lineRule="auto"/>
        <w:tabs>
          <w:tab w:leader="none" w:pos="18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Nothing in this PECA in any way prohibits or is intended to restrict or impede, and shall not be interpreted or understood as restricting or impeding, me from (1) for non-supervisory employees only, exercising my rights under Section 7 of the National Labor Relations Act (NLRA) (including with respect to engaging in concerted activities for the purpose of collective bargaining or other mutual aid or protection, discussing terms and conditions of employment, or otherwise engaging in protected conduct); or (2) otherwise disclosing or discussing truthful information about unlawful employment practices (including unlawful discrimination, harassment, retaliation, or sexual assault).</w:t>
      </w:r>
    </w:p>
    <w:p>
      <w:pPr>
        <w:spacing w:after="0" w:line="206" w:lineRule="exact"/>
        <w:rPr>
          <w:sz w:val="20"/>
          <w:szCs w:val="20"/>
          <w:color w:val="auto"/>
        </w:rPr>
      </w:pPr>
    </w:p>
    <w:p>
      <w:pPr>
        <w:jc w:val="both"/>
        <w:ind w:firstLine="36"/>
        <w:spacing w:after="0" w:line="265" w:lineRule="auto"/>
        <w:rPr>
          <w:sz w:val="20"/>
          <w:szCs w:val="20"/>
          <w:color w:val="auto"/>
        </w:rPr>
      </w:pPr>
      <w:r>
        <w:rPr>
          <w:rFonts w:ascii="Arial" w:cs="Arial" w:eastAsia="Arial" w:hAnsi="Arial"/>
          <w:sz w:val="20"/>
          <w:szCs w:val="20"/>
          <w:u w:val="single" w:color="auto"/>
          <w:color w:val="auto"/>
        </w:rPr>
        <w:t>Consideration and Acknowledgement</w:t>
      </w:r>
      <w:r>
        <w:rPr>
          <w:rFonts w:ascii="Arial" w:cs="Arial" w:eastAsia="Arial" w:hAnsi="Arial"/>
          <w:sz w:val="20"/>
          <w:szCs w:val="20"/>
          <w:color w:val="auto"/>
        </w:rPr>
        <w:t>. I acknowledge and agree that the benefits and compensation opportunities being made available to me under the Award Agreement are in addition to the benefits and compensation opportunities that otherwise are or would be available to me in connection with my employment by the Corporation and that the grant of the RSUs is expressly made contingent upon my agreements with the Corporation set forth in this PECA. I acknowledge that the scope and duration of the restrictions in Section 1 are necessary to be</w:t>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effective and are fair and reasonable in light of the value of the benefits and compensation opportunities being made available to me under the Award Agreement. I further acknowledge and agree that as a result of the high level executive and management positions I hold with the Corporation and the access to and extensive knowledge of the Corporation's Confidential or Proprietary Information, employees, suppliers and customers, (i) these restrictions are reasonably required for the protection of the Corporation's legitimate business interests, including, but not limited to, the Corporation’s Confidential or Proprietary Information,</w:t>
      </w:r>
    </w:p>
    <w:p>
      <w:pPr>
        <w:spacing w:after="0" w:line="4" w:lineRule="exact"/>
        <w:rPr>
          <w:sz w:val="20"/>
          <w:szCs w:val="20"/>
          <w:color w:val="auto"/>
        </w:rPr>
      </w:pPr>
    </w:p>
    <w:p>
      <w:pPr>
        <w:jc w:val="both"/>
        <w:ind w:firstLine="8"/>
        <w:spacing w:after="0" w:line="267" w:lineRule="auto"/>
        <w:tabs>
          <w:tab w:leader="none" w:pos="28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area, duration and scope of the restrictions are reasonable and necessary to protect the Corporation, (iii) the restrictions do not unduly oppress or restrict my ability to earn a livelihood in my profession, and (iv) the restrictions are not an undue restraint on my trade or any of the public interests that may be involved. I further acknowledge that I had the right to consult legal counsel prior to accepting this Award Agreement.</w:t>
      </w:r>
    </w:p>
    <w:p>
      <w:pPr>
        <w:spacing w:after="0" w:line="187"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Remedies For Breach of Section 1; Additional Remedies of Clawback and Recoupment.</w:t>
      </w:r>
    </w:p>
    <w:p>
      <w:pPr>
        <w:spacing w:after="0" w:line="256" w:lineRule="exact"/>
        <w:rPr>
          <w:rFonts w:ascii="Arial" w:cs="Arial" w:eastAsia="Arial" w:hAnsi="Arial"/>
          <w:sz w:val="20"/>
          <w:szCs w:val="20"/>
          <w:color w:val="auto"/>
        </w:rPr>
      </w:pPr>
    </w:p>
    <w:p>
      <w:pPr>
        <w:jc w:val="both"/>
        <w:ind w:firstLine="656"/>
        <w:spacing w:after="0" w:line="262" w:lineRule="auto"/>
        <w:tabs>
          <w:tab w:leader="none" w:pos="1132" w:val="left"/>
        </w:tabs>
        <w:numPr>
          <w:ilvl w:val="1"/>
          <w:numId w:val="48"/>
        </w:numPr>
        <w:rPr>
          <w:rFonts w:ascii="Arial" w:cs="Arial" w:eastAsia="Arial" w:hAnsi="Arial"/>
          <w:sz w:val="20"/>
          <w:szCs w:val="20"/>
          <w:color w:val="auto"/>
        </w:rPr>
      </w:pPr>
      <w:r>
        <w:rPr>
          <w:rFonts w:ascii="Arial" w:cs="Arial" w:eastAsia="Arial" w:hAnsi="Arial"/>
          <w:sz w:val="20"/>
          <w:szCs w:val="20"/>
          <w:color w:val="auto"/>
        </w:rPr>
        <w:t>I agree, upon demand by the Corporation, to forfeit, return or repay to the Corporation the “Benefits and Proceeds” (as defined below) (without regard to any taxes paid by me or on my behalf in respect of such Benefits and Proceeds) in the event any of the following occur:</w:t>
      </w:r>
    </w:p>
    <w:p>
      <w:pPr>
        <w:spacing w:after="0" w:line="191" w:lineRule="exact"/>
        <w:rPr>
          <w:rFonts w:ascii="Arial" w:cs="Arial" w:eastAsia="Arial" w:hAnsi="Arial"/>
          <w:sz w:val="20"/>
          <w:szCs w:val="20"/>
          <w:color w:val="auto"/>
        </w:rPr>
      </w:pPr>
    </w:p>
    <w:p>
      <w:pPr>
        <w:ind w:left="1700" w:hanging="396"/>
        <w:spacing w:after="0"/>
        <w:tabs>
          <w:tab w:leader="none" w:pos="1700" w:val="left"/>
        </w:tabs>
        <w:numPr>
          <w:ilvl w:val="2"/>
          <w:numId w:val="48"/>
        </w:numPr>
        <w:rPr>
          <w:rFonts w:ascii="Arial" w:cs="Arial" w:eastAsia="Arial" w:hAnsi="Arial"/>
          <w:sz w:val="20"/>
          <w:szCs w:val="20"/>
          <w:color w:val="auto"/>
        </w:rPr>
      </w:pPr>
      <w:r>
        <w:rPr>
          <w:rFonts w:ascii="Arial" w:cs="Arial" w:eastAsia="Arial" w:hAnsi="Arial"/>
          <w:sz w:val="20"/>
          <w:szCs w:val="20"/>
          <w:color w:val="auto"/>
        </w:rPr>
        <w:t>I breach any of the covenants or agreements in Section 1;</w:t>
      </w:r>
    </w:p>
    <w:p>
      <w:pPr>
        <w:spacing w:after="0" w:line="229" w:lineRule="exact"/>
        <w:rPr>
          <w:rFonts w:ascii="Arial" w:cs="Arial" w:eastAsia="Arial" w:hAnsi="Arial"/>
          <w:sz w:val="20"/>
          <w:szCs w:val="20"/>
          <w:color w:val="auto"/>
        </w:rPr>
      </w:pPr>
    </w:p>
    <w:p>
      <w:pPr>
        <w:ind w:left="1960" w:hanging="656"/>
        <w:spacing w:after="0" w:line="259" w:lineRule="auto"/>
        <w:tabs>
          <w:tab w:leader="none" w:pos="1788"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Corporation determines that either (a) my intentional misconduct or gross negligence, or (b) my failure to report another person’s intentional misconduct or gross negligence of which I had knowledge during the period I was employed by the Corporation, contributed to the Corporation having to restate all or a portion of its financial statements filed for any period with the Securities and Exchange Commission;</w:t>
      </w:r>
    </w:p>
    <w:p>
      <w:pPr>
        <w:spacing w:after="0" w:line="168" w:lineRule="exact"/>
        <w:rPr>
          <w:rFonts w:ascii="Arial" w:cs="Arial" w:eastAsia="Arial" w:hAnsi="Arial"/>
          <w:sz w:val="20"/>
          <w:szCs w:val="20"/>
          <w:color w:val="auto"/>
        </w:rPr>
      </w:pPr>
    </w:p>
    <w:p>
      <w:pPr>
        <w:ind w:left="1960" w:hanging="656"/>
        <w:spacing w:after="0" w:line="258" w:lineRule="auto"/>
        <w:tabs>
          <w:tab w:leader="none" w:pos="1841"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Corporation determines that I engaged in fraud, bribery, or any other illegal act, or that my intentional misconduct or gross negligence (including the failure to report another person’s intentional misconduct or gross negligence of which I had knowledge during the period I was employed by the Corporation) contributed to another person’s fraud, bribery, or other illegal act, which in any such case adversely affected the Corporation’s financial position or reputation;</w:t>
      </w:r>
    </w:p>
    <w:p>
      <w:pPr>
        <w:spacing w:after="0" w:line="167" w:lineRule="exact"/>
        <w:rPr>
          <w:rFonts w:ascii="Arial" w:cs="Arial" w:eastAsia="Arial" w:hAnsi="Arial"/>
          <w:sz w:val="20"/>
          <w:szCs w:val="20"/>
          <w:color w:val="auto"/>
        </w:rPr>
      </w:pPr>
    </w:p>
    <w:p>
      <w:pPr>
        <w:ind w:left="1960" w:right="20" w:hanging="656"/>
        <w:spacing w:after="0" w:line="286" w:lineRule="auto"/>
        <w:tabs>
          <w:tab w:leader="none" w:pos="1813"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Corporation determines that my intentional misconduct or gross negligence caused severe reputational or financial harm to the Corporation;</w:t>
      </w:r>
    </w:p>
    <w:p>
      <w:pPr>
        <w:spacing w:after="0" w:line="140" w:lineRule="exact"/>
        <w:rPr>
          <w:rFonts w:ascii="Arial" w:cs="Arial" w:eastAsia="Arial" w:hAnsi="Arial"/>
          <w:sz w:val="20"/>
          <w:szCs w:val="20"/>
          <w:color w:val="auto"/>
        </w:rPr>
      </w:pPr>
    </w:p>
    <w:p>
      <w:pPr>
        <w:ind w:left="1960" w:hanging="656"/>
        <w:spacing w:after="0" w:line="258" w:lineRule="auto"/>
        <w:tabs>
          <w:tab w:leader="none" w:pos="1864"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Corporation determines that I misappropriated Confidential or Proprietary Information, as defined in Section 1(c), and I (A) intended to use the misappropriated Confidential or Proprietary Information to cause severe reputational or financial harm to the Corporation or (B) used the misappropriated Confidential or Proprietary Information in a manner that caused severe reputational or financial harm to the Corporation; or</w:t>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60" w:hanging="656"/>
        <w:spacing w:after="0" w:line="259" w:lineRule="auto"/>
        <w:tabs>
          <w:tab w:leader="none" w:pos="1812" w:val="left"/>
        </w:tabs>
        <w:numPr>
          <w:ilvl w:val="2"/>
          <w:numId w:val="49"/>
        </w:numPr>
        <w:rPr>
          <w:rFonts w:ascii="Arial" w:cs="Arial" w:eastAsia="Arial" w:hAnsi="Arial"/>
          <w:sz w:val="20"/>
          <w:szCs w:val="20"/>
          <w:color w:val="auto"/>
        </w:rPr>
      </w:pPr>
      <w:r>
        <w:rPr>
          <w:rFonts w:ascii="Arial" w:cs="Arial" w:eastAsia="Arial" w:hAnsi="Arial"/>
          <w:sz w:val="20"/>
          <w:szCs w:val="20"/>
          <w:color w:val="auto"/>
        </w:rPr>
        <w:t>Under such other circumstances specified in a written recovery policy adopted by the Corporation to comply with Rule 10D-1 under the Securities Exchange Act and New York Stock Exchange listing standards requiring the Corporation to recover from executive officers erroneously awarded compensation or other applicable law.</w:t>
      </w:r>
    </w:p>
    <w:p>
      <w:pPr>
        <w:spacing w:after="0" w:line="168" w:lineRule="exact"/>
        <w:rPr>
          <w:rFonts w:ascii="Arial" w:cs="Arial" w:eastAsia="Arial" w:hAnsi="Arial"/>
          <w:sz w:val="20"/>
          <w:szCs w:val="20"/>
          <w:color w:val="auto"/>
        </w:rPr>
      </w:pPr>
    </w:p>
    <w:p>
      <w:pPr>
        <w:jc w:val="both"/>
        <w:ind w:firstLine="656"/>
        <w:spacing w:after="0" w:line="254" w:lineRule="auto"/>
        <w:tabs>
          <w:tab w:leader="none" w:pos="1151"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remedy provided in Section 3(a) shall not be the exclusive remedy available to the Corporation for any of the conduct described in Section 3(a) and shall not limit the Corporation from seeking damages or injunctive relief. For purposes of Section 3(a), a determination by the Corporation means, with respect to an Elected Officer, a determination by the Management Development and Compensation Committee of the Board of Directors of the Corporation (the “Committee”) and, with respect to any other employee, a determination by a review committee consisting of the Senior Vice President, Chief Human Resources Officer, the Senior Vice President, Ethics and Enterprise Assurance, and the Senior Vice President, General Counsel and Corporate Secretary (the “Review Committee”).</w:t>
      </w:r>
    </w:p>
    <w:p>
      <w:pPr>
        <w:spacing w:after="0" w:line="213" w:lineRule="exact"/>
        <w:rPr>
          <w:rFonts w:ascii="Arial" w:cs="Arial" w:eastAsia="Arial" w:hAnsi="Arial"/>
          <w:sz w:val="20"/>
          <w:szCs w:val="20"/>
          <w:color w:val="auto"/>
        </w:rPr>
      </w:pPr>
    </w:p>
    <w:p>
      <w:pPr>
        <w:jc w:val="both"/>
        <w:ind w:firstLine="656"/>
        <w:spacing w:after="0" w:line="251" w:lineRule="auto"/>
        <w:tabs>
          <w:tab w:leader="none" w:pos="1166" w:val="left"/>
        </w:tabs>
        <w:numPr>
          <w:ilvl w:val="1"/>
          <w:numId w:val="50"/>
        </w:numPr>
        <w:rPr>
          <w:rFonts w:ascii="Arial" w:cs="Arial" w:eastAsia="Arial" w:hAnsi="Arial"/>
          <w:sz w:val="20"/>
          <w:szCs w:val="20"/>
          <w:color w:val="auto"/>
        </w:rPr>
      </w:pPr>
      <w:r>
        <w:rPr>
          <w:rFonts w:ascii="Arial" w:cs="Arial" w:eastAsia="Arial" w:hAnsi="Arial"/>
          <w:sz w:val="20"/>
          <w:szCs w:val="20"/>
          <w:color w:val="auto"/>
        </w:rPr>
        <w:t>For purposes of this Section 3, “Benefits and Proceeds” means (i) to the extent I own Stock issued in respect of vested RSUs, such Stock; (ii) to the extent I no longer own the shares of Stock of the Corporation issued in respect of the RSUs, cash in an amount equal to the greater of (x) the value of such Stock on the date the associated RSUs vested (which, unless otherwise determined by the Committee or the Review Committee, as applicable, shall be equal to the closing price of the shares of Stock as finally reported by the New York Stock Exchange on such date), and (y) the proceeds received in connection with the disposition of such Stock; and (iii) to the extent I have not earned the RSUs fully, all of my remaining rights, title or interest in my Award and any accrued dividend equivalents with respect thereto.</w:t>
      </w:r>
    </w:p>
    <w:p>
      <w:pPr>
        <w:spacing w:after="0" w:line="219" w:lineRule="exact"/>
        <w:rPr>
          <w:rFonts w:ascii="Arial" w:cs="Arial" w:eastAsia="Arial" w:hAnsi="Arial"/>
          <w:sz w:val="20"/>
          <w:szCs w:val="20"/>
          <w:color w:val="auto"/>
        </w:rPr>
      </w:pPr>
    </w:p>
    <w:p>
      <w:pPr>
        <w:jc w:val="both"/>
        <w:ind w:firstLine="8"/>
        <w:spacing w:after="0" w:line="271" w:lineRule="auto"/>
        <w:tabs>
          <w:tab w:leader="none" w:pos="50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I acknowledge that the Corporation’s remedies at law may be inadequate to protect the Corporation against any actual or threatened breach of the provisions of Section 1 or the conduct described in Section 3(a), and, therefore, without prejudice to any other rights and remedies otherwise available to the Corporation at law or in equity (including but not limited to, an action under Section 3(a)), the Corporation shall be entitled to the granting of injunctive relief in its favor and to specific performance without proof of actual damages and without the requirement of the posting of any bond or similar security.</w:t>
      </w:r>
    </w:p>
    <w:p>
      <w:pPr>
        <w:spacing w:after="0" w:line="197" w:lineRule="exact"/>
        <w:rPr>
          <w:rFonts w:ascii="Arial" w:cs="Arial" w:eastAsia="Arial" w:hAnsi="Arial"/>
          <w:sz w:val="19"/>
          <w:szCs w:val="19"/>
          <w:color w:val="auto"/>
        </w:rPr>
      </w:pPr>
    </w:p>
    <w:p>
      <w:pPr>
        <w:jc w:val="both"/>
        <w:ind w:firstLine="8"/>
        <w:spacing w:after="0" w:line="250" w:lineRule="auto"/>
        <w:tabs>
          <w:tab w:leader="none" w:pos="39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Invalidity; Unenforceability</w:t>
      </w:r>
      <w:r>
        <w:rPr>
          <w:rFonts w:ascii="Arial" w:cs="Arial" w:eastAsia="Arial" w:hAnsi="Arial"/>
          <w:sz w:val="20"/>
          <w:szCs w:val="20"/>
          <w:color w:val="auto"/>
        </w:rPr>
        <w:t>. It is the desire and intent of the parties that the provisions of this PECA shall be enforced to the fullest extent permissible. The covenants in each section of this PECA are independent of any other provisions of this PECA. Each term in this PECA constitutes a separate covenant between the parties, and each term is fully severable from any other term. The parties agree if any particular paragraphs, subparagraphs, phrases, words, or other portions of this PECA are determined by an appropriate court to be invalid or unenforceable as written, they shall be modified as necessary to comport with the reasonable intent and expectations of the parties and in favor of providing reasonable protection to all of the Corporation’s legitimate business interests, and such modification shall not affect the remaining provisions of this PECA, or if they cannot be modified to be made valid or enforceable, then they shall be severed from this PECA, and all remaining terms and provisions shall remain enforceable.</w:t>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8"/>
        <w:spacing w:after="0" w:line="286" w:lineRule="auto"/>
        <w:tabs>
          <w:tab w:leader="none" w:pos="47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not defined in this PECA have the meaning given to them in the Plan, as applicable. For purposes of this PECA, the following terms have the meanings given below:</w:t>
      </w:r>
    </w:p>
    <w:p>
      <w:pPr>
        <w:spacing w:after="0" w:line="167" w:lineRule="exact"/>
        <w:rPr>
          <w:rFonts w:ascii="Arial" w:cs="Arial" w:eastAsia="Arial" w:hAnsi="Arial"/>
          <w:sz w:val="20"/>
          <w:szCs w:val="20"/>
          <w:color w:val="auto"/>
        </w:rPr>
      </w:pPr>
    </w:p>
    <w:p>
      <w:pPr>
        <w:jc w:val="both"/>
        <w:ind w:firstLine="656"/>
        <w:spacing w:after="0" w:line="250" w:lineRule="auto"/>
        <w:tabs>
          <w:tab w:leader="none" w:pos="1126" w:val="left"/>
        </w:tabs>
        <w:numPr>
          <w:ilvl w:val="1"/>
          <w:numId w:val="52"/>
        </w:numPr>
        <w:rPr>
          <w:rFonts w:ascii="Arial" w:cs="Arial" w:eastAsia="Arial" w:hAnsi="Arial"/>
          <w:sz w:val="20"/>
          <w:szCs w:val="20"/>
          <w:color w:val="auto"/>
        </w:rPr>
      </w:pPr>
      <w:r>
        <w:rPr>
          <w:rFonts w:ascii="Arial" w:cs="Arial" w:eastAsia="Arial" w:hAnsi="Arial"/>
          <w:sz w:val="20"/>
          <w:szCs w:val="20"/>
          <w:color w:val="auto"/>
        </w:rPr>
        <w:t>“Competitive Products or Services” means products or services that compete with, or are an alternative or potential alternative to, products sold or services provided by a subsidiary, business area, division or operating unit or business of the Corporation as of the Termination Date and at any time within the two-year period ending on the Termination Date; provided, that, (i) if I had direct responsibility for the business of, or function with respect to, a subsidiary, or for a business area, division or operating unit or business of the Corporation at any time within the two-year period ending on the Termination Date, Competitive Products or Services includes the products so sold or the services so provided during that two-year period by the subsidiary, business area, division or operating unit of the Corporation for which I had responsibility, and (ii) if I did not have direct responsibility for the business of, or function with respect to, a subsidiary, or for a business area, division or operating unit or business of the Corporation at any time within the two-year period ending on the Termination Date, Competitive Products or Services includes the products so sold or the services so provided by a subsidiary, business area, division or operating unit of the Corporation for which I had access (or was required or permitted such access in the performance of my duties or responsibilities with the Corporation) to Confidential or Proprietary Information of the Corporation at any time during the two-year period ending on the Termination Date.</w:t>
      </w:r>
    </w:p>
    <w:p>
      <w:pPr>
        <w:spacing w:after="0" w:line="220" w:lineRule="exact"/>
        <w:rPr>
          <w:rFonts w:ascii="Arial" w:cs="Arial" w:eastAsia="Arial" w:hAnsi="Arial"/>
          <w:sz w:val="20"/>
          <w:szCs w:val="20"/>
          <w:color w:val="auto"/>
        </w:rPr>
      </w:pPr>
    </w:p>
    <w:p>
      <w:pPr>
        <w:ind w:left="1120" w:hanging="464"/>
        <w:spacing w:after="0"/>
        <w:tabs>
          <w:tab w:leader="none" w:pos="11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“Elected Officer” means an officer of the Corporation who was elected to their position by the Corporation’s Board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Directors.</w:t>
      </w:r>
    </w:p>
    <w:p>
      <w:pPr>
        <w:spacing w:after="0" w:line="224" w:lineRule="exact"/>
        <w:rPr>
          <w:rFonts w:ascii="Arial" w:cs="Arial" w:eastAsia="Arial" w:hAnsi="Arial"/>
          <w:sz w:val="19"/>
          <w:szCs w:val="19"/>
          <w:color w:val="auto"/>
        </w:rPr>
      </w:pPr>
    </w:p>
    <w:p>
      <w:pPr>
        <w:ind w:left="1100" w:hanging="444"/>
        <w:spacing w:after="0"/>
        <w:tabs>
          <w:tab w:leader="none" w:pos="11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“Required Approver” means:</w:t>
      </w:r>
    </w:p>
    <w:p>
      <w:pPr>
        <w:spacing w:after="0" w:line="256" w:lineRule="exact"/>
        <w:rPr>
          <w:rFonts w:ascii="Arial" w:cs="Arial" w:eastAsia="Arial" w:hAnsi="Arial"/>
          <w:sz w:val="20"/>
          <w:szCs w:val="20"/>
          <w:color w:val="auto"/>
        </w:rPr>
      </w:pPr>
    </w:p>
    <w:p>
      <w:pPr>
        <w:ind w:left="1960" w:hanging="656"/>
        <w:spacing w:after="0" w:line="271" w:lineRule="auto"/>
        <w:tabs>
          <w:tab w:leader="none" w:pos="1809" w:val="left"/>
        </w:tabs>
        <w:numPr>
          <w:ilvl w:val="2"/>
          <w:numId w:val="52"/>
        </w:numPr>
        <w:rPr>
          <w:rFonts w:ascii="Arial" w:cs="Arial" w:eastAsia="Arial" w:hAnsi="Arial"/>
          <w:sz w:val="20"/>
          <w:szCs w:val="20"/>
          <w:color w:val="auto"/>
        </w:rPr>
      </w:pPr>
      <w:r>
        <w:rPr>
          <w:rFonts w:ascii="Arial" w:cs="Arial" w:eastAsia="Arial" w:hAnsi="Arial"/>
          <w:sz w:val="20"/>
          <w:szCs w:val="20"/>
          <w:color w:val="auto"/>
        </w:rPr>
        <w:t>with respect to the Chairman, President and Chief Executive Officer, the Management Development and Compensation Committee of the Corporation’s Board of Directors;</w:t>
      </w:r>
    </w:p>
    <w:p>
      <w:pPr>
        <w:spacing w:after="0" w:line="196" w:lineRule="exact"/>
        <w:rPr>
          <w:rFonts w:ascii="Arial" w:cs="Arial" w:eastAsia="Arial" w:hAnsi="Arial"/>
          <w:sz w:val="20"/>
          <w:szCs w:val="20"/>
          <w:color w:val="auto"/>
        </w:rPr>
      </w:pPr>
    </w:p>
    <w:p>
      <w:pPr>
        <w:ind w:left="1960" w:hanging="656"/>
        <w:spacing w:after="0" w:line="271" w:lineRule="auto"/>
        <w:tabs>
          <w:tab w:leader="none" w:pos="1834" w:val="left"/>
        </w:tabs>
        <w:numPr>
          <w:ilvl w:val="2"/>
          <w:numId w:val="52"/>
        </w:numPr>
        <w:rPr>
          <w:rFonts w:ascii="Arial" w:cs="Arial" w:eastAsia="Arial" w:hAnsi="Arial"/>
          <w:sz w:val="20"/>
          <w:szCs w:val="20"/>
          <w:color w:val="auto"/>
        </w:rPr>
      </w:pPr>
      <w:r>
        <w:rPr>
          <w:rFonts w:ascii="Arial" w:cs="Arial" w:eastAsia="Arial" w:hAnsi="Arial"/>
          <w:sz w:val="20"/>
          <w:szCs w:val="20"/>
          <w:color w:val="auto"/>
        </w:rPr>
        <w:t>with respect to any Elected Officer (other than the Chairman, President and Chief Executive Officer), the Corporation’s Chief Executive Officer; or</w:t>
      </w:r>
    </w:p>
    <w:p>
      <w:pPr>
        <w:spacing w:after="0" w:line="196" w:lineRule="exact"/>
        <w:rPr>
          <w:rFonts w:ascii="Arial" w:cs="Arial" w:eastAsia="Arial" w:hAnsi="Arial"/>
          <w:sz w:val="20"/>
          <w:szCs w:val="20"/>
          <w:color w:val="auto"/>
        </w:rPr>
      </w:pPr>
    </w:p>
    <w:p>
      <w:pPr>
        <w:ind w:left="1960" w:right="20" w:hanging="656"/>
        <w:spacing w:after="0" w:line="286" w:lineRule="auto"/>
        <w:tabs>
          <w:tab w:leader="none" w:pos="1923" w:val="left"/>
        </w:tabs>
        <w:numPr>
          <w:ilvl w:val="2"/>
          <w:numId w:val="52"/>
        </w:numPr>
        <w:rPr>
          <w:rFonts w:ascii="Arial" w:cs="Arial" w:eastAsia="Arial" w:hAnsi="Arial"/>
          <w:sz w:val="20"/>
          <w:szCs w:val="20"/>
          <w:color w:val="auto"/>
        </w:rPr>
      </w:pPr>
      <w:r>
        <w:rPr>
          <w:rFonts w:ascii="Arial" w:cs="Arial" w:eastAsia="Arial" w:hAnsi="Arial"/>
          <w:sz w:val="20"/>
          <w:szCs w:val="20"/>
          <w:color w:val="auto"/>
        </w:rPr>
        <w:t>with respect to all other employees, the Senior Vice President, Chief Human Resources Officer of the Corporation.</w:t>
      </w:r>
    </w:p>
    <w:p>
      <w:pPr>
        <w:spacing w:after="0" w:line="176" w:lineRule="exact"/>
        <w:rPr>
          <w:rFonts w:ascii="Arial" w:cs="Arial" w:eastAsia="Arial" w:hAnsi="Arial"/>
          <w:sz w:val="20"/>
          <w:szCs w:val="20"/>
          <w:color w:val="auto"/>
        </w:rPr>
      </w:pPr>
    </w:p>
    <w:p>
      <w:pPr>
        <w:ind w:right="220" w:firstLine="656"/>
        <w:spacing w:after="0" w:line="250" w:lineRule="auto"/>
        <w:tabs>
          <w:tab w:leader="none" w:pos="1152"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“Restricted Company” means any business or entity that is engaged in any business activity that is competitive with the business and business activities engaged in by the Corporation in the aerospace and defense industry, including, but not limited to, the following entities: The Boeing Company, General Dynamics Corporation, Northrop Grumman Corporation, Raytheon Technologies Corporation, Honeywell International Inc., BAE Systems Inc., L3Harris Technologies, Inc., Thales, Airbus Group, Inc., Textron Inc., Leonardo S.p.A., Leidos Holdings, Inc., Space Exploration Technologies Corp., Palantir Technologies Inc., GE Aerospace, Anduril Industries, Inc., Shield AI Inc., Sierra Nevada Company and (i) any entity directly or indirectly controlling, controlled by, or under common control with any of the foregoing, and (ii) any successor to all or part of the business of any of the foregoing as a result of a merger, reorganization,</w:t>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consolidation, spin-off, split-up, acquisition, divestiture, or similar transaction, or as a result of a name change.</w:t>
      </w:r>
    </w:p>
    <w:p>
      <w:pPr>
        <w:spacing w:after="0" w:line="13" w:lineRule="exact"/>
        <w:rPr>
          <w:sz w:val="20"/>
          <w:szCs w:val="20"/>
          <w:color w:val="auto"/>
        </w:rPr>
      </w:pPr>
    </w:p>
    <w:p>
      <w:pPr>
        <w:ind w:left="1120" w:hanging="464"/>
        <w:spacing w:after="0"/>
        <w:tabs>
          <w:tab w:leader="none" w:pos="11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“Restricted Period” means:</w:t>
      </w:r>
    </w:p>
    <w:p>
      <w:pPr>
        <w:spacing w:after="0" w:line="238" w:lineRule="exact"/>
        <w:rPr>
          <w:rFonts w:ascii="Arial" w:cs="Arial" w:eastAsia="Arial" w:hAnsi="Arial"/>
          <w:sz w:val="20"/>
          <w:szCs w:val="20"/>
          <w:color w:val="auto"/>
        </w:rPr>
      </w:pPr>
    </w:p>
    <w:p>
      <w:pPr>
        <w:ind w:left="1620" w:hanging="316"/>
        <w:spacing w:after="0" w:line="271" w:lineRule="auto"/>
        <w:tabs>
          <w:tab w:leader="none" w:pos="1734" w:val="left"/>
        </w:tabs>
        <w:numPr>
          <w:ilvl w:val="2"/>
          <w:numId w:val="53"/>
        </w:numPr>
        <w:rPr>
          <w:rFonts w:ascii="Arial" w:cs="Arial" w:eastAsia="Arial" w:hAnsi="Arial"/>
          <w:sz w:val="20"/>
          <w:szCs w:val="20"/>
          <w:color w:val="auto"/>
        </w:rPr>
      </w:pPr>
      <w:r>
        <w:rPr>
          <w:rFonts w:ascii="Arial" w:cs="Arial" w:eastAsia="Arial" w:hAnsi="Arial"/>
          <w:sz w:val="20"/>
          <w:szCs w:val="20"/>
          <w:color w:val="auto"/>
        </w:rPr>
        <w:t>with respect to an employee who is an Elected Officer at any time during the six-month period prior to their Termination Date, the two-year period following the Termination Date; or</w:t>
      </w:r>
    </w:p>
    <w:p>
      <w:pPr>
        <w:spacing w:after="0" w:line="196" w:lineRule="exact"/>
        <w:rPr>
          <w:rFonts w:ascii="Arial" w:cs="Arial" w:eastAsia="Arial" w:hAnsi="Arial"/>
          <w:sz w:val="20"/>
          <w:szCs w:val="20"/>
          <w:color w:val="auto"/>
        </w:rPr>
      </w:pPr>
    </w:p>
    <w:p>
      <w:pPr>
        <w:ind w:left="1740" w:hanging="436"/>
        <w:spacing w:after="0"/>
        <w:tabs>
          <w:tab w:leader="none" w:pos="1740" w:val="left"/>
        </w:tabs>
        <w:numPr>
          <w:ilvl w:val="2"/>
          <w:numId w:val="53"/>
        </w:numPr>
        <w:rPr>
          <w:rFonts w:ascii="Arial" w:cs="Arial" w:eastAsia="Arial" w:hAnsi="Arial"/>
          <w:sz w:val="20"/>
          <w:szCs w:val="20"/>
          <w:color w:val="auto"/>
        </w:rPr>
      </w:pPr>
      <w:r>
        <w:rPr>
          <w:rFonts w:ascii="Arial" w:cs="Arial" w:eastAsia="Arial" w:hAnsi="Arial"/>
          <w:sz w:val="20"/>
          <w:szCs w:val="20"/>
          <w:color w:val="auto"/>
        </w:rPr>
        <w:t>with respect to all other employees, the one-year period following the Termination Date.</w:t>
      </w:r>
    </w:p>
    <w:p>
      <w:pPr>
        <w:spacing w:after="0" w:line="256" w:lineRule="exact"/>
        <w:rPr>
          <w:rFonts w:ascii="Arial" w:cs="Arial" w:eastAsia="Arial" w:hAnsi="Arial"/>
          <w:sz w:val="20"/>
          <w:szCs w:val="20"/>
          <w:color w:val="auto"/>
        </w:rPr>
      </w:pPr>
    </w:p>
    <w:p>
      <w:pPr>
        <w:ind w:left="1060" w:hanging="404"/>
        <w:spacing w:after="0"/>
        <w:tabs>
          <w:tab w:leader="none" w:pos="10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“Termination Date” means my last day of employment with the Corporation.</w:t>
      </w:r>
    </w:p>
    <w:p>
      <w:pPr>
        <w:spacing w:after="0" w:line="242" w:lineRule="exact"/>
        <w:rPr>
          <w:rFonts w:ascii="Arial" w:cs="Arial" w:eastAsia="Arial" w:hAnsi="Arial"/>
          <w:sz w:val="20"/>
          <w:szCs w:val="20"/>
          <w:color w:val="auto"/>
        </w:rPr>
      </w:pPr>
    </w:p>
    <w:p>
      <w:pPr>
        <w:ind w:left="400" w:hanging="392"/>
        <w:spacing w:after="0"/>
        <w:tabs>
          <w:tab w:leader="none" w:pos="4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right="20" w:firstLine="656"/>
        <w:spacing w:after="0" w:line="271" w:lineRule="auto"/>
        <w:tabs>
          <w:tab w:leader="none" w:pos="1106"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Plan, the Award Agreement (with Exhibit B) and this PECA constitute the entire agreement governing the terms of the award of the RSUs to me.</w:t>
      </w:r>
    </w:p>
    <w:p>
      <w:pPr>
        <w:spacing w:after="0" w:line="196" w:lineRule="exact"/>
        <w:rPr>
          <w:rFonts w:ascii="Arial" w:cs="Arial" w:eastAsia="Arial" w:hAnsi="Arial"/>
          <w:sz w:val="20"/>
          <w:szCs w:val="20"/>
          <w:color w:val="auto"/>
        </w:rPr>
      </w:pPr>
    </w:p>
    <w:p>
      <w:pPr>
        <w:jc w:val="both"/>
        <w:ind w:firstLine="656"/>
        <w:spacing w:after="0" w:line="250" w:lineRule="auto"/>
        <w:tabs>
          <w:tab w:leader="none" w:pos="1214"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This PECA shall be governed by Maryland law, without regard to its provisions governing conflicts of law. Any enforcement of, or challenge to, this PECA may only be brought in the United States District Court for the District of Maryland, unless it is determined that such court does not have subject matter jurisdiction, in which case any such enforcement or challenge must be brought in the Circuit Court of Montgomery County in the State of Maryland. Both parties consent to the proper jurisdiction and venue of such court, as applicable, for the purpose of enforcing or challenging this PECA. For residents of California, Massachusetts (Section 1(a) only), Minnesota (Section 1(a) only), Washington and Wisconsin, or if otherwise provided in an applicable Addenda, this Section 7(b) shall not apply; instead, the parties agree that the law of the state in which I am domiciled at the time of acceptance shall govern the interpretation, application, and enforcement of this PECA, without regard to any choice of law rules of that or any other state, and that the exclusive venue shall be the state or federal courts sitting in or covering the county where I am domiciled at the time of acceptance.</w:t>
      </w:r>
    </w:p>
    <w:p>
      <w:pPr>
        <w:spacing w:after="0" w:line="223" w:lineRule="exact"/>
        <w:rPr>
          <w:rFonts w:ascii="Arial" w:cs="Arial" w:eastAsia="Arial" w:hAnsi="Arial"/>
          <w:sz w:val="20"/>
          <w:szCs w:val="20"/>
          <w:color w:val="auto"/>
        </w:rPr>
      </w:pPr>
    </w:p>
    <w:p>
      <w:pPr>
        <w:ind w:firstLine="656"/>
        <w:spacing w:after="0" w:line="271" w:lineRule="auto"/>
        <w:tabs>
          <w:tab w:leader="none" w:pos="1193"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This PECA shall inure to the benefit of the Corporation’s successors and assigns and may be assigned by the Corporation without my consent.</w:t>
      </w:r>
    </w:p>
    <w:p>
      <w:pPr>
        <w:spacing w:after="0" w:line="196" w:lineRule="exact"/>
        <w:rPr>
          <w:rFonts w:ascii="Arial" w:cs="Arial" w:eastAsia="Arial" w:hAnsi="Arial"/>
          <w:sz w:val="20"/>
          <w:szCs w:val="20"/>
          <w:color w:val="auto"/>
        </w:rPr>
      </w:pPr>
    </w:p>
    <w:p>
      <w:pPr>
        <w:jc w:val="both"/>
        <w:ind w:firstLine="656"/>
        <w:spacing w:after="0" w:line="259" w:lineRule="auto"/>
        <w:tabs>
          <w:tab w:leader="none" w:pos="1106"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This PECA provides for certain obligations on my part following the Termination Date and shall not, by implication or otherwise, affect in any way my obligations to the Corporation during the term of my employment by the Corporation, whether pursuant to written agreements between the Corporation and me, the provisions of applicable Corporate policies that may be adopted from time to time or applicable law or regulation.</w:t>
      </w:r>
    </w:p>
    <w:p>
      <w:pPr>
        <w:spacing w:after="0" w:line="195" w:lineRule="exact"/>
        <w:rPr>
          <w:rFonts w:ascii="Arial" w:cs="Arial" w:eastAsia="Arial" w:hAnsi="Arial"/>
          <w:sz w:val="20"/>
          <w:szCs w:val="20"/>
          <w:color w:val="auto"/>
        </w:rPr>
      </w:pPr>
    </w:p>
    <w:p>
      <w:pPr>
        <w:jc w:val="both"/>
        <w:ind w:firstLine="656"/>
        <w:spacing w:after="0" w:line="259" w:lineRule="auto"/>
        <w:tabs>
          <w:tab w:leader="none" w:pos="1226"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restrictive covenants and other terms in this PECA are to be read consistent with the terms of any other restrictive covenants or other agreements that I have executed with the Corporation; provided, however, to the extent there is a conflict between/among such agreements, such agreements shall be construed as providing the broadest possible protections to the Corporation, even if such construction would require provisions of more than one such agreement to be given effect.</w:t>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56"/>
        <w:spacing w:after="0" w:line="262" w:lineRule="auto"/>
        <w:tabs>
          <w:tab w:leader="none" w:pos="1126"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obligations I have undertaken in this PECA shall survive the Termination Date and no dispute regarding any other provisions of this PECA or regarding my employment or the termination of my employment shall prevent the operation and enforcement of these obligations.</w:t>
      </w:r>
    </w:p>
    <w:p>
      <w:pPr>
        <w:spacing w:after="0" w:line="205" w:lineRule="exact"/>
        <w:rPr>
          <w:rFonts w:ascii="Arial" w:cs="Arial" w:eastAsia="Arial" w:hAnsi="Arial"/>
          <w:sz w:val="20"/>
          <w:szCs w:val="20"/>
          <w:color w:val="auto"/>
        </w:rPr>
      </w:pPr>
    </w:p>
    <w:p>
      <w:pPr>
        <w:jc w:val="both"/>
        <w:ind w:firstLine="656"/>
        <w:spacing w:after="0" w:line="269" w:lineRule="auto"/>
        <w:tabs>
          <w:tab w:leader="none" w:pos="1171"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acknowledge and agree that different provisions than those set forth in this PECA, including with respect to the restrictive covenant obligations, may apply to me if I primarily reside or work in certain jurisdictions. While I primarily reside or work in such a jurisdiction, including on the Termination Date, I agree that the provisions within this PECA shall be superseded only as set forth in the applicable Addendum attached hereto or as explicitly noted within the PECA.</w:t>
      </w:r>
    </w:p>
    <w:p>
      <w:pPr>
        <w:spacing w:after="0" w:line="182" w:lineRule="exact"/>
        <w:rPr>
          <w:sz w:val="20"/>
          <w:szCs w:val="20"/>
          <w:color w:val="auto"/>
        </w:rPr>
      </w:pPr>
    </w:p>
    <w:p>
      <w:pPr>
        <w:jc w:val="center"/>
        <w:ind w:left="340" w:right="380"/>
        <w:spacing w:after="0" w:line="298" w:lineRule="auto"/>
        <w:rPr>
          <w:sz w:val="20"/>
          <w:szCs w:val="20"/>
          <w:color w:val="auto"/>
        </w:rPr>
      </w:pPr>
      <w:r>
        <w:rPr>
          <w:rFonts w:ascii="Arial" w:cs="Arial" w:eastAsia="Arial" w:hAnsi="Arial"/>
          <w:sz w:val="20"/>
          <w:szCs w:val="20"/>
          <w:b w:val="1"/>
          <w:bCs w:val="1"/>
          <w:color w:val="auto"/>
        </w:rPr>
        <w:t>This PECA is effective as of the acceptance by me of the award of RSUs under the Award Agreement and is not contingent on the vesting of my RSUs.</w:t>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COLORADO ADDENDUM TO POST-EMPLOYMENT CONDUCT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Restrictive Covenant to Colorado Employees</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This notice is to advise you that the Corporation is, contemporaneously with this notice, providing you with a Post-Employment Conduct Agreement (the “PECA”) containing covenants that could restrict your options for subsequent employment following separation from the Corporation, in that you will be prohibited from certain competition and solicitation of customers, employees, etc., as described in Section 1 of the PECA (and as modified by this Colorado Addendum) and from disclosing or using Confidential Information as described in Section 1 of the PECA (and as modified by this Colorado Addendum).</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You acknowledge that this notice was provided to you at least fourteen (14) days before the earlier of your Termination Date, as defined in the PECA, or the effective date of the consideration provided to you for such covenant. By electronically signing the Award Agreement, you expressly acknowledge and agree that you are deemed to have separately signed this notice.</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The provisions of this Colorado Addendum apply only to those employees of the Corporation who primarily work or reside in the State of Colorado.</w:t>
      </w:r>
    </w:p>
    <w:p>
      <w:pPr>
        <w:spacing w:after="0" w:line="203" w:lineRule="exact"/>
        <w:rPr>
          <w:sz w:val="20"/>
          <w:szCs w:val="20"/>
          <w:color w:val="auto"/>
        </w:rPr>
      </w:pPr>
    </w:p>
    <w:p>
      <w:pPr>
        <w:ind w:left="720" w:hanging="388"/>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2"/>
          <w:szCs w:val="22"/>
          <w:color w:val="auto"/>
        </w:rPr>
        <w:t>The following is added to the end of Section 1(a) of the PECA “</w:t>
      </w:r>
      <w:r>
        <w:rPr>
          <w:rFonts w:ascii="Arial" w:cs="Arial" w:eastAsia="Arial" w:hAnsi="Arial"/>
          <w:sz w:val="22"/>
          <w:szCs w:val="22"/>
          <w:b w:val="1"/>
          <w:bCs w:val="1"/>
          <w:color w:val="auto"/>
        </w:rPr>
        <w:t>Covenant Not to Compete</w:t>
      </w:r>
      <w:r>
        <w:rPr>
          <w:rFonts w:ascii="Arial" w:cs="Arial" w:eastAsia="Arial" w:hAnsi="Arial"/>
          <w:sz w:val="22"/>
          <w:szCs w:val="22"/>
          <w:color w:val="auto"/>
        </w:rPr>
        <w:t>”:</w:t>
      </w:r>
    </w:p>
    <w:p>
      <w:pPr>
        <w:spacing w:after="0" w:line="2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restrictions described in Section 1(a) are intended to cover geographic territory where your knowledge of the Corporation’s trade secrets could be used by a Restricted Company to unfairly compete with or undermine the Corporation’s legitimate business interests.</w:t>
      </w:r>
    </w:p>
    <w:p>
      <w:pPr>
        <w:spacing w:after="0" w:line="165" w:lineRule="exact"/>
        <w:rPr>
          <w:sz w:val="20"/>
          <w:szCs w:val="20"/>
          <w:color w:val="auto"/>
        </w:rPr>
      </w:pPr>
    </w:p>
    <w:p>
      <w:pPr>
        <w:ind w:left="660" w:hanging="328"/>
        <w:spacing w:after="0" w:line="287" w:lineRule="auto"/>
        <w:tabs>
          <w:tab w:leader="none" w:pos="775" w:val="left"/>
        </w:tabs>
        <w:numPr>
          <w:ilvl w:val="0"/>
          <w:numId w:val="57"/>
        </w:numPr>
        <w:rPr>
          <w:rFonts w:ascii="Arial" w:cs="Arial" w:eastAsia="Arial" w:hAnsi="Arial"/>
          <w:sz w:val="20"/>
          <w:szCs w:val="20"/>
          <w:color w:val="auto"/>
        </w:rPr>
      </w:pPr>
      <w:r>
        <w:rPr>
          <w:rFonts w:ascii="Arial" w:cs="Arial" w:eastAsia="Arial" w:hAnsi="Arial"/>
          <w:sz w:val="22"/>
          <w:szCs w:val="22"/>
          <w:color w:val="auto"/>
        </w:rPr>
        <w:t>The language in Section 1 of the PECA “</w:t>
      </w:r>
      <w:r>
        <w:rPr>
          <w:rFonts w:ascii="Arial" w:cs="Arial" w:eastAsia="Arial" w:hAnsi="Arial"/>
          <w:sz w:val="22"/>
          <w:szCs w:val="22"/>
          <w:b w:val="1"/>
          <w:bCs w:val="1"/>
          <w:color w:val="auto"/>
        </w:rPr>
        <w:t>Restrictions Following Termination of Employment</w:t>
      </w:r>
      <w:r>
        <w:rPr>
          <w:rFonts w:ascii="Arial" w:cs="Arial" w:eastAsia="Arial" w:hAnsi="Arial"/>
          <w:sz w:val="22"/>
          <w:szCs w:val="22"/>
          <w:color w:val="auto"/>
        </w:rPr>
        <w:t>” is modified by adding the following:</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restrictions related to competitive activities in Section 1(a) only apply to the extent I earn, both at the time this PECA is entered into and at the time the Corporation enforces it, an amount of annualized cash compensation equivalent to or greater than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Corporation. As of January 1, 2026, that threshold is $130,014.</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restrictions related to solicitation activities in Section 1(b)(i) only apply to the extent I earn, both at the time this PECA is entered into and at the time the Corporation enforces it, an amount of annualized cash compensation equivalent to or greater than 60% of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Corporation. As of January 1, 2026, that threshold is $78,008.40.</w:t>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87" w:lineRule="auto"/>
        <w:tabs>
          <w:tab w:leader="none" w:pos="761" w:val="left"/>
        </w:tabs>
        <w:numPr>
          <w:ilvl w:val="0"/>
          <w:numId w:val="58"/>
        </w:numPr>
        <w:rPr>
          <w:rFonts w:ascii="Arial" w:cs="Arial" w:eastAsia="Arial" w:hAnsi="Arial"/>
          <w:sz w:val="20"/>
          <w:szCs w:val="20"/>
          <w:color w:val="auto"/>
        </w:rPr>
      </w:pPr>
      <w:r>
        <w:rPr>
          <w:rFonts w:ascii="Arial" w:cs="Arial" w:eastAsia="Arial" w:hAnsi="Arial"/>
          <w:sz w:val="22"/>
          <w:szCs w:val="22"/>
          <w:color w:val="auto"/>
        </w:rPr>
        <w:t>The language in Section 2 of the PECA “</w:t>
      </w:r>
      <w:r>
        <w:rPr>
          <w:rFonts w:ascii="Arial" w:cs="Arial" w:eastAsia="Arial" w:hAnsi="Arial"/>
          <w:sz w:val="22"/>
          <w:szCs w:val="22"/>
          <w:b w:val="1"/>
          <w:bCs w:val="1"/>
          <w:color w:val="auto"/>
        </w:rPr>
        <w:t>Consideration and Acknowledgement</w:t>
      </w:r>
      <w:r>
        <w:rPr>
          <w:rFonts w:ascii="Arial" w:cs="Arial" w:eastAsia="Arial" w:hAnsi="Arial"/>
          <w:sz w:val="22"/>
          <w:szCs w:val="22"/>
          <w:color w:val="auto"/>
        </w:rPr>
        <w:t>” is modified by adding the following:</w:t>
      </w:r>
    </w:p>
    <w:p>
      <w:pPr>
        <w:spacing w:after="0" w:line="13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 acknowledge and agree that the restrictions in this PECA are reasonable and shall not prohibit the disclosure of information arising from my general training, knowledge, skill, or experience, whether gained on the job or otherwise, information readily ascertainable to the public, and/or information an employee has a right to disclose as legally protected conduct.</w:t>
      </w:r>
    </w:p>
    <w:p>
      <w:pPr>
        <w:spacing w:after="0" w:line="170" w:lineRule="exact"/>
        <w:rPr>
          <w:sz w:val="20"/>
          <w:szCs w:val="20"/>
          <w:color w:val="auto"/>
        </w:rPr>
      </w:pPr>
    </w:p>
    <w:p>
      <w:pPr>
        <w:ind w:left="720" w:hanging="388"/>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2"/>
          <w:szCs w:val="22"/>
          <w:color w:val="auto"/>
        </w:rPr>
        <w:t>The language in Section 7(b) of the PECA is modified by adding the following: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 understand that if I primarily reside or work in the State of Colorado at the time my employment with the Corporation is terminated, the PECA will be subject to the laws and courts of the State of Colorado. During this period, venue shall be the State and Federal courts sitting in Colorado and the parties waive any defense, whether asserted by motion or pleading, that the venue specified by this Addendum is an improper or inconvenient venue.</w:t>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DISTRICT OF COLUMBIA ADDENDUM TO POST-EMPLOYMENT CONDUCT AGREEMENT</w:t>
      </w:r>
    </w:p>
    <w:p>
      <w:pPr>
        <w:spacing w:after="0" w:line="258" w:lineRule="exact"/>
        <w:rPr>
          <w:sz w:val="20"/>
          <w:szCs w:val="20"/>
          <w:color w:val="auto"/>
        </w:rPr>
      </w:pPr>
    </w:p>
    <w:p>
      <w:pPr>
        <w:ind w:right="340" w:firstLine="648"/>
        <w:spacing w:after="0" w:line="271" w:lineRule="auto"/>
        <w:rPr>
          <w:sz w:val="20"/>
          <w:szCs w:val="20"/>
          <w:color w:val="auto"/>
        </w:rPr>
      </w:pPr>
      <w:r>
        <w:rPr>
          <w:rFonts w:ascii="Arial" w:cs="Arial" w:eastAsia="Arial" w:hAnsi="Arial"/>
          <w:sz w:val="19"/>
          <w:szCs w:val="19"/>
          <w:color w:val="auto"/>
        </w:rPr>
        <w:t>The District of Columbia’s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Corporation has determined that you are a highly compensated employee. For more information about the Ban on Non-Compete Agreements Amendment Act of 2020, contact the District of Columbia Department of Employment Services (DOES).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20"/>
          <w:szCs w:val="20"/>
          <w:color w:val="auto"/>
        </w:rPr>
        <w:t>The Corporation is, contemporaneously with this notice, providing you with a Post-Employment Conduct Agreement (the “PECA”) containing covenants that could restrict your options for subsequent employment following separation from the Corporation, in that you will be prohibited from certain competition and solicitation of customers, employees, etc., as described in Section 1 of the PECA. The provisions of this District of Columbia Addendum apply only to those employees of the Corporation who primarily work in the District of Columbia and are as follows.</w:t>
      </w:r>
    </w:p>
    <w:p>
      <w:pPr>
        <w:spacing w:after="0" w:line="223" w:lineRule="exact"/>
        <w:rPr>
          <w:sz w:val="20"/>
          <w:szCs w:val="20"/>
          <w:color w:val="auto"/>
        </w:rPr>
      </w:pPr>
    </w:p>
    <w:p>
      <w:pPr>
        <w:jc w:val="both"/>
        <w:ind w:left="660" w:hanging="328"/>
        <w:spacing w:after="0" w:line="257" w:lineRule="auto"/>
        <w:tabs>
          <w:tab w:leader="none" w:pos="856" w:val="left"/>
        </w:tabs>
        <w:numPr>
          <w:ilvl w:val="0"/>
          <w:numId w:val="60"/>
        </w:numPr>
        <w:rPr>
          <w:rFonts w:ascii="Arial" w:cs="Arial" w:eastAsia="Arial" w:hAnsi="Arial"/>
          <w:sz w:val="20"/>
          <w:szCs w:val="20"/>
          <w:b w:val="1"/>
          <w:bCs w:val="1"/>
          <w:color w:val="auto"/>
        </w:rPr>
      </w:pPr>
      <w:r>
        <w:rPr>
          <w:rFonts w:ascii="Arial" w:cs="Arial" w:eastAsia="Arial" w:hAnsi="Arial"/>
          <w:sz w:val="22"/>
          <w:szCs w:val="22"/>
          <w:color w:val="auto"/>
        </w:rPr>
        <w:t>For Elected Officers, and regarding the non-competition obligation in Section 1(a) of the PECA only, the definition of “</w:t>
      </w:r>
      <w:r>
        <w:rPr>
          <w:rFonts w:ascii="Arial" w:cs="Arial" w:eastAsia="Arial" w:hAnsi="Arial"/>
          <w:sz w:val="22"/>
          <w:szCs w:val="22"/>
          <w:b w:val="1"/>
          <w:bCs w:val="1"/>
          <w:color w:val="auto"/>
        </w:rPr>
        <w:t>Restricted Period</w:t>
      </w:r>
      <w:r>
        <w:rPr>
          <w:rFonts w:ascii="Arial" w:cs="Arial" w:eastAsia="Arial" w:hAnsi="Arial"/>
          <w:sz w:val="22"/>
          <w:szCs w:val="22"/>
          <w:color w:val="auto"/>
        </w:rPr>
        <w:t>” is modified by reducing the period from two-years after the Termination Date to one year after the Termination Date.</w:t>
      </w:r>
    </w:p>
    <w:p>
      <w:pPr>
        <w:spacing w:after="0" w:line="211" w:lineRule="exact"/>
        <w:rPr>
          <w:rFonts w:ascii="Arial" w:cs="Arial" w:eastAsia="Arial" w:hAnsi="Arial"/>
          <w:sz w:val="20"/>
          <w:szCs w:val="20"/>
          <w:b w:val="1"/>
          <w:bCs w:val="1"/>
          <w:color w:val="auto"/>
        </w:rPr>
      </w:pPr>
    </w:p>
    <w:p>
      <w:pPr>
        <w:ind w:left="720" w:hanging="388"/>
        <w:spacing w:after="0"/>
        <w:tabs>
          <w:tab w:leader="none" w:pos="720" w:val="left"/>
        </w:tabs>
        <w:numPr>
          <w:ilvl w:val="0"/>
          <w:numId w:val="60"/>
        </w:numPr>
        <w:rPr>
          <w:rFonts w:ascii="Arial" w:cs="Arial" w:eastAsia="Arial" w:hAnsi="Arial"/>
          <w:sz w:val="20"/>
          <w:szCs w:val="20"/>
          <w:b w:val="1"/>
          <w:bCs w:val="1"/>
          <w:color w:val="auto"/>
        </w:rPr>
      </w:pPr>
      <w:r>
        <w:rPr>
          <w:rFonts w:ascii="Arial" w:cs="Arial" w:eastAsia="Arial" w:hAnsi="Arial"/>
          <w:sz w:val="22"/>
          <w:szCs w:val="22"/>
          <w:color w:val="auto"/>
        </w:rPr>
        <w:t>The following is added to the end of Section 1(a) of the PECA “</w:t>
      </w:r>
      <w:r>
        <w:rPr>
          <w:rFonts w:ascii="Arial" w:cs="Arial" w:eastAsia="Arial" w:hAnsi="Arial"/>
          <w:sz w:val="22"/>
          <w:szCs w:val="22"/>
          <w:b w:val="1"/>
          <w:bCs w:val="1"/>
          <w:color w:val="auto"/>
        </w:rPr>
        <w:t>Covenant Not to Compete</w:t>
      </w:r>
      <w:r>
        <w:rPr>
          <w:rFonts w:ascii="Arial" w:cs="Arial" w:eastAsia="Arial" w:hAnsi="Arial"/>
          <w:sz w:val="22"/>
          <w:szCs w:val="22"/>
          <w:color w:val="auto"/>
        </w:rPr>
        <w:t>”:</w:t>
      </w:r>
    </w:p>
    <w:p>
      <w:pPr>
        <w:spacing w:after="0" w:line="240" w:lineRule="exact"/>
        <w:rPr>
          <w:sz w:val="20"/>
          <w:szCs w:val="20"/>
          <w:color w:val="auto"/>
        </w:rPr>
      </w:pPr>
    </w:p>
    <w:p>
      <w:pPr>
        <w:jc w:val="both"/>
        <w:ind w:right="660" w:firstLine="648"/>
        <w:spacing w:after="0" w:line="252" w:lineRule="auto"/>
        <w:rPr>
          <w:sz w:val="20"/>
          <w:szCs w:val="20"/>
          <w:color w:val="auto"/>
        </w:rPr>
      </w:pPr>
      <w:r>
        <w:rPr>
          <w:rFonts w:ascii="Arial" w:cs="Arial" w:eastAsia="Arial" w:hAnsi="Arial"/>
          <w:sz w:val="20"/>
          <w:szCs w:val="20"/>
          <w:color w:val="auto"/>
        </w:rPr>
        <w:t>I understand that the non-competition obligations under Section 1(a) shall apply to me if I am a “highly compensated employee.” A “highly compensated employee” for this purpose is someone who is reasonably expected to earn at least $162,164 (in 2026) during a consecutive 12-month period or whose compensation earned from the Corporation in the consecutive 12-month period preceding the date the proposed non-competition is to begin is at least $162,164 (in 2026). The dollar threshold for highly compensated employee status will be adjusted each calendar year based on increases in the Consumer Price Index. Compensation includes the individual’s hourly wages, salary, bonuses or cash incentives, commissions, overtime premiums, vested stocked (including restricted stock units), and other payments provided on a regular or irregular basis.</w:t>
      </w:r>
    </w:p>
    <w:p>
      <w:pPr>
        <w:spacing w:after="0" w:line="215" w:lineRule="exact"/>
        <w:rPr>
          <w:sz w:val="20"/>
          <w:szCs w:val="20"/>
          <w:color w:val="auto"/>
        </w:rPr>
      </w:pPr>
    </w:p>
    <w:p>
      <w:pPr>
        <w:jc w:val="both"/>
        <w:ind w:right="640" w:firstLine="648"/>
        <w:spacing w:after="0" w:line="262" w:lineRule="auto"/>
        <w:rPr>
          <w:sz w:val="20"/>
          <w:szCs w:val="20"/>
          <w:color w:val="auto"/>
        </w:rPr>
      </w:pPr>
      <w:r>
        <w:rPr>
          <w:rFonts w:ascii="Arial" w:cs="Arial" w:eastAsia="Arial" w:hAnsi="Arial"/>
          <w:sz w:val="20"/>
          <w:szCs w:val="20"/>
          <w:color w:val="auto"/>
        </w:rPr>
        <w:t>The restrictions described in Section 1(a) are intended to cover geographic territory where my knowledge of the Corporation’s trade secrets could be used by a Restricted Company to unfairly compete with or undermine the Corporation’s legitimate business interests.</w:t>
      </w:r>
    </w:p>
    <w:p>
      <w:pPr>
        <w:spacing w:after="0" w:line="212" w:lineRule="exact"/>
        <w:rPr>
          <w:sz w:val="20"/>
          <w:szCs w:val="20"/>
          <w:color w:val="auto"/>
        </w:rPr>
      </w:pPr>
    </w:p>
    <w:p>
      <w:pPr>
        <w:ind w:left="720" w:hanging="388"/>
        <w:spacing w:after="0"/>
        <w:tabs>
          <w:tab w:leader="none" w:pos="720" w:val="left"/>
        </w:tabs>
        <w:numPr>
          <w:ilvl w:val="0"/>
          <w:numId w:val="61"/>
        </w:numPr>
        <w:rPr>
          <w:rFonts w:ascii="Arial" w:cs="Arial" w:eastAsia="Arial" w:hAnsi="Arial"/>
          <w:sz w:val="20"/>
          <w:szCs w:val="20"/>
          <w:b w:val="1"/>
          <w:bCs w:val="1"/>
          <w:color w:val="auto"/>
        </w:rPr>
      </w:pPr>
      <w:r>
        <w:rPr>
          <w:rFonts w:ascii="Arial" w:cs="Arial" w:eastAsia="Arial" w:hAnsi="Arial"/>
          <w:sz w:val="22"/>
          <w:szCs w:val="22"/>
          <w:color w:val="auto"/>
        </w:rPr>
        <w:t>A new Section “</w:t>
      </w:r>
      <w:r>
        <w:rPr>
          <w:rFonts w:ascii="Arial" w:cs="Arial" w:eastAsia="Arial" w:hAnsi="Arial"/>
          <w:sz w:val="22"/>
          <w:szCs w:val="22"/>
          <w:b w:val="1"/>
          <w:bCs w:val="1"/>
          <w:color w:val="auto"/>
        </w:rPr>
        <w:t>Notice</w:t>
      </w:r>
      <w:r>
        <w:rPr>
          <w:rFonts w:ascii="Arial" w:cs="Arial" w:eastAsia="Arial" w:hAnsi="Arial"/>
          <w:sz w:val="22"/>
          <w:szCs w:val="22"/>
          <w:color w:val="auto"/>
        </w:rPr>
        <w:t>” is added to the end of the PECA, reading as follows:</w:t>
      </w:r>
    </w:p>
    <w:p>
      <w:pPr>
        <w:spacing w:after="0" w:line="240"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I agree that before being required to sign this PECA, the Corporation provided written notice to me that I had at least fourteen (14) calendar days to review the non-competition provision in the PECA before I must execute the PECA.</w:t>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Exhibit 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Stock Ownership Requirements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Lockheed Martin’s Stock Ownership Requirements for Key Employees apply to all senior level positions of Vice President and above. This reflects the expectations of our major shareholders that management demonstrate its confidence in Lockheed Martin through a reasonable level of personal share ownership. This practice is consistent with other major U.S. corporations which link some portion of personal financial interests of key employees with those of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Requirements</w:t>
      </w:r>
    </w:p>
    <w:p>
      <w:pPr>
        <w:spacing w:after="0" w:line="273" w:lineRule="exact"/>
        <w:rPr>
          <w:sz w:val="20"/>
          <w:szCs w:val="20"/>
          <w:color w:val="auto"/>
        </w:rPr>
      </w:pPr>
    </w:p>
    <w:tbl>
      <w:tblPr>
        <w:tblLayout w:type="fixed"/>
        <w:tblInd w:w="170" w:type="dxa"/>
        <w:tblCellMar>
          <w:top w:w="0" w:type="dxa"/>
          <w:left w:w="0" w:type="dxa"/>
          <w:bottom w:w="0" w:type="dxa"/>
          <w:right w:w="0" w:type="dxa"/>
        </w:tblCellMar>
      </w:tblPr>
      <w:tr>
        <w:trPr>
          <w:trHeight w:val="270"/>
        </w:trPr>
        <w:tc>
          <w:tcPr>
            <w:tcW w:w="6300" w:type="dxa"/>
            <w:vAlign w:val="bottom"/>
            <w:tcBorders>
              <w:top w:val="single" w:sz="8" w:color="auto"/>
              <w:left w:val="single" w:sz="8" w:color="auto"/>
              <w:bottom w:val="single" w:sz="8" w:color="auto"/>
              <w:right w:val="single" w:sz="8" w:color="auto"/>
            </w:tcBorders>
          </w:tcPr>
          <w:p>
            <w:pPr>
              <w:ind w:left="2980"/>
              <w:spacing w:after="0"/>
              <w:rPr>
                <w:sz w:val="20"/>
                <w:szCs w:val="20"/>
                <w:color w:val="auto"/>
              </w:rPr>
            </w:pPr>
            <w:r>
              <w:rPr>
                <w:rFonts w:ascii="Arial" w:cs="Arial" w:eastAsia="Arial" w:hAnsi="Arial"/>
                <w:sz w:val="20"/>
                <w:szCs w:val="20"/>
                <w:color w:val="auto"/>
              </w:rPr>
              <w:t>Title</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Annual Base Pay Multiple</w:t>
            </w:r>
          </w:p>
        </w:tc>
      </w:tr>
      <w:tr>
        <w:trPr>
          <w:trHeight w:val="88"/>
        </w:trPr>
        <w:tc>
          <w:tcPr>
            <w:tcW w:w="6300" w:type="dxa"/>
            <w:vAlign w:val="bottom"/>
            <w:tcBorders>
              <w:left w:val="single" w:sz="8" w:color="auto"/>
              <w:bottom w:val="single" w:sz="8" w:color="auto"/>
              <w:right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r>
      <w:tr>
        <w:trPr>
          <w:trHeight w:val="250"/>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Chairman, President and Chief Executive Officer</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 times</w:t>
            </w:r>
          </w:p>
        </w:tc>
      </w:tr>
      <w:tr>
        <w:trPr>
          <w:trHeight w:val="250"/>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Chief Operating Officer; Chief Financial Officer</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 times</w:t>
            </w:r>
          </w:p>
        </w:tc>
      </w:tr>
      <w:tr>
        <w:trPr>
          <w:trHeight w:val="250"/>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Business Area Presidents</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 times</w:t>
            </w:r>
          </w:p>
        </w:tc>
      </w:tr>
      <w:tr>
        <w:trPr>
          <w:trHeight w:val="250"/>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Senior Vice Presidents</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 times</w:t>
            </w:r>
          </w:p>
        </w:tc>
      </w:tr>
      <w:tr>
        <w:trPr>
          <w:trHeight w:val="250"/>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Other Elected Officers</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 times</w:t>
            </w:r>
          </w:p>
        </w:tc>
      </w:tr>
      <w:tr>
        <w:trPr>
          <w:trHeight w:val="250"/>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Other Vice Presidents</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 times</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Satisfaction of Requirements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Covered employees may satisfy their ownership requirements with common stock in these categories:</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Shares owned directly.</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Shares owned by a spouse or a trust.</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Shares represented by monies invested in 401(k) Company Common Stock Funds or comparable plans.</w:t>
      </w:r>
    </w:p>
    <w:p>
      <w:pPr>
        <w:spacing w:after="0" w:line="11" w:lineRule="exact"/>
        <w:rPr>
          <w:sz w:val="20"/>
          <w:szCs w:val="20"/>
          <w:color w:val="auto"/>
        </w:rPr>
      </w:pPr>
    </w:p>
    <w:p>
      <w:pPr>
        <w:ind w:left="660" w:hanging="112"/>
        <w:spacing w:after="0" w:line="249" w:lineRule="auto"/>
        <w:rPr>
          <w:sz w:val="20"/>
          <w:szCs w:val="20"/>
          <w:color w:val="auto"/>
        </w:rPr>
      </w:pPr>
      <w:r>
        <w:rPr>
          <w:rFonts w:ascii="Arial" w:cs="Arial" w:eastAsia="Arial" w:hAnsi="Arial"/>
          <w:sz w:val="22"/>
          <w:szCs w:val="22"/>
          <w:color w:val="auto"/>
        </w:rPr>
        <w:t>Share equivalents as represented by income deferred to the Company Stock Investment Option of the Deferred Management Incentive Compensation Plan (DMICP).</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22"/>
          <w:szCs w:val="22"/>
          <w:color w:val="auto"/>
        </w:rPr>
        <w:t>Unvested Restricted Stock Units.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Key employees will be required to achieve the appropriate ownership level within five years and are expected to make continuous progress toward their target. Appointment to a new level will reset the five year requirement. Unvested Performance Share Units are not counted toward meeting the guidelines.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Period</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Covered employees must retain net vested Restricted Stock Units and Performance Stock Units if the ownership requirements are not yet satisfied.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Covered employees are asked to report annually on their progress toward attainment of their share ownership goals.</w:t>
      </w:r>
    </w:p>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10.2</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Award Date: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168910</wp:posOffset>
            </wp:positionV>
            <wp:extent cx="2588895" cy="53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88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 GRANTED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 LOCKHEED MARTIN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INCENTIVE PERFORMANCE AWARD PLAN FOR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2026 – 2028 PERFORMANCE PERIOD</w:t>
      </w:r>
    </w:p>
    <w:p>
      <w:pPr>
        <w:spacing w:after="0" w:line="223"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THIS DOCUMENT CONSTITUTES PART OF A PROSPECTUS COVERING</w:t>
      </w:r>
    </w:p>
    <w:p>
      <w:pPr>
        <w:spacing w:after="0" w:line="3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SECURITIES THAT HAVE BEEN REGISTERED UNDER THE</w:t>
      </w:r>
    </w:p>
    <w:p>
      <w:pPr>
        <w:jc w:val="center"/>
        <w:spacing w:after="0"/>
        <w:rPr>
          <w:sz w:val="20"/>
          <w:szCs w:val="20"/>
          <w:color w:val="auto"/>
        </w:rPr>
      </w:pPr>
      <w:r>
        <w:rPr>
          <w:rFonts w:ascii="Arial" w:cs="Arial" w:eastAsia="Arial" w:hAnsi="Arial"/>
          <w:sz w:val="20"/>
          <w:szCs w:val="20"/>
          <w:b w:val="1"/>
          <w:bCs w:val="1"/>
          <w:color w:val="auto"/>
        </w:rPr>
        <w:t>SECURITIES ACT OF 1933</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This Award Agreement applies to the Performance Stock Unit (“PSUs”) Award granted by Lockheed Martin Corporation to you as of the Award Date (defined above) under the Lockheed Martin Corporation 2020 Incentive Performance Award Plan (“Plan”). The term “Target Award” as used in this Award Agreement refers only to the Target Award awarded to you under this Award Agreement and the term “Award” refers only to PSUs set forth in this Award Agreement. References to the “Corporation” include Lockheed Martin Corporation and its Subsidiaries.</w:t>
      </w:r>
    </w:p>
    <w:p>
      <w:pPr>
        <w:spacing w:after="0" w:line="214"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20"/>
          <w:szCs w:val="20"/>
          <w:color w:val="auto"/>
        </w:rPr>
        <w:t>This Award Agreement sets forth your Target Award as well as some of the terms and conditions of your Award under the Plan, as determined by the Management Development and Compensation Committee (“Committee”) of the Board of Directors. Additional terms and conditions, including tax information, are contained in the Plan and in the Prospectus relating to the Plan of which the Plan and this Award Agreement are a part. Your Target Award is identified in the electronic stock plan award recordkeeping system (“Stock Plan System”) maintained by the Corporation or its designee at https://atwork.morganstanley.com. The Prospectus is also available at this website.</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Except as described in Section 18, your Award is not effective or enforceable until you properly acknowledge your acceptance of the Award by completing the electronic receipt on the Stock Plan System as soon as possible but in no event later than May 31, 2026 (the “Acceptance Deadline”). </w:t>
      </w:r>
      <w:r>
        <w:rPr>
          <w:rFonts w:ascii="Arial" w:cs="Arial" w:eastAsia="Arial" w:hAnsi="Arial"/>
          <w:sz w:val="20"/>
          <w:szCs w:val="20"/>
          <w:b w:val="1"/>
          <w:bCs w:val="1"/>
          <w:color w:val="auto"/>
        </w:rPr>
        <w:t>Except as described in Section 18, if you do not properly</w:t>
      </w:r>
      <w:r>
        <w:rPr>
          <w:rFonts w:ascii="Arial" w:cs="Arial" w:eastAsia="Arial" w:hAnsi="Arial"/>
          <w:sz w:val="20"/>
          <w:szCs w:val="20"/>
          <w:color w:val="auto"/>
        </w:rPr>
        <w:t xml:space="preserve"> </w:t>
      </w:r>
      <w:r>
        <w:rPr>
          <w:rFonts w:ascii="Arial" w:cs="Arial" w:eastAsia="Arial" w:hAnsi="Arial"/>
          <w:sz w:val="20"/>
          <w:szCs w:val="20"/>
          <w:b w:val="1"/>
          <w:bCs w:val="1"/>
          <w:color w:val="auto"/>
        </w:rPr>
        <w:t>acknowledge your acceptance of this Award Agreement on or before the Acceptance Deadline, this Award will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forfeited.</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Assuming prompt and proper acknowledgement of your acceptance of this Award Agreement as described above and in Section 18, this Award will be effective as of the Award Date. Acceptance of this Award Agreement constitutes your consent to any action taken under the Plan consistent with its terms with respect to this Award and your agreement to be bound by the restrictions contained in Section 18, Exhibit A, including any addenda thereto (“Post-Employment Conduct Agreement”), and Exhibit B (“Stock Ownership Requirements”), as amended from time to time.</w:t>
      </w:r>
    </w:p>
    <w:p>
      <w:pPr>
        <w:sectPr>
          <w:pgSz w:w="11900" w:h="16838" w:orient="portrait"/>
          <w:cols w:equalWidth="0" w:num="1">
            <w:col w:w="11240"/>
          </w:cols>
          <w:pgMar w:left="320" w:top="1412"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You are responsible for payment of all Taxes imposed on you as a result of the Award. The Corporation will comply with all applicable U.S. Tax withholding requirements applicable to the PSUs, the DDEs, and associated Stock. </w:t>
      </w:r>
      <w:r>
        <w:rPr>
          <w:rFonts w:ascii="Arial" w:cs="Arial" w:eastAsia="Arial" w:hAnsi="Arial"/>
          <w:sz w:val="20"/>
          <w:szCs w:val="20"/>
          <w:b w:val="1"/>
          <w:bCs w:val="1"/>
          <w:color w:val="auto"/>
        </w:rPr>
        <w:t>Please see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Prospectus for the Plan for a discussion of certain material U.S. Tax consequences of the Award.</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Any withholding Tax on your Award will be satisfied by means of the Corporation reducing the number of shares of Stock (and associated DDEs) deliverable to you in respect of a vested Award. If you are an Insider at the time of income tax withholding, the Corporation will base withholding on the highest individual tax rate. If you are not an Insider at the time of income tax withholding, the Corporation will base withholding on the highest individual tax rate, unless you elect otherwise in accordance with procedures established by the Corporation during an election window that may be offered by the Corporation. If you elect a lower tax rate for withholding, then you may owe additional taxes as a result of the payment of the Award. The Corporation shall also have the right to (i) offset any other obligation of the Corporation to you (including but not limited to, by withholding from your salary) by an amount sufficient to satisfy the Tax withholding obligation, or (ii) require you (or your estate) to pay the Corporation an amount equal to the Tax withholding obligation.</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you are a taxpayer in a country other than the U.S., you agree to make appropriate arrangements with the Corporation or its subsidiaries for the satisfaction of all income and employment tax withholding requirements, as well as social insurance contributions applicable to the PSUs, the DDEs, and associated Stock. Please see the tax summary for your country available on the Stock Plan System at https://atwork.morganstanley.com. If you are a taxpayer in a country other than the U.S., you represent that you will consult with your own tax advisors in connection with this Award and that you are not relying on the Corporation for any tax advice. If you are a taxpayer in Australia, any cash payment pursuant to this Award Agreement will be inclusive of superannuation.</w:t>
      </w:r>
    </w:p>
    <w:p>
      <w:pPr>
        <w:spacing w:after="0" w:line="20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Notwithstanding any other provision of this Award Agreement to the contrary, no Stock will be issued to you pursuant to this Award Agreement within six months from the Award Date. You have no rights as a stockholder to any securities covered by this Award Agreement until the date on which you become the holder of record of such securities.</w:t>
      </w:r>
    </w:p>
    <w:p>
      <w:pPr>
        <w:spacing w:after="0" w:line="205" w:lineRule="exact"/>
        <w:rPr>
          <w:sz w:val="20"/>
          <w:szCs w:val="20"/>
          <w:color w:val="auto"/>
        </w:rPr>
      </w:pPr>
    </w:p>
    <w:p>
      <w:pPr>
        <w:jc w:val="both"/>
        <w:ind w:firstLine="221"/>
        <w:spacing w:after="0" w:line="268" w:lineRule="auto"/>
        <w:rPr>
          <w:sz w:val="20"/>
          <w:szCs w:val="20"/>
          <w:color w:val="auto"/>
        </w:rPr>
      </w:pPr>
      <w:r>
        <w:rPr>
          <w:rFonts w:ascii="Arial" w:cs="Arial" w:eastAsia="Arial" w:hAnsi="Arial"/>
          <w:sz w:val="19"/>
          <w:szCs w:val="19"/>
          <w:color w:val="auto"/>
        </w:rPr>
        <w:t xml:space="preserve">Transactions involving Stock delivered under this Award Agreement are subject to the securities laws and CPS 722 (a copy of which has been made available to you). Among other things, CPS 722 prohibits employees of the Corporation from engaging in transactions that violate securities laws or involve hedging or pledging stock. Insiders are subject to additional restrictions. </w:t>
      </w:r>
      <w:r>
        <w:rPr>
          <w:rFonts w:ascii="Arial" w:cs="Arial" w:eastAsia="Arial" w:hAnsi="Arial"/>
          <w:sz w:val="19"/>
          <w:szCs w:val="19"/>
          <w:b w:val="1"/>
          <w:bCs w:val="1"/>
          <w:color w:val="auto"/>
        </w:rPr>
        <w:t>The</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Corporation recommends that Insiders consult with the Senior Vice President, General Counsel and Corporate Secretary or staff before entering into any transactions involving Stock or PSUs.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Capitalized terms used in this Award Agreement shall be defined in this Award Agreement or if not defined in this Award Agreement shall have the meaning given to the term in the Plan. Appendix I contains an index of all capitalized terms used in this Award Agreement.</w:t>
      </w:r>
    </w:p>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u w:val="single" w:color="auto"/>
          <w:color w:val="auto"/>
        </w:rPr>
        <w:t>Shares Awarded; Performance Period; Vesting Period; Payment of Award</w:t>
      </w:r>
      <w:r>
        <w:rPr>
          <w:rFonts w:ascii="Arial" w:cs="Arial" w:eastAsia="Arial" w:hAnsi="Arial"/>
          <w:sz w:val="19"/>
          <w:szCs w:val="19"/>
          <w:b w:val="1"/>
          <w:bCs w:val="1"/>
          <w:color w:val="auto"/>
        </w:rPr>
        <w:t>.</w:t>
      </w:r>
    </w:p>
    <w:p>
      <w:pPr>
        <w:spacing w:after="0" w:line="2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Shares Awarded</w:t>
      </w:r>
      <w:r>
        <w:rPr>
          <w:rFonts w:ascii="Arial" w:cs="Arial" w:eastAsia="Arial" w:hAnsi="Arial"/>
          <w:sz w:val="19"/>
          <w:szCs w:val="19"/>
          <w:color w:val="auto"/>
        </w:rPr>
        <w:t>.</w:t>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hanging="4"/>
        <w:spacing w:after="0" w:line="262" w:lineRule="auto"/>
        <w:tabs>
          <w:tab w:leader="none" w:pos="1204"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Target Award</w:t>
      </w:r>
      <w:r>
        <w:rPr>
          <w:rFonts w:ascii="Arial" w:cs="Arial" w:eastAsia="Arial" w:hAnsi="Arial"/>
          <w:sz w:val="20"/>
          <w:szCs w:val="20"/>
          <w:color w:val="auto"/>
        </w:rPr>
        <w:t>. Your Target Award for the Performance Period under this Award Agreement shall be the number of whole shares of Stock identified as your Performance Stock Unit (“PSU”) Target Award in your account in the Stock Plan System at https://atwork.morganstanley.com.</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Award paid to you shall be calculated in accordance with Section 2.1.</w:t>
      </w:r>
    </w:p>
    <w:p>
      <w:pPr>
        <w:spacing w:after="0" w:line="243" w:lineRule="exact"/>
        <w:rPr>
          <w:sz w:val="20"/>
          <w:szCs w:val="20"/>
          <w:color w:val="auto"/>
        </w:rPr>
      </w:pPr>
    </w:p>
    <w:p>
      <w:pPr>
        <w:jc w:val="both"/>
        <w:ind w:left="660" w:hanging="4"/>
        <w:spacing w:after="0" w:line="269" w:lineRule="auto"/>
        <w:tabs>
          <w:tab w:leader="none" w:pos="123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Maximum Award</w:t>
      </w:r>
      <w:r>
        <w:rPr>
          <w:rFonts w:ascii="Arial" w:cs="Arial" w:eastAsia="Arial" w:hAnsi="Arial"/>
          <w:sz w:val="20"/>
          <w:szCs w:val="20"/>
          <w:color w:val="auto"/>
        </w:rPr>
        <w:t>. Your Maximum Award for the Performance Period under this Award Agreement shall be the number of shares of Stock equal to 200% of your Target Award, subject to the provisions of Section 2.1 and the caps contained therein.</w:t>
      </w:r>
    </w:p>
    <w:p>
      <w:pPr>
        <w:spacing w:after="0" w:line="185" w:lineRule="exact"/>
        <w:rPr>
          <w:rFonts w:ascii="Arial" w:cs="Arial" w:eastAsia="Arial" w:hAnsi="Arial"/>
          <w:sz w:val="20"/>
          <w:szCs w:val="20"/>
          <w:color w:val="auto"/>
        </w:rPr>
      </w:pPr>
    </w:p>
    <w:p>
      <w:pPr>
        <w:jc w:val="both"/>
        <w:ind w:left="660" w:hanging="4"/>
        <w:spacing w:after="0" w:line="262" w:lineRule="auto"/>
        <w:tabs>
          <w:tab w:leader="none" w:pos="1111"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Deferred Dividend Equivalents (“DDEs”)</w:t>
      </w:r>
      <w:r>
        <w:rPr>
          <w:rFonts w:ascii="Arial" w:cs="Arial" w:eastAsia="Arial" w:hAnsi="Arial"/>
          <w:sz w:val="20"/>
          <w:szCs w:val="20"/>
          <w:color w:val="auto"/>
        </w:rPr>
        <w:t>. Your Award shall include a cash amount equal to the cash that would have been paid to you had you owned the number of whole shares of Stock equal to your final Award as determined under Section 2.1(e), from the Award Date until the end of the Performance Period.</w:t>
      </w:r>
    </w:p>
    <w:p>
      <w:pPr>
        <w:spacing w:after="0" w:line="205" w:lineRule="exact"/>
        <w:rPr>
          <w:sz w:val="20"/>
          <w:szCs w:val="20"/>
          <w:color w:val="auto"/>
        </w:rPr>
      </w:pPr>
    </w:p>
    <w:p>
      <w:pPr>
        <w:jc w:val="both"/>
        <w:ind w:right="20" w:firstLine="247"/>
        <w:spacing w:after="0" w:line="286"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Performance Period</w:t>
      </w:r>
      <w:r>
        <w:rPr>
          <w:rFonts w:ascii="Arial" w:cs="Arial" w:eastAsia="Arial" w:hAnsi="Arial"/>
          <w:sz w:val="20"/>
          <w:szCs w:val="20"/>
          <w:color w:val="auto"/>
        </w:rPr>
        <w:t>. The “Performance Period” under this Award Agreement is the three-year performance period that runs from January 1, 2026, until December 31, 2028.</w:t>
      </w:r>
    </w:p>
    <w:p>
      <w:pPr>
        <w:spacing w:after="0" w:line="167" w:lineRule="exact"/>
        <w:rPr>
          <w:sz w:val="20"/>
          <w:szCs w:val="20"/>
          <w:color w:val="auto"/>
        </w:rPr>
      </w:pPr>
    </w:p>
    <w:p>
      <w:pPr>
        <w:jc w:val="both"/>
        <w:ind w:firstLine="247"/>
        <w:spacing w:after="0" w:line="286"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Vesting Period</w:t>
      </w:r>
      <w:r>
        <w:rPr>
          <w:rFonts w:ascii="Arial" w:cs="Arial" w:eastAsia="Arial" w:hAnsi="Arial"/>
          <w:sz w:val="20"/>
          <w:szCs w:val="20"/>
          <w:color w:val="auto"/>
        </w:rPr>
        <w:t>. The “Vesting Period” under this Award Agreement is the period that runs from February 25, 2026, until February 25, 2029.</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Payment of Award</w:t>
      </w:r>
      <w:r>
        <w:rPr>
          <w:rFonts w:ascii="Arial" w:cs="Arial" w:eastAsia="Arial" w:hAnsi="Arial"/>
          <w:sz w:val="20"/>
          <w:szCs w:val="20"/>
          <w:color w:val="auto"/>
        </w:rPr>
        <w:t>. Your Award will be paid to you in whole shares of Stock (either in book entry or paper form) pursuant to Section 5. The final number of whole shares, if any, payable to you under your Award is dependent upon the Corporation’s performance with respect to each of the metrics described in Section 3 and Section 4, the modifiers and adjustments described in Section 2, the limits described in Sections 1.1(b) and 2, and your continued employment with the Corporation in accordance with Section 5. As a result of these requirements, the number of whole shares of Stock you receive at the end of the Vesting Period will be between 0% and 200% of your Target Award (as described in Section 2.1 below) and may be smaller than your Maximum Award (</w:t>
      </w:r>
      <w:r>
        <w:rPr>
          <w:rFonts w:ascii="Arial" w:cs="Arial" w:eastAsia="Arial" w:hAnsi="Arial"/>
          <w:sz w:val="20"/>
          <w:szCs w:val="20"/>
          <w:i w:val="1"/>
          <w:iCs w:val="1"/>
          <w:color w:val="auto"/>
        </w:rPr>
        <w:t>e.g.</w:t>
      </w:r>
      <w:r>
        <w:rPr>
          <w:rFonts w:ascii="Arial" w:cs="Arial" w:eastAsia="Arial" w:hAnsi="Arial"/>
          <w:sz w:val="20"/>
          <w:szCs w:val="20"/>
          <w:color w:val="auto"/>
        </w:rPr>
        <w:t>, the performance factors could result in no payment in respect of your Award). Any certificates delivered to you may contain any legend the Corporation determines is appropriate under the securities laws. If you are an Insider subject to the reporting provisions of Section 16(a) of the Exchange Act, delivery of Stock in payment of your Award for any reason may be delayed for six months. For example, if the delivery of the Stock would result in a nonexempt short-swing transaction under Section 16(b) of the Exchange Act, delivery will be delayed until the earliest date upon which the delivery either would not result in a nonexempt short-swing transaction or would otherwise not result in liability under Section 16(b) of the Exchange Act.</w:t>
      </w:r>
    </w:p>
    <w:p>
      <w:pPr>
        <w:spacing w:after="0" w:line="21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u w:val="single" w:color="auto"/>
          <w:color w:val="auto"/>
        </w:rPr>
        <w:t>Calculation of Award Payments</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End of Performance Period Calculation</w:t>
      </w:r>
      <w:r>
        <w:rPr>
          <w:rFonts w:ascii="Arial" w:cs="Arial" w:eastAsia="Arial" w:hAnsi="Arial"/>
          <w:sz w:val="20"/>
          <w:szCs w:val="20"/>
          <w:color w:val="auto"/>
        </w:rPr>
        <w:t>. Following the end of the Performance Period and prior to any shares of Stock being issued,</w:t>
      </w:r>
    </w:p>
    <w:p>
      <w:pPr>
        <w:spacing w:after="0" w:line="196" w:lineRule="exact"/>
        <w:rPr>
          <w:sz w:val="20"/>
          <w:szCs w:val="20"/>
          <w:color w:val="auto"/>
        </w:rPr>
      </w:pPr>
    </w:p>
    <w:p>
      <w:pPr>
        <w:jc w:val="both"/>
        <w:ind w:left="660" w:hanging="4"/>
        <w:spacing w:after="0" w:line="262" w:lineRule="auto"/>
        <w:tabs>
          <w:tab w:leader="none" w:pos="1312"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Committee will calculate the Total Stockholder Return Performance Factor based on the Corporation’s performance during the Performance Period relative to the performance of other companies which compose the S&amp;P 500 Peer Group (as defined</w:t>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below) (weighted at 50%) and the A&amp;D Peer Group (as defined below) (weighted at 50%).</w:t>
      </w:r>
    </w:p>
    <w:p>
      <w:pPr>
        <w:spacing w:after="0" w:line="256" w:lineRule="exact"/>
        <w:rPr>
          <w:sz w:val="20"/>
          <w:szCs w:val="20"/>
          <w:color w:val="auto"/>
        </w:rPr>
      </w:pPr>
    </w:p>
    <w:p>
      <w:pPr>
        <w:jc w:val="both"/>
        <w:ind w:left="660" w:hanging="4"/>
        <w:spacing w:after="0" w:line="262" w:lineRule="auto"/>
        <w:tabs>
          <w:tab w:leader="none" w:pos="1343"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Committee will calculate the Sales Performance Factor based on the Corporation’s Sales during the Performance Period as compared to the projected Sales for the Performance Period as set forth in the February 25, 2026 Committee resolution (“Sales Target”).</w:t>
      </w:r>
    </w:p>
    <w:p>
      <w:pPr>
        <w:spacing w:after="0" w:line="191" w:lineRule="exact"/>
        <w:rPr>
          <w:rFonts w:ascii="Arial" w:cs="Arial" w:eastAsia="Arial" w:hAnsi="Arial"/>
          <w:sz w:val="20"/>
          <w:szCs w:val="20"/>
          <w:color w:val="auto"/>
        </w:rPr>
      </w:pPr>
    </w:p>
    <w:p>
      <w:pPr>
        <w:jc w:val="both"/>
        <w:ind w:left="660" w:hanging="4"/>
        <w:spacing w:after="0" w:line="290" w:lineRule="auto"/>
        <w:tabs>
          <w:tab w:leader="none" w:pos="111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Committee will calculate the Cash from Operations Performance Factor based on the Corporation’s cumulative Cash from Operations during the Performance Period as compared to the projected cumulative Cash from Operations for the Performance Period as set forth in the February 25, 2026 Committee resolution (“Cash from Operations Target”).</w:t>
      </w:r>
    </w:p>
    <w:p>
      <w:pPr>
        <w:spacing w:after="0" w:line="166" w:lineRule="exact"/>
        <w:rPr>
          <w:rFonts w:ascii="Arial" w:cs="Arial" w:eastAsia="Arial" w:hAnsi="Arial"/>
          <w:sz w:val="19"/>
          <w:szCs w:val="19"/>
          <w:color w:val="auto"/>
        </w:rPr>
      </w:pPr>
    </w:p>
    <w:p>
      <w:pPr>
        <w:jc w:val="both"/>
        <w:ind w:left="660" w:hanging="4"/>
        <w:spacing w:after="0" w:line="262" w:lineRule="auto"/>
        <w:tabs>
          <w:tab w:leader="none" w:pos="1154"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Committee will determine the “Strategic and Operational Modifier” based on the Corporation’s achievement of pre-established strategic and operational goals during the Performance Period, including goals tied to increased production, facilitation of investments and operating improvements.</w:t>
      </w:r>
    </w:p>
    <w:p>
      <w:pPr>
        <w:spacing w:after="0" w:line="205" w:lineRule="exact"/>
        <w:rPr>
          <w:rFonts w:ascii="Arial" w:cs="Arial" w:eastAsia="Arial" w:hAnsi="Arial"/>
          <w:sz w:val="20"/>
          <w:szCs w:val="20"/>
          <w:color w:val="auto"/>
        </w:rPr>
      </w:pPr>
    </w:p>
    <w:p>
      <w:pPr>
        <w:jc w:val="both"/>
        <w:ind w:left="660" w:hanging="4"/>
        <w:spacing w:after="0" w:line="254" w:lineRule="auto"/>
        <w:tabs>
          <w:tab w:leader="none" w:pos="1249" w:val="left"/>
        </w:tabs>
        <w:numPr>
          <w:ilvl w:val="0"/>
          <w:numId w:val="65"/>
        </w:numPr>
        <w:rPr>
          <w:rFonts w:ascii="Arial" w:cs="Arial" w:eastAsia="Arial" w:hAnsi="Arial"/>
          <w:sz w:val="20"/>
          <w:szCs w:val="20"/>
          <w:color w:val="auto"/>
        </w:rPr>
      </w:pPr>
      <w:r>
        <w:rPr>
          <w:rFonts w:ascii="Arial" w:cs="Arial" w:eastAsia="Arial" w:hAnsi="Arial"/>
          <w:sz w:val="20"/>
          <w:szCs w:val="20"/>
          <w:color w:val="auto"/>
        </w:rPr>
        <w:t>Your “Earned Award” shall be calculated by multiplying the weighted average of the Total Stockholder Return Performance Factor, the Sales Performance Factor, and the Cash from Operations Performance Factor by your Target Award (the “Conditional Award”), subject to adjustment by the Strategic and Operational Modifier. Any resulting fractional share shall be rounded up to the nearest whole share. The Total Stockholder Return Performance Factor, the Sales Performance Factor, and the Cash from Operations Performance Factor shall be weighted as follows in determining the weighted average of the three performance factors:</w:t>
      </w:r>
    </w:p>
    <w:p>
      <w:pPr>
        <w:spacing w:after="0" w:line="21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Arial" w:cs="Arial" w:eastAsia="Arial" w:hAnsi="Arial"/>
                <w:sz w:val="20"/>
                <w:szCs w:val="20"/>
                <w:color w:val="auto"/>
              </w:rPr>
              <w:t>Total Stockholder Return Performance Factor</w:t>
            </w:r>
          </w:p>
        </w:tc>
        <w:tc>
          <w:tcPr>
            <w:tcW w:w="5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2740" w:type="dxa"/>
            <w:vAlign w:val="bottom"/>
          </w:tcPr>
          <w:p>
            <w:pPr>
              <w:spacing w:after="0"/>
              <w:rPr>
                <w:sz w:val="20"/>
                <w:szCs w:val="20"/>
                <w:color w:val="auto"/>
              </w:rPr>
            </w:pPr>
            <w:r>
              <w:rPr>
                <w:rFonts w:ascii="Arial" w:cs="Arial" w:eastAsia="Arial" w:hAnsi="Arial"/>
                <w:sz w:val="20"/>
                <w:szCs w:val="20"/>
                <w:color w:val="auto"/>
              </w:rPr>
              <w:t>Sales Performance Factor</w:t>
            </w:r>
          </w:p>
        </w:tc>
        <w:tc>
          <w:tcPr>
            <w:tcW w:w="1320" w:type="dxa"/>
            <w:vAlign w:val="bottom"/>
          </w:tcPr>
          <w:p>
            <w:pPr>
              <w:jc w:val="right"/>
              <w:ind w:right="401"/>
              <w:spacing w:after="0"/>
              <w:rPr>
                <w:sz w:val="20"/>
                <w:szCs w:val="20"/>
                <w:color w:val="auto"/>
              </w:rPr>
            </w:pPr>
            <w:r>
              <w:rPr>
                <w:rFonts w:ascii="Arial" w:cs="Arial" w:eastAsia="Arial" w:hAnsi="Arial"/>
                <w:sz w:val="20"/>
                <w:szCs w:val="20"/>
                <w:color w:val="auto"/>
              </w:rPr>
              <w:t>30%</w:t>
            </w:r>
          </w:p>
        </w:tc>
        <w:tc>
          <w:tcPr>
            <w:tcW w:w="580" w:type="dxa"/>
            <w:vAlign w:val="bottom"/>
          </w:tcPr>
          <w:p>
            <w:pPr>
              <w:spacing w:after="0"/>
              <w:rPr>
                <w:sz w:val="21"/>
                <w:szCs w:val="21"/>
                <w:color w:val="auto"/>
              </w:rPr>
            </w:pPr>
          </w:p>
        </w:tc>
      </w:tr>
      <w:tr>
        <w:trPr>
          <w:trHeight w:val="261"/>
        </w:trPr>
        <w:tc>
          <w:tcPr>
            <w:tcW w:w="4060" w:type="dxa"/>
            <w:vAlign w:val="bottom"/>
            <w:gridSpan w:val="2"/>
          </w:tcPr>
          <w:p>
            <w:pPr>
              <w:spacing w:after="0"/>
              <w:rPr>
                <w:sz w:val="20"/>
                <w:szCs w:val="20"/>
                <w:color w:val="auto"/>
              </w:rPr>
            </w:pPr>
            <w:r>
              <w:rPr>
                <w:rFonts w:ascii="Arial" w:cs="Arial" w:eastAsia="Arial" w:hAnsi="Arial"/>
                <w:sz w:val="20"/>
                <w:szCs w:val="20"/>
                <w:color w:val="auto"/>
              </w:rPr>
              <w:t>Cash from Operations Performance Factor</w:t>
            </w:r>
          </w:p>
        </w:tc>
        <w:tc>
          <w:tcPr>
            <w:tcW w:w="580" w:type="dxa"/>
            <w:vAlign w:val="bottom"/>
          </w:tcPr>
          <w:p>
            <w:pPr>
              <w:jc w:val="right"/>
              <w:spacing w:after="0"/>
              <w:rPr>
                <w:sz w:val="20"/>
                <w:szCs w:val="20"/>
                <w:color w:val="auto"/>
              </w:rPr>
            </w:pPr>
            <w:r>
              <w:rPr>
                <w:rFonts w:ascii="Arial" w:cs="Arial" w:eastAsia="Arial" w:hAnsi="Arial"/>
                <w:sz w:val="20"/>
                <w:szCs w:val="20"/>
                <w:color w:val="auto"/>
              </w:rPr>
              <w:t>40%</w:t>
            </w:r>
          </w:p>
        </w:tc>
      </w:tr>
    </w:tbl>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Following the completion of the Performance Period, the Conditional Award may be adjusted upward or downward by up to 25% based on the Strategic and Operational Modifier, as determined by the Committee.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Notwithstanding the foregoing, the number of shares of Stock you receive as your final Award shall be reduced to the extent necessary so that the Fair Market Value of your Earned Award on the last day of the Vesting Period does not exceed the product of (a) the Fair Market Value of a share of Stock on the Award Date, multiplied by (b) 400%, multiplied by (c) the number of shares in your Earned Award.</w:t>
      </w:r>
    </w:p>
    <w:p>
      <w:pPr>
        <w:spacing w:after="0" w:line="209" w:lineRule="exact"/>
        <w:rPr>
          <w:sz w:val="20"/>
          <w:szCs w:val="20"/>
          <w:color w:val="auto"/>
        </w:rPr>
      </w:pPr>
    </w:p>
    <w:p>
      <w:pPr>
        <w:jc w:val="both"/>
        <w:ind w:firstLine="229"/>
        <w:spacing w:after="0" w:line="271" w:lineRule="auto"/>
        <w:rPr>
          <w:sz w:val="20"/>
          <w:szCs w:val="20"/>
          <w:color w:val="auto"/>
        </w:rPr>
      </w:pPr>
      <w:r>
        <w:rPr>
          <w:rFonts w:ascii="Arial" w:cs="Arial" w:eastAsia="Arial" w:hAnsi="Arial"/>
          <w:sz w:val="20"/>
          <w:szCs w:val="20"/>
          <w:color w:val="auto"/>
        </w:rPr>
        <w:t>You must (except as specified in Section 5) remain employed by the Corporation through the last day of the Vesting Period to receive your Award. No portion of your Award will be payable until it is fully vested in accordance with Sections 5.1 and 5.2.</w:t>
      </w:r>
    </w:p>
    <w:p>
      <w:pPr>
        <w:spacing w:after="0" w:line="196"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u w:val="single" w:color="auto"/>
          <w:color w:val="auto"/>
        </w:rPr>
        <w:t>Adjustments</w:t>
      </w:r>
      <w:r>
        <w:rPr>
          <w:rFonts w:ascii="Arial" w:cs="Arial" w:eastAsia="Arial" w:hAnsi="Arial"/>
          <w:sz w:val="19"/>
          <w:szCs w:val="19"/>
          <w:color w:val="auto"/>
        </w:rPr>
        <w:t>.</w:t>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60" w:hanging="4"/>
        <w:spacing w:after="0" w:line="252" w:lineRule="auto"/>
        <w:tabs>
          <w:tab w:leader="none" w:pos="1307" w:val="left"/>
        </w:tabs>
        <w:numPr>
          <w:ilvl w:val="0"/>
          <w:numId w:val="66"/>
        </w:numPr>
        <w:rPr>
          <w:rFonts w:ascii="Arial" w:cs="Arial" w:eastAsia="Arial" w:hAnsi="Arial"/>
          <w:sz w:val="20"/>
          <w:szCs w:val="20"/>
          <w:color w:val="auto"/>
        </w:rPr>
      </w:pPr>
      <w:r>
        <w:rPr>
          <w:rFonts w:ascii="Arial" w:cs="Arial" w:eastAsia="Arial" w:hAnsi="Arial"/>
          <w:sz w:val="20"/>
          <w:szCs w:val="20"/>
          <w:color w:val="auto"/>
        </w:rPr>
        <w:t>For any year in which the Committee determines that Sales or Cash from Operations is impacted by (I) events, transactions, or items that are extraordinary or otherwise significantly inconsistent with the Corporation’s ongoing business or the specified intent of the planned Sales or Cash from Operations performance goal, including but not limited to (i) the timing or recognition of a loss on a program, (ii) events or circumstances impacting a program that are outside of the Corporation’s control, (iii) changes in applicable law or regulations or executive orders, proclamations or other executive action, or (iv) any purchase, acquisition, investment, disposition, or divestiture; (II) unplanned debt issuances; or (III) strategic accelerations of supplier payables, the Committee may adjust the Long Range Plan, actual financial results, or both, as appropriate, for the current and future periods to neutralize such impacts.</w:t>
      </w:r>
    </w:p>
    <w:p>
      <w:pPr>
        <w:spacing w:after="0" w:line="214" w:lineRule="exact"/>
        <w:rPr>
          <w:rFonts w:ascii="Arial" w:cs="Arial" w:eastAsia="Arial" w:hAnsi="Arial"/>
          <w:sz w:val="20"/>
          <w:szCs w:val="20"/>
          <w:color w:val="auto"/>
        </w:rPr>
      </w:pPr>
    </w:p>
    <w:p>
      <w:pPr>
        <w:ind w:left="660" w:hanging="4"/>
        <w:spacing w:after="0" w:line="271" w:lineRule="auto"/>
        <w:tabs>
          <w:tab w:leader="none" w:pos="1307"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number of shares of Stock a non-Elected Officer receives as their final Award may be adjusted in accordance with Exhibit C.</w:t>
      </w:r>
    </w:p>
    <w:p>
      <w:pPr>
        <w:spacing w:after="0" w:line="196" w:lineRule="exact"/>
        <w:rPr>
          <w:rFonts w:ascii="Arial" w:cs="Arial" w:eastAsia="Arial" w:hAnsi="Arial"/>
          <w:sz w:val="20"/>
          <w:szCs w:val="20"/>
          <w:color w:val="auto"/>
        </w:rPr>
      </w:pPr>
    </w:p>
    <w:p>
      <w:pPr>
        <w:ind w:left="1300" w:hanging="644"/>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All references in this Award Agreement to the 2026 Long Range Plan shall be to the 2026 Long Range Plan as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was in effect on February 25, 2026.</w:t>
      </w:r>
    </w:p>
    <w:p>
      <w:pPr>
        <w:spacing w:after="0"/>
        <w:tabs>
          <w:tab w:leader="none" w:pos="114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u w:val="single" w:color="auto"/>
          <w:color w:val="auto"/>
        </w:rPr>
        <w:t>Total Stockholder Return Performance Factor</w:t>
      </w:r>
      <w:r>
        <w:rPr>
          <w:rFonts w:ascii="Arial" w:cs="Arial" w:eastAsia="Arial" w:hAnsi="Arial"/>
          <w:sz w:val="19"/>
          <w:szCs w:val="19"/>
          <w:b w:val="1"/>
          <w:bCs w:val="1"/>
          <w:color w:val="auto"/>
        </w:rPr>
        <w:t>.</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Peer Group</w:t>
      </w:r>
      <w:r>
        <w:rPr>
          <w:rFonts w:ascii="Arial" w:cs="Arial" w:eastAsia="Arial" w:hAnsi="Arial"/>
          <w:sz w:val="20"/>
          <w:szCs w:val="20"/>
          <w:color w:val="auto"/>
        </w:rPr>
        <w:t>. The Total Stockholder Return Performance Factor will be determined based on the Percentile Ranking (as defined below) of the Corporation’s TSR for the Performance Period among the TSRs of (i) the companies within the S&amp;P 500 Index (each, an “S&amp;P 500 Peer,” and collectively, the “S&amp;P 500 Peer Group”) and (ii) the following Aerospace and Defense companies (each, an “A&amp;D Peer,” and collectively, the “A&amp;D Peer Group”):</w:t>
      </w:r>
    </w:p>
    <w:p>
      <w:pPr>
        <w:spacing w:after="0" w:line="200" w:lineRule="exact"/>
        <w:rPr>
          <w:sz w:val="20"/>
          <w:szCs w:val="20"/>
          <w:color w:val="auto"/>
        </w:rPr>
      </w:pPr>
    </w:p>
    <w:p>
      <w:pPr>
        <w:spacing w:after="0" w:line="267" w:lineRule="exact"/>
        <w:rPr>
          <w:sz w:val="20"/>
          <w:szCs w:val="20"/>
          <w:color w:val="auto"/>
        </w:rPr>
      </w:pPr>
    </w:p>
    <w:tbl>
      <w:tblPr>
        <w:tblLayout w:type="fixed"/>
        <w:tblInd w:w="2090" w:type="dxa"/>
        <w:tblCellMar>
          <w:top w:w="0" w:type="dxa"/>
          <w:left w:w="0" w:type="dxa"/>
          <w:bottom w:w="0" w:type="dxa"/>
          <w:right w:w="0" w:type="dxa"/>
        </w:tblCellMar>
      </w:tblPr>
      <w:tr>
        <w:trPr>
          <w:trHeight w:val="315"/>
        </w:trPr>
        <w:tc>
          <w:tcPr>
            <w:tcW w:w="3700" w:type="dxa"/>
            <w:vAlign w:val="bottom"/>
            <w:tcBorders>
              <w:top w:val="single" w:sz="8" w:color="auto"/>
              <w:left w:val="single" w:sz="8" w:color="auto"/>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20"/>
                <w:szCs w:val="20"/>
                <w:b w:val="1"/>
                <w:bCs w:val="1"/>
                <w:color w:val="auto"/>
              </w:rPr>
              <w:t>Company</w:t>
            </w:r>
          </w:p>
        </w:tc>
        <w:tc>
          <w:tcPr>
            <w:tcW w:w="980" w:type="dxa"/>
            <w:vAlign w:val="bottom"/>
            <w:tcBorders>
              <w:top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20"/>
                <w:szCs w:val="20"/>
                <w:b w:val="1"/>
                <w:bCs w:val="1"/>
                <w:color w:val="auto"/>
              </w:rPr>
              <w:t>Ticker</w:t>
            </w:r>
          </w:p>
        </w:tc>
      </w:tr>
      <w:tr>
        <w:trPr>
          <w:trHeight w:val="260"/>
        </w:trPr>
        <w:tc>
          <w:tcPr>
            <w:tcW w:w="37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BAE Systems Plc</w:t>
            </w:r>
          </w:p>
        </w:tc>
        <w:tc>
          <w:tcPr>
            <w:tcW w:w="9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BA.LSE</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General Dynamics Corporation</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GD</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 Aerospace</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L3Harris Technologies, Inc.</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LHX</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Northrop Grumman Corporation</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NOC</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RTX Corporation</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RTX</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Textron Inc.</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TXT</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TransDigm Group Incorporated</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TDG</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60"/>
        </w:trPr>
        <w:tc>
          <w:tcPr>
            <w:tcW w:w="3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Boeing Company</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BA</w:t>
            </w:r>
          </w:p>
        </w:tc>
      </w:tr>
      <w:tr>
        <w:trPr>
          <w:trHeight w:val="30"/>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bl>
    <w:p>
      <w:pPr>
        <w:spacing w:after="0" w:line="31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0"/>
          <w:szCs w:val="20"/>
          <w:color w:val="auto"/>
        </w:rPr>
        <w:t>The S&amp;P 500 Peer Group shall consist of those companies within the S&amp;P 500 Index as of the beginning of the Performance Period, but excluding any companies that are removed from the S&amp;P 500 Index during the Performance Period.</w:t>
      </w:r>
    </w:p>
    <w:p>
      <w:pPr>
        <w:spacing w:after="0" w:line="19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If at any time during the Performance Period, an S&amp;P 500 Peer or A&amp;D Peer (a “Peer Company”) is acquired, ceases to exist, ceases to be a publicly-traded company, or sells all or substantially all of its assets (a “Removal Event”), then such company will be removed and treated as if it had never been a Peer Company and the Total Stockholder Return Performance Factor will be determined with respect to the remaining Peer Companies. Notwithstanding the</w:t>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foregoing, (i) in the event of a bankruptcy or liquidation of a Peer Company during the Performance Period, such company will remain a Peer Company but will be deemed to have a TSR of negative 100% (-100%) for the Performance Period and (ii) if a Removal Event with respect to an A&amp;D Peer occurs during the last 12 months of the Performance Period, the A&amp;D Peer will remain a Peer Company, an interim TSR for the A&amp;D Peer will be calculated (consistent with Section 3.2, but with the “Ending Price” determined using the average closing price during the twenty (20) day trading period ending on the day before the Removal Event) and compared to the Corporation’s interim TSR for the same time period, and such A&amp;D Peer’s TSR for the Performance Period will be equitably adjusted to be either above or below the Corporation’s TSR for the Performance Period, in a manner consistent with such interim TSR comparison; provided that the Committee will equitably adjust the TSR of such A&amp;D Peer for the Performance Period to neutralize the impact of events or circumstances that are extraordinary or unusual in nature or infrequent in occurrence and have an unintended effect on the Total Stockholder Return Performance Factor.</w:t>
      </w:r>
    </w:p>
    <w:p>
      <w:pPr>
        <w:spacing w:after="0" w:line="2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u w:val="single" w:color="auto"/>
          <w:color w:val="auto"/>
        </w:rPr>
        <w:t>Calculation of Total Stockholder Return Performance Factor</w:t>
      </w:r>
      <w:r>
        <w:rPr>
          <w:rFonts w:ascii="Arial" w:cs="Arial" w:eastAsia="Arial" w:hAnsi="Arial"/>
          <w:sz w:val="19"/>
          <w:szCs w:val="19"/>
          <w:color w:val="auto"/>
        </w:rPr>
        <w:t>.</w:t>
      </w:r>
    </w:p>
    <w:p>
      <w:pPr>
        <w:spacing w:after="0" w:line="25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0"/>
          <w:szCs w:val="20"/>
          <w:color w:val="auto"/>
        </w:rPr>
        <w:t>The Total Stockholder Return Performance Factor, expressed as a percentage, will be determined in accordance with the table below based on the Corporation’s Percentile Ranking of TSR with respect to the S&amp;P 500 Peer Group for the Performance Period (weighted at 50%) and Corporation’s Percentile Ranking of TSR with respect to the A&amp;D Peer Group for the Performance Period (weighted at 50%); provided, however, that, notwithstanding anything in this Award Agreement to the contrary, if the Corporation’s TSR for the three-year Performance Period is negative, the maximum Total Stockholder Return Performance Factor shall not exceed 100%.</w:t>
      </w:r>
    </w:p>
    <w:p>
      <w:pPr>
        <w:spacing w:after="0" w:line="20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0"/>
          <w:szCs w:val="20"/>
          <w:color w:val="auto"/>
        </w:rPr>
        <w:t>At the end of the Performance Period, the TSR of each company (excluding the Corporation) in each of the S&amp;P 500 Peer Group and the A&amp;D Peer Group shall be ranked among the TSRs of each other company in the applicable peer group (excluding the Corporation) (each, a “Data Set”) and, after such ranking, the Corporation’s TSR percentile ranking (“Percentile Ranking”) within each Data Set shall be determined using the PERCENTRANK function in Microsoft Excel. Percentile Ranking for the Performance Period shall be calculated separately with respect to the S&amp;P 500 Peer Group and the A&amp;D Peer Group (with each weighted at 50%) and shall take into account any changes to the peer group made during the Performance Period in accordance with Section 3.1.</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860" w:type="dxa"/>
            <w:vAlign w:val="bottom"/>
            <w:tcBorders>
              <w:bottom w:val="single" w:sz="8" w:color="D9D9D9"/>
            </w:tcBorders>
            <w:gridSpan w:val="3"/>
            <w:vMerge w:val="restart"/>
            <w:shd w:val="clear" w:color="auto" w:fill="D9D9D9"/>
          </w:tcPr>
          <w:p>
            <w:pPr>
              <w:ind w:left="720"/>
              <w:spacing w:after="0"/>
              <w:rPr>
                <w:sz w:val="20"/>
                <w:szCs w:val="20"/>
                <w:color w:val="auto"/>
              </w:rPr>
            </w:pPr>
            <w:r>
              <w:rPr>
                <w:rFonts w:ascii="Arial" w:cs="Arial" w:eastAsia="Arial" w:hAnsi="Arial"/>
                <w:sz w:val="20"/>
                <w:szCs w:val="20"/>
                <w:color w:val="auto"/>
              </w:rPr>
              <w:t>Band</w:t>
            </w:r>
          </w:p>
        </w:tc>
        <w:tc>
          <w:tcPr>
            <w:tcW w:w="3600" w:type="dxa"/>
            <w:vAlign w:val="bottom"/>
            <w:tcBorders>
              <w:bottom w:val="single" w:sz="8" w:color="D9D9D9"/>
            </w:tcBorders>
            <w:gridSpan w:val="3"/>
            <w:vMerge w:val="restart"/>
            <w:shd w:val="clear" w:color="auto" w:fill="D9D9D9"/>
          </w:tcPr>
          <w:p>
            <w:pPr>
              <w:ind w:left="640"/>
              <w:spacing w:after="0"/>
              <w:rPr>
                <w:sz w:val="20"/>
                <w:szCs w:val="20"/>
                <w:color w:val="auto"/>
              </w:rPr>
            </w:pPr>
            <w:r>
              <w:rPr>
                <w:rFonts w:ascii="Arial" w:cs="Arial" w:eastAsia="Arial" w:hAnsi="Arial"/>
                <w:sz w:val="20"/>
                <w:szCs w:val="20"/>
                <w:color w:val="auto"/>
              </w:rPr>
              <w:t>Percentile Ranking</w:t>
            </w:r>
          </w:p>
        </w:tc>
        <w:tc>
          <w:tcPr>
            <w:tcW w:w="2160" w:type="dxa"/>
            <w:vAlign w:val="bottom"/>
            <w:tcBorders>
              <w:bottom w:val="single" w:sz="8" w:color="auto"/>
            </w:tcBorders>
            <w:gridSpan w:val="4"/>
            <w:shd w:val="clear" w:color="auto" w:fill="D9D9D9"/>
          </w:tcPr>
          <w:p>
            <w:pPr>
              <w:jc w:val="center"/>
              <w:spacing w:after="0"/>
              <w:rPr>
                <w:sz w:val="20"/>
                <w:szCs w:val="20"/>
                <w:color w:val="auto"/>
              </w:rPr>
            </w:pPr>
            <w:r>
              <w:rPr>
                <w:rFonts w:ascii="Arial" w:cs="Arial" w:eastAsia="Arial" w:hAnsi="Arial"/>
                <w:sz w:val="20"/>
                <w:szCs w:val="20"/>
                <w:color w:val="auto"/>
                <w:w w:val="97"/>
              </w:rPr>
              <w:t>Total Stockholder Return</w:t>
            </w:r>
          </w:p>
        </w:tc>
        <w:tc>
          <w:tcPr>
            <w:tcW w:w="4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3"/>
            <w:vMerge w:val="continue"/>
            <w:shd w:val="clear" w:color="auto" w:fill="D9D9D9"/>
          </w:tcPr>
          <w:p>
            <w:pPr>
              <w:spacing w:after="0"/>
              <w:rPr>
                <w:sz w:val="19"/>
                <w:szCs w:val="19"/>
                <w:color w:val="auto"/>
              </w:rPr>
            </w:pPr>
          </w:p>
        </w:tc>
        <w:tc>
          <w:tcPr>
            <w:tcW w:w="3600" w:type="dxa"/>
            <w:vAlign w:val="bottom"/>
            <w:gridSpan w:val="3"/>
            <w:vMerge w:val="continue"/>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380" w:type="dxa"/>
            <w:vAlign w:val="bottom"/>
            <w:gridSpan w:val="4"/>
            <w:shd w:val="clear" w:color="auto" w:fill="D9D9D9"/>
          </w:tcPr>
          <w:p>
            <w:pPr>
              <w:jc w:val="center"/>
              <w:ind w:right="640"/>
              <w:spacing w:after="0" w:line="196" w:lineRule="exact"/>
              <w:rPr>
                <w:sz w:val="20"/>
                <w:szCs w:val="20"/>
                <w:color w:val="auto"/>
              </w:rPr>
            </w:pPr>
            <w:r>
              <w:rPr>
                <w:rFonts w:ascii="Arial" w:cs="Arial" w:eastAsia="Arial" w:hAnsi="Arial"/>
                <w:sz w:val="20"/>
                <w:szCs w:val="20"/>
                <w:color w:val="auto"/>
                <w:w w:val="98"/>
              </w:rPr>
              <w:t>Performance Factor</w:t>
            </w:r>
          </w:p>
        </w:tc>
        <w:tc>
          <w:tcPr>
            <w:tcW w:w="0" w:type="dxa"/>
            <w:vAlign w:val="bottom"/>
          </w:tcPr>
          <w:p>
            <w:pPr>
              <w:spacing w:after="0"/>
              <w:rPr>
                <w:sz w:val="1"/>
                <w:szCs w:val="1"/>
                <w:color w:val="auto"/>
              </w:rPr>
            </w:pPr>
          </w:p>
        </w:tc>
      </w:tr>
      <w:tr>
        <w:trPr>
          <w:trHeight w:val="41"/>
        </w:trPr>
        <w:tc>
          <w:tcPr>
            <w:tcW w:w="720" w:type="dxa"/>
            <w:vAlign w:val="bottom"/>
            <w:tcBorders>
              <w:top w:val="single" w:sz="8" w:color="D9D9D9"/>
            </w:tcBorders>
            <w:shd w:val="clear" w:color="auto" w:fill="D9D9D9"/>
          </w:tcPr>
          <w:p>
            <w:pPr>
              <w:spacing w:after="0"/>
              <w:rPr>
                <w:sz w:val="3"/>
                <w:szCs w:val="3"/>
                <w:color w:val="auto"/>
              </w:rPr>
            </w:pPr>
          </w:p>
        </w:tc>
        <w:tc>
          <w:tcPr>
            <w:tcW w:w="460" w:type="dxa"/>
            <w:vAlign w:val="bottom"/>
            <w:tcBorders>
              <w:top w:val="single" w:sz="8" w:color="auto"/>
            </w:tcBorders>
            <w:shd w:val="clear" w:color="auto" w:fill="D9D9D9"/>
          </w:tcPr>
          <w:p>
            <w:pPr>
              <w:spacing w:after="0"/>
              <w:rPr>
                <w:sz w:val="3"/>
                <w:szCs w:val="3"/>
                <w:color w:val="auto"/>
              </w:rPr>
            </w:pPr>
          </w:p>
        </w:tc>
        <w:tc>
          <w:tcPr>
            <w:tcW w:w="680" w:type="dxa"/>
            <w:vAlign w:val="bottom"/>
            <w:tcBorders>
              <w:top w:val="single" w:sz="8" w:color="D9D9D9"/>
            </w:tcBorders>
            <w:shd w:val="clear" w:color="auto" w:fill="D9D9D9"/>
          </w:tcPr>
          <w:p>
            <w:pPr>
              <w:spacing w:after="0"/>
              <w:rPr>
                <w:sz w:val="3"/>
                <w:szCs w:val="3"/>
                <w:color w:val="auto"/>
              </w:rPr>
            </w:pPr>
          </w:p>
        </w:tc>
        <w:tc>
          <w:tcPr>
            <w:tcW w:w="640" w:type="dxa"/>
            <w:vAlign w:val="bottom"/>
            <w:tcBorders>
              <w:top w:val="single" w:sz="8" w:color="D9D9D9"/>
            </w:tcBorders>
            <w:shd w:val="clear" w:color="auto" w:fill="D9D9D9"/>
          </w:tcPr>
          <w:p>
            <w:pPr>
              <w:spacing w:after="0"/>
              <w:rPr>
                <w:sz w:val="3"/>
                <w:szCs w:val="3"/>
                <w:color w:val="auto"/>
              </w:rPr>
            </w:pPr>
          </w:p>
        </w:tc>
        <w:tc>
          <w:tcPr>
            <w:tcW w:w="1660" w:type="dxa"/>
            <w:vAlign w:val="bottom"/>
            <w:tcBorders>
              <w:top w:val="single" w:sz="8" w:color="auto"/>
            </w:tcBorders>
            <w:shd w:val="clear" w:color="auto" w:fill="D9D9D9"/>
          </w:tcPr>
          <w:p>
            <w:pPr>
              <w:spacing w:after="0"/>
              <w:rPr>
                <w:sz w:val="3"/>
                <w:szCs w:val="3"/>
                <w:color w:val="auto"/>
              </w:rPr>
            </w:pPr>
          </w:p>
        </w:tc>
        <w:tc>
          <w:tcPr>
            <w:tcW w:w="1300" w:type="dxa"/>
            <w:vAlign w:val="bottom"/>
            <w:tcBorders>
              <w:top w:val="single" w:sz="8" w:color="D9D9D9"/>
            </w:tcBorders>
            <w:shd w:val="clear" w:color="auto" w:fill="D9D9D9"/>
          </w:tcPr>
          <w:p>
            <w:pPr>
              <w:spacing w:after="0"/>
              <w:rPr>
                <w:sz w:val="3"/>
                <w:szCs w:val="3"/>
                <w:color w:val="auto"/>
              </w:rPr>
            </w:pPr>
          </w:p>
        </w:tc>
        <w:tc>
          <w:tcPr>
            <w:tcW w:w="200" w:type="dxa"/>
            <w:vAlign w:val="bottom"/>
            <w:tcBorders>
              <w:top w:val="single" w:sz="8" w:color="D9D9D9"/>
            </w:tcBorders>
            <w:shd w:val="clear" w:color="auto" w:fill="D9D9D9"/>
          </w:tcPr>
          <w:p>
            <w:pPr>
              <w:spacing w:after="0"/>
              <w:rPr>
                <w:sz w:val="3"/>
                <w:szCs w:val="3"/>
                <w:color w:val="auto"/>
              </w:rPr>
            </w:pPr>
          </w:p>
        </w:tc>
        <w:tc>
          <w:tcPr>
            <w:tcW w:w="620" w:type="dxa"/>
            <w:vAlign w:val="bottom"/>
            <w:tcBorders>
              <w:top w:val="single" w:sz="8" w:color="auto"/>
            </w:tcBorders>
            <w:shd w:val="clear" w:color="auto" w:fill="D9D9D9"/>
          </w:tcPr>
          <w:p>
            <w:pPr>
              <w:spacing w:after="0"/>
              <w:rPr>
                <w:sz w:val="3"/>
                <w:szCs w:val="3"/>
                <w:color w:val="auto"/>
              </w:rPr>
            </w:pPr>
          </w:p>
        </w:tc>
        <w:tc>
          <w:tcPr>
            <w:tcW w:w="1120" w:type="dxa"/>
            <w:vAlign w:val="bottom"/>
            <w:tcBorders>
              <w:top w:val="single" w:sz="8" w:color="auto"/>
            </w:tcBorders>
            <w:shd w:val="clear" w:color="auto" w:fill="D9D9D9"/>
          </w:tcPr>
          <w:p>
            <w:pPr>
              <w:spacing w:after="0"/>
              <w:rPr>
                <w:sz w:val="3"/>
                <w:szCs w:val="3"/>
                <w:color w:val="auto"/>
              </w:rPr>
            </w:pPr>
          </w:p>
        </w:tc>
        <w:tc>
          <w:tcPr>
            <w:tcW w:w="220" w:type="dxa"/>
            <w:vAlign w:val="bottom"/>
            <w:tcBorders>
              <w:top w:val="single" w:sz="8" w:color="D9D9D9"/>
            </w:tcBorders>
            <w:shd w:val="clear" w:color="auto" w:fill="D9D9D9"/>
          </w:tcPr>
          <w:p>
            <w:pPr>
              <w:spacing w:after="0"/>
              <w:rPr>
                <w:sz w:val="3"/>
                <w:szCs w:val="3"/>
                <w:color w:val="auto"/>
              </w:rPr>
            </w:pPr>
          </w:p>
        </w:tc>
        <w:tc>
          <w:tcPr>
            <w:tcW w:w="420" w:type="dxa"/>
            <w:vAlign w:val="bottom"/>
            <w:tcBorders>
              <w:top w:val="single" w:sz="8" w:color="D9D9D9"/>
            </w:tcBorders>
            <w:shd w:val="clear" w:color="auto" w:fill="D9D9D9"/>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1860" w:type="dxa"/>
            <w:vAlign w:val="bottom"/>
            <w:gridSpan w:val="3"/>
          </w:tcPr>
          <w:p>
            <w:pPr>
              <w:ind w:left="720"/>
              <w:spacing w:after="0"/>
              <w:rPr>
                <w:sz w:val="20"/>
                <w:szCs w:val="20"/>
                <w:color w:val="auto"/>
              </w:rPr>
            </w:pPr>
            <w:r>
              <w:rPr>
                <w:rFonts w:ascii="Arial" w:cs="Arial" w:eastAsia="Arial" w:hAnsi="Arial"/>
                <w:sz w:val="20"/>
                <w:szCs w:val="20"/>
                <w:color w:val="auto"/>
              </w:rPr>
              <w:t>One</w:t>
            </w:r>
          </w:p>
        </w:tc>
        <w:tc>
          <w:tcPr>
            <w:tcW w:w="3600" w:type="dxa"/>
            <w:vAlign w:val="bottom"/>
            <w:gridSpan w:val="3"/>
          </w:tcPr>
          <w:p>
            <w:pPr>
              <w:ind w:left="640"/>
              <w:spacing w:after="0"/>
              <w:rPr>
                <w:sz w:val="20"/>
                <w:szCs w:val="20"/>
                <w:color w:val="auto"/>
              </w:rPr>
            </w:pPr>
            <w:r>
              <w:rPr>
                <w:rFonts w:ascii="Arial" w:cs="Arial" w:eastAsia="Arial" w:hAnsi="Arial"/>
                <w:sz w:val="20"/>
                <w:szCs w:val="20"/>
                <w:color w:val="auto"/>
              </w:rPr>
              <w:t>75th - 100</w:t>
            </w:r>
            <w:r>
              <w:rPr>
                <w:rFonts w:ascii="Arial" w:cs="Arial" w:eastAsia="Arial" w:hAnsi="Arial"/>
                <w:sz w:val="25"/>
                <w:szCs w:val="25"/>
                <w:color w:val="auto"/>
                <w:vertAlign w:val="superscript"/>
              </w:rPr>
              <w:t>th</w:t>
            </w:r>
          </w:p>
        </w:tc>
        <w:tc>
          <w:tcPr>
            <w:tcW w:w="820" w:type="dxa"/>
            <w:vAlign w:val="bottom"/>
            <w:gridSpan w:val="2"/>
          </w:tcPr>
          <w:p>
            <w:pPr>
              <w:ind w:left="300"/>
              <w:spacing w:after="0"/>
              <w:rPr>
                <w:sz w:val="20"/>
                <w:szCs w:val="20"/>
                <w:color w:val="auto"/>
              </w:rPr>
            </w:pPr>
            <w:r>
              <w:rPr>
                <w:rFonts w:ascii="Arial" w:cs="Arial" w:eastAsia="Arial" w:hAnsi="Arial"/>
                <w:sz w:val="20"/>
                <w:szCs w:val="20"/>
                <w:color w:val="auto"/>
                <w:w w:val="97"/>
              </w:rPr>
              <w:t>200%</w:t>
            </w:r>
          </w:p>
        </w:tc>
        <w:tc>
          <w:tcPr>
            <w:tcW w:w="1760" w:type="dxa"/>
            <w:vAlign w:val="bottom"/>
            <w:gridSpan w:val="3"/>
          </w:tcPr>
          <w:p>
            <w:pPr>
              <w:ind w:left="40"/>
              <w:spacing w:after="0"/>
              <w:rPr>
                <w:sz w:val="20"/>
                <w:szCs w:val="20"/>
                <w:color w:val="auto"/>
              </w:rPr>
            </w:pPr>
            <w:r>
              <w:rPr>
                <w:rFonts w:ascii="Arial" w:cs="Arial" w:eastAsia="Arial" w:hAnsi="Arial"/>
                <w:sz w:val="20"/>
                <w:szCs w:val="20"/>
                <w:color w:val="auto"/>
              </w:rPr>
              <w:t>(Maximum)</w:t>
            </w:r>
          </w:p>
        </w:tc>
        <w:tc>
          <w:tcPr>
            <w:tcW w:w="0" w:type="dxa"/>
            <w:vAlign w:val="bottom"/>
          </w:tcPr>
          <w:p>
            <w:pPr>
              <w:spacing w:after="0"/>
              <w:rPr>
                <w:sz w:val="1"/>
                <w:szCs w:val="1"/>
                <w:color w:val="auto"/>
              </w:rPr>
            </w:pPr>
          </w:p>
        </w:tc>
      </w:tr>
      <w:tr>
        <w:trPr>
          <w:trHeight w:val="297"/>
        </w:trPr>
        <w:tc>
          <w:tcPr>
            <w:tcW w:w="1860" w:type="dxa"/>
            <w:vAlign w:val="bottom"/>
            <w:gridSpan w:val="3"/>
            <w:shd w:val="clear" w:color="auto" w:fill="D9D9D9"/>
          </w:tcPr>
          <w:p>
            <w:pPr>
              <w:ind w:left="720"/>
              <w:spacing w:after="0"/>
              <w:rPr>
                <w:sz w:val="20"/>
                <w:szCs w:val="20"/>
                <w:color w:val="auto"/>
              </w:rPr>
            </w:pPr>
            <w:r>
              <w:rPr>
                <w:rFonts w:ascii="Arial" w:cs="Arial" w:eastAsia="Arial" w:hAnsi="Arial"/>
                <w:sz w:val="20"/>
                <w:szCs w:val="20"/>
                <w:color w:val="auto"/>
              </w:rPr>
              <w:t>Two</w:t>
            </w:r>
          </w:p>
        </w:tc>
        <w:tc>
          <w:tcPr>
            <w:tcW w:w="3600" w:type="dxa"/>
            <w:vAlign w:val="bottom"/>
            <w:gridSpan w:val="3"/>
            <w:shd w:val="clear" w:color="auto" w:fill="D9D9D9"/>
          </w:tcPr>
          <w:p>
            <w:pPr>
              <w:ind w:left="640"/>
              <w:spacing w:after="0"/>
              <w:rPr>
                <w:sz w:val="20"/>
                <w:szCs w:val="20"/>
                <w:color w:val="auto"/>
              </w:rPr>
            </w:pPr>
            <w:r>
              <w:rPr>
                <w:rFonts w:ascii="Arial" w:cs="Arial" w:eastAsia="Arial" w:hAnsi="Arial"/>
                <w:sz w:val="20"/>
                <w:szCs w:val="20"/>
                <w:color w:val="auto"/>
              </w:rPr>
              <w:t>50</w:t>
            </w:r>
            <w:r>
              <w:rPr>
                <w:rFonts w:ascii="Arial" w:cs="Arial" w:eastAsia="Arial" w:hAnsi="Arial"/>
                <w:sz w:val="25"/>
                <w:szCs w:val="25"/>
                <w:color w:val="auto"/>
                <w:vertAlign w:val="superscript"/>
              </w:rPr>
              <w:t>th</w:t>
            </w:r>
          </w:p>
        </w:tc>
        <w:tc>
          <w:tcPr>
            <w:tcW w:w="820" w:type="dxa"/>
            <w:vAlign w:val="bottom"/>
            <w:gridSpan w:val="2"/>
            <w:shd w:val="clear" w:color="auto" w:fill="D9D9D9"/>
          </w:tcPr>
          <w:p>
            <w:pPr>
              <w:ind w:left="300"/>
              <w:spacing w:after="0"/>
              <w:rPr>
                <w:sz w:val="20"/>
                <w:szCs w:val="20"/>
                <w:color w:val="auto"/>
              </w:rPr>
            </w:pPr>
            <w:r>
              <w:rPr>
                <w:rFonts w:ascii="Arial" w:cs="Arial" w:eastAsia="Arial" w:hAnsi="Arial"/>
                <w:sz w:val="20"/>
                <w:szCs w:val="20"/>
                <w:color w:val="auto"/>
                <w:w w:val="97"/>
              </w:rPr>
              <w:t>100%</w:t>
            </w:r>
          </w:p>
        </w:tc>
        <w:tc>
          <w:tcPr>
            <w:tcW w:w="1760" w:type="dxa"/>
            <w:vAlign w:val="bottom"/>
            <w:gridSpan w:val="3"/>
            <w:shd w:val="clear" w:color="auto" w:fill="D9D9D9"/>
          </w:tcPr>
          <w:p>
            <w:pPr>
              <w:ind w:left="40"/>
              <w:spacing w:after="0"/>
              <w:rPr>
                <w:sz w:val="20"/>
                <w:szCs w:val="20"/>
                <w:color w:val="auto"/>
              </w:rPr>
            </w:pPr>
            <w:r>
              <w:rPr>
                <w:rFonts w:ascii="Arial" w:cs="Arial" w:eastAsia="Arial" w:hAnsi="Arial"/>
                <w:sz w:val="20"/>
                <w:szCs w:val="20"/>
                <w:color w:val="auto"/>
              </w:rPr>
              <w:t>(Target)</w:t>
            </w:r>
          </w:p>
        </w:tc>
        <w:tc>
          <w:tcPr>
            <w:tcW w:w="0" w:type="dxa"/>
            <w:vAlign w:val="bottom"/>
          </w:tcPr>
          <w:p>
            <w:pPr>
              <w:spacing w:after="0"/>
              <w:rPr>
                <w:sz w:val="1"/>
                <w:szCs w:val="1"/>
                <w:color w:val="auto"/>
              </w:rPr>
            </w:pPr>
          </w:p>
        </w:tc>
      </w:tr>
      <w:tr>
        <w:trPr>
          <w:trHeight w:val="350"/>
        </w:trPr>
        <w:tc>
          <w:tcPr>
            <w:tcW w:w="1860" w:type="dxa"/>
            <w:vAlign w:val="bottom"/>
            <w:gridSpan w:val="3"/>
          </w:tcPr>
          <w:p>
            <w:pPr>
              <w:ind w:left="720"/>
              <w:spacing w:after="0"/>
              <w:rPr>
                <w:sz w:val="20"/>
                <w:szCs w:val="20"/>
                <w:color w:val="auto"/>
              </w:rPr>
            </w:pPr>
            <w:r>
              <w:rPr>
                <w:rFonts w:ascii="Arial" w:cs="Arial" w:eastAsia="Arial" w:hAnsi="Arial"/>
                <w:sz w:val="20"/>
                <w:szCs w:val="20"/>
                <w:color w:val="auto"/>
              </w:rPr>
              <w:t>Three</w:t>
            </w:r>
          </w:p>
        </w:tc>
        <w:tc>
          <w:tcPr>
            <w:tcW w:w="3600" w:type="dxa"/>
            <w:vAlign w:val="bottom"/>
            <w:gridSpan w:val="3"/>
          </w:tcPr>
          <w:p>
            <w:pPr>
              <w:ind w:left="640"/>
              <w:spacing w:after="0"/>
              <w:rPr>
                <w:sz w:val="20"/>
                <w:szCs w:val="20"/>
                <w:color w:val="auto"/>
              </w:rPr>
            </w:pPr>
            <w:r>
              <w:rPr>
                <w:rFonts w:ascii="Arial" w:cs="Arial" w:eastAsia="Arial" w:hAnsi="Arial"/>
                <w:sz w:val="20"/>
                <w:szCs w:val="20"/>
                <w:color w:val="auto"/>
              </w:rPr>
              <w:t>25</w:t>
            </w:r>
            <w:r>
              <w:rPr>
                <w:rFonts w:ascii="Arial" w:cs="Arial" w:eastAsia="Arial" w:hAnsi="Arial"/>
                <w:sz w:val="25"/>
                <w:szCs w:val="25"/>
                <w:color w:val="auto"/>
                <w:vertAlign w:val="superscript"/>
              </w:rPr>
              <w:t>th</w:t>
            </w:r>
          </w:p>
        </w:tc>
        <w:tc>
          <w:tcPr>
            <w:tcW w:w="200" w:type="dxa"/>
            <w:vAlign w:val="bottom"/>
          </w:tcPr>
          <w:p>
            <w:pPr>
              <w:spacing w:after="0"/>
              <w:rPr>
                <w:sz w:val="24"/>
                <w:szCs w:val="24"/>
                <w:color w:val="auto"/>
              </w:rPr>
            </w:pPr>
          </w:p>
        </w:tc>
        <w:tc>
          <w:tcPr>
            <w:tcW w:w="2380" w:type="dxa"/>
            <w:vAlign w:val="bottom"/>
            <w:gridSpan w:val="4"/>
          </w:tcPr>
          <w:p>
            <w:pPr>
              <w:ind w:left="100"/>
              <w:spacing w:after="0"/>
              <w:rPr>
                <w:sz w:val="20"/>
                <w:szCs w:val="20"/>
                <w:color w:val="auto"/>
              </w:rPr>
            </w:pPr>
            <w:r>
              <w:rPr>
                <w:rFonts w:ascii="Arial" w:cs="Arial" w:eastAsia="Arial" w:hAnsi="Arial"/>
                <w:sz w:val="20"/>
                <w:szCs w:val="20"/>
                <w:color w:val="auto"/>
              </w:rPr>
              <w:t>25% (Threshold)</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Performance below the threshold level will result in a 0% Total Stockholder Return Performance Factor, while performance above the maximum level cannot exceed the maximum Total Stockholder Return Performance Factor. If the Corporation’s TSR puts the Corporation over the listed Percentile Ranking for the applicable Band (other than Band One) in the above table, the Total Stockholder Return Performance Factor will be interpolated on a linear basis.</w:t>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227"/>
        <w:spacing w:after="0" w:line="262" w:lineRule="auto"/>
        <w:rPr>
          <w:sz w:val="20"/>
          <w:szCs w:val="20"/>
          <w:color w:val="auto"/>
        </w:rPr>
      </w:pPr>
      <w:r>
        <w:rPr>
          <w:rFonts w:ascii="Arial" w:cs="Arial" w:eastAsia="Arial" w:hAnsi="Arial"/>
          <w:sz w:val="20"/>
          <w:szCs w:val="20"/>
          <w:color w:val="auto"/>
        </w:rPr>
        <w:t>For purposes of this Award Agreement, “Total Stockholder Return” or “TSR” means on a percentage basis, with respect to the Corporation or any Peer Company, the price appreciation of such company’s common stock plus the value of reinvested dividends, calculated using the Beginning Price and the Ending Price, where</w:t>
      </w:r>
    </w:p>
    <w:p>
      <w:pPr>
        <w:spacing w:after="0" w:line="205" w:lineRule="exact"/>
        <w:rPr>
          <w:sz w:val="20"/>
          <w:szCs w:val="20"/>
          <w:color w:val="auto"/>
        </w:rPr>
      </w:pPr>
    </w:p>
    <w:p>
      <w:pPr>
        <w:jc w:val="both"/>
        <w:ind w:firstLine="887"/>
        <w:spacing w:after="0" w:line="271" w:lineRule="auto"/>
        <w:rPr>
          <w:sz w:val="20"/>
          <w:szCs w:val="20"/>
          <w:color w:val="auto"/>
        </w:rPr>
      </w:pPr>
      <w:r>
        <w:rPr>
          <w:rFonts w:ascii="Arial" w:cs="Arial" w:eastAsia="Arial" w:hAnsi="Arial"/>
          <w:sz w:val="20"/>
          <w:szCs w:val="20"/>
          <w:color w:val="auto"/>
        </w:rPr>
        <w:t>“Ending Price” means the average closing price of a share of common stock during the twenty (20) day trading period ending December 31, 2028; and</w:t>
      </w:r>
    </w:p>
    <w:p>
      <w:pPr>
        <w:spacing w:after="0" w:line="196" w:lineRule="exact"/>
        <w:rPr>
          <w:sz w:val="20"/>
          <w:szCs w:val="20"/>
          <w:color w:val="auto"/>
        </w:rPr>
      </w:pPr>
    </w:p>
    <w:p>
      <w:pPr>
        <w:jc w:val="both"/>
        <w:ind w:firstLine="949"/>
        <w:spacing w:after="0" w:line="286" w:lineRule="auto"/>
        <w:rPr>
          <w:sz w:val="20"/>
          <w:szCs w:val="20"/>
          <w:color w:val="auto"/>
        </w:rPr>
      </w:pPr>
      <w:r>
        <w:rPr>
          <w:rFonts w:ascii="Arial" w:cs="Arial" w:eastAsia="Arial" w:hAnsi="Arial"/>
          <w:sz w:val="20"/>
          <w:szCs w:val="20"/>
          <w:color w:val="auto"/>
        </w:rPr>
        <w:t>“Beginning Price” means the average closing price of a share of common stock during the twenty (20) day trading period ending December 31, 2025.</w:t>
      </w:r>
    </w:p>
    <w:p>
      <w:pPr>
        <w:spacing w:after="0" w:line="167"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The Committee, in its sole discretion, may adjust TSR as necessary for any changes in equity structure, including but not limited to stock splits, stock dividends, reverse stock splits, recapitalizations, spin-offs, and other corporate changes having similar effect. The Total Stockholder Return for the Corporation and each Peer Company shall be computed from data available to the public using the tool the Corporation has designated in its discretion for computing Total Stockholder Return. The Corporation’s Total Stockholder Return will be based on the performance of the Stock. The Total Stockholder Return of each A&amp;D Peer will be based on the equity security of such A&amp;D Peer that is traded using the ticker symbol indicated in the chart in Section 3.1 to the right of the A&amp;D Peer’s name. The Total Stockholder Return of each S&amp;P Peer will be based on the equity security of such S&amp;P 500 Peer that is used in computing the S&amp;P 500 Index.</w:t>
      </w:r>
    </w:p>
    <w:p>
      <w:pPr>
        <w:spacing w:after="0" w:line="21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u w:val="single" w:color="auto"/>
          <w:color w:val="auto"/>
        </w:rPr>
        <w:t>Sales and Cash from Operations Factors</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Sales Performance Factor</w:t>
      </w:r>
      <w:r>
        <w:rPr>
          <w:rFonts w:ascii="Arial" w:cs="Arial" w:eastAsia="Arial" w:hAnsi="Arial"/>
          <w:sz w:val="20"/>
          <w:szCs w:val="20"/>
          <w:color w:val="auto"/>
        </w:rPr>
        <w:t>. The Sales Performance Factor will be determined by comparing the Corporation’s cumulative Sales during the Performance Period to the Sales Target, and then identifying the Sales Performance Factor based upon the factor associated with the change from the Sales Target on the following table:</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20"/>
                <w:szCs w:val="20"/>
                <w:color w:val="auto"/>
              </w:rPr>
            </w:pPr>
            <w:r>
              <w:rPr>
                <w:rFonts w:ascii="Arial" w:cs="Arial" w:eastAsia="Arial" w:hAnsi="Arial"/>
                <w:sz w:val="20"/>
                <w:szCs w:val="20"/>
                <w:color w:val="auto"/>
                <w:w w:val="97"/>
              </w:rPr>
              <w:t>Sales Band</w:t>
            </w:r>
          </w:p>
        </w:tc>
        <w:tc>
          <w:tcPr>
            <w:tcW w:w="1640" w:type="dxa"/>
            <w:vAlign w:val="bottom"/>
            <w:shd w:val="clear" w:color="auto" w:fill="D9D9D9"/>
          </w:tcPr>
          <w:p>
            <w:pPr>
              <w:spacing w:after="0"/>
              <w:rPr>
                <w:sz w:val="19"/>
                <w:szCs w:val="19"/>
                <w:color w:val="auto"/>
              </w:rPr>
            </w:pPr>
          </w:p>
        </w:tc>
        <w:tc>
          <w:tcPr>
            <w:tcW w:w="1360" w:type="dxa"/>
            <w:vAlign w:val="bottom"/>
            <w:shd w:val="clear" w:color="auto" w:fill="D9D9D9"/>
          </w:tcPr>
          <w:p>
            <w:pPr>
              <w:spacing w:after="0"/>
              <w:rPr>
                <w:sz w:val="19"/>
                <w:szCs w:val="19"/>
                <w:color w:val="auto"/>
              </w:rPr>
            </w:pPr>
          </w:p>
        </w:tc>
        <w:tc>
          <w:tcPr>
            <w:tcW w:w="4940" w:type="dxa"/>
            <w:vAlign w:val="bottom"/>
            <w:gridSpan w:val="3"/>
            <w:shd w:val="clear" w:color="auto" w:fill="D9D9D9"/>
          </w:tcPr>
          <w:p>
            <w:pPr>
              <w:spacing w:after="0"/>
              <w:rPr>
                <w:sz w:val="20"/>
                <w:szCs w:val="20"/>
                <w:color w:val="auto"/>
              </w:rPr>
            </w:pPr>
            <w:r>
              <w:rPr>
                <w:rFonts w:ascii="Arial" w:cs="Arial" w:eastAsia="Arial" w:hAnsi="Arial"/>
                <w:sz w:val="20"/>
                <w:szCs w:val="20"/>
                <w:color w:val="auto"/>
              </w:rPr>
              <w:t>Sales Performance Factor</w:t>
            </w:r>
          </w:p>
        </w:tc>
      </w:tr>
      <w:tr>
        <w:trPr>
          <w:trHeight w:val="34"/>
        </w:trPr>
        <w:tc>
          <w:tcPr>
            <w:tcW w:w="60" w:type="dxa"/>
            <w:vAlign w:val="bottom"/>
            <w:tcBorders>
              <w:top w:val="single" w:sz="8" w:color="D9D9D9"/>
            </w:tcBorders>
            <w:shd w:val="clear" w:color="auto" w:fill="D9D9D9"/>
          </w:tcPr>
          <w:p>
            <w:pPr>
              <w:spacing w:after="0"/>
              <w:rPr>
                <w:sz w:val="2"/>
                <w:szCs w:val="2"/>
                <w:color w:val="auto"/>
              </w:rPr>
            </w:pPr>
          </w:p>
        </w:tc>
        <w:tc>
          <w:tcPr>
            <w:tcW w:w="1020" w:type="dxa"/>
            <w:vAlign w:val="bottom"/>
            <w:tcBorders>
              <w:top w:val="single" w:sz="8" w:color="auto"/>
            </w:tcBorders>
            <w:shd w:val="clear" w:color="auto" w:fill="D9D9D9"/>
          </w:tcPr>
          <w:p>
            <w:pPr>
              <w:spacing w:after="0"/>
              <w:rPr>
                <w:sz w:val="2"/>
                <w:szCs w:val="2"/>
                <w:color w:val="auto"/>
              </w:rPr>
            </w:pPr>
          </w:p>
        </w:tc>
        <w:tc>
          <w:tcPr>
            <w:tcW w:w="1640" w:type="dxa"/>
            <w:vAlign w:val="bottom"/>
            <w:tcBorders>
              <w:top w:val="single" w:sz="8" w:color="D9D9D9"/>
            </w:tcBorders>
            <w:shd w:val="clear" w:color="auto" w:fill="D9D9D9"/>
          </w:tcPr>
          <w:p>
            <w:pPr>
              <w:spacing w:after="0"/>
              <w:rPr>
                <w:sz w:val="2"/>
                <w:szCs w:val="2"/>
                <w:color w:val="auto"/>
              </w:rPr>
            </w:pPr>
          </w:p>
        </w:tc>
        <w:tc>
          <w:tcPr>
            <w:tcW w:w="1360" w:type="dxa"/>
            <w:vAlign w:val="bottom"/>
            <w:tcBorders>
              <w:top w:val="single" w:sz="8" w:color="D9D9D9"/>
            </w:tcBorders>
            <w:shd w:val="clear" w:color="auto" w:fill="D9D9D9"/>
          </w:tcPr>
          <w:p>
            <w:pPr>
              <w:spacing w:after="0"/>
              <w:rPr>
                <w:sz w:val="2"/>
                <w:szCs w:val="2"/>
                <w:color w:val="auto"/>
              </w:rPr>
            </w:pPr>
          </w:p>
        </w:tc>
        <w:tc>
          <w:tcPr>
            <w:tcW w:w="2300" w:type="dxa"/>
            <w:vAlign w:val="bottom"/>
            <w:tcBorders>
              <w:top w:val="single" w:sz="8" w:color="auto"/>
            </w:tcBorders>
            <w:shd w:val="clear" w:color="auto" w:fill="D9D9D9"/>
          </w:tcPr>
          <w:p>
            <w:pPr>
              <w:spacing w:after="0"/>
              <w:rPr>
                <w:sz w:val="2"/>
                <w:szCs w:val="2"/>
                <w:color w:val="auto"/>
              </w:rPr>
            </w:pPr>
          </w:p>
        </w:tc>
        <w:tc>
          <w:tcPr>
            <w:tcW w:w="1980" w:type="dxa"/>
            <w:vAlign w:val="bottom"/>
            <w:tcBorders>
              <w:top w:val="single" w:sz="8" w:color="D9D9D9"/>
            </w:tcBorders>
            <w:shd w:val="clear" w:color="auto" w:fill="D9D9D9"/>
          </w:tcPr>
          <w:p>
            <w:pPr>
              <w:spacing w:after="0"/>
              <w:rPr>
                <w:sz w:val="2"/>
                <w:szCs w:val="2"/>
                <w:color w:val="auto"/>
              </w:rPr>
            </w:pPr>
          </w:p>
        </w:tc>
        <w:tc>
          <w:tcPr>
            <w:tcW w:w="660" w:type="dxa"/>
            <w:vAlign w:val="bottom"/>
            <w:tcBorders>
              <w:top w:val="single" w:sz="8" w:color="D9D9D9"/>
            </w:tcBorders>
            <w:shd w:val="clear" w:color="auto" w:fill="D9D9D9"/>
          </w:tcPr>
          <w:p>
            <w:pPr>
              <w:spacing w:after="0"/>
              <w:rPr>
                <w:sz w:val="2"/>
                <w:szCs w:val="2"/>
                <w:color w:val="auto"/>
              </w:rPr>
            </w:pPr>
          </w:p>
        </w:tc>
      </w:tr>
      <w:tr>
        <w:trPr>
          <w:trHeight w:val="256"/>
        </w:trPr>
        <w:tc>
          <w:tcPr>
            <w:tcW w:w="6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20"/>
                <w:szCs w:val="20"/>
                <w:color w:val="auto"/>
              </w:rPr>
              <w:t>105% of Target</w:t>
            </w:r>
          </w:p>
        </w:tc>
        <w:tc>
          <w:tcPr>
            <w:tcW w:w="6300" w:type="dxa"/>
            <w:vAlign w:val="bottom"/>
            <w:gridSpan w:val="4"/>
          </w:tcPr>
          <w:p>
            <w:pPr>
              <w:ind w:left="1360"/>
              <w:spacing w:after="0"/>
              <w:rPr>
                <w:sz w:val="20"/>
                <w:szCs w:val="20"/>
                <w:color w:val="auto"/>
              </w:rPr>
            </w:pPr>
            <w:r>
              <w:rPr>
                <w:rFonts w:ascii="Arial" w:cs="Arial" w:eastAsia="Arial" w:hAnsi="Arial"/>
                <w:sz w:val="20"/>
                <w:szCs w:val="20"/>
                <w:color w:val="auto"/>
              </w:rPr>
              <w:t>200% (Maximum)</w:t>
            </w:r>
          </w:p>
        </w:tc>
      </w:tr>
      <w:tr>
        <w:trPr>
          <w:trHeight w:val="257"/>
        </w:trPr>
        <w:tc>
          <w:tcPr>
            <w:tcW w:w="2720" w:type="dxa"/>
            <w:vAlign w:val="bottom"/>
            <w:gridSpan w:val="3"/>
            <w:shd w:val="clear" w:color="auto" w:fill="D9D9D9"/>
          </w:tcPr>
          <w:p>
            <w:pPr>
              <w:ind w:left="60"/>
              <w:spacing w:after="0"/>
              <w:rPr>
                <w:sz w:val="20"/>
                <w:szCs w:val="20"/>
                <w:color w:val="auto"/>
              </w:rPr>
            </w:pPr>
            <w:r>
              <w:rPr>
                <w:rFonts w:ascii="Arial" w:cs="Arial" w:eastAsia="Arial" w:hAnsi="Arial"/>
                <w:sz w:val="20"/>
                <w:szCs w:val="20"/>
                <w:color w:val="auto"/>
              </w:rPr>
              <w:t>Target</w:t>
            </w:r>
          </w:p>
        </w:tc>
        <w:tc>
          <w:tcPr>
            <w:tcW w:w="3660" w:type="dxa"/>
            <w:vAlign w:val="bottom"/>
            <w:gridSpan w:val="2"/>
            <w:shd w:val="clear" w:color="auto" w:fill="D9D9D9"/>
          </w:tcPr>
          <w:p>
            <w:pPr>
              <w:jc w:val="right"/>
              <w:ind w:right="1741"/>
              <w:spacing w:after="0"/>
              <w:rPr>
                <w:sz w:val="20"/>
                <w:szCs w:val="20"/>
                <w:color w:val="auto"/>
              </w:rPr>
            </w:pPr>
            <w:r>
              <w:rPr>
                <w:rFonts w:ascii="Arial" w:cs="Arial" w:eastAsia="Arial" w:hAnsi="Arial"/>
                <w:sz w:val="20"/>
                <w:szCs w:val="20"/>
                <w:color w:val="auto"/>
              </w:rPr>
              <w:t>100%</w:t>
            </w:r>
          </w:p>
        </w:tc>
        <w:tc>
          <w:tcPr>
            <w:tcW w:w="1980" w:type="dxa"/>
            <w:vAlign w:val="bottom"/>
            <w:shd w:val="clear" w:color="auto" w:fill="D9D9D9"/>
          </w:tcPr>
          <w:p>
            <w:pPr>
              <w:spacing w:after="0"/>
              <w:rPr>
                <w:sz w:val="22"/>
                <w:szCs w:val="22"/>
                <w:color w:val="auto"/>
              </w:rPr>
            </w:pPr>
          </w:p>
        </w:tc>
        <w:tc>
          <w:tcPr>
            <w:tcW w:w="660" w:type="dxa"/>
            <w:vAlign w:val="bottom"/>
          </w:tcPr>
          <w:p>
            <w:pPr>
              <w:spacing w:after="0"/>
              <w:rPr>
                <w:sz w:val="22"/>
                <w:szCs w:val="22"/>
                <w:color w:val="auto"/>
              </w:rPr>
            </w:pPr>
          </w:p>
        </w:tc>
      </w:tr>
      <w:tr>
        <w:trPr>
          <w:trHeight w:val="261"/>
        </w:trPr>
        <w:tc>
          <w:tcPr>
            <w:tcW w:w="2720" w:type="dxa"/>
            <w:vAlign w:val="bottom"/>
            <w:gridSpan w:val="3"/>
          </w:tcPr>
          <w:p>
            <w:pPr>
              <w:ind w:left="60"/>
              <w:spacing w:after="0"/>
              <w:rPr>
                <w:sz w:val="20"/>
                <w:szCs w:val="20"/>
                <w:color w:val="auto"/>
              </w:rPr>
            </w:pPr>
            <w:r>
              <w:rPr>
                <w:rFonts w:ascii="Arial" w:cs="Arial" w:eastAsia="Arial" w:hAnsi="Arial"/>
                <w:sz w:val="20"/>
                <w:szCs w:val="20"/>
                <w:color w:val="auto"/>
              </w:rPr>
              <w:t>95% of Target</w:t>
            </w:r>
          </w:p>
        </w:tc>
        <w:tc>
          <w:tcPr>
            <w:tcW w:w="5640" w:type="dxa"/>
            <w:vAlign w:val="bottom"/>
            <w:gridSpan w:val="3"/>
          </w:tcPr>
          <w:p>
            <w:pPr>
              <w:ind w:left="1360"/>
              <w:spacing w:after="0"/>
              <w:rPr>
                <w:sz w:val="20"/>
                <w:szCs w:val="20"/>
                <w:color w:val="auto"/>
              </w:rPr>
            </w:pPr>
            <w:r>
              <w:rPr>
                <w:rFonts w:ascii="Arial" w:cs="Arial" w:eastAsia="Arial" w:hAnsi="Arial"/>
                <w:sz w:val="20"/>
                <w:szCs w:val="20"/>
                <w:color w:val="auto"/>
              </w:rPr>
              <w:t>25% (Threshold)</w:t>
            </w:r>
          </w:p>
        </w:tc>
        <w:tc>
          <w:tcPr>
            <w:tcW w:w="660" w:type="dxa"/>
            <w:vAlign w:val="bottom"/>
          </w:tcPr>
          <w:p>
            <w:pPr>
              <w:spacing w:after="0"/>
              <w:rPr>
                <w:sz w:val="22"/>
                <w:szCs w:val="22"/>
                <w:color w:val="auto"/>
              </w:rPr>
            </w:pPr>
          </w:p>
        </w:tc>
      </w:tr>
    </w:tbl>
    <w:p>
      <w:pPr>
        <w:spacing w:after="0" w:line="311" w:lineRule="exact"/>
        <w:rPr>
          <w:sz w:val="20"/>
          <w:szCs w:val="20"/>
          <w:color w:val="auto"/>
        </w:rPr>
      </w:pPr>
    </w:p>
    <w:p>
      <w:pPr>
        <w:ind w:left="660" w:hanging="4"/>
        <w:spacing w:after="0" w:line="286" w:lineRule="auto"/>
        <w:tabs>
          <w:tab w:leader="none" w:pos="1307"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Sales Definition</w:t>
      </w:r>
      <w:r>
        <w:rPr>
          <w:rFonts w:ascii="Arial" w:cs="Arial" w:eastAsia="Arial" w:hAnsi="Arial"/>
          <w:sz w:val="20"/>
          <w:szCs w:val="20"/>
          <w:color w:val="auto"/>
        </w:rPr>
        <w:t>. For purposes of this Award Agreement, Sales means sales of the Corporation as determined in accordance with accounting principles generally accepted in the United States.</w:t>
      </w:r>
    </w:p>
    <w:p>
      <w:pPr>
        <w:spacing w:after="0" w:line="167" w:lineRule="exact"/>
        <w:rPr>
          <w:rFonts w:ascii="Arial" w:cs="Arial" w:eastAsia="Arial" w:hAnsi="Arial"/>
          <w:sz w:val="20"/>
          <w:szCs w:val="20"/>
          <w:color w:val="auto"/>
        </w:rPr>
      </w:pPr>
    </w:p>
    <w:p>
      <w:pPr>
        <w:ind w:left="660" w:hanging="4"/>
        <w:spacing w:after="0" w:line="286" w:lineRule="auto"/>
        <w:tabs>
          <w:tab w:leader="none" w:pos="1307"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Sales Determination</w:t>
      </w:r>
      <w:r>
        <w:rPr>
          <w:rFonts w:ascii="Arial" w:cs="Arial" w:eastAsia="Arial" w:hAnsi="Arial"/>
          <w:sz w:val="20"/>
          <w:szCs w:val="20"/>
          <w:color w:val="auto"/>
        </w:rPr>
        <w:t>. Sales shall be determined by the Committee using amounts reported on the Corporation’s audited consolidated financial statements.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Cash from Operations Performance Factor</w:t>
      </w:r>
      <w:r>
        <w:rPr>
          <w:rFonts w:ascii="Arial" w:cs="Arial" w:eastAsia="Arial" w:hAnsi="Arial"/>
          <w:sz w:val="20"/>
          <w:szCs w:val="20"/>
          <w:color w:val="auto"/>
        </w:rPr>
        <w:t>. The Cash from Operations Performance Factor will be determined by comparing the Corporation’s cumulative Cash from Operations during the Performance Period to the Cash from Operations Target, and then identifying the Cash from Operations Performance Factor based upon the factor associated with the change from the Cash from Operations Target on the following table:</w:t>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40" w:type="dxa"/>
        <w:tblCellMar>
          <w:top w:w="0" w:type="dxa"/>
          <w:left w:w="0" w:type="dxa"/>
          <w:bottom w:w="0" w:type="dxa"/>
          <w:right w:w="0" w:type="dxa"/>
        </w:tblCellMar>
      </w:tblPr>
      <w:tr>
        <w:trPr>
          <w:trHeight w:val="264"/>
        </w:trPr>
        <w:tc>
          <w:tcPr>
            <w:tcW w:w="60" w:type="dxa"/>
            <w:vAlign w:val="bottom"/>
            <w:shd w:val="clear" w:color="auto" w:fill="D9D9D9"/>
          </w:tcPr>
          <w:p>
            <w:pPr>
              <w:spacing w:after="0"/>
              <w:rPr>
                <w:sz w:val="22"/>
                <w:szCs w:val="22"/>
                <w:color w:val="auto"/>
              </w:rPr>
            </w:pPr>
          </w:p>
        </w:tc>
        <w:tc>
          <w:tcPr>
            <w:tcW w:w="2460" w:type="dxa"/>
            <w:vAlign w:val="bottom"/>
            <w:shd w:val="clear" w:color="auto" w:fill="D9D9D9"/>
          </w:tcPr>
          <w:p>
            <w:pPr>
              <w:spacing w:after="0"/>
              <w:rPr>
                <w:sz w:val="20"/>
                <w:szCs w:val="20"/>
                <w:color w:val="auto"/>
              </w:rPr>
            </w:pPr>
            <w:r>
              <w:rPr>
                <w:rFonts w:ascii="Arial" w:cs="Arial" w:eastAsia="Arial" w:hAnsi="Arial"/>
                <w:sz w:val="20"/>
                <w:szCs w:val="20"/>
                <w:color w:val="auto"/>
                <w:w w:val="98"/>
              </w:rPr>
              <w:t>Cash from Operations Band</w:t>
            </w:r>
          </w:p>
        </w:tc>
        <w:tc>
          <w:tcPr>
            <w:tcW w:w="76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4940" w:type="dxa"/>
            <w:vAlign w:val="bottom"/>
            <w:gridSpan w:val="3"/>
            <w:shd w:val="clear" w:color="auto" w:fill="D9D9D9"/>
          </w:tcPr>
          <w:p>
            <w:pPr>
              <w:spacing w:after="0"/>
              <w:rPr>
                <w:sz w:val="20"/>
                <w:szCs w:val="20"/>
                <w:color w:val="auto"/>
              </w:rPr>
            </w:pPr>
            <w:r>
              <w:rPr>
                <w:rFonts w:ascii="Arial" w:cs="Arial" w:eastAsia="Arial" w:hAnsi="Arial"/>
                <w:sz w:val="20"/>
                <w:szCs w:val="20"/>
                <w:color w:val="auto"/>
              </w:rPr>
              <w:t>Cash from Operations Performance Factor</w:t>
            </w:r>
          </w:p>
        </w:tc>
      </w:tr>
      <w:tr>
        <w:trPr>
          <w:trHeight w:val="257"/>
        </w:trPr>
        <w:tc>
          <w:tcPr>
            <w:tcW w:w="60" w:type="dxa"/>
            <w:vAlign w:val="bottom"/>
            <w:tcBorders>
              <w:top w:val="single" w:sz="8" w:color="D9D9D9"/>
            </w:tcBorders>
          </w:tcPr>
          <w:p>
            <w:pPr>
              <w:spacing w:after="0"/>
              <w:rPr>
                <w:sz w:val="22"/>
                <w:szCs w:val="22"/>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115% of Target</w:t>
            </w:r>
          </w:p>
        </w:tc>
        <w:tc>
          <w:tcPr>
            <w:tcW w:w="760" w:type="dxa"/>
            <w:vAlign w:val="bottom"/>
            <w:tcBorders>
              <w:top w:val="single" w:sz="8" w:color="D9D9D9"/>
            </w:tcBorders>
          </w:tcPr>
          <w:p>
            <w:pPr>
              <w:spacing w:after="0"/>
              <w:rPr>
                <w:sz w:val="22"/>
                <w:szCs w:val="22"/>
                <w:color w:val="auto"/>
              </w:rPr>
            </w:pPr>
          </w:p>
        </w:tc>
        <w:tc>
          <w:tcPr>
            <w:tcW w:w="800" w:type="dxa"/>
            <w:vAlign w:val="bottom"/>
            <w:tcBorders>
              <w:top w:val="single" w:sz="8" w:color="D9D9D9"/>
            </w:tcBorders>
          </w:tcPr>
          <w:p>
            <w:pPr>
              <w:spacing w:after="0"/>
              <w:rPr>
                <w:sz w:val="22"/>
                <w:szCs w:val="22"/>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200% (Maximum)</w:t>
            </w:r>
          </w:p>
        </w:tc>
        <w:tc>
          <w:tcPr>
            <w:tcW w:w="1200" w:type="dxa"/>
            <w:vAlign w:val="bottom"/>
            <w:tcBorders>
              <w:top w:val="single" w:sz="8" w:color="D9D9D9"/>
            </w:tcBorders>
            <w:gridSpan w:val="2"/>
          </w:tcPr>
          <w:p>
            <w:pPr>
              <w:spacing w:after="0"/>
              <w:rPr>
                <w:sz w:val="22"/>
                <w:szCs w:val="22"/>
                <w:color w:val="auto"/>
              </w:rPr>
            </w:pPr>
          </w:p>
        </w:tc>
      </w:tr>
      <w:tr>
        <w:trPr>
          <w:trHeight w:val="257"/>
        </w:trPr>
        <w:tc>
          <w:tcPr>
            <w:tcW w:w="3280" w:type="dxa"/>
            <w:vAlign w:val="bottom"/>
            <w:gridSpan w:val="3"/>
            <w:shd w:val="clear" w:color="auto" w:fill="D9D9D9"/>
          </w:tcPr>
          <w:p>
            <w:pPr>
              <w:ind w:left="60"/>
              <w:spacing w:after="0"/>
              <w:rPr>
                <w:sz w:val="20"/>
                <w:szCs w:val="20"/>
                <w:color w:val="auto"/>
              </w:rPr>
            </w:pPr>
            <w:r>
              <w:rPr>
                <w:rFonts w:ascii="Arial" w:cs="Arial" w:eastAsia="Arial" w:hAnsi="Arial"/>
                <w:sz w:val="20"/>
                <w:szCs w:val="20"/>
                <w:color w:val="auto"/>
              </w:rPr>
              <w:t>Target</w:t>
            </w:r>
          </w:p>
        </w:tc>
        <w:tc>
          <w:tcPr>
            <w:tcW w:w="4540" w:type="dxa"/>
            <w:vAlign w:val="bottom"/>
            <w:gridSpan w:val="2"/>
            <w:shd w:val="clear" w:color="auto" w:fill="D9D9D9"/>
          </w:tcPr>
          <w:p>
            <w:pPr>
              <w:jc w:val="right"/>
              <w:ind w:right="3181"/>
              <w:spacing w:after="0"/>
              <w:rPr>
                <w:sz w:val="20"/>
                <w:szCs w:val="20"/>
                <w:color w:val="auto"/>
              </w:rPr>
            </w:pPr>
            <w:r>
              <w:rPr>
                <w:rFonts w:ascii="Arial" w:cs="Arial" w:eastAsia="Arial" w:hAnsi="Arial"/>
                <w:sz w:val="20"/>
                <w:szCs w:val="20"/>
                <w:color w:val="auto"/>
              </w:rPr>
              <w:t>100%</w:t>
            </w:r>
          </w:p>
        </w:tc>
        <w:tc>
          <w:tcPr>
            <w:tcW w:w="540" w:type="dxa"/>
            <w:vAlign w:val="bottom"/>
            <w:shd w:val="clear" w:color="auto" w:fill="D9D9D9"/>
          </w:tcPr>
          <w:p>
            <w:pPr>
              <w:spacing w:after="0"/>
              <w:rPr>
                <w:sz w:val="22"/>
                <w:szCs w:val="22"/>
                <w:color w:val="auto"/>
              </w:rPr>
            </w:pPr>
          </w:p>
        </w:tc>
        <w:tc>
          <w:tcPr>
            <w:tcW w:w="660" w:type="dxa"/>
            <w:vAlign w:val="bottom"/>
          </w:tcPr>
          <w:p>
            <w:pPr>
              <w:spacing w:after="0"/>
              <w:rPr>
                <w:sz w:val="22"/>
                <w:szCs w:val="22"/>
                <w:color w:val="auto"/>
              </w:rPr>
            </w:pPr>
          </w:p>
        </w:tc>
      </w:tr>
      <w:tr>
        <w:trPr>
          <w:trHeight w:val="261"/>
        </w:trPr>
        <w:tc>
          <w:tcPr>
            <w:tcW w:w="3280" w:type="dxa"/>
            <w:vAlign w:val="bottom"/>
            <w:gridSpan w:val="3"/>
          </w:tcPr>
          <w:p>
            <w:pPr>
              <w:ind w:left="60"/>
              <w:spacing w:after="0"/>
              <w:rPr>
                <w:sz w:val="20"/>
                <w:szCs w:val="20"/>
                <w:color w:val="auto"/>
              </w:rPr>
            </w:pPr>
            <w:r>
              <w:rPr>
                <w:rFonts w:ascii="Arial" w:cs="Arial" w:eastAsia="Arial" w:hAnsi="Arial"/>
                <w:sz w:val="20"/>
                <w:szCs w:val="20"/>
                <w:color w:val="auto"/>
              </w:rPr>
              <w:t>85% of Target</w:t>
            </w:r>
          </w:p>
        </w:tc>
        <w:tc>
          <w:tcPr>
            <w:tcW w:w="5080" w:type="dxa"/>
            <w:vAlign w:val="bottom"/>
            <w:gridSpan w:val="3"/>
          </w:tcPr>
          <w:p>
            <w:pPr>
              <w:ind w:left="800"/>
              <w:spacing w:after="0"/>
              <w:rPr>
                <w:sz w:val="20"/>
                <w:szCs w:val="20"/>
                <w:color w:val="auto"/>
              </w:rPr>
            </w:pPr>
            <w:r>
              <w:rPr>
                <w:rFonts w:ascii="Arial" w:cs="Arial" w:eastAsia="Arial" w:hAnsi="Arial"/>
                <w:sz w:val="20"/>
                <w:szCs w:val="20"/>
                <w:color w:val="auto"/>
              </w:rPr>
              <w:t>25% (Threshold)</w:t>
            </w:r>
          </w:p>
        </w:tc>
        <w:tc>
          <w:tcPr>
            <w:tcW w:w="660" w:type="dxa"/>
            <w:vAlign w:val="bottom"/>
          </w:tcPr>
          <w:p>
            <w:pPr>
              <w:spacing w:after="0"/>
              <w:rPr>
                <w:sz w:val="22"/>
                <w:szCs w:val="22"/>
                <w:color w:val="auto"/>
              </w:rPr>
            </w:pPr>
          </w:p>
        </w:tc>
      </w:tr>
    </w:tbl>
    <w:p>
      <w:pPr>
        <w:spacing w:after="0" w:line="311" w:lineRule="exact"/>
        <w:rPr>
          <w:sz w:val="20"/>
          <w:szCs w:val="20"/>
          <w:color w:val="auto"/>
        </w:rPr>
      </w:pPr>
    </w:p>
    <w:p>
      <w:pPr>
        <w:jc w:val="both"/>
        <w:ind w:left="660" w:hanging="4"/>
        <w:spacing w:after="0" w:line="249" w:lineRule="auto"/>
        <w:tabs>
          <w:tab w:leader="none" w:pos="1307"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Cash from Operations Definition</w:t>
      </w:r>
      <w:r>
        <w:rPr>
          <w:rFonts w:ascii="Arial" w:cs="Arial" w:eastAsia="Arial" w:hAnsi="Arial"/>
          <w:sz w:val="20"/>
          <w:szCs w:val="20"/>
          <w:color w:val="auto"/>
        </w:rPr>
        <w:t>. For purposes of this Award Agreement, “Cash from Operations” means net cash provided by operating activities, adjusted to exclude the impact of: (i) the aggregate after tax difference between the amount forecasted in the Corporation’s 2026 Long Range Plan to be contributed by the Corporation to the Corporation’s defined benefit pension plans during the Performance Period and the actual amounts contributed by the Corporation during the Performance Period; (ii) any tax payments or tax benefits during the Performance Period associated with the divestiture of business units, other than tax payments or tax benefits that were included in the Corporation’s 2026 Long Range Plan; and (iii) for any year in which Cash from Operations would otherwise be affected by (I) the enactment of corporate tax reform and related legislation and regulations that change the top United States federal corporate income tax rate by two or more percentage points after the Award Date (“Tax Reform”); or (II) an annual net change in cash tax liability resulting from a change in law or interpretation of law related to the amortization of research or experimental expenditures under Section 174 of the Code, as amended from time to time, as reflected in any future Long Range Plan, financial statement or tax return, the aggregate difference between the tax payments forecasted in the 2026 Long Range Plan and the actual tax payments (and adjusting the amount under clause (i) above, if any, to the extent necessary to avoid double counting of tax impacts).</w:t>
      </w:r>
    </w:p>
    <w:p>
      <w:pPr>
        <w:spacing w:after="0" w:line="223" w:lineRule="exact"/>
        <w:rPr>
          <w:rFonts w:ascii="Arial" w:cs="Arial" w:eastAsia="Arial" w:hAnsi="Arial"/>
          <w:sz w:val="20"/>
          <w:szCs w:val="20"/>
          <w:color w:val="auto"/>
        </w:rPr>
      </w:pPr>
    </w:p>
    <w:p>
      <w:pPr>
        <w:jc w:val="both"/>
        <w:ind w:left="660" w:hanging="4"/>
        <w:spacing w:after="0" w:line="250" w:lineRule="auto"/>
        <w:tabs>
          <w:tab w:leader="none" w:pos="1307"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Cash from Operations Determination</w:t>
      </w:r>
      <w:r>
        <w:rPr>
          <w:rFonts w:ascii="Arial" w:cs="Arial" w:eastAsia="Arial" w:hAnsi="Arial"/>
          <w:sz w:val="20"/>
          <w:szCs w:val="20"/>
          <w:color w:val="auto"/>
        </w:rPr>
        <w:t>. Cash from Operations shall be determined by the Committee based upon the comparable numbers reported on the Corporation’s audited consolidated financial statements or, if audited financial statements are not available for the period for which Cash from Operations is being determined, the Committee shall determine Cash from Operations in a manner consistent with the historical practices used by the Corporation in determining net cash provided by operating activities as reported in its audited consolidated statement of cash flows, in either case as modified by this paragraph. Notwithstanding the foregoing, Cash from Operations will be adjusted to exclude the impact of any change in accounting standards or adoption of any new accounting standard that was not included in the 2026 Long Range Plan that is required under generally accepted accounting principles in the United States and that is reported in the Corporation’s filings with the Securities and Exchange Commission as having a material effect on the Corporation’s consolidated financial statements.</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Interpolation of Sales and Cash from Operations Metrics</w:t>
      </w:r>
      <w:r>
        <w:rPr>
          <w:rFonts w:ascii="Arial" w:cs="Arial" w:eastAsia="Arial" w:hAnsi="Arial"/>
          <w:sz w:val="20"/>
          <w:szCs w:val="20"/>
          <w:color w:val="auto"/>
        </w:rPr>
        <w:t>. If the Corporation’s Sales or Cash from Operations falls above or below Target and between the two percentages of Target listed in the applicable table in Section 4.1 or 4.2, the appropriate performance factor will be interpolated on a linear basis. Notwithstanding the foregoing, (i) the Sales Performance Factor will always be zero if the aggregate Sales for the Performance Period is less than 95% of the Sales Target and (ii) the Cash from Operations Performance Factor will always be zero if the</w:t>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aggregate Cash from Operations for the Performance Period is less than 85% of the Cash from Operations Target.</w:t>
      </w:r>
    </w:p>
    <w:p>
      <w:pPr>
        <w:spacing w:after="0" w:line="25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9"/>
          <w:szCs w:val="19"/>
          <w:b w:val="1"/>
          <w:bCs w:val="1"/>
          <w:u w:val="single" w:color="auto"/>
          <w:color w:val="auto"/>
        </w:rPr>
        <w:t>Payment of Award</w:t>
      </w:r>
      <w:r>
        <w:rPr>
          <w:rFonts w:ascii="Arial" w:cs="Arial" w:eastAsia="Arial" w:hAnsi="Arial"/>
          <w:sz w:val="19"/>
          <w:szCs w:val="19"/>
          <w:b w:val="1"/>
          <w:bCs w:val="1"/>
          <w:color w:val="auto"/>
        </w:rPr>
        <w:t>.</w:t>
      </w:r>
    </w:p>
    <w:p>
      <w:pPr>
        <w:spacing w:after="0" w:line="24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u w:val="single" w:color="auto"/>
          <w:color w:val="auto"/>
        </w:rPr>
        <w:t>Employment Requirement</w:t>
      </w:r>
      <w:r>
        <w:rPr>
          <w:rFonts w:ascii="Arial" w:cs="Arial" w:eastAsia="Arial" w:hAnsi="Arial"/>
          <w:sz w:val="19"/>
          <w:szCs w:val="19"/>
          <w:color w:val="auto"/>
        </w:rPr>
        <w:t>.</w:t>
      </w:r>
    </w:p>
    <w:p>
      <w:pPr>
        <w:spacing w:after="0" w:line="256" w:lineRule="exact"/>
        <w:rPr>
          <w:sz w:val="20"/>
          <w:szCs w:val="20"/>
          <w:color w:val="auto"/>
        </w:rPr>
      </w:pPr>
    </w:p>
    <w:p>
      <w:pPr>
        <w:jc w:val="both"/>
        <w:ind w:left="660" w:hanging="4"/>
        <w:spacing w:after="0" w:line="251" w:lineRule="auto"/>
        <w:tabs>
          <w:tab w:leader="none" w:pos="117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In order to be eligible to receive payment of your final Award as determined under Section 2.1(e), you must accept this Award Agreement as described in Section 18 and remain employed by the Corporation through the last day of the Vesting Period. Except as provided below or where prohibited by law, if your employment as an Employee terminates during the Vesting Period, you shall forfeit your right to receive all or any part of your Award. If you are on Corporation-approved leave of absence at any point during the Vesting Period, for purposes of this Award Agreement, you will be considered to still be in the employ of the Corporation, unless otherwise provided in an agreement between you and the Corporation.</w:t>
      </w:r>
    </w:p>
    <w:p>
      <w:pPr>
        <w:spacing w:after="0" w:line="219" w:lineRule="exact"/>
        <w:rPr>
          <w:rFonts w:ascii="Arial" w:cs="Arial" w:eastAsia="Arial" w:hAnsi="Arial"/>
          <w:sz w:val="20"/>
          <w:szCs w:val="20"/>
          <w:color w:val="auto"/>
        </w:rPr>
      </w:pPr>
    </w:p>
    <w:p>
      <w:pPr>
        <w:ind w:left="1120" w:hanging="464"/>
        <w:spacing w:after="0"/>
        <w:tabs>
          <w:tab w:leader="none" w:pos="112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Notwithstanding Section 5.1(a), if the Committee determines</w:t>
      </w:r>
    </w:p>
    <w:p>
      <w:pPr>
        <w:spacing w:after="0" w:line="256" w:lineRule="exact"/>
        <w:rPr>
          <w:rFonts w:ascii="Arial" w:cs="Arial" w:eastAsia="Arial" w:hAnsi="Arial"/>
          <w:sz w:val="20"/>
          <w:szCs w:val="20"/>
          <w:color w:val="auto"/>
        </w:rPr>
      </w:pPr>
    </w:p>
    <w:p>
      <w:pPr>
        <w:ind w:left="1300" w:firstLine="4"/>
        <w:spacing w:after="0" w:line="271" w:lineRule="auto"/>
        <w:tabs>
          <w:tab w:leader="none" w:pos="1701"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that your employment as an Employee terminated, as a result of your death, Total Disability or Retirement, or a Divestiture, or</w:t>
      </w:r>
    </w:p>
    <w:p>
      <w:pPr>
        <w:spacing w:after="0" w:line="196" w:lineRule="exact"/>
        <w:rPr>
          <w:rFonts w:ascii="Arial" w:cs="Arial" w:eastAsia="Arial" w:hAnsi="Arial"/>
          <w:sz w:val="20"/>
          <w:szCs w:val="20"/>
          <w:color w:val="auto"/>
        </w:rPr>
      </w:pPr>
    </w:p>
    <w:p>
      <w:pPr>
        <w:jc w:val="both"/>
        <w:ind w:left="1300" w:firstLine="4"/>
        <w:spacing w:after="0" w:line="259" w:lineRule="auto"/>
        <w:tabs>
          <w:tab w:leader="none" w:pos="1762"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that the Corporation terminated your employment involuntarily after August 25, 2026 (the “Minimum Service Date”) (except that, if you are an employee who has been identified by the Corporation as subject to Divestiture, “after the Minimum Service Date,” does not apply to you) as a result of a layoff, including through a voluntary layoff program that constitutes a window program under Section 409A of the Code,</w:t>
      </w:r>
    </w:p>
    <w:p>
      <w:pPr>
        <w:spacing w:after="0" w:line="195" w:lineRule="exact"/>
        <w:rPr>
          <w:sz w:val="20"/>
          <w:szCs w:val="20"/>
          <w:color w:val="auto"/>
        </w:rPr>
      </w:pPr>
    </w:p>
    <w:p>
      <w:pPr>
        <w:jc w:val="both"/>
        <w:ind w:left="660"/>
        <w:spacing w:after="0" w:line="259" w:lineRule="auto"/>
        <w:rPr>
          <w:sz w:val="20"/>
          <w:szCs w:val="20"/>
          <w:color w:val="auto"/>
        </w:rPr>
      </w:pPr>
      <w:r>
        <w:rPr>
          <w:rFonts w:ascii="Arial" w:cs="Arial" w:eastAsia="Arial" w:hAnsi="Arial"/>
          <w:sz w:val="20"/>
          <w:szCs w:val="20"/>
          <w:color w:val="auto"/>
        </w:rPr>
        <w:t>you shall be eligible to receive a fraction of your Award and the DDEs with respect to such fraction. The numerator of such fraction shall equal the number of days from the Award Date to the date your employment as an Employee terminated, and the denominator shall equal the total number of days from the Award Date to the end of the Vesting Period.</w:t>
      </w:r>
    </w:p>
    <w:p>
      <w:pPr>
        <w:spacing w:after="0" w:line="195"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As a condition to being eligible to receive a portion of your Award and the DDEs with respect to such portion as a result of your layoff in accordance with Section 5.1(b)(ii), you will be required to execute and deliver to the Corporation a general release of claims against the Corporation in a form acceptable to the Corporation within the time period specified by the Corporation in such release and not revoke such release within any revocation period provided for therein. Except as otherwise expressly provided by the Corporation in writing, a failure to satisfy this condition will result in forfeiture of your right to receive all or any part of your Award on the date of your layoff.</w:t>
      </w:r>
    </w:p>
    <w:p>
      <w:pPr>
        <w:spacing w:after="0" w:line="214"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The Committee shall have complete and absolute discretion to make the determinations called for under this Section 5.1(b), and all such determinations shall be binding on you and on any person who claims all or any part of your Award on your behalf as well as on the Corporation.</w:t>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00" w:hanging="444"/>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Special Definitions</w:t>
      </w:r>
      <w:r>
        <w:rPr>
          <w:rFonts w:ascii="Arial" w:cs="Arial" w:eastAsia="Arial" w:hAnsi="Arial"/>
          <w:sz w:val="20"/>
          <w:szCs w:val="20"/>
          <w:color w:val="auto"/>
        </w:rPr>
        <w:t>. For purposes of this Award Agreement:</w:t>
      </w:r>
    </w:p>
    <w:p>
      <w:pPr>
        <w:spacing w:after="0" w:line="256" w:lineRule="exact"/>
        <w:rPr>
          <w:rFonts w:ascii="Arial" w:cs="Arial" w:eastAsia="Arial" w:hAnsi="Arial"/>
          <w:sz w:val="20"/>
          <w:szCs w:val="20"/>
          <w:color w:val="auto"/>
        </w:rPr>
      </w:pPr>
    </w:p>
    <w:p>
      <w:pPr>
        <w:jc w:val="both"/>
        <w:ind w:left="1300" w:firstLine="4"/>
        <w:spacing w:after="0" w:line="254" w:lineRule="auto"/>
        <w:tabs>
          <w:tab w:leader="none" w:pos="1718" w:val="left"/>
        </w:tabs>
        <w:numPr>
          <w:ilvl w:val="2"/>
          <w:numId w:val="70"/>
        </w:numPr>
        <w:rPr>
          <w:rFonts w:ascii="Arial" w:cs="Arial" w:eastAsia="Arial" w:hAnsi="Arial"/>
          <w:sz w:val="20"/>
          <w:szCs w:val="20"/>
          <w:color w:val="auto"/>
        </w:rPr>
      </w:pPr>
      <w:r>
        <w:rPr>
          <w:rFonts w:ascii="Arial" w:cs="Arial" w:eastAsia="Arial" w:hAnsi="Arial"/>
          <w:sz w:val="20"/>
          <w:szCs w:val="20"/>
          <w:color w:val="auto"/>
        </w:rPr>
        <w:t>Your employment as an Employee shall be treated as terminating because of a “Total Disability” on the date you commence receiving a benefit under the Corporation’s long-term disability plan in which you participate, or if you are not enrolled in the Corporation’s long-term disability plan, the date on which long-term disability benefits would commence under the plan under which you would have been covered, had you enrolled, using the standards set forth in that plan;</w:t>
      </w:r>
    </w:p>
    <w:p>
      <w:pPr>
        <w:spacing w:after="0" w:line="214" w:lineRule="exact"/>
        <w:rPr>
          <w:rFonts w:ascii="Arial" w:cs="Arial" w:eastAsia="Arial" w:hAnsi="Arial"/>
          <w:sz w:val="20"/>
          <w:szCs w:val="20"/>
          <w:color w:val="auto"/>
        </w:rPr>
      </w:pPr>
    </w:p>
    <w:p>
      <w:pPr>
        <w:jc w:val="both"/>
        <w:ind w:left="1300" w:firstLine="4"/>
        <w:spacing w:after="0" w:line="252" w:lineRule="auto"/>
        <w:tabs>
          <w:tab w:leader="none" w:pos="1741" w:val="left"/>
        </w:tabs>
        <w:numPr>
          <w:ilvl w:val="2"/>
          <w:numId w:val="70"/>
        </w:numPr>
        <w:rPr>
          <w:rFonts w:ascii="Arial" w:cs="Arial" w:eastAsia="Arial" w:hAnsi="Arial"/>
          <w:sz w:val="20"/>
          <w:szCs w:val="20"/>
          <w:color w:val="auto"/>
        </w:rPr>
      </w:pPr>
      <w:r>
        <w:rPr>
          <w:rFonts w:ascii="Arial" w:cs="Arial" w:eastAsia="Arial" w:hAnsi="Arial"/>
          <w:sz w:val="20"/>
          <w:szCs w:val="20"/>
          <w:color w:val="auto"/>
        </w:rPr>
        <w:t>Your employment as an Employee shall be treated as terminating as a result of Divestiture if the Corporation divests all or substantially all of a business operation of the Corporation and such divestiture results in the termination of your employment with the Corporation and a transfer of such employment to the other party in the Divestiture. A “Divestiture” shall mean a transaction that results in the transfer of control of the business operation divested to any person, corporation, association, partnership, joint venture, limited liability company or other business entity of which less than 50% of the voting stock or other equity interests are directly or indirectly owned or controlled by the Corporation, by one or more of the Corporation’s Subsidiaries or by any combination thereof; and</w:t>
      </w:r>
    </w:p>
    <w:p>
      <w:pPr>
        <w:spacing w:after="0" w:line="201" w:lineRule="exact"/>
        <w:rPr>
          <w:rFonts w:ascii="Arial" w:cs="Arial" w:eastAsia="Arial" w:hAnsi="Arial"/>
          <w:sz w:val="20"/>
          <w:szCs w:val="20"/>
          <w:color w:val="auto"/>
        </w:rPr>
      </w:pPr>
    </w:p>
    <w:p>
      <w:pPr>
        <w:jc w:val="both"/>
        <w:ind w:left="1300" w:firstLine="4"/>
        <w:spacing w:after="0" w:line="258" w:lineRule="auto"/>
        <w:tabs>
          <w:tab w:leader="none" w:pos="1840" w:val="left"/>
        </w:tabs>
        <w:numPr>
          <w:ilvl w:val="2"/>
          <w:numId w:val="70"/>
        </w:numPr>
        <w:rPr>
          <w:rFonts w:ascii="Arial" w:cs="Arial" w:eastAsia="Arial" w:hAnsi="Arial"/>
          <w:sz w:val="20"/>
          <w:szCs w:val="20"/>
          <w:color w:val="auto"/>
        </w:rPr>
      </w:pPr>
      <w:r>
        <w:rPr>
          <w:rFonts w:ascii="Arial" w:cs="Arial" w:eastAsia="Arial" w:hAnsi="Arial"/>
          <w:sz w:val="20"/>
          <w:szCs w:val="20"/>
          <w:color w:val="auto"/>
        </w:rPr>
        <w:t>Your employment as an Employee shall be treated as terminating because of “Retirement” if the effective date of your termination of employment is after the Minimum Service Date, and (1) after you reach age 65, or (2) after you reach age 55 and have (at the time of your termination) completed at least 10 years of service with the Corporation. For this purpose, the effective date of your termination of employment is the day next following your last day worked.</w:t>
      </w:r>
    </w:p>
    <w:p>
      <w:pPr>
        <w:spacing w:after="0" w:line="194" w:lineRule="exact"/>
        <w:rPr>
          <w:rFonts w:ascii="Arial" w:cs="Arial" w:eastAsia="Arial" w:hAnsi="Arial"/>
          <w:sz w:val="20"/>
          <w:szCs w:val="20"/>
          <w:color w:val="auto"/>
        </w:rPr>
      </w:pPr>
    </w:p>
    <w:p>
      <w:pPr>
        <w:ind w:left="1120" w:hanging="464"/>
        <w:spacing w:after="0"/>
        <w:tabs>
          <w:tab w:leader="none" w:pos="112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Resignation or Termination before the Last Day of the Vesting Period</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404"/>
        <w:spacing w:after="0" w:line="259" w:lineRule="auto"/>
        <w:tabs>
          <w:tab w:leader="none" w:pos="1308" w:val="left"/>
        </w:tabs>
        <w:numPr>
          <w:ilvl w:val="1"/>
          <w:numId w:val="70"/>
        </w:numPr>
        <w:rPr>
          <w:rFonts w:ascii="Arial" w:cs="Arial" w:eastAsia="Arial" w:hAnsi="Arial"/>
          <w:sz w:val="20"/>
          <w:szCs w:val="20"/>
          <w:color w:val="auto"/>
        </w:rPr>
      </w:pPr>
      <w:r>
        <w:rPr>
          <w:rFonts w:ascii="Arial" w:cs="Arial" w:eastAsia="Arial" w:hAnsi="Arial"/>
          <w:sz w:val="20"/>
          <w:szCs w:val="20"/>
          <w:color w:val="auto"/>
        </w:rPr>
        <w:t>Except where prohibited by law, if you resign or your employment otherwise terminates before the last day of the Vesting Period, other than on account of death, Total Disability, layoff, Retirement or Divestiture (as described above) or Change in Control (as described below), you will forfeit your right to receive all or any part of your Award on the date of your termination.</w:t>
      </w:r>
    </w:p>
    <w:p>
      <w:pPr>
        <w:spacing w:after="0" w:line="208" w:lineRule="exact"/>
        <w:rPr>
          <w:rFonts w:ascii="Arial" w:cs="Arial" w:eastAsia="Arial" w:hAnsi="Arial"/>
          <w:sz w:val="20"/>
          <w:szCs w:val="20"/>
          <w:color w:val="auto"/>
        </w:rPr>
      </w:pPr>
    </w:p>
    <w:p>
      <w:pPr>
        <w:jc w:val="both"/>
        <w:ind w:left="1300" w:hanging="397"/>
        <w:spacing w:after="0" w:line="254" w:lineRule="auto"/>
        <w:tabs>
          <w:tab w:leader="none" w:pos="1365" w:val="left"/>
        </w:tabs>
        <w:numPr>
          <w:ilvl w:val="1"/>
          <w:numId w:val="70"/>
        </w:numPr>
        <w:rPr>
          <w:rFonts w:ascii="Arial" w:cs="Arial" w:eastAsia="Arial" w:hAnsi="Arial"/>
          <w:sz w:val="20"/>
          <w:szCs w:val="20"/>
          <w:color w:val="auto"/>
        </w:rPr>
      </w:pPr>
      <w:r>
        <w:rPr>
          <w:rFonts w:ascii="Arial" w:cs="Arial" w:eastAsia="Arial" w:hAnsi="Arial"/>
          <w:sz w:val="20"/>
          <w:szCs w:val="20"/>
          <w:color w:val="auto"/>
        </w:rPr>
        <w:t>Except where prohibited by law, if your employment terminates for any reason before the last day of the Vesting Period, by action of the Corporation due to your misconduct, then you will forfeit your right to receive all or any part of your Award on the date of your termination, even if at the time of your termination due to misconduct you have attained (i) age 55 and 10 years of service, or (ii) age 65. The business area or Enterprise Operations review committee responsible for determinations of misconduct, or the Committee if you are an Elected Officer, will determine if your employment terminates due to misconduct.</w:t>
      </w:r>
    </w:p>
    <w:p>
      <w:pPr>
        <w:spacing w:after="0" w:line="20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Payment Rules</w:t>
      </w:r>
      <w:r>
        <w:rPr>
          <w:rFonts w:ascii="Arial" w:cs="Arial" w:eastAsia="Arial" w:hAnsi="Arial"/>
          <w:sz w:val="19"/>
          <w:szCs w:val="19"/>
          <w:color w:val="auto"/>
        </w:rPr>
        <w:t>.</w:t>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20" w:hanging="4"/>
        <w:spacing w:after="0" w:line="286" w:lineRule="auto"/>
        <w:tabs>
          <w:tab w:leader="none" w:pos="130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If you are eligible to receive an Award under Section 5.1(a) or a fraction of an Award under Section 5.1(b), your Award shall vest on the last day of the Vesting Period.</w:t>
      </w:r>
    </w:p>
    <w:p>
      <w:pPr>
        <w:spacing w:after="0" w:line="167" w:lineRule="exact"/>
        <w:rPr>
          <w:rFonts w:ascii="Arial" w:cs="Arial" w:eastAsia="Arial" w:hAnsi="Arial"/>
          <w:sz w:val="20"/>
          <w:szCs w:val="20"/>
          <w:color w:val="auto"/>
        </w:rPr>
      </w:pPr>
    </w:p>
    <w:p>
      <w:pPr>
        <w:ind w:left="660" w:hanging="4"/>
        <w:spacing w:after="0" w:line="286" w:lineRule="auto"/>
        <w:tabs>
          <w:tab w:leader="none" w:pos="130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Method of Payment</w:t>
      </w:r>
      <w:r>
        <w:rPr>
          <w:rFonts w:ascii="Arial" w:cs="Arial" w:eastAsia="Arial" w:hAnsi="Arial"/>
          <w:sz w:val="20"/>
          <w:szCs w:val="20"/>
          <w:color w:val="auto"/>
        </w:rPr>
        <w:t>. Your Award shall be paid in whole shares of Stock. DDEs on the shares underlying your Award, if any, shall be paid in cash. In the event of your death, your payment will be made to your Beneficiary.</w:t>
      </w:r>
    </w:p>
    <w:p>
      <w:pPr>
        <w:spacing w:after="0" w:line="167" w:lineRule="exact"/>
        <w:rPr>
          <w:rFonts w:ascii="Arial" w:cs="Arial" w:eastAsia="Arial" w:hAnsi="Arial"/>
          <w:sz w:val="20"/>
          <w:szCs w:val="20"/>
          <w:color w:val="auto"/>
        </w:rPr>
      </w:pPr>
    </w:p>
    <w:p>
      <w:pPr>
        <w:jc w:val="both"/>
        <w:ind w:left="660" w:hanging="4"/>
        <w:spacing w:after="0" w:line="239"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Timing of Payment</w:t>
      </w:r>
      <w:r>
        <w:rPr>
          <w:rFonts w:ascii="Arial" w:cs="Arial" w:eastAsia="Arial" w:hAnsi="Arial"/>
          <w:sz w:val="20"/>
          <w:szCs w:val="20"/>
          <w:color w:val="auto"/>
        </w:rPr>
        <w:t>. You shall have the right to receive your Award plus DDEs as soon as administratively practicable following the Vesting Period, but no later than the March 15 following the last day of the Vesting Period (for taxpayers in Canada or as otherwise required by local country law, no later than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following the last day of the Vesting Period).</w:t>
      </w:r>
    </w:p>
    <w:p>
      <w:pPr>
        <w:spacing w:after="0" w:line="228" w:lineRule="exact"/>
        <w:rPr>
          <w:rFonts w:ascii="Arial" w:cs="Arial" w:eastAsia="Arial" w:hAnsi="Arial"/>
          <w:sz w:val="20"/>
          <w:szCs w:val="20"/>
          <w:color w:val="auto"/>
        </w:rPr>
      </w:pPr>
    </w:p>
    <w:p>
      <w:pPr>
        <w:jc w:val="both"/>
        <w:ind w:left="660" w:hanging="4"/>
        <w:spacing w:after="0" w:line="254" w:lineRule="auto"/>
        <w:tabs>
          <w:tab w:leader="none" w:pos="130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Special Rules for Certain Employees Terminated During Performance Period</w:t>
      </w:r>
      <w:r>
        <w:rPr>
          <w:rFonts w:ascii="Arial" w:cs="Arial" w:eastAsia="Arial" w:hAnsi="Arial"/>
          <w:sz w:val="20"/>
          <w:szCs w:val="20"/>
          <w:color w:val="auto"/>
        </w:rPr>
        <w:t>. If you terminate employment during the Vesting Period but are eligible to receive a portion of your Award as a result of an exception under Section 5.1(b), payment of such portion of your Award and DDEs shall be in full satisfaction of all rights you have under this Award Agreement. The portion of your Award and DDEs payable to you following a termination of employment during the Vesting Period under circumstances described in Section 5.1(b) shall be paid to you or, in the event of your death, to your Beneficiary, at the time specified in Section 5.2(c).</w:t>
      </w:r>
    </w:p>
    <w:p>
      <w:pPr>
        <w:spacing w:after="0" w:line="200" w:lineRule="exact"/>
        <w:rPr>
          <w:rFonts w:ascii="Arial" w:cs="Arial" w:eastAsia="Arial" w:hAnsi="Arial"/>
          <w:sz w:val="20"/>
          <w:szCs w:val="20"/>
          <w:color w:val="auto"/>
        </w:rPr>
      </w:pPr>
    </w:p>
    <w:p>
      <w:pPr>
        <w:jc w:val="both"/>
        <w:ind w:left="660" w:hanging="4"/>
        <w:spacing w:after="0" w:line="254" w:lineRule="auto"/>
        <w:tabs>
          <w:tab w:leader="none" w:pos="130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Payment Rules Applicable to Canadian Employees</w:t>
      </w:r>
      <w:r>
        <w:rPr>
          <w:rFonts w:ascii="Arial" w:cs="Arial" w:eastAsia="Arial" w:hAnsi="Arial"/>
          <w:sz w:val="20"/>
          <w:szCs w:val="20"/>
          <w:color w:val="auto"/>
        </w:rPr>
        <w:t>. If you are employed in Canada, for purposes of the Award Agreement, the date of termination of employment will be the last day of actual and active employment. For the avoidance of doubt, except as may be required by applicable minimum standards legislation, no period of notice or payment in lieu of notice that is given or that ought to have been given under any applicable law or contract in respect of such termination of employment that follows or is in respect of a period after your last day of actual and active employment, if any, will be considered as extending your period of employment for the purposes of determining your entitlement under this Agreement.</w:t>
      </w:r>
    </w:p>
    <w:p>
      <w:pPr>
        <w:spacing w:after="0" w:line="20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Cutback</w:t>
      </w:r>
      <w:r>
        <w:rPr>
          <w:rFonts w:ascii="Arial" w:cs="Arial" w:eastAsia="Arial" w:hAnsi="Arial"/>
          <w:sz w:val="20"/>
          <w:szCs w:val="20"/>
          <w:color w:val="auto"/>
        </w:rPr>
        <w:t>. Any payment called for under Section 5.2 will be reduced to the extent that such payment together with payments attributable to any other Share-Based Awards that are granted during 2026 as Performance-Based Awards exceeds 1,000,000 shares of Stock. Amounts in excess of 1,000,000 shares shall be forfeited. Any DDEs on forfeited shares shall also be forfeited.</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u w:val="single" w:color="auto"/>
          <w:color w:val="auto"/>
        </w:rPr>
        <w:t>No Assignment – General Creditor Status</w:t>
      </w:r>
      <w:r>
        <w:rPr>
          <w:rFonts w:ascii="Arial" w:cs="Arial" w:eastAsia="Arial" w:hAnsi="Arial"/>
          <w:sz w:val="19"/>
          <w:szCs w:val="19"/>
          <w:b w:val="1"/>
          <w:bCs w:val="1"/>
          <w:color w:val="auto"/>
        </w:rPr>
        <w:t>.</w:t>
      </w: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You shall have no right to assign any interest you might have in all or any part of the Target Award or Award which has been granted to you under this Award Agreement and any attempt to do so shall be null and void and shall have no force or effect whatsoever. Furthermore, all payments called for under this Award Agreement shall be made from the Corporation’s general assets, and your right to payment from the Corporation’s general assets shall be the same as the right of a general and unsecured creditor of the Corporation. Until a share of Stock is delivered to you, you generally will not have the rights and privileges of a stockholder. In particular, you will not have the right to vote your PSUs on any matter put to the</w:t>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stockholders of the Corporation; you may not sell, transfer, assign, pledge, use as collateral or otherwise dispose of or encumber PSUs; and you will not have the right to receive any dividends paid to stockholders or dividend equivalents on the PSUs.</w:t>
      </w:r>
    </w:p>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20"/>
          <w:szCs w:val="20"/>
          <w:b w:val="1"/>
          <w:bCs w:val="1"/>
          <w:u w:val="single" w:color="auto"/>
          <w:color w:val="auto"/>
        </w:rPr>
        <w:t>Plan</w:t>
      </w:r>
      <w:r>
        <w:rPr>
          <w:rFonts w:ascii="Arial" w:cs="Arial" w:eastAsia="Arial" w:hAnsi="Arial"/>
          <w:sz w:val="20"/>
          <w:szCs w:val="20"/>
          <w:b w:val="1"/>
          <w:bCs w:val="1"/>
          <w:color w:val="auto"/>
        </w:rPr>
        <w: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Award Agreement shall be subject to all of the terms and conditions set forth in the Plan.</w:t>
      </w:r>
    </w:p>
    <w:p>
      <w:pPr>
        <w:spacing w:after="0" w:line="25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w:t>
      </w:r>
    </w:p>
    <w:p>
      <w:pPr>
        <w:spacing w:after="0" w:line="2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u w:val="single" w:color="auto"/>
          <w:color w:val="auto"/>
        </w:rPr>
        <w:t>Change in Control during the Performance Period</w:t>
      </w:r>
      <w:r>
        <w:rPr>
          <w:rFonts w:ascii="Arial" w:cs="Arial" w:eastAsia="Arial" w:hAnsi="Arial"/>
          <w:sz w:val="19"/>
          <w:szCs w:val="19"/>
          <w:color w:val="auto"/>
        </w:rPr>
        <w:t>.</w:t>
      </w:r>
    </w:p>
    <w:p>
      <w:pPr>
        <w:spacing w:after="0" w:line="243" w:lineRule="exact"/>
        <w:rPr>
          <w:sz w:val="20"/>
          <w:szCs w:val="20"/>
          <w:color w:val="auto"/>
        </w:rPr>
      </w:pPr>
    </w:p>
    <w:p>
      <w:pPr>
        <w:jc w:val="both"/>
        <w:ind w:left="660" w:hanging="4"/>
        <w:spacing w:after="0" w:line="254" w:lineRule="auto"/>
        <w:tabs>
          <w:tab w:leader="none" w:pos="1307"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the event of a consummation of a Change in Control during the Performance Period, your Target Award (and DDEs) will become vested (i) on the effective date of the Change in Control if the PSUs are not assumed, continued, or equivalent restricted securities are not substituted for your PSUs by the Corporation or its successor, or (ii) if the PSUs are assumed, continued or substituted by the Corporation or its successor, on the effective date of your involuntary termination other than for Cause (not including death or Total Disability) or your voluntary termination with Good Reason, in either case, within the 24-month period following the consummation of the Change in Control; provided that any such termination is also a “separation from service” under Section 409A of the Code.</w:t>
      </w:r>
    </w:p>
    <w:p>
      <w:pPr>
        <w:spacing w:after="0" w:line="199" w:lineRule="exact"/>
        <w:rPr>
          <w:rFonts w:ascii="Arial" w:cs="Arial" w:eastAsia="Arial" w:hAnsi="Arial"/>
          <w:sz w:val="20"/>
          <w:szCs w:val="20"/>
          <w:color w:val="auto"/>
        </w:rPr>
      </w:pPr>
    </w:p>
    <w:p>
      <w:pPr>
        <w:jc w:val="both"/>
        <w:ind w:left="660" w:hanging="4"/>
        <w:spacing w:after="0" w:line="269" w:lineRule="auto"/>
        <w:tabs>
          <w:tab w:leader="none" w:pos="1307"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the event the PSUs vest in accordance with this Section 8.1 (whether immediately following the Change in Control or following your termination), the shares of Stock or equivalent substituted securities in which you have become vested and DDEs shall be delivered to you within 14 days of the date on which you become vested.</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Change in Control after the End of the Performance Period and before the End of the Vesting Period</w:t>
      </w:r>
      <w:r>
        <w:rPr>
          <w:rFonts w:ascii="Arial" w:cs="Arial" w:eastAsia="Arial" w:hAnsi="Arial"/>
          <w:sz w:val="19"/>
          <w:szCs w:val="19"/>
          <w:color w:val="auto"/>
        </w:rPr>
        <w:t>.</w:t>
      </w:r>
    </w:p>
    <w:p>
      <w:pPr>
        <w:spacing w:after="0" w:line="256" w:lineRule="exact"/>
        <w:rPr>
          <w:sz w:val="20"/>
          <w:szCs w:val="20"/>
          <w:color w:val="auto"/>
        </w:rPr>
      </w:pPr>
    </w:p>
    <w:p>
      <w:pPr>
        <w:jc w:val="both"/>
        <w:ind w:left="660" w:hanging="4"/>
        <w:spacing w:after="0" w:line="254" w:lineRule="auto"/>
        <w:tabs>
          <w:tab w:leader="none" w:pos="1307"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event of a consummation of a Change in Control after the end of the Performance Period but during the Vesting Period, you will vest in your Target Award (and DDEs) (i) on the effective date of the Change in Control, if the PSUs are not assumed or continued or equivalent restricted securities are not substituted for your PSUs by the Corporation or its successor, or (ii) on the earlier of the end of the Vesting Period or the effective date of your involuntary termination other than for Cause (not including death or Total Disability) or your voluntary termination with Good Reason, in either case, prior to the end of the Vesting Period, if the PSUs are assumed, continued or substituted.</w:t>
      </w:r>
    </w:p>
    <w:p>
      <w:pPr>
        <w:spacing w:after="0" w:line="200" w:lineRule="exact"/>
        <w:rPr>
          <w:rFonts w:ascii="Arial" w:cs="Arial" w:eastAsia="Arial" w:hAnsi="Arial"/>
          <w:sz w:val="20"/>
          <w:szCs w:val="20"/>
          <w:color w:val="auto"/>
        </w:rPr>
      </w:pPr>
    </w:p>
    <w:p>
      <w:pPr>
        <w:jc w:val="both"/>
        <w:ind w:left="660" w:hanging="4"/>
        <w:spacing w:after="0" w:line="262" w:lineRule="auto"/>
        <w:tabs>
          <w:tab w:leader="none" w:pos="1307"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event the PSUs vest in accordance with this Section 8.2 (whether immediately following the Change in Control or following your termination), the shares of Stock or equivalent substituted securities in which you have become vested and DDEs shall be delivered to you within 14 days of the date on which you become vested.</w:t>
      </w:r>
    </w:p>
    <w:p>
      <w:pPr>
        <w:spacing w:after="0" w:line="20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Special Definitions</w:t>
      </w:r>
      <w:r>
        <w:rPr>
          <w:rFonts w:ascii="Arial" w:cs="Arial" w:eastAsia="Arial" w:hAnsi="Arial"/>
          <w:sz w:val="19"/>
          <w:szCs w:val="19"/>
          <w:color w:val="auto"/>
        </w:rPr>
        <w:t>. For purposes of this Award Agreement:</w:t>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“Cause” shall mean either of the following:</w:t>
      </w:r>
    </w:p>
    <w:p>
      <w:pPr>
        <w:spacing w:after="0" w:line="256" w:lineRule="exact"/>
        <w:rPr>
          <w:rFonts w:ascii="Arial" w:cs="Arial" w:eastAsia="Arial" w:hAnsi="Arial"/>
          <w:sz w:val="20"/>
          <w:szCs w:val="20"/>
          <w:color w:val="auto"/>
        </w:rPr>
      </w:pPr>
    </w:p>
    <w:p>
      <w:pPr>
        <w:ind w:left="1300" w:firstLine="4"/>
        <w:spacing w:after="0" w:line="271" w:lineRule="auto"/>
        <w:tabs>
          <w:tab w:leader="none" w:pos="1935" w:val="left"/>
        </w:tabs>
        <w:numPr>
          <w:ilvl w:val="1"/>
          <w:numId w:val="74"/>
        </w:numPr>
        <w:rPr>
          <w:rFonts w:ascii="Arial" w:cs="Arial" w:eastAsia="Arial" w:hAnsi="Arial"/>
          <w:sz w:val="20"/>
          <w:szCs w:val="20"/>
          <w:color w:val="auto"/>
        </w:rPr>
      </w:pPr>
      <w:r>
        <w:rPr>
          <w:rFonts w:ascii="Arial" w:cs="Arial" w:eastAsia="Arial" w:hAnsi="Arial"/>
          <w:sz w:val="20"/>
          <w:szCs w:val="20"/>
          <w:color w:val="auto"/>
        </w:rPr>
        <w:t>Conviction for an act of fraud, embezzlement, theft or other act constituting a felony (other than traffic-related offenses or as a result of vicarious liability); or</w:t>
      </w:r>
    </w:p>
    <w:p>
      <w:pPr>
        <w:spacing w:after="0" w:line="196" w:lineRule="exact"/>
        <w:rPr>
          <w:rFonts w:ascii="Arial" w:cs="Arial" w:eastAsia="Arial" w:hAnsi="Arial"/>
          <w:sz w:val="20"/>
          <w:szCs w:val="20"/>
          <w:color w:val="auto"/>
        </w:rPr>
      </w:pPr>
    </w:p>
    <w:p>
      <w:pPr>
        <w:jc w:val="both"/>
        <w:ind w:left="1300" w:firstLine="4"/>
        <w:spacing w:after="0" w:line="254" w:lineRule="auto"/>
        <w:tabs>
          <w:tab w:leader="none" w:pos="1938" w:val="left"/>
        </w:tabs>
        <w:numPr>
          <w:ilvl w:val="1"/>
          <w:numId w:val="74"/>
        </w:numPr>
        <w:rPr>
          <w:rFonts w:ascii="Arial" w:cs="Arial" w:eastAsia="Arial" w:hAnsi="Arial"/>
          <w:sz w:val="20"/>
          <w:szCs w:val="20"/>
          <w:color w:val="auto"/>
        </w:rPr>
      </w:pPr>
      <w:r>
        <w:rPr>
          <w:rFonts w:ascii="Arial" w:cs="Arial" w:eastAsia="Arial" w:hAnsi="Arial"/>
          <w:sz w:val="20"/>
          <w:szCs w:val="20"/>
          <w:color w:val="auto"/>
        </w:rPr>
        <w:t>Willful misconduct that is materially injurious to the Corporation’s financial position, operating results or reputation; provided, however that no act or failure to act shall be considered “willful” unless done, or omitted to be done, by you (a) in bad faith; (b) for the purpose of receiving an actual improper personal benefit in the form of money, property or services; or (c) in circumstances where you had reasonable cause to believe that the act or failure to act was unlawful.</w:t>
      </w:r>
    </w:p>
    <w:p>
      <w:pPr>
        <w:spacing w:after="0" w:line="214" w:lineRule="exact"/>
        <w:rPr>
          <w:rFonts w:ascii="Arial" w:cs="Arial" w:eastAsia="Arial" w:hAnsi="Arial"/>
          <w:sz w:val="20"/>
          <w:szCs w:val="20"/>
          <w:color w:val="auto"/>
        </w:rPr>
      </w:pPr>
    </w:p>
    <w:p>
      <w:pPr>
        <w:ind w:left="660" w:right="20" w:hanging="4"/>
        <w:spacing w:after="0" w:line="271" w:lineRule="auto"/>
        <w:tabs>
          <w:tab w:leader="none" w:pos="1307" w:val="left"/>
        </w:tabs>
        <w:numPr>
          <w:ilvl w:val="0"/>
          <w:numId w:val="74"/>
        </w:numPr>
        <w:rPr>
          <w:rFonts w:ascii="Arial" w:cs="Arial" w:eastAsia="Arial" w:hAnsi="Arial"/>
          <w:sz w:val="20"/>
          <w:szCs w:val="20"/>
          <w:color w:val="auto"/>
        </w:rPr>
      </w:pPr>
      <w:r>
        <w:rPr>
          <w:rFonts w:ascii="Arial" w:cs="Arial" w:eastAsia="Arial" w:hAnsi="Arial"/>
          <w:sz w:val="20"/>
          <w:szCs w:val="20"/>
          <w:color w:val="auto"/>
        </w:rPr>
        <w:t>“Good Reason” shall mean, without your express written consent, the occurrence of any one or more of the following after the Change in Control:</w:t>
      </w:r>
    </w:p>
    <w:p>
      <w:pPr>
        <w:spacing w:after="0" w:line="196" w:lineRule="exact"/>
        <w:rPr>
          <w:rFonts w:ascii="Arial" w:cs="Arial" w:eastAsia="Arial" w:hAnsi="Arial"/>
          <w:sz w:val="20"/>
          <w:szCs w:val="20"/>
          <w:color w:val="auto"/>
        </w:rPr>
      </w:pPr>
    </w:p>
    <w:p>
      <w:pPr>
        <w:ind w:left="1940" w:hanging="636"/>
        <w:spacing w:after="0"/>
        <w:tabs>
          <w:tab w:leader="none" w:pos="19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 material and substantial reduction in the nature or status of your authority or responsibilities;</w:t>
      </w:r>
    </w:p>
    <w:p>
      <w:pPr>
        <w:spacing w:after="0" w:line="256" w:lineRule="exact"/>
        <w:rPr>
          <w:rFonts w:ascii="Arial" w:cs="Arial" w:eastAsia="Arial" w:hAnsi="Arial"/>
          <w:sz w:val="20"/>
          <w:szCs w:val="20"/>
          <w:color w:val="auto"/>
        </w:rPr>
      </w:pPr>
    </w:p>
    <w:p>
      <w:pPr>
        <w:ind w:left="1940" w:hanging="636"/>
        <w:spacing w:after="0"/>
        <w:tabs>
          <w:tab w:leader="none" w:pos="19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 material reduction in your annualized rate of base salary;</w:t>
      </w:r>
    </w:p>
    <w:p>
      <w:pPr>
        <w:spacing w:after="0" w:line="242" w:lineRule="exact"/>
        <w:rPr>
          <w:rFonts w:ascii="Arial" w:cs="Arial" w:eastAsia="Arial" w:hAnsi="Arial"/>
          <w:sz w:val="20"/>
          <w:szCs w:val="20"/>
          <w:color w:val="auto"/>
        </w:rPr>
      </w:pPr>
    </w:p>
    <w:p>
      <w:pPr>
        <w:jc w:val="both"/>
        <w:ind w:left="1300" w:firstLine="4"/>
        <w:spacing w:after="0" w:line="255" w:lineRule="auto"/>
        <w:tabs>
          <w:tab w:leader="none" w:pos="1941" w:val="left"/>
        </w:tabs>
        <w:numPr>
          <w:ilvl w:val="1"/>
          <w:numId w:val="74"/>
        </w:numPr>
        <w:rPr>
          <w:rFonts w:ascii="Arial" w:cs="Arial" w:eastAsia="Arial" w:hAnsi="Arial"/>
          <w:sz w:val="20"/>
          <w:szCs w:val="20"/>
          <w:color w:val="auto"/>
        </w:rPr>
      </w:pPr>
      <w:r>
        <w:rPr>
          <w:rFonts w:ascii="Arial" w:cs="Arial" w:eastAsia="Arial" w:hAnsi="Arial"/>
          <w:sz w:val="20"/>
          <w:szCs w:val="20"/>
          <w:color w:val="auto"/>
        </w:rPr>
        <w:t>A material reduction in the aggregate value of your level of participation in any short- or long-term incentive cash compensation plan, employee benefit or retirement plan or compensation practices, arrangements, or policies;</w:t>
      </w:r>
    </w:p>
    <w:p>
      <w:pPr>
        <w:ind w:left="1940" w:hanging="636"/>
        <w:spacing w:after="0"/>
        <w:tabs>
          <w:tab w:leader="none" w:pos="19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 material reduction in the aggregate level of participation in equity-based incentive compensation plans;</w:t>
      </w:r>
    </w:p>
    <w:p>
      <w:pPr>
        <w:spacing w:after="0" w:line="1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or</w:t>
      </w:r>
    </w:p>
    <w:p>
      <w:pPr>
        <w:spacing w:after="0" w:line="224" w:lineRule="exact"/>
        <w:rPr>
          <w:rFonts w:ascii="Arial" w:cs="Arial" w:eastAsia="Arial" w:hAnsi="Arial"/>
          <w:sz w:val="20"/>
          <w:szCs w:val="20"/>
          <w:color w:val="auto"/>
        </w:rPr>
      </w:pPr>
    </w:p>
    <w:p>
      <w:pPr>
        <w:ind w:left="1300" w:firstLine="4"/>
        <w:spacing w:after="0" w:line="286" w:lineRule="auto"/>
        <w:tabs>
          <w:tab w:leader="none" w:pos="1936" w:val="left"/>
        </w:tabs>
        <w:numPr>
          <w:ilvl w:val="1"/>
          <w:numId w:val="74"/>
        </w:numPr>
        <w:rPr>
          <w:rFonts w:ascii="Arial" w:cs="Arial" w:eastAsia="Arial" w:hAnsi="Arial"/>
          <w:sz w:val="20"/>
          <w:szCs w:val="20"/>
          <w:color w:val="auto"/>
        </w:rPr>
      </w:pPr>
      <w:r>
        <w:rPr>
          <w:rFonts w:ascii="Arial" w:cs="Arial" w:eastAsia="Arial" w:hAnsi="Arial"/>
          <w:sz w:val="20"/>
          <w:szCs w:val="20"/>
          <w:color w:val="auto"/>
        </w:rPr>
        <w:t>Your principal place of employment is relocated to a location that is greater than fifty (50) miles from your principal place of employment on the date the Change in Control is consummated.</w:t>
      </w:r>
    </w:p>
    <w:p>
      <w:pPr>
        <w:spacing w:after="0" w:line="113"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0"/>
          <w:szCs w:val="20"/>
          <w:color w:val="auto"/>
        </w:rPr>
        <w:t>Your continued employment following an event that would constitute a basis for voluntary termination with Good Reason shall not constitute Good Reason if you consent to, or waive your rights with respect to any circumstances constituting Good Reason. In addition, the occurrence of an event described in (i) through (v) shall constitute the basis for voluntary termination for Good Reason only if you provide written notice of your intent to terminate employment within 90 days of the first occurrence of such event and the Corporation has had at least 30 days from the date on which such notice is provided to cure such occurrence. If you do not terminate employment for Good Reason within 180 days after the first occurrence of the applicable grounds, then you will be deemed to have waived your right to terminate for Good Reason with respect to such grounds.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Special Rule</w:t>
      </w:r>
      <w:r>
        <w:rPr>
          <w:rFonts w:ascii="Arial" w:cs="Arial" w:eastAsia="Arial" w:hAnsi="Arial"/>
          <w:sz w:val="20"/>
          <w:szCs w:val="20"/>
          <w:color w:val="auto"/>
        </w:rPr>
        <w:t>. Notwithstanding Section 8.1 or 8.2, if a payment in accordance with those provisions would result in a nonexempt short-swing transaction under Section 16(b) of the Exchange Act, then the date of distribution to you shall be delayed until the earliest date upon which the distribution either would not result in a nonexempt short-swing transaction or would otherwise not result in liability under Section 16(b) of the Exchange Act.</w:t>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9"/>
          <w:szCs w:val="19"/>
          <w:b w:val="1"/>
          <w:bCs w:val="1"/>
          <w:u w:val="single" w:color="auto"/>
          <w:color w:val="auto"/>
        </w:rPr>
        <w:t>Amendment and Termination</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provided in Section 9 of the Plan, the Board of Directors may at any time amend, suspend or discontinue the Plan and the Committee may at any time deviate from or amend this Award Agreement. Notwithstanding the foregoing, no such action by the Board of Directors or the Committee shall amend Sections 1, 2, 3, 4, or 5 in a manner adverse to you or reduce the amount payable hereunder in a material manner without your written consent. For this purpose, a change in the amount payable hereunder that occurs solely by reason of a change in the date or form of payment due to Section 409A of the Code or Section 16 of the Exchange Act shall in no case be treated as a reduction prohibited by this Section 9. Thus, for example, if an amount payable by reason of Section 8 is delayed by an amendment to this Award Agreement or other action undertaken to comply with Section 409A of the Code and the amount payable is reduced solely by reason of a corresponding delay in the date of valuation of a share of Stock, such a change shall not be treated as a reduction prohibited by this Section 9. This Section 9 shall be construed and applied so as to permit the Committee to amend this Award Agreement at any time in any manner reasonably necessary or appropriate in order to comply with the requirements of Section 16 of the Exchange Act and of Section 409A of the Code, including amendments regarding the timing and form of payments hereunder.</w:t>
      </w:r>
    </w:p>
    <w:p>
      <w:pPr>
        <w:spacing w:after="0" w:line="21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9"/>
          <w:szCs w:val="19"/>
          <w:b w:val="1"/>
          <w:bCs w:val="1"/>
          <w:u w:val="single" w:color="auto"/>
          <w:color w:val="auto"/>
        </w:rPr>
        <w:t>Data Privacy Consent For Employees Located Outside Of The United States</w:t>
      </w:r>
      <w:r>
        <w:rPr>
          <w:rFonts w:ascii="Arial" w:cs="Arial" w:eastAsia="Arial" w:hAnsi="Arial"/>
          <w:sz w:val="19"/>
          <w:szCs w:val="19"/>
          <w:b w:val="1"/>
          <w:bCs w:val="1"/>
          <w:color w:val="auto"/>
        </w:rPr>
        <w:t>.</w:t>
      </w:r>
    </w:p>
    <w:p>
      <w:pPr>
        <w:spacing w:after="0" w:line="245" w:lineRule="exact"/>
        <w:rPr>
          <w:sz w:val="20"/>
          <w:szCs w:val="20"/>
          <w:color w:val="auto"/>
        </w:rPr>
      </w:pPr>
    </w:p>
    <w:p>
      <w:pPr>
        <w:jc w:val="both"/>
        <w:ind w:firstLine="260"/>
        <w:spacing w:after="0" w:line="258" w:lineRule="auto"/>
        <w:rPr>
          <w:sz w:val="20"/>
          <w:szCs w:val="20"/>
          <w:color w:val="auto"/>
        </w:rPr>
      </w:pPr>
      <w:r>
        <w:rPr>
          <w:rFonts w:ascii="Arial" w:cs="Arial" w:eastAsia="Arial" w:hAnsi="Arial"/>
          <w:sz w:val="20"/>
          <w:szCs w:val="20"/>
          <w:color w:val="auto"/>
        </w:rPr>
        <w:t>To the extent recognized under applicable law, if you are located outside of the United States, then by accepting this Award Agreement as described in Section 18, you hereby explicitly and unambiguously consent to, and acknowledge the need for, the collection, use and transfer, in electronic or other form, of your Personal Data (defined below) as described in this Award Agreement by and among the Corporation for the exclusive purpose of implementing, administering and managing your participation in the Plan.</w:t>
      </w:r>
    </w:p>
    <w:p>
      <w:pPr>
        <w:spacing w:after="0" w:line="195" w:lineRule="exact"/>
        <w:rPr>
          <w:sz w:val="20"/>
          <w:szCs w:val="20"/>
          <w:color w:val="auto"/>
        </w:rPr>
      </w:pPr>
    </w:p>
    <w:p>
      <w:pPr>
        <w:jc w:val="both"/>
        <w:ind w:right="20" w:firstLine="300"/>
        <w:spacing w:after="0" w:line="252" w:lineRule="auto"/>
        <w:rPr>
          <w:sz w:val="20"/>
          <w:szCs w:val="20"/>
          <w:color w:val="auto"/>
        </w:rPr>
      </w:pPr>
      <w:r>
        <w:rPr>
          <w:rFonts w:ascii="Arial" w:cs="Arial" w:eastAsia="Arial" w:hAnsi="Arial"/>
          <w:sz w:val="20"/>
          <w:szCs w:val="20"/>
          <w:color w:val="auto"/>
        </w:rPr>
        <w:t>You understand that the Corporation collects, holds, uses and processes certain information about you, including, but not limited to, your name, home address and telephone number, date of birth, social insurance number or other identification number, salary, nationality, job title, any shares or directorships held in the Corporation, details of all awards or any other entitlement to shares awarded, canceled, exercised, vested, unvested or outstanding in your favor, for the purpose of implementing, administering and managing the Plan (“Personal Data”). The Corporation acts as the controller/owner of this Personal Data, and processes this Personal Data for purposes of implementing, administering, and managing the Plan. The Corporation protects the Personal Data that it receives in the United States from the European Union (“EU”), or any other location outside the United States, in accordance with data transfer agreements based on EU-approved Standard Contractual Clauses.</w:t>
      </w:r>
    </w:p>
    <w:p>
      <w:pPr>
        <w:spacing w:after="0" w:line="216" w:lineRule="exact"/>
        <w:rPr>
          <w:sz w:val="20"/>
          <w:szCs w:val="20"/>
          <w:color w:val="auto"/>
        </w:rPr>
      </w:pPr>
    </w:p>
    <w:p>
      <w:pPr>
        <w:jc w:val="both"/>
        <w:ind w:right="20" w:firstLine="221"/>
        <w:spacing w:after="0" w:line="254" w:lineRule="auto"/>
        <w:rPr>
          <w:sz w:val="20"/>
          <w:szCs w:val="20"/>
          <w:color w:val="auto"/>
        </w:rPr>
      </w:pPr>
      <w:r>
        <w:rPr>
          <w:rFonts w:ascii="Arial" w:cs="Arial" w:eastAsia="Arial" w:hAnsi="Arial"/>
          <w:sz w:val="20"/>
          <w:szCs w:val="20"/>
          <w:color w:val="auto"/>
        </w:rPr>
        <w:t>You understand that Personal Data may be transferred to any third parties assisting in the implementation, administration and management of the Plan, that these recipients may be located in your country or elsewhere, and that the recipient’s country may have different, including less stringent, data privacy laws and protections than your country. You may request a list with the names and addresses of any third-party recipients of the Personal Data at any time by contacting your local human resources representative. When disclosing Personal Data to these third parties, the Corporation provides appropriate safeguards for protecting the transfer of your Personal Data, such as establishing standard data protection clauses with the</w:t>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color w:val="auto"/>
        </w:rPr>
        <w:t>third parties as adopted by the European Commission. You may request a copy of, or information about, such safeguards by contacting the Corporate Privacy Office. You recognize that the Corporation and any other possible recipients including any present or future third-party recipients must receive, possess, use, retain and transfer your Personal Data, in electronic or other form, for the purposes of implementing, administering and managing your participation in the Plan, including any requisite transfer of such Personal Data as may be required to a broker or other third party with whom the Corporation may elect to administer the settlement of any award. You understand that Personal Data will be held only as long as is necessary to implement, administer and manage your participation in the Plan and comply with applicable legal requirements.</w:t>
      </w:r>
    </w:p>
    <w:p>
      <w:pPr>
        <w:spacing w:after="0" w:line="200" w:lineRule="exact"/>
        <w:rPr>
          <w:sz w:val="20"/>
          <w:szCs w:val="20"/>
          <w:color w:val="auto"/>
        </w:rPr>
      </w:pPr>
    </w:p>
    <w:p>
      <w:pPr>
        <w:jc w:val="both"/>
        <w:ind w:right="20" w:firstLine="312"/>
        <w:spacing w:after="0" w:line="252" w:lineRule="auto"/>
        <w:rPr>
          <w:sz w:val="20"/>
          <w:szCs w:val="20"/>
          <w:color w:val="auto"/>
        </w:rPr>
      </w:pPr>
      <w:r>
        <w:rPr>
          <w:rFonts w:ascii="Arial" w:cs="Arial" w:eastAsia="Arial" w:hAnsi="Arial"/>
          <w:sz w:val="20"/>
          <w:szCs w:val="20"/>
          <w:color w:val="auto"/>
        </w:rPr>
        <w:t>To the extent provided by your local law, you may, at any time, have the right to request: access to your Personal Data, rectification of your Personal Data, erasure of your Personal Data, restriction of processing of your Personal Data, portability of your Personal Data and information about the storage and processing of your Personal Data. You may also have the right to object, on grounds related to a particular situation, to the processing of your Personal Data, as well as to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13"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9"/>
          <w:szCs w:val="19"/>
          <w:b w:val="1"/>
          <w:bCs w:val="1"/>
          <w:u w:val="single" w:color="auto"/>
          <w:color w:val="auto"/>
        </w:rPr>
        <w:t>No Assurance of Employment; No Right to an Award; Value of Award</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Nothing contained in the Plan or in this Award Agreement shall confer upon you any right to continue in the employ or other service of the Corporation or constitute any contract (of employment or otherwise) or limit in any way the right of the Corporation to change your compensation or other benefits or to terminate your employment with or without cause. You acknowledge and agree that:</w:t>
      </w:r>
    </w:p>
    <w:p>
      <w:pPr>
        <w:spacing w:after="0" w:line="211"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Plan is discretionary in nature and the Board of Directors may amend, suspend, or terminate it at any time;</w:t>
      </w:r>
    </w:p>
    <w:p>
      <w:pPr>
        <w:spacing w:after="0" w:line="242" w:lineRule="exact"/>
        <w:rPr>
          <w:rFonts w:ascii="Arial" w:cs="Arial" w:eastAsia="Arial" w:hAnsi="Arial"/>
          <w:sz w:val="20"/>
          <w:szCs w:val="20"/>
          <w:color w:val="auto"/>
        </w:rPr>
      </w:pPr>
    </w:p>
    <w:p>
      <w:pPr>
        <w:ind w:left="660" w:hanging="4"/>
        <w:spacing w:after="0" w:line="286" w:lineRule="auto"/>
        <w:tabs>
          <w:tab w:leader="none" w:pos="1307"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grant of the PSUs is voluntary and occasional and does not create any contractual or other right to receive future grants of any PSUs, or benefits in lieu of any PSUs even if PSUs have been granted repeatedly in the past;</w:t>
      </w:r>
    </w:p>
    <w:p>
      <w:pPr>
        <w:spacing w:after="0" w:line="180" w:lineRule="exact"/>
        <w:rPr>
          <w:rFonts w:ascii="Arial" w:cs="Arial" w:eastAsia="Arial" w:hAnsi="Arial"/>
          <w:sz w:val="20"/>
          <w:szCs w:val="20"/>
          <w:color w:val="auto"/>
        </w:rPr>
      </w:pPr>
    </w:p>
    <w:p>
      <w:pPr>
        <w:ind w:left="660" w:hanging="4"/>
        <w:spacing w:after="0" w:line="271" w:lineRule="auto"/>
        <w:tabs>
          <w:tab w:leader="none" w:pos="1296" w:val="left"/>
        </w:tabs>
        <w:numPr>
          <w:ilvl w:val="0"/>
          <w:numId w:val="75"/>
        </w:numPr>
        <w:rPr>
          <w:rFonts w:ascii="Arial" w:cs="Arial" w:eastAsia="Arial" w:hAnsi="Arial"/>
          <w:sz w:val="20"/>
          <w:szCs w:val="20"/>
          <w:color w:val="auto"/>
        </w:rPr>
      </w:pPr>
      <w:r>
        <w:rPr>
          <w:rFonts w:ascii="Arial" w:cs="Arial" w:eastAsia="Arial" w:hAnsi="Arial"/>
          <w:sz w:val="20"/>
          <w:szCs w:val="20"/>
          <w:color w:val="auto"/>
        </w:rPr>
        <w:t>all determinations with respect to such future PSUs, if any, including but not limited to the times when PSUs shall be granted or when PSUs shall vest, will be at the sole discretion of the Committee or its delegate;</w:t>
      </w:r>
    </w:p>
    <w:p>
      <w:pPr>
        <w:spacing w:after="0" w:line="196" w:lineRule="exact"/>
        <w:rPr>
          <w:rFonts w:ascii="Arial" w:cs="Arial" w:eastAsia="Arial" w:hAnsi="Arial"/>
          <w:sz w:val="20"/>
          <w:szCs w:val="20"/>
          <w:color w:val="auto"/>
        </w:rPr>
      </w:pPr>
    </w:p>
    <w:p>
      <w:pPr>
        <w:ind w:left="1300" w:hanging="644"/>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your participation in the Plan is voluntary;</w:t>
      </w:r>
    </w:p>
    <w:p>
      <w:pPr>
        <w:spacing w:after="0" w:line="242" w:lineRule="exact"/>
        <w:rPr>
          <w:rFonts w:ascii="Arial" w:cs="Arial" w:eastAsia="Arial" w:hAnsi="Arial"/>
          <w:sz w:val="20"/>
          <w:szCs w:val="20"/>
          <w:color w:val="auto"/>
        </w:rPr>
      </w:pPr>
    </w:p>
    <w:p>
      <w:pPr>
        <w:ind w:left="660" w:hanging="4"/>
        <w:spacing w:after="0" w:line="286" w:lineRule="auto"/>
        <w:tabs>
          <w:tab w:leader="none" w:pos="1307"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value of the PSUs is an extraordinary item of compensation, which is outside the scope of your employment contract (if any), except as may otherwise be explicitly provided in your employment contract;</w:t>
      </w:r>
    </w:p>
    <w:p>
      <w:pPr>
        <w:spacing w:after="0" w:line="180" w:lineRule="exact"/>
        <w:rPr>
          <w:rFonts w:ascii="Arial" w:cs="Arial" w:eastAsia="Arial" w:hAnsi="Arial"/>
          <w:sz w:val="20"/>
          <w:szCs w:val="20"/>
          <w:color w:val="auto"/>
        </w:rPr>
      </w:pPr>
    </w:p>
    <w:p>
      <w:pPr>
        <w:ind w:left="660" w:hanging="4"/>
        <w:spacing w:after="0" w:line="271" w:lineRule="auto"/>
        <w:tabs>
          <w:tab w:leader="none" w:pos="130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PSUs are not part of normal or expected compensation or salary for any purpose, including, but not limited to, calculating termination, severance, resignation,</w:t>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redundancy, end of service, or similar payments, or bonuses, long-service awards, pension or retirement benefits;</w:t>
      </w:r>
    </w:p>
    <w:p>
      <w:pPr>
        <w:spacing w:after="0" w:line="256" w:lineRule="exact"/>
        <w:rPr>
          <w:sz w:val="20"/>
          <w:szCs w:val="20"/>
          <w:color w:val="auto"/>
        </w:rPr>
      </w:pPr>
    </w:p>
    <w:p>
      <w:pPr>
        <w:ind w:left="660" w:hanging="4"/>
        <w:spacing w:after="0" w:line="271" w:lineRule="auto"/>
        <w:tabs>
          <w:tab w:leader="none" w:pos="1307"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PSUs shall expire upon termination of your employment for any reason except as may otherwise be explicitly provided in the Plan and this Award Agreement;</w:t>
      </w:r>
    </w:p>
    <w:p>
      <w:pPr>
        <w:spacing w:after="0" w:line="196" w:lineRule="exact"/>
        <w:rPr>
          <w:rFonts w:ascii="Arial" w:cs="Arial" w:eastAsia="Arial" w:hAnsi="Arial"/>
          <w:sz w:val="20"/>
          <w:szCs w:val="20"/>
          <w:color w:val="auto"/>
        </w:rPr>
      </w:pPr>
    </w:p>
    <w:p>
      <w:pPr>
        <w:ind w:left="1300" w:hanging="644"/>
        <w:spacing w:after="0"/>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future value of the shares is unknown and cannot be predicted with certainty;</w:t>
      </w:r>
    </w:p>
    <w:p>
      <w:pPr>
        <w:spacing w:after="0" w:line="242" w:lineRule="exact"/>
        <w:rPr>
          <w:rFonts w:ascii="Arial" w:cs="Arial" w:eastAsia="Arial" w:hAnsi="Arial"/>
          <w:sz w:val="20"/>
          <w:szCs w:val="20"/>
          <w:color w:val="auto"/>
        </w:rPr>
      </w:pPr>
    </w:p>
    <w:p>
      <w:pPr>
        <w:jc w:val="both"/>
        <w:ind w:left="660" w:hanging="4"/>
        <w:spacing w:after="0" w:line="269" w:lineRule="auto"/>
        <w:tabs>
          <w:tab w:leader="none" w:pos="12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arises from the termination of the PSUs in accordance with the Plan and this Award Agreement or diminution in value of the PSUs or Stock and you irrevocably release the Corporation from any such claim that may arise;</w:t>
      </w:r>
    </w:p>
    <w:p>
      <w:pPr>
        <w:spacing w:after="0" w:line="185" w:lineRule="exact"/>
        <w:rPr>
          <w:rFonts w:ascii="Arial" w:cs="Arial" w:eastAsia="Arial" w:hAnsi="Arial"/>
          <w:sz w:val="20"/>
          <w:szCs w:val="20"/>
          <w:color w:val="auto"/>
        </w:rPr>
      </w:pPr>
    </w:p>
    <w:p>
      <w:pPr>
        <w:jc w:val="both"/>
        <w:ind w:left="660" w:hanging="4"/>
        <w:spacing w:after="0" w:line="262" w:lineRule="auto"/>
        <w:tabs>
          <w:tab w:leader="none" w:pos="12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if you are a resident of Australia, the Award is offered pursuant to Part 7.12 Division 1A of the Corporations Act 2001 (Cth) (Note that you may be restricted from selling the Stock within 12 months of acquiring the Stock. You should consult with your personal legal advisor to confirm the requirements for selling the Stock);</w:t>
      </w:r>
    </w:p>
    <w:p>
      <w:pPr>
        <w:spacing w:after="0" w:line="205" w:lineRule="exact"/>
        <w:rPr>
          <w:rFonts w:ascii="Arial" w:cs="Arial" w:eastAsia="Arial" w:hAnsi="Arial"/>
          <w:sz w:val="20"/>
          <w:szCs w:val="20"/>
          <w:color w:val="auto"/>
        </w:rPr>
      </w:pPr>
    </w:p>
    <w:p>
      <w:pPr>
        <w:jc w:val="both"/>
        <w:ind w:left="660" w:hanging="4"/>
        <w:spacing w:after="0" w:line="254" w:lineRule="auto"/>
        <w:tabs>
          <w:tab w:leader="none" w:pos="1296" w:val="left"/>
        </w:tabs>
        <w:numPr>
          <w:ilvl w:val="0"/>
          <w:numId w:val="76"/>
        </w:numPr>
        <w:rPr>
          <w:rFonts w:ascii="Arial" w:cs="Arial" w:eastAsia="Arial" w:hAnsi="Arial"/>
          <w:sz w:val="20"/>
          <w:szCs w:val="20"/>
          <w:color w:val="auto"/>
        </w:rPr>
      </w:pPr>
      <w:r>
        <w:rPr>
          <w:rFonts w:ascii="Arial" w:cs="Arial" w:eastAsia="Arial" w:hAnsi="Arial"/>
          <w:sz w:val="20"/>
          <w:szCs w:val="20"/>
          <w:color w:val="auto"/>
        </w:rPr>
        <w:t>if you are a resident of Türkiye, that the offer of this Award is a private offering which shall in no way be considered as a public offering within the meaning of the rules of the Capital Markets Board of Turkey and has been made by the Corporation to you personally in connection with your existing relationship with the Corporation or one or more of its affiliates, subsidiaries and/or related companies, and further, that the Award, the related shares of the Stock and the related offer thereof are not subject to regulation by any securities regulator in Türkiye, or otherwise outside of the U.S.;</w:t>
      </w:r>
    </w:p>
    <w:p>
      <w:pPr>
        <w:spacing w:after="0" w:line="213" w:lineRule="exact"/>
        <w:rPr>
          <w:rFonts w:ascii="Arial" w:cs="Arial" w:eastAsia="Arial" w:hAnsi="Arial"/>
          <w:sz w:val="20"/>
          <w:szCs w:val="20"/>
          <w:color w:val="auto"/>
        </w:rPr>
      </w:pPr>
    </w:p>
    <w:p>
      <w:pPr>
        <w:ind w:left="660" w:hanging="4"/>
        <w:spacing w:after="0" w:line="271" w:lineRule="auto"/>
        <w:tabs>
          <w:tab w:leader="none" w:pos="12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if you are a resident of Hong Kong, that the Award and any Stock issued thereunder do not constitute a public offer of securities under Hong Kong law;</w:t>
      </w:r>
    </w:p>
    <w:p>
      <w:pPr>
        <w:spacing w:after="0" w:line="196" w:lineRule="exact"/>
        <w:rPr>
          <w:rFonts w:ascii="Arial" w:cs="Arial" w:eastAsia="Arial" w:hAnsi="Arial"/>
          <w:sz w:val="20"/>
          <w:szCs w:val="20"/>
          <w:color w:val="auto"/>
        </w:rPr>
      </w:pPr>
    </w:p>
    <w:p>
      <w:pPr>
        <w:jc w:val="both"/>
        <w:ind w:left="660" w:hanging="4"/>
        <w:spacing w:after="0" w:line="262" w:lineRule="auto"/>
        <w:tabs>
          <w:tab w:leader="none" w:pos="1308" w:val="left"/>
        </w:tabs>
        <w:numPr>
          <w:ilvl w:val="0"/>
          <w:numId w:val="76"/>
        </w:numPr>
        <w:rPr>
          <w:rFonts w:ascii="Arial" w:cs="Arial" w:eastAsia="Arial" w:hAnsi="Arial"/>
          <w:sz w:val="20"/>
          <w:szCs w:val="20"/>
          <w:color w:val="auto"/>
        </w:rPr>
      </w:pPr>
      <w:r>
        <w:rPr>
          <w:rFonts w:ascii="Arial" w:cs="Arial" w:eastAsia="Arial" w:hAnsi="Arial"/>
          <w:sz w:val="20"/>
          <w:szCs w:val="20"/>
          <w:color w:val="auto"/>
        </w:rPr>
        <w:t>if you are a resident of Israel, you will hold any Stock issued to you upon the vesting of the Award with the Corporation’s designated broker, and you may not transfer such Stock to an account with another broker or request that share certificates be issued to you until such time as you sell the Stock; and</w:t>
      </w:r>
    </w:p>
    <w:p>
      <w:pPr>
        <w:spacing w:after="0" w:line="191" w:lineRule="exact"/>
        <w:rPr>
          <w:rFonts w:ascii="Arial" w:cs="Arial" w:eastAsia="Arial" w:hAnsi="Arial"/>
          <w:sz w:val="20"/>
          <w:szCs w:val="20"/>
          <w:color w:val="auto"/>
        </w:rPr>
      </w:pPr>
    </w:p>
    <w:p>
      <w:pPr>
        <w:ind w:left="660" w:right="40" w:hanging="4"/>
        <w:spacing w:after="0" w:line="258" w:lineRule="auto"/>
        <w:tabs>
          <w:tab w:leader="none" w:pos="1307"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grant of the Award is considered a private offering and therefore is not subject to registration in Switzerland. If you are a resident of Switzerland, neither this document nor any other material relating to the Award (i) constitutes a prospectus according to applicable Swiss law, (ii) may be publicly distributed or otherwise made publicly available in Switzerland to any person other than an employee of the Corporation or its subsidiaries or, (iii) has been or will be filed with, approved or supervised by any Swiss reviewing body.</w:t>
      </w:r>
    </w:p>
    <w:p>
      <w:pPr>
        <w:spacing w:after="0" w:line="19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9"/>
          <w:szCs w:val="19"/>
          <w:b w:val="1"/>
          <w:bCs w:val="1"/>
          <w:u w:val="single" w:color="auto"/>
          <w:color w:val="auto"/>
        </w:rPr>
        <w:t>Conflict</w:t>
      </w:r>
      <w:r>
        <w:rPr>
          <w:rFonts w:ascii="Arial" w:cs="Arial" w:eastAsia="Arial" w:hAnsi="Arial"/>
          <w:sz w:val="19"/>
          <w:szCs w:val="19"/>
          <w:b w:val="1"/>
          <w:bCs w:val="1"/>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the event of a conflict between this Award Agreement and the Plan, the Plan document shall control.</w:t>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9"/>
          <w:szCs w:val="19"/>
          <w:b w:val="1"/>
          <w:bCs w:val="1"/>
          <w:u w:val="single" w:color="auto"/>
          <w:color w:val="auto"/>
        </w:rPr>
        <w:t>Compliance with Section 409A of the Code</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It is the intent of the Corporation that your Award not be subject to taxation under Section 409A(a)(1) of the Code. Nevertheless, in the event that your Award is subject to Section 409A of the Code, as determined by the Senior Vice President, Chief Human Resources Officer or delegate, in consultation with the General Tax Counsel or delegate, the following rules apply:</w:t>
      </w:r>
    </w:p>
    <w:p>
      <w:pPr>
        <w:spacing w:after="0" w:line="2" w:lineRule="exact"/>
        <w:rPr>
          <w:sz w:val="20"/>
          <w:szCs w:val="20"/>
          <w:color w:val="auto"/>
        </w:rPr>
      </w:pPr>
    </w:p>
    <w:p>
      <w:pPr>
        <w:jc w:val="both"/>
        <w:ind w:firstLine="8"/>
        <w:spacing w:after="0" w:line="248" w:lineRule="auto"/>
        <w:tabs>
          <w:tab w:leader="none" w:pos="238"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Award will be interpreted and administered to meet the requirements of Sections 409A(a)(2), (3) and (4) of the Code and thus to be exempt from taxation under Section 409A(a)(1) of the Code; (ii) no Award payment will be made on account of your termination of employment unless the termination of employment constitutes a “separation from service” under Section 409A(a)</w:t>
      </w:r>
    </w:p>
    <w:p>
      <w:pPr>
        <w:spacing w:after="0" w:line="2" w:lineRule="exact"/>
        <w:rPr>
          <w:rFonts w:ascii="Arial" w:cs="Arial" w:eastAsia="Arial" w:hAnsi="Arial"/>
          <w:sz w:val="20"/>
          <w:szCs w:val="20"/>
          <w:color w:val="auto"/>
        </w:rPr>
      </w:pPr>
    </w:p>
    <w:p>
      <w:pPr>
        <w:jc w:val="both"/>
        <w:spacing w:after="0" w:line="253" w:lineRule="auto"/>
        <w:rPr>
          <w:rFonts w:ascii="Arial" w:cs="Arial" w:eastAsia="Arial" w:hAnsi="Arial"/>
          <w:sz w:val="20"/>
          <w:szCs w:val="20"/>
          <w:color w:val="auto"/>
        </w:rPr>
      </w:pPr>
      <w:r>
        <w:rPr>
          <w:rFonts w:ascii="Arial" w:cs="Arial" w:eastAsia="Arial" w:hAnsi="Arial"/>
          <w:sz w:val="20"/>
          <w:szCs w:val="20"/>
          <w:color w:val="auto"/>
        </w:rPr>
        <w:t>(2)(a)(i) of the Code; and (iii) if you are a “specified employee” within the meaning of Section 409A of the Code, any payment in respect of this Award made on account of a termination of employment will be delayed for six (6) months following such termination of employment, and then made at the earliest date permitted by Section 409A of the Code.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9"/>
          <w:szCs w:val="19"/>
          <w:b w:val="1"/>
          <w:bCs w:val="1"/>
          <w:u w:val="single" w:color="auto"/>
          <w:color w:val="auto"/>
        </w:rPr>
        <w:t>Post-Employment Covenants &amp; Stock Ownership Requirements</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20"/>
          <w:szCs w:val="20"/>
          <w:color w:val="auto"/>
        </w:rPr>
        <w:t>Except where prohibited by law, by accepting this Award Agreement as described in Section 18, you agree to the terms of the Post-Employment Conduct Agreement contained in Exhibit A to this Award Agreement and you acknowledge receipt of the Stock Ownership Requirements attached as Exhibit B to this Award Agreement and agree to comply with such Stock Ownership Requirements as amended from time to time. If you are not a Vice President (or above) on the Award Date, but you are promoted to Vice President (or above) prior to the last day of the Vesting Period, the Stock Ownership Requirements as in effect at that time shall become applicable to you on the date of your promotion to Vice President (or above).</w:t>
      </w:r>
    </w:p>
    <w:p>
      <w:pPr>
        <w:spacing w:after="0" w:line="198"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9"/>
          <w:szCs w:val="19"/>
          <w:b w:val="1"/>
          <w:bCs w:val="1"/>
          <w:u w:val="single" w:color="auto"/>
          <w:color w:val="auto"/>
        </w:rPr>
        <w:t>English Language</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20"/>
          <w:szCs w:val="20"/>
          <w:color w:val="auto"/>
        </w:rPr>
        <w:t>You have received the terms and conditions of this Award Agreement and any other related communications, and you consent to having received these documents, in English. If you have received this Award Agreement or any other documents related to the Plan translated into a language other than English, and if the translated version is different from the English version, the English version will control.</w:t>
      </w:r>
    </w:p>
    <w:p>
      <w:pPr>
        <w:spacing w:after="0" w:line="211" w:lineRule="exact"/>
        <w:rPr>
          <w:sz w:val="20"/>
          <w:szCs w:val="20"/>
          <w:color w:val="auto"/>
        </w:rPr>
      </w:pPr>
    </w:p>
    <w:p>
      <w:pPr>
        <w:jc w:val="both"/>
        <w:ind w:firstLine="274"/>
        <w:spacing w:after="0" w:line="254" w:lineRule="auto"/>
        <w:rPr>
          <w:sz w:val="20"/>
          <w:szCs w:val="20"/>
          <w:color w:val="auto"/>
        </w:rPr>
      </w:pPr>
      <w:r>
        <w:rPr>
          <w:rFonts w:ascii="Arial" w:cs="Arial" w:eastAsia="Arial" w:hAnsi="Arial"/>
          <w:sz w:val="20"/>
          <w:szCs w:val="20"/>
          <w:u w:val="single" w:color="auto"/>
          <w:color w:val="auto"/>
        </w:rPr>
        <w:t>Quebec Residents Only</w:t>
      </w:r>
      <w:r>
        <w:rPr>
          <w:rFonts w:ascii="Arial" w:cs="Arial" w:eastAsia="Arial" w:hAnsi="Arial"/>
          <w:sz w:val="20"/>
          <w:szCs w:val="20"/>
          <w:color w:val="auto"/>
        </w:rPr>
        <w:t>: The Parties have agreed that this Award Agreement, the Plan as well as any notice, document or instrument relating to them be drawn up in English only. You acknowledge that, upon your reasonable request, the Corporation will provide a French translation of such documents to you. Les parties aux présentes ont convenu que la présente accord, le "Plan," ainsi que tous autres avis, actes ou documents s'y rattachant soient rédigés en anglais seulement. Vous reconnaissez que, à votre demande raisonnable, "the Corporation" fournit une traduction française de ces documents à vous.</w:t>
      </w:r>
    </w:p>
    <w:p>
      <w:pPr>
        <w:spacing w:after="0" w:line="21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9"/>
          <w:szCs w:val="19"/>
          <w:b w:val="1"/>
          <w:bCs w:val="1"/>
          <w:u w:val="single" w:color="auto"/>
          <w:color w:val="auto"/>
        </w:rPr>
        <w:t>Currency Exchange Risk</w:t>
      </w:r>
      <w:r>
        <w:rPr>
          <w:rFonts w:ascii="Arial" w:cs="Arial" w:eastAsia="Arial" w:hAnsi="Arial"/>
          <w:sz w:val="19"/>
          <w:szCs w:val="19"/>
          <w:b w:val="1"/>
          <w:bCs w:val="1"/>
          <w:color w:val="auto"/>
        </w:rPr>
        <w:t>.</w:t>
      </w:r>
    </w:p>
    <w:p>
      <w:pPr>
        <w:spacing w:after="0" w:line="2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If your functional currency is not the U.S. dollar, you agree and acknowledge that you will bear any and all risk associated with the exchange or fluctuation of currency associated with the Award (the “Currency Exchange Risk”). You waive and release the Corporation and its subsidiaries from any potential claims arising out of the Currency Exchange Risk.</w:t>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9"/>
          <w:szCs w:val="19"/>
          <w:b w:val="1"/>
          <w:bCs w:val="1"/>
          <w:u w:val="single" w:color="auto"/>
          <w:color w:val="auto"/>
        </w:rPr>
        <w:t>Exchange Control Requirements.</w:t>
      </w:r>
    </w:p>
    <w:p>
      <w:pPr>
        <w:spacing w:after="0" w:line="2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You agree and acknowledge that you will comply with any and all exchange control requirements applicable to the Award and any resulting funds including, without limitation, reporting or repatriation requirements. You further agree and acknowledge that you will determine whether any such requirements are applicable to the Award and any resulting funds, and that you are not relying on the Corporation for any advice in this regard.</w:t>
      </w:r>
    </w:p>
    <w:p>
      <w:pPr>
        <w:spacing w:after="0" w:line="20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9"/>
          <w:szCs w:val="19"/>
          <w:b w:val="1"/>
          <w:bCs w:val="1"/>
          <w:u w:val="single" w:color="auto"/>
          <w:color w:val="auto"/>
        </w:rPr>
        <w:t>Acceptance of Award Agreement; Electronic Delivery.</w:t>
      </w:r>
    </w:p>
    <w:p>
      <w:pPr>
        <w:spacing w:after="0" w:line="2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By accepting this Award Agreement, you consent to receive copies of the Prospectus applicable to this Award through the Stock Plan System at https://atwork.morganstanley.com as well as to electronic delivery of the Corporation’s annual report on Form 10-K, proxy statement and quarterly reports on Form 10-Q. This consent can only be withdrawn by written notice to the Vice President of Total Rewards at Lockheed Martin Corporation, Mail Point 126, 6801 Rockledge Drive, Bethesda, MD 20817. The Corporation will deliver any documents related to the Award under the Plan or future Awards that may be awarded under the Plan through the Stock Plan System. The Corporation will request your consent to participate in the Plan through the Stock Plan System. You hereby consent to receive such documents and agree to participate in the Plan through the Stock Plan System.</w:t>
      </w:r>
    </w:p>
    <w:p>
      <w:pPr>
        <w:spacing w:after="0" w:line="199" w:lineRule="exact"/>
        <w:rPr>
          <w:sz w:val="20"/>
          <w:szCs w:val="20"/>
          <w:color w:val="auto"/>
        </w:rPr>
      </w:pPr>
    </w:p>
    <w:p>
      <w:pPr>
        <w:jc w:val="both"/>
        <w:ind w:firstLine="233"/>
        <w:spacing w:after="0" w:line="252" w:lineRule="auto"/>
        <w:rPr>
          <w:sz w:val="20"/>
          <w:szCs w:val="20"/>
          <w:color w:val="auto"/>
        </w:rPr>
      </w:pPr>
      <w:r>
        <w:rPr>
          <w:rFonts w:ascii="Arial" w:cs="Arial" w:eastAsia="Arial" w:hAnsi="Arial"/>
          <w:sz w:val="20"/>
          <w:szCs w:val="20"/>
          <w:b w:val="1"/>
          <w:bCs w:val="1"/>
          <w:color w:val="auto"/>
        </w:rPr>
        <w:t xml:space="preserve">No Award is enforceable until you properly acknowledge your acceptance of this Award Agreement </w:t>
      </w:r>
      <w:r>
        <w:rPr>
          <w:rFonts w:ascii="Arial" w:cs="Arial" w:eastAsia="Arial" w:hAnsi="Arial"/>
          <w:sz w:val="20"/>
          <w:szCs w:val="20"/>
          <w:color w:val="auto"/>
        </w:rPr>
        <w:t>by completing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electronic receipt on the Stock Plan System as soon as possible but in no event later than the Acceptance Deadline. Acceptance of this Award Agreement must be made only by you personally or by a person acting pursuant to a power of attorney in the event of your inability to acknowledge your acceptance (and not by your estate, your spouse or any other person) and constitutes your consent to any action taken under the Plan consistent with its terms with respect to this Award. Notwithstanding the foregoing, this Award will be enforceable and deemed accepted, and will not be forfeited, if you are unable to accept this Award Agreement personally by the Acceptance Deadline, due to your death, disability, incapacity, deployment in the Armed Forces, or similar unforeseen circumstance as determined by the Corporation in its discretion. If you desire to accept this Award, you must acknowledge your acceptance and receipt of this Award Agreement electronically on or before the Acceptance Deadline, by going to the Stock Plan System at </w:t>
      </w:r>
      <w:r>
        <w:rPr>
          <w:rFonts w:ascii="Arial" w:cs="Arial" w:eastAsia="Arial" w:hAnsi="Arial"/>
          <w:sz w:val="20"/>
          <w:szCs w:val="20"/>
          <w:u w:val="single" w:color="auto"/>
          <w:color w:val="auto"/>
        </w:rPr>
        <w:t>https://atwork.morganstanley.com</w:t>
      </w:r>
      <w:r>
        <w:rPr>
          <w:rFonts w:ascii="Arial" w:cs="Arial" w:eastAsia="Arial" w:hAnsi="Arial"/>
          <w:sz w:val="20"/>
          <w:szCs w:val="20"/>
          <w:color w:val="auto"/>
        </w:rPr>
        <w:t>.</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Assuming prompt and proper acknowledgment of this Award Agreement as described in this Section 18, this Award will be effective as of the Award Date.</w:t>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3960" w:type="dxa"/>
            <w:vAlign w:val="bottom"/>
          </w:tcPr>
          <w:p>
            <w:pPr>
              <w:spacing w:after="0"/>
              <w:rPr>
                <w:sz w:val="22"/>
                <w:szCs w:val="22"/>
                <w:color w:val="auto"/>
              </w:rPr>
            </w:pPr>
          </w:p>
        </w:tc>
        <w:tc>
          <w:tcPr>
            <w:tcW w:w="4140" w:type="dxa"/>
            <w:vAlign w:val="bottom"/>
          </w:tcPr>
          <w:p>
            <w:pPr>
              <w:ind w:left="240"/>
              <w:spacing w:after="0"/>
              <w:rPr>
                <w:sz w:val="20"/>
                <w:szCs w:val="20"/>
                <w:color w:val="auto"/>
              </w:rPr>
            </w:pPr>
            <w:r>
              <w:rPr>
                <w:rFonts w:ascii="Arial" w:cs="Arial" w:eastAsia="Arial" w:hAnsi="Arial"/>
                <w:sz w:val="20"/>
                <w:szCs w:val="20"/>
                <w:color w:val="auto"/>
              </w:rPr>
              <w:t>Appendix I - Capitalized Terms</w:t>
            </w:r>
          </w:p>
        </w:tc>
      </w:tr>
      <w:tr>
        <w:trPr>
          <w:trHeight w:val="540"/>
        </w:trPr>
        <w:tc>
          <w:tcPr>
            <w:tcW w:w="3960" w:type="dxa"/>
            <w:vAlign w:val="bottom"/>
          </w:tcPr>
          <w:p>
            <w:pPr>
              <w:spacing w:after="0"/>
              <w:rPr>
                <w:sz w:val="20"/>
                <w:szCs w:val="20"/>
                <w:color w:val="auto"/>
              </w:rPr>
            </w:pPr>
            <w:r>
              <w:rPr>
                <w:rFonts w:ascii="Arial" w:cs="Arial" w:eastAsia="Arial" w:hAnsi="Arial"/>
                <w:sz w:val="20"/>
                <w:szCs w:val="20"/>
                <w:color w:val="auto"/>
              </w:rPr>
              <w:t>Acceptance Deadline</w:t>
            </w:r>
          </w:p>
        </w:tc>
        <w:tc>
          <w:tcPr>
            <w:tcW w:w="4140" w:type="dxa"/>
            <w:vAlign w:val="bottom"/>
          </w:tcPr>
          <w:p>
            <w:pPr>
              <w:ind w:left="2980"/>
              <w:spacing w:after="0"/>
              <w:rPr>
                <w:sz w:val="20"/>
                <w:szCs w:val="20"/>
                <w:color w:val="auto"/>
              </w:rPr>
            </w:pPr>
            <w:r>
              <w:rPr>
                <w:rFonts w:ascii="Arial" w:cs="Arial" w:eastAsia="Arial" w:hAnsi="Arial"/>
                <w:sz w:val="39"/>
                <w:szCs w:val="39"/>
                <w:color w:val="auto"/>
                <w:vertAlign w:val="subscript"/>
              </w:rPr>
              <w:t>3</w:t>
            </w:r>
            <w:r>
              <w:rPr>
                <w:rFonts w:ascii="Arial" w:cs="Arial" w:eastAsia="Arial" w:hAnsi="Arial"/>
                <w:sz w:val="13"/>
                <w:szCs w:val="13"/>
                <w:color w:val="auto"/>
              </w:rPr>
              <w:t xml:space="preserve">rd </w:t>
            </w:r>
            <w:r>
              <w:rPr>
                <w:rFonts w:ascii="Arial" w:cs="Arial" w:eastAsia="Arial" w:hAnsi="Arial"/>
                <w:sz w:val="39"/>
                <w:szCs w:val="39"/>
                <w:color w:val="auto"/>
                <w:vertAlign w:val="subscript"/>
              </w:rPr>
              <w:t>¶</w:t>
            </w:r>
          </w:p>
        </w:tc>
      </w:tr>
      <w:tr>
        <w:trPr>
          <w:trHeight w:val="279"/>
        </w:trPr>
        <w:tc>
          <w:tcPr>
            <w:tcW w:w="3960" w:type="dxa"/>
            <w:vAlign w:val="bottom"/>
          </w:tcPr>
          <w:p>
            <w:pPr>
              <w:spacing w:after="0"/>
              <w:rPr>
                <w:sz w:val="20"/>
                <w:szCs w:val="20"/>
                <w:color w:val="auto"/>
              </w:rPr>
            </w:pPr>
            <w:r>
              <w:rPr>
                <w:rFonts w:ascii="Arial" w:cs="Arial" w:eastAsia="Arial" w:hAnsi="Arial"/>
                <w:sz w:val="20"/>
                <w:szCs w:val="20"/>
                <w:color w:val="auto"/>
              </w:rPr>
              <w:t>A&amp;D Peer</w:t>
            </w:r>
          </w:p>
        </w:tc>
        <w:tc>
          <w:tcPr>
            <w:tcW w:w="4140" w:type="dxa"/>
            <w:vAlign w:val="bottom"/>
          </w:tcPr>
          <w:p>
            <w:pPr>
              <w:ind w:left="2980"/>
              <w:spacing w:after="0"/>
              <w:rPr>
                <w:sz w:val="20"/>
                <w:szCs w:val="20"/>
                <w:color w:val="auto"/>
              </w:rPr>
            </w:pPr>
            <w:r>
              <w:rPr>
                <w:rFonts w:ascii="Arial" w:cs="Arial" w:eastAsia="Arial" w:hAnsi="Arial"/>
                <w:sz w:val="20"/>
                <w:szCs w:val="20"/>
                <w:color w:val="auto"/>
              </w:rPr>
              <w:t>§ 3.1</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A&amp;D Peer Group</w:t>
            </w:r>
          </w:p>
        </w:tc>
        <w:tc>
          <w:tcPr>
            <w:tcW w:w="4140" w:type="dxa"/>
            <w:vAlign w:val="bottom"/>
          </w:tcPr>
          <w:p>
            <w:pPr>
              <w:ind w:left="2980"/>
              <w:spacing w:after="0"/>
              <w:rPr>
                <w:sz w:val="20"/>
                <w:szCs w:val="20"/>
                <w:color w:val="auto"/>
              </w:rPr>
            </w:pPr>
            <w:r>
              <w:rPr>
                <w:rFonts w:ascii="Arial" w:cs="Arial" w:eastAsia="Arial" w:hAnsi="Arial"/>
                <w:sz w:val="20"/>
                <w:szCs w:val="20"/>
                <w:color w:val="auto"/>
              </w:rPr>
              <w:t>§ 3.1</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Award</w:t>
            </w:r>
          </w:p>
        </w:tc>
        <w:tc>
          <w:tcPr>
            <w:tcW w:w="4140" w:type="dxa"/>
            <w:vAlign w:val="bottom"/>
          </w:tcPr>
          <w:p>
            <w:pPr>
              <w:ind w:left="2980"/>
              <w:spacing w:after="0" w:line="297" w:lineRule="exact"/>
              <w:rPr>
                <w:sz w:val="20"/>
                <w:szCs w:val="20"/>
                <w:color w:val="auto"/>
              </w:rPr>
            </w:pPr>
            <w:r>
              <w:rPr>
                <w:rFonts w:ascii="Arial" w:cs="Arial" w:eastAsia="Arial" w:hAnsi="Arial"/>
                <w:sz w:val="34"/>
                <w:szCs w:val="34"/>
                <w:color w:val="auto"/>
                <w:vertAlign w:val="subscript"/>
              </w:rPr>
              <w:t>1</w:t>
            </w:r>
            <w:r>
              <w:rPr>
                <w:rFonts w:ascii="Arial" w:cs="Arial" w:eastAsia="Arial" w:hAnsi="Arial"/>
                <w:sz w:val="12"/>
                <w:szCs w:val="12"/>
                <w:color w:val="auto"/>
              </w:rPr>
              <w:t xml:space="preserve">st </w:t>
            </w:r>
            <w:r>
              <w:rPr>
                <w:rFonts w:ascii="Arial" w:cs="Arial" w:eastAsia="Arial" w:hAnsi="Arial"/>
                <w:sz w:val="34"/>
                <w:szCs w:val="34"/>
                <w:color w:val="auto"/>
                <w:vertAlign w:val="subscript"/>
              </w:rPr>
              <w:t>¶</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Award Date</w:t>
            </w:r>
          </w:p>
        </w:tc>
        <w:tc>
          <w:tcPr>
            <w:tcW w:w="4140" w:type="dxa"/>
            <w:vAlign w:val="bottom"/>
          </w:tcPr>
          <w:p>
            <w:pPr>
              <w:ind w:left="2980"/>
              <w:spacing w:after="0"/>
              <w:rPr>
                <w:sz w:val="20"/>
                <w:szCs w:val="20"/>
                <w:color w:val="auto"/>
              </w:rPr>
            </w:pPr>
            <w:r>
              <w:rPr>
                <w:rFonts w:ascii="Arial" w:cs="Arial" w:eastAsia="Arial" w:hAnsi="Arial"/>
                <w:sz w:val="20"/>
                <w:szCs w:val="20"/>
                <w:color w:val="auto"/>
              </w:rPr>
              <w:t>Header</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Beginning Price</w:t>
            </w:r>
          </w:p>
        </w:tc>
        <w:tc>
          <w:tcPr>
            <w:tcW w:w="4140" w:type="dxa"/>
            <w:vAlign w:val="bottom"/>
          </w:tcPr>
          <w:p>
            <w:pPr>
              <w:ind w:left="2920"/>
              <w:spacing w:after="0"/>
              <w:rPr>
                <w:sz w:val="20"/>
                <w:szCs w:val="20"/>
                <w:color w:val="auto"/>
              </w:rPr>
            </w:pPr>
            <w:r>
              <w:rPr>
                <w:rFonts w:ascii="Arial" w:cs="Arial" w:eastAsia="Arial" w:hAnsi="Arial"/>
                <w:sz w:val="20"/>
                <w:szCs w:val="20"/>
                <w:color w:val="auto"/>
              </w:rPr>
              <w:t>3.2</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Beneficiary</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75"/>
        </w:trPr>
        <w:tc>
          <w:tcPr>
            <w:tcW w:w="3960" w:type="dxa"/>
            <w:vAlign w:val="bottom"/>
          </w:tcPr>
          <w:p>
            <w:pPr>
              <w:spacing w:after="0"/>
              <w:rPr>
                <w:sz w:val="20"/>
                <w:szCs w:val="20"/>
                <w:color w:val="auto"/>
              </w:rPr>
            </w:pPr>
            <w:r>
              <w:rPr>
                <w:rFonts w:ascii="Arial" w:cs="Arial" w:eastAsia="Arial" w:hAnsi="Arial"/>
                <w:sz w:val="20"/>
                <w:szCs w:val="20"/>
                <w:color w:val="auto"/>
              </w:rPr>
              <w:t>Cash from Operations</w:t>
            </w:r>
          </w:p>
        </w:tc>
        <w:tc>
          <w:tcPr>
            <w:tcW w:w="4140" w:type="dxa"/>
            <w:vAlign w:val="bottom"/>
          </w:tcPr>
          <w:p>
            <w:pPr>
              <w:ind w:left="2980"/>
              <w:spacing w:after="0"/>
              <w:rPr>
                <w:sz w:val="20"/>
                <w:szCs w:val="20"/>
                <w:color w:val="auto"/>
              </w:rPr>
            </w:pPr>
            <w:r>
              <w:rPr>
                <w:rFonts w:ascii="Arial" w:cs="Arial" w:eastAsia="Arial" w:hAnsi="Arial"/>
                <w:sz w:val="20"/>
                <w:szCs w:val="20"/>
                <w:color w:val="auto"/>
              </w:rPr>
              <w:t>§ 4.2(a)</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Cash from Operations Performance Factor</w:t>
            </w:r>
          </w:p>
        </w:tc>
        <w:tc>
          <w:tcPr>
            <w:tcW w:w="4140" w:type="dxa"/>
            <w:vAlign w:val="bottom"/>
          </w:tcPr>
          <w:p>
            <w:pPr>
              <w:ind w:left="2980"/>
              <w:spacing w:after="0"/>
              <w:rPr>
                <w:sz w:val="20"/>
                <w:szCs w:val="20"/>
                <w:color w:val="auto"/>
              </w:rPr>
            </w:pPr>
            <w:r>
              <w:rPr>
                <w:rFonts w:ascii="Arial" w:cs="Arial" w:eastAsia="Arial" w:hAnsi="Arial"/>
                <w:sz w:val="20"/>
                <w:szCs w:val="20"/>
                <w:color w:val="auto"/>
              </w:rPr>
              <w:t>§ 4.2</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Cash from Operations Target</w:t>
            </w:r>
          </w:p>
        </w:tc>
        <w:tc>
          <w:tcPr>
            <w:tcW w:w="4140" w:type="dxa"/>
            <w:vAlign w:val="bottom"/>
          </w:tcPr>
          <w:p>
            <w:pPr>
              <w:ind w:left="2980"/>
              <w:spacing w:after="0"/>
              <w:rPr>
                <w:sz w:val="20"/>
                <w:szCs w:val="20"/>
                <w:color w:val="auto"/>
              </w:rPr>
            </w:pPr>
            <w:r>
              <w:rPr>
                <w:rFonts w:ascii="Arial" w:cs="Arial" w:eastAsia="Arial" w:hAnsi="Arial"/>
                <w:sz w:val="20"/>
                <w:szCs w:val="20"/>
                <w:color w:val="auto"/>
              </w:rPr>
              <w:t>§ 2.1(c)</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Cause</w:t>
            </w:r>
          </w:p>
        </w:tc>
        <w:tc>
          <w:tcPr>
            <w:tcW w:w="4140" w:type="dxa"/>
            <w:vAlign w:val="bottom"/>
          </w:tcPr>
          <w:p>
            <w:pPr>
              <w:ind w:left="2980"/>
              <w:spacing w:after="0"/>
              <w:rPr>
                <w:sz w:val="20"/>
                <w:szCs w:val="20"/>
                <w:color w:val="auto"/>
              </w:rPr>
            </w:pPr>
            <w:r>
              <w:rPr>
                <w:rFonts w:ascii="Arial" w:cs="Arial" w:eastAsia="Arial" w:hAnsi="Arial"/>
                <w:sz w:val="20"/>
                <w:szCs w:val="20"/>
                <w:color w:val="auto"/>
              </w:rPr>
              <w:t>§ 8.3(a)</w:t>
            </w:r>
          </w:p>
        </w:tc>
      </w:tr>
      <w:tr>
        <w:trPr>
          <w:trHeight w:val="279"/>
        </w:trPr>
        <w:tc>
          <w:tcPr>
            <w:tcW w:w="3960" w:type="dxa"/>
            <w:vAlign w:val="bottom"/>
          </w:tcPr>
          <w:p>
            <w:pPr>
              <w:spacing w:after="0"/>
              <w:rPr>
                <w:sz w:val="20"/>
                <w:szCs w:val="20"/>
                <w:color w:val="auto"/>
              </w:rPr>
            </w:pPr>
            <w:r>
              <w:rPr>
                <w:rFonts w:ascii="Arial" w:cs="Arial" w:eastAsia="Arial" w:hAnsi="Arial"/>
                <w:sz w:val="20"/>
                <w:szCs w:val="20"/>
                <w:color w:val="auto"/>
              </w:rPr>
              <w:t>Change in Control</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Code</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Committee</w:t>
            </w:r>
          </w:p>
        </w:tc>
        <w:tc>
          <w:tcPr>
            <w:tcW w:w="4140" w:type="dxa"/>
            <w:vAlign w:val="bottom"/>
          </w:tcPr>
          <w:p>
            <w:pPr>
              <w:ind w:left="2980"/>
              <w:spacing w:after="0" w:line="297" w:lineRule="exact"/>
              <w:rPr>
                <w:sz w:val="20"/>
                <w:szCs w:val="20"/>
                <w:color w:val="auto"/>
              </w:rPr>
            </w:pPr>
            <w:r>
              <w:rPr>
                <w:rFonts w:ascii="Arial" w:cs="Arial" w:eastAsia="Arial" w:hAnsi="Arial"/>
                <w:sz w:val="34"/>
                <w:szCs w:val="34"/>
                <w:color w:val="auto"/>
                <w:vertAlign w:val="subscript"/>
              </w:rPr>
              <w:t>2</w:t>
            </w:r>
            <w:r>
              <w:rPr>
                <w:rFonts w:ascii="Arial" w:cs="Arial" w:eastAsia="Arial" w:hAnsi="Arial"/>
                <w:sz w:val="12"/>
                <w:szCs w:val="12"/>
                <w:color w:val="auto"/>
              </w:rPr>
              <w:t xml:space="preserve">nd </w:t>
            </w:r>
            <w:r>
              <w:rPr>
                <w:rFonts w:ascii="Arial" w:cs="Arial" w:eastAsia="Arial" w:hAnsi="Arial"/>
                <w:sz w:val="34"/>
                <w:szCs w:val="34"/>
                <w:color w:val="auto"/>
                <w:vertAlign w:val="subscript"/>
              </w:rPr>
              <w:t>¶</w:t>
            </w:r>
          </w:p>
        </w:tc>
      </w:tr>
      <w:tr>
        <w:trPr>
          <w:trHeight w:val="275"/>
        </w:trPr>
        <w:tc>
          <w:tcPr>
            <w:tcW w:w="3960" w:type="dxa"/>
            <w:vAlign w:val="bottom"/>
          </w:tcPr>
          <w:p>
            <w:pPr>
              <w:spacing w:after="0"/>
              <w:rPr>
                <w:sz w:val="20"/>
                <w:szCs w:val="20"/>
                <w:color w:val="auto"/>
              </w:rPr>
            </w:pPr>
            <w:r>
              <w:rPr>
                <w:rFonts w:ascii="Arial" w:cs="Arial" w:eastAsia="Arial" w:hAnsi="Arial"/>
                <w:sz w:val="20"/>
                <w:szCs w:val="20"/>
                <w:color w:val="auto"/>
              </w:rPr>
              <w:t>Conditional Award</w:t>
            </w:r>
          </w:p>
        </w:tc>
        <w:tc>
          <w:tcPr>
            <w:tcW w:w="4140" w:type="dxa"/>
            <w:vAlign w:val="bottom"/>
          </w:tcPr>
          <w:p>
            <w:pPr>
              <w:ind w:left="2980"/>
              <w:spacing w:after="0"/>
              <w:rPr>
                <w:sz w:val="20"/>
                <w:szCs w:val="20"/>
                <w:color w:val="auto"/>
              </w:rPr>
            </w:pPr>
            <w:r>
              <w:rPr>
                <w:rFonts w:ascii="Arial" w:cs="Arial" w:eastAsia="Arial" w:hAnsi="Arial"/>
                <w:sz w:val="20"/>
                <w:szCs w:val="20"/>
                <w:color w:val="auto"/>
              </w:rPr>
              <w:t>§ 2.1(e)</w:t>
            </w:r>
          </w:p>
        </w:tc>
      </w:tr>
      <w:tr>
        <w:trPr>
          <w:trHeight w:val="319"/>
        </w:trPr>
        <w:tc>
          <w:tcPr>
            <w:tcW w:w="3960" w:type="dxa"/>
            <w:vAlign w:val="bottom"/>
          </w:tcPr>
          <w:p>
            <w:pPr>
              <w:spacing w:after="0"/>
              <w:rPr>
                <w:sz w:val="20"/>
                <w:szCs w:val="20"/>
                <w:color w:val="auto"/>
              </w:rPr>
            </w:pPr>
            <w:r>
              <w:rPr>
                <w:rFonts w:ascii="Arial" w:cs="Arial" w:eastAsia="Arial" w:hAnsi="Arial"/>
                <w:sz w:val="20"/>
                <w:szCs w:val="20"/>
                <w:color w:val="auto"/>
              </w:rPr>
              <w:t>Corporation</w:t>
            </w:r>
          </w:p>
        </w:tc>
        <w:tc>
          <w:tcPr>
            <w:tcW w:w="4140" w:type="dxa"/>
            <w:vAlign w:val="bottom"/>
          </w:tcPr>
          <w:p>
            <w:pPr>
              <w:ind w:left="2980"/>
              <w:spacing w:after="0"/>
              <w:rPr>
                <w:sz w:val="20"/>
                <w:szCs w:val="20"/>
                <w:color w:val="auto"/>
              </w:rPr>
            </w:pPr>
            <w:r>
              <w:rPr>
                <w:rFonts w:ascii="Arial" w:cs="Arial" w:eastAsia="Arial" w:hAnsi="Arial"/>
                <w:sz w:val="20"/>
                <w:szCs w:val="20"/>
                <w:color w:val="auto"/>
              </w:rPr>
              <w:t>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Currency Exchange Risk</w:t>
            </w:r>
          </w:p>
        </w:tc>
        <w:tc>
          <w:tcPr>
            <w:tcW w:w="4140" w:type="dxa"/>
            <w:vAlign w:val="bottom"/>
          </w:tcPr>
          <w:p>
            <w:pPr>
              <w:ind w:left="2980"/>
              <w:spacing w:after="0"/>
              <w:rPr>
                <w:sz w:val="20"/>
                <w:szCs w:val="20"/>
                <w:color w:val="auto"/>
              </w:rPr>
            </w:pPr>
            <w:r>
              <w:rPr>
                <w:rFonts w:ascii="Arial" w:cs="Arial" w:eastAsia="Arial" w:hAnsi="Arial"/>
                <w:sz w:val="20"/>
                <w:szCs w:val="20"/>
                <w:color w:val="auto"/>
              </w:rPr>
              <w:t>§ 16</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Data Set</w:t>
            </w:r>
          </w:p>
        </w:tc>
        <w:tc>
          <w:tcPr>
            <w:tcW w:w="4140" w:type="dxa"/>
            <w:vAlign w:val="bottom"/>
          </w:tcPr>
          <w:p>
            <w:pPr>
              <w:ind w:left="2980"/>
              <w:spacing w:after="0"/>
              <w:rPr>
                <w:sz w:val="20"/>
                <w:szCs w:val="20"/>
                <w:color w:val="auto"/>
              </w:rPr>
            </w:pPr>
            <w:r>
              <w:rPr>
                <w:rFonts w:ascii="Arial" w:cs="Arial" w:eastAsia="Arial" w:hAnsi="Arial"/>
                <w:sz w:val="20"/>
                <w:szCs w:val="20"/>
                <w:color w:val="auto"/>
              </w:rPr>
              <w:t>§ 3.2</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DDE</w:t>
            </w:r>
          </w:p>
        </w:tc>
        <w:tc>
          <w:tcPr>
            <w:tcW w:w="4140" w:type="dxa"/>
            <w:vAlign w:val="bottom"/>
          </w:tcPr>
          <w:p>
            <w:pPr>
              <w:ind w:left="2980"/>
              <w:spacing w:after="0"/>
              <w:rPr>
                <w:sz w:val="20"/>
                <w:szCs w:val="20"/>
                <w:color w:val="auto"/>
              </w:rPr>
            </w:pPr>
            <w:r>
              <w:rPr>
                <w:rFonts w:ascii="Arial" w:cs="Arial" w:eastAsia="Arial" w:hAnsi="Arial"/>
                <w:sz w:val="20"/>
                <w:szCs w:val="20"/>
                <w:color w:val="auto"/>
              </w:rPr>
              <w:t>§ 1.1(c)</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Divestiture</w:t>
            </w:r>
          </w:p>
        </w:tc>
        <w:tc>
          <w:tcPr>
            <w:tcW w:w="4140" w:type="dxa"/>
            <w:vAlign w:val="bottom"/>
          </w:tcPr>
          <w:p>
            <w:pPr>
              <w:ind w:left="2980"/>
              <w:spacing w:after="0"/>
              <w:rPr>
                <w:sz w:val="20"/>
                <w:szCs w:val="20"/>
                <w:color w:val="auto"/>
              </w:rPr>
            </w:pPr>
            <w:r>
              <w:rPr>
                <w:rFonts w:ascii="Arial" w:cs="Arial" w:eastAsia="Arial" w:hAnsi="Arial"/>
                <w:sz w:val="20"/>
                <w:szCs w:val="20"/>
                <w:color w:val="auto"/>
              </w:rPr>
              <w:t>§ 5.1(c)(ii)</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Earned Award</w:t>
            </w:r>
          </w:p>
        </w:tc>
        <w:tc>
          <w:tcPr>
            <w:tcW w:w="4140" w:type="dxa"/>
            <w:vAlign w:val="bottom"/>
          </w:tcPr>
          <w:p>
            <w:pPr>
              <w:ind w:left="2980"/>
              <w:spacing w:after="0"/>
              <w:rPr>
                <w:sz w:val="20"/>
                <w:szCs w:val="20"/>
                <w:color w:val="auto"/>
              </w:rPr>
            </w:pPr>
            <w:r>
              <w:rPr>
                <w:rFonts w:ascii="Arial" w:cs="Arial" w:eastAsia="Arial" w:hAnsi="Arial"/>
                <w:sz w:val="20"/>
                <w:szCs w:val="20"/>
                <w:color w:val="auto"/>
              </w:rPr>
              <w:t>§ 2.1(e)</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Employee</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Ending Price</w:t>
            </w:r>
          </w:p>
        </w:tc>
        <w:tc>
          <w:tcPr>
            <w:tcW w:w="4140" w:type="dxa"/>
            <w:vAlign w:val="bottom"/>
          </w:tcPr>
          <w:p>
            <w:pPr>
              <w:ind w:left="2920"/>
              <w:spacing w:after="0"/>
              <w:rPr>
                <w:sz w:val="20"/>
                <w:szCs w:val="20"/>
                <w:color w:val="auto"/>
              </w:rPr>
            </w:pPr>
            <w:r>
              <w:rPr>
                <w:rFonts w:ascii="Arial" w:cs="Arial" w:eastAsia="Arial" w:hAnsi="Arial"/>
                <w:sz w:val="20"/>
                <w:szCs w:val="20"/>
                <w:color w:val="auto"/>
              </w:rPr>
              <w:t>3.2</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Exchange Act</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Fair Market Value</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Good Reason</w:t>
            </w:r>
          </w:p>
        </w:tc>
        <w:tc>
          <w:tcPr>
            <w:tcW w:w="4140" w:type="dxa"/>
            <w:vAlign w:val="bottom"/>
          </w:tcPr>
          <w:p>
            <w:pPr>
              <w:ind w:left="2980"/>
              <w:spacing w:after="0"/>
              <w:rPr>
                <w:sz w:val="20"/>
                <w:szCs w:val="20"/>
                <w:color w:val="auto"/>
              </w:rPr>
            </w:pPr>
            <w:r>
              <w:rPr>
                <w:rFonts w:ascii="Arial" w:cs="Arial" w:eastAsia="Arial" w:hAnsi="Arial"/>
                <w:sz w:val="20"/>
                <w:szCs w:val="20"/>
                <w:color w:val="auto"/>
              </w:rPr>
              <w:t>§ 8.3(b)</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Insider</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Maximum Award</w:t>
            </w:r>
          </w:p>
        </w:tc>
        <w:tc>
          <w:tcPr>
            <w:tcW w:w="4140" w:type="dxa"/>
            <w:vAlign w:val="bottom"/>
          </w:tcPr>
          <w:p>
            <w:pPr>
              <w:ind w:left="2980"/>
              <w:spacing w:after="0"/>
              <w:rPr>
                <w:sz w:val="20"/>
                <w:szCs w:val="20"/>
                <w:color w:val="auto"/>
              </w:rPr>
            </w:pPr>
            <w:r>
              <w:rPr>
                <w:rFonts w:ascii="Arial" w:cs="Arial" w:eastAsia="Arial" w:hAnsi="Arial"/>
                <w:sz w:val="20"/>
                <w:szCs w:val="20"/>
                <w:color w:val="auto"/>
              </w:rPr>
              <w:t>§ 1.1(b)</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Minimum Service Date</w:t>
            </w:r>
          </w:p>
        </w:tc>
        <w:tc>
          <w:tcPr>
            <w:tcW w:w="4140" w:type="dxa"/>
            <w:vAlign w:val="bottom"/>
          </w:tcPr>
          <w:p>
            <w:pPr>
              <w:ind w:left="2980"/>
              <w:spacing w:after="0"/>
              <w:rPr>
                <w:sz w:val="20"/>
                <w:szCs w:val="20"/>
                <w:color w:val="auto"/>
              </w:rPr>
            </w:pPr>
            <w:r>
              <w:rPr>
                <w:rFonts w:ascii="Arial" w:cs="Arial" w:eastAsia="Arial" w:hAnsi="Arial"/>
                <w:sz w:val="20"/>
                <w:szCs w:val="20"/>
                <w:color w:val="auto"/>
              </w:rPr>
              <w:t>§ 5.1(b)(ii)</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Peer Company</w:t>
            </w:r>
          </w:p>
        </w:tc>
        <w:tc>
          <w:tcPr>
            <w:tcW w:w="4140" w:type="dxa"/>
            <w:vAlign w:val="bottom"/>
          </w:tcPr>
          <w:p>
            <w:pPr>
              <w:ind w:left="2980"/>
              <w:spacing w:after="0"/>
              <w:rPr>
                <w:sz w:val="20"/>
                <w:szCs w:val="20"/>
                <w:color w:val="auto"/>
              </w:rPr>
            </w:pPr>
            <w:r>
              <w:rPr>
                <w:rFonts w:ascii="Arial" w:cs="Arial" w:eastAsia="Arial" w:hAnsi="Arial"/>
                <w:sz w:val="20"/>
                <w:szCs w:val="20"/>
                <w:color w:val="auto"/>
              </w:rPr>
              <w:t>§ 3.1</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Percentile Ranking</w:t>
            </w:r>
          </w:p>
        </w:tc>
        <w:tc>
          <w:tcPr>
            <w:tcW w:w="4140" w:type="dxa"/>
            <w:vAlign w:val="bottom"/>
          </w:tcPr>
          <w:p>
            <w:pPr>
              <w:ind w:left="2980"/>
              <w:spacing w:after="0"/>
              <w:rPr>
                <w:sz w:val="20"/>
                <w:szCs w:val="20"/>
                <w:color w:val="auto"/>
              </w:rPr>
            </w:pPr>
            <w:r>
              <w:rPr>
                <w:rFonts w:ascii="Arial" w:cs="Arial" w:eastAsia="Arial" w:hAnsi="Arial"/>
                <w:sz w:val="20"/>
                <w:szCs w:val="20"/>
                <w:color w:val="auto"/>
              </w:rPr>
              <w:t>§ 3.2</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Performance-Based Award</w:t>
            </w:r>
          </w:p>
        </w:tc>
        <w:tc>
          <w:tcPr>
            <w:tcW w:w="4140" w:type="dxa"/>
            <w:vAlign w:val="bottom"/>
          </w:tcPr>
          <w:p>
            <w:pPr>
              <w:ind w:left="2980"/>
              <w:spacing w:after="0"/>
              <w:rPr>
                <w:sz w:val="20"/>
                <w:szCs w:val="20"/>
                <w:color w:val="auto"/>
              </w:rPr>
            </w:pPr>
            <w:r>
              <w:rPr>
                <w:rFonts w:ascii="Arial" w:cs="Arial" w:eastAsia="Arial" w:hAnsi="Arial"/>
                <w:sz w:val="20"/>
                <w:szCs w:val="20"/>
                <w:color w:val="auto"/>
              </w:rPr>
              <w:t>Plan</w:t>
            </w:r>
          </w:p>
        </w:tc>
      </w:tr>
      <w:tr>
        <w:trPr>
          <w:trHeight w:val="257"/>
        </w:trPr>
        <w:tc>
          <w:tcPr>
            <w:tcW w:w="3960" w:type="dxa"/>
            <w:vAlign w:val="bottom"/>
          </w:tcPr>
          <w:p>
            <w:pPr>
              <w:spacing w:after="0"/>
              <w:rPr>
                <w:sz w:val="20"/>
                <w:szCs w:val="20"/>
                <w:color w:val="auto"/>
              </w:rPr>
            </w:pPr>
            <w:r>
              <w:rPr>
                <w:rFonts w:ascii="Arial" w:cs="Arial" w:eastAsia="Arial" w:hAnsi="Arial"/>
                <w:sz w:val="20"/>
                <w:szCs w:val="20"/>
                <w:color w:val="auto"/>
              </w:rPr>
              <w:t>Performance Period</w:t>
            </w:r>
          </w:p>
        </w:tc>
        <w:tc>
          <w:tcPr>
            <w:tcW w:w="4140" w:type="dxa"/>
            <w:vAlign w:val="bottom"/>
          </w:tcPr>
          <w:p>
            <w:pPr>
              <w:ind w:left="2980"/>
              <w:spacing w:after="0"/>
              <w:rPr>
                <w:sz w:val="20"/>
                <w:szCs w:val="20"/>
                <w:color w:val="auto"/>
              </w:rPr>
            </w:pPr>
            <w:r>
              <w:rPr>
                <w:rFonts w:ascii="Arial" w:cs="Arial" w:eastAsia="Arial" w:hAnsi="Arial"/>
                <w:sz w:val="20"/>
                <w:szCs w:val="20"/>
                <w:color w:val="auto"/>
              </w:rPr>
              <w:t>§ 1.2</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Personal Data</w:t>
            </w:r>
          </w:p>
        </w:tc>
        <w:tc>
          <w:tcPr>
            <w:tcW w:w="4140" w:type="dxa"/>
            <w:vAlign w:val="bottom"/>
          </w:tcPr>
          <w:p>
            <w:pPr>
              <w:ind w:left="2980"/>
              <w:spacing w:after="0"/>
              <w:rPr>
                <w:sz w:val="20"/>
                <w:szCs w:val="20"/>
                <w:color w:val="auto"/>
              </w:rPr>
            </w:pPr>
            <w:r>
              <w:rPr>
                <w:rFonts w:ascii="Arial" w:cs="Arial" w:eastAsia="Arial" w:hAnsi="Arial"/>
                <w:sz w:val="20"/>
                <w:szCs w:val="20"/>
                <w:color w:val="auto"/>
              </w:rPr>
              <w:t>§ 10</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Plan</w:t>
            </w:r>
          </w:p>
        </w:tc>
        <w:tc>
          <w:tcPr>
            <w:tcW w:w="4140" w:type="dxa"/>
            <w:vAlign w:val="bottom"/>
          </w:tcPr>
          <w:p>
            <w:pPr>
              <w:ind w:left="2980"/>
              <w:spacing w:after="0"/>
              <w:rPr>
                <w:sz w:val="20"/>
                <w:szCs w:val="20"/>
                <w:color w:val="auto"/>
              </w:rPr>
            </w:pPr>
            <w:r>
              <w:rPr>
                <w:rFonts w:ascii="Arial" w:cs="Arial" w:eastAsia="Arial" w:hAnsi="Arial"/>
                <w:sz w:val="20"/>
                <w:szCs w:val="20"/>
                <w:color w:val="auto"/>
              </w:rPr>
              <w:t>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Post-Employment Conduct Agreement</w:t>
            </w:r>
          </w:p>
        </w:tc>
        <w:tc>
          <w:tcPr>
            <w:tcW w:w="4140" w:type="dxa"/>
            <w:vAlign w:val="bottom"/>
          </w:tcPr>
          <w:p>
            <w:pPr>
              <w:ind w:left="2980"/>
              <w:spacing w:after="0"/>
              <w:rPr>
                <w:sz w:val="20"/>
                <w:szCs w:val="20"/>
                <w:color w:val="auto"/>
              </w:rPr>
            </w:pPr>
            <w:r>
              <w:rPr>
                <w:rFonts w:ascii="Arial" w:cs="Arial" w:eastAsia="Arial" w:hAnsi="Arial"/>
                <w:sz w:val="20"/>
                <w:szCs w:val="20"/>
                <w:color w:val="auto"/>
              </w:rPr>
              <w:t>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w:t>
            </w:r>
          </w:p>
        </w:tc>
      </w:tr>
      <w:tr>
        <w:trPr>
          <w:trHeight w:val="324"/>
        </w:trPr>
        <w:tc>
          <w:tcPr>
            <w:tcW w:w="3960" w:type="dxa"/>
            <w:vAlign w:val="bottom"/>
          </w:tcPr>
          <w:p>
            <w:pPr>
              <w:spacing w:after="0"/>
              <w:rPr>
                <w:sz w:val="20"/>
                <w:szCs w:val="20"/>
                <w:color w:val="auto"/>
              </w:rPr>
            </w:pPr>
            <w:r>
              <w:rPr>
                <w:rFonts w:ascii="Arial" w:cs="Arial" w:eastAsia="Arial" w:hAnsi="Arial"/>
                <w:sz w:val="20"/>
                <w:szCs w:val="20"/>
                <w:color w:val="auto"/>
              </w:rPr>
              <w:t>PSU</w:t>
            </w:r>
          </w:p>
        </w:tc>
        <w:tc>
          <w:tcPr>
            <w:tcW w:w="4140" w:type="dxa"/>
            <w:vAlign w:val="bottom"/>
          </w:tcPr>
          <w:p>
            <w:pPr>
              <w:ind w:left="2980"/>
              <w:spacing w:after="0"/>
              <w:rPr>
                <w:sz w:val="20"/>
                <w:szCs w:val="20"/>
                <w:color w:val="auto"/>
              </w:rPr>
            </w:pPr>
            <w:r>
              <w:rPr>
                <w:rFonts w:ascii="Arial" w:cs="Arial" w:eastAsia="Arial" w:hAnsi="Arial"/>
                <w:sz w:val="20"/>
                <w:szCs w:val="20"/>
                <w:color w:val="auto"/>
                <w:w w:val="94"/>
              </w:rPr>
              <w:t>1</w:t>
            </w:r>
            <w:r>
              <w:rPr>
                <w:rFonts w:ascii="Arial" w:cs="Arial" w:eastAsia="Arial" w:hAnsi="Arial"/>
                <w:sz w:val="25"/>
                <w:szCs w:val="25"/>
                <w:color w:val="auto"/>
                <w:w w:val="94"/>
                <w:vertAlign w:val="superscript"/>
              </w:rPr>
              <w:t>st</w:t>
            </w:r>
            <w:r>
              <w:rPr>
                <w:rFonts w:ascii="Arial" w:cs="Arial" w:eastAsia="Arial" w:hAnsi="Arial"/>
                <w:sz w:val="20"/>
                <w:szCs w:val="20"/>
                <w:color w:val="auto"/>
                <w:w w:val="94"/>
              </w:rPr>
              <w:t xml:space="preserve"> ¶, § 1.1(a)</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Removal Event</w:t>
            </w:r>
          </w:p>
        </w:tc>
        <w:tc>
          <w:tcPr>
            <w:tcW w:w="4140" w:type="dxa"/>
            <w:vAlign w:val="bottom"/>
          </w:tcPr>
          <w:p>
            <w:pPr>
              <w:ind w:left="2980"/>
              <w:spacing w:after="0"/>
              <w:rPr>
                <w:sz w:val="20"/>
                <w:szCs w:val="20"/>
                <w:color w:val="auto"/>
              </w:rPr>
            </w:pPr>
            <w:r>
              <w:rPr>
                <w:rFonts w:ascii="Arial" w:cs="Arial" w:eastAsia="Arial" w:hAnsi="Arial"/>
                <w:sz w:val="20"/>
                <w:szCs w:val="20"/>
                <w:color w:val="auto"/>
              </w:rPr>
              <w:t>§ 3.1</w:t>
            </w:r>
          </w:p>
        </w:tc>
      </w:tr>
      <w:tr>
        <w:trPr>
          <w:trHeight w:val="256"/>
        </w:trPr>
        <w:tc>
          <w:tcPr>
            <w:tcW w:w="3960" w:type="dxa"/>
            <w:vAlign w:val="bottom"/>
          </w:tcPr>
          <w:p>
            <w:pPr>
              <w:spacing w:after="0"/>
              <w:rPr>
                <w:sz w:val="20"/>
                <w:szCs w:val="20"/>
                <w:color w:val="auto"/>
              </w:rPr>
            </w:pPr>
            <w:r>
              <w:rPr>
                <w:rFonts w:ascii="Arial" w:cs="Arial" w:eastAsia="Arial" w:hAnsi="Arial"/>
                <w:sz w:val="20"/>
                <w:szCs w:val="20"/>
                <w:color w:val="auto"/>
              </w:rPr>
              <w:t>Retirement</w:t>
            </w:r>
          </w:p>
        </w:tc>
        <w:tc>
          <w:tcPr>
            <w:tcW w:w="4140" w:type="dxa"/>
            <w:vAlign w:val="bottom"/>
          </w:tcPr>
          <w:p>
            <w:pPr>
              <w:ind w:left="2980"/>
              <w:spacing w:after="0"/>
              <w:rPr>
                <w:sz w:val="20"/>
                <w:szCs w:val="20"/>
                <w:color w:val="auto"/>
              </w:rPr>
            </w:pPr>
            <w:r>
              <w:rPr>
                <w:rFonts w:ascii="Arial" w:cs="Arial" w:eastAsia="Arial" w:hAnsi="Arial"/>
                <w:sz w:val="20"/>
                <w:szCs w:val="20"/>
                <w:color w:val="auto"/>
              </w:rPr>
              <w:t>§ 5.1(c)(iii)</w:t>
            </w:r>
          </w:p>
        </w:tc>
      </w:tr>
      <w:tr>
        <w:trPr>
          <w:trHeight w:val="275"/>
        </w:trPr>
        <w:tc>
          <w:tcPr>
            <w:tcW w:w="3960" w:type="dxa"/>
            <w:vAlign w:val="bottom"/>
          </w:tcPr>
          <w:p>
            <w:pPr>
              <w:spacing w:after="0"/>
              <w:rPr>
                <w:sz w:val="20"/>
                <w:szCs w:val="20"/>
                <w:color w:val="auto"/>
              </w:rPr>
            </w:pPr>
            <w:r>
              <w:rPr>
                <w:rFonts w:ascii="Arial" w:cs="Arial" w:eastAsia="Arial" w:hAnsi="Arial"/>
                <w:sz w:val="20"/>
                <w:szCs w:val="20"/>
                <w:color w:val="auto"/>
              </w:rPr>
              <w:t>Sales</w:t>
            </w:r>
          </w:p>
        </w:tc>
        <w:tc>
          <w:tcPr>
            <w:tcW w:w="4140" w:type="dxa"/>
            <w:vAlign w:val="bottom"/>
          </w:tcPr>
          <w:p>
            <w:pPr>
              <w:ind w:left="2980"/>
              <w:spacing w:after="0"/>
              <w:rPr>
                <w:sz w:val="20"/>
                <w:szCs w:val="20"/>
                <w:color w:val="auto"/>
              </w:rPr>
            </w:pPr>
            <w:r>
              <w:rPr>
                <w:rFonts w:ascii="Arial" w:cs="Arial" w:eastAsia="Arial" w:hAnsi="Arial"/>
                <w:sz w:val="20"/>
                <w:szCs w:val="20"/>
                <w:color w:val="auto"/>
              </w:rPr>
              <w:t>§ 4.1(a)</w:t>
            </w:r>
          </w:p>
        </w:tc>
      </w:tr>
      <w:tr>
        <w:trPr>
          <w:trHeight w:val="297"/>
        </w:trPr>
        <w:tc>
          <w:tcPr>
            <w:tcW w:w="3960" w:type="dxa"/>
            <w:vAlign w:val="bottom"/>
          </w:tcPr>
          <w:p>
            <w:pPr>
              <w:spacing w:after="0"/>
              <w:rPr>
                <w:sz w:val="20"/>
                <w:szCs w:val="20"/>
                <w:color w:val="auto"/>
              </w:rPr>
            </w:pPr>
            <w:r>
              <w:rPr>
                <w:rFonts w:ascii="Arial" w:cs="Arial" w:eastAsia="Arial" w:hAnsi="Arial"/>
                <w:sz w:val="20"/>
                <w:szCs w:val="20"/>
                <w:color w:val="auto"/>
              </w:rPr>
              <w:t>Sales Performance Factor</w:t>
            </w:r>
          </w:p>
        </w:tc>
        <w:tc>
          <w:tcPr>
            <w:tcW w:w="4140" w:type="dxa"/>
            <w:vAlign w:val="bottom"/>
          </w:tcPr>
          <w:p>
            <w:pPr>
              <w:ind w:left="2980"/>
              <w:spacing w:after="0"/>
              <w:rPr>
                <w:sz w:val="20"/>
                <w:szCs w:val="20"/>
                <w:color w:val="auto"/>
              </w:rPr>
            </w:pPr>
            <w:r>
              <w:rPr>
                <w:rFonts w:ascii="Arial" w:cs="Arial" w:eastAsia="Arial" w:hAnsi="Arial"/>
                <w:sz w:val="20"/>
                <w:szCs w:val="20"/>
                <w:color w:val="auto"/>
              </w:rPr>
              <w:t>§ 4.1</w:t>
            </w:r>
          </w:p>
        </w:tc>
      </w:tr>
    </w:tbl>
    <w:p>
      <w:pPr>
        <w:sectPr>
          <w:pgSz w:w="11900" w:h="16838" w:orient="portrait"/>
          <w:cols w:equalWidth="0" w:num="1">
            <w:col w:w="10139"/>
          </w:cols>
          <w:pgMar w:left="320" w:top="118" w:right="1440"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5460" w:type="dxa"/>
            <w:vAlign w:val="bottom"/>
          </w:tcPr>
          <w:p>
            <w:pPr>
              <w:spacing w:after="0"/>
              <w:rPr>
                <w:sz w:val="20"/>
                <w:szCs w:val="20"/>
                <w:color w:val="auto"/>
              </w:rPr>
            </w:pPr>
            <w:r>
              <w:rPr>
                <w:rFonts w:ascii="Arial" w:cs="Arial" w:eastAsia="Arial" w:hAnsi="Arial"/>
                <w:sz w:val="20"/>
                <w:szCs w:val="20"/>
                <w:color w:val="auto"/>
              </w:rPr>
              <w:t>Sales Target</w:t>
            </w:r>
          </w:p>
        </w:tc>
        <w:tc>
          <w:tcPr>
            <w:tcW w:w="2640" w:type="dxa"/>
            <w:vAlign w:val="bottom"/>
          </w:tcPr>
          <w:p>
            <w:pPr>
              <w:ind w:left="1480"/>
              <w:spacing w:after="0"/>
              <w:rPr>
                <w:sz w:val="20"/>
                <w:szCs w:val="20"/>
                <w:color w:val="auto"/>
              </w:rPr>
            </w:pPr>
            <w:r>
              <w:rPr>
                <w:rFonts w:ascii="Arial" w:cs="Arial" w:eastAsia="Arial" w:hAnsi="Arial"/>
                <w:sz w:val="20"/>
                <w:szCs w:val="20"/>
                <w:color w:val="auto"/>
              </w:rPr>
              <w:t>§ 2.1(b)</w:t>
            </w:r>
          </w:p>
        </w:tc>
      </w:tr>
      <w:tr>
        <w:trPr>
          <w:trHeight w:val="279"/>
        </w:trPr>
        <w:tc>
          <w:tcPr>
            <w:tcW w:w="5460" w:type="dxa"/>
            <w:vAlign w:val="bottom"/>
          </w:tcPr>
          <w:p>
            <w:pPr>
              <w:spacing w:after="0"/>
              <w:rPr>
                <w:sz w:val="20"/>
                <w:szCs w:val="20"/>
                <w:color w:val="auto"/>
              </w:rPr>
            </w:pPr>
            <w:r>
              <w:rPr>
                <w:rFonts w:ascii="Arial" w:cs="Arial" w:eastAsia="Arial" w:hAnsi="Arial"/>
                <w:sz w:val="20"/>
                <w:szCs w:val="20"/>
                <w:color w:val="auto"/>
              </w:rPr>
              <w:t>Share-Based Awards</w:t>
            </w:r>
          </w:p>
        </w:tc>
        <w:tc>
          <w:tcPr>
            <w:tcW w:w="2640" w:type="dxa"/>
            <w:vAlign w:val="bottom"/>
          </w:tcPr>
          <w:p>
            <w:pPr>
              <w:ind w:left="1480"/>
              <w:spacing w:after="0"/>
              <w:rPr>
                <w:sz w:val="20"/>
                <w:szCs w:val="20"/>
                <w:color w:val="auto"/>
              </w:rPr>
            </w:pPr>
            <w:r>
              <w:rPr>
                <w:rFonts w:ascii="Arial" w:cs="Arial" w:eastAsia="Arial" w:hAnsi="Arial"/>
                <w:sz w:val="20"/>
                <w:szCs w:val="20"/>
                <w:color w:val="auto"/>
              </w:rPr>
              <w:t>Plan</w:t>
            </w:r>
          </w:p>
        </w:tc>
      </w:tr>
      <w:tr>
        <w:trPr>
          <w:trHeight w:val="257"/>
        </w:trPr>
        <w:tc>
          <w:tcPr>
            <w:tcW w:w="5460" w:type="dxa"/>
            <w:vAlign w:val="bottom"/>
          </w:tcPr>
          <w:p>
            <w:pPr>
              <w:spacing w:after="0"/>
              <w:rPr>
                <w:sz w:val="20"/>
                <w:szCs w:val="20"/>
                <w:color w:val="auto"/>
              </w:rPr>
            </w:pPr>
            <w:r>
              <w:rPr>
                <w:rFonts w:ascii="Arial" w:cs="Arial" w:eastAsia="Arial" w:hAnsi="Arial"/>
                <w:sz w:val="20"/>
                <w:szCs w:val="20"/>
                <w:color w:val="auto"/>
              </w:rPr>
              <w:t>S&amp;P 500 Peer</w:t>
            </w:r>
          </w:p>
        </w:tc>
        <w:tc>
          <w:tcPr>
            <w:tcW w:w="2640" w:type="dxa"/>
            <w:vAlign w:val="bottom"/>
          </w:tcPr>
          <w:p>
            <w:pPr>
              <w:ind w:left="1480"/>
              <w:spacing w:after="0"/>
              <w:rPr>
                <w:sz w:val="20"/>
                <w:szCs w:val="20"/>
                <w:color w:val="auto"/>
              </w:rPr>
            </w:pPr>
            <w:r>
              <w:rPr>
                <w:rFonts w:ascii="Arial" w:cs="Arial" w:eastAsia="Arial" w:hAnsi="Arial"/>
                <w:sz w:val="20"/>
                <w:szCs w:val="20"/>
                <w:color w:val="auto"/>
              </w:rPr>
              <w:t>§ 3.1</w:t>
            </w:r>
          </w:p>
        </w:tc>
      </w:tr>
      <w:tr>
        <w:trPr>
          <w:trHeight w:val="257"/>
        </w:trPr>
        <w:tc>
          <w:tcPr>
            <w:tcW w:w="5460" w:type="dxa"/>
            <w:vAlign w:val="bottom"/>
          </w:tcPr>
          <w:p>
            <w:pPr>
              <w:spacing w:after="0"/>
              <w:rPr>
                <w:sz w:val="20"/>
                <w:szCs w:val="20"/>
                <w:color w:val="auto"/>
              </w:rPr>
            </w:pPr>
            <w:r>
              <w:rPr>
                <w:rFonts w:ascii="Arial" w:cs="Arial" w:eastAsia="Arial" w:hAnsi="Arial"/>
                <w:sz w:val="20"/>
                <w:szCs w:val="20"/>
                <w:color w:val="auto"/>
              </w:rPr>
              <w:t>S&amp;P 500 Peer Group</w:t>
            </w:r>
          </w:p>
        </w:tc>
        <w:tc>
          <w:tcPr>
            <w:tcW w:w="2640" w:type="dxa"/>
            <w:vAlign w:val="bottom"/>
          </w:tcPr>
          <w:p>
            <w:pPr>
              <w:ind w:left="1480"/>
              <w:spacing w:after="0"/>
              <w:rPr>
                <w:sz w:val="20"/>
                <w:szCs w:val="20"/>
                <w:color w:val="auto"/>
              </w:rPr>
            </w:pPr>
            <w:r>
              <w:rPr>
                <w:rFonts w:ascii="Arial" w:cs="Arial" w:eastAsia="Arial" w:hAnsi="Arial"/>
                <w:sz w:val="20"/>
                <w:szCs w:val="20"/>
                <w:color w:val="auto"/>
              </w:rPr>
              <w:t>§ 3.1</w:t>
            </w:r>
          </w:p>
        </w:tc>
      </w:tr>
      <w:tr>
        <w:trPr>
          <w:trHeight w:val="257"/>
        </w:trPr>
        <w:tc>
          <w:tcPr>
            <w:tcW w:w="5460" w:type="dxa"/>
            <w:vAlign w:val="bottom"/>
          </w:tcPr>
          <w:p>
            <w:pPr>
              <w:spacing w:after="0"/>
              <w:rPr>
                <w:sz w:val="20"/>
                <w:szCs w:val="20"/>
                <w:color w:val="auto"/>
              </w:rPr>
            </w:pPr>
            <w:r>
              <w:rPr>
                <w:rFonts w:ascii="Arial" w:cs="Arial" w:eastAsia="Arial" w:hAnsi="Arial"/>
                <w:sz w:val="20"/>
                <w:szCs w:val="20"/>
                <w:color w:val="auto"/>
              </w:rPr>
              <w:t>Stock</w:t>
            </w:r>
          </w:p>
        </w:tc>
        <w:tc>
          <w:tcPr>
            <w:tcW w:w="2640" w:type="dxa"/>
            <w:vAlign w:val="bottom"/>
          </w:tcPr>
          <w:p>
            <w:pPr>
              <w:ind w:left="1480"/>
              <w:spacing w:after="0"/>
              <w:rPr>
                <w:sz w:val="20"/>
                <w:szCs w:val="20"/>
                <w:color w:val="auto"/>
              </w:rPr>
            </w:pPr>
            <w:r>
              <w:rPr>
                <w:rFonts w:ascii="Arial" w:cs="Arial" w:eastAsia="Arial" w:hAnsi="Arial"/>
                <w:sz w:val="20"/>
                <w:szCs w:val="20"/>
                <w:color w:val="auto"/>
              </w:rPr>
              <w:t>Plan</w:t>
            </w:r>
          </w:p>
        </w:tc>
      </w:tr>
      <w:tr>
        <w:trPr>
          <w:trHeight w:val="297"/>
        </w:trPr>
        <w:tc>
          <w:tcPr>
            <w:tcW w:w="5460" w:type="dxa"/>
            <w:vAlign w:val="bottom"/>
          </w:tcPr>
          <w:p>
            <w:pPr>
              <w:spacing w:after="0"/>
              <w:rPr>
                <w:sz w:val="20"/>
                <w:szCs w:val="20"/>
                <w:color w:val="auto"/>
              </w:rPr>
            </w:pPr>
            <w:r>
              <w:rPr>
                <w:rFonts w:ascii="Arial" w:cs="Arial" w:eastAsia="Arial" w:hAnsi="Arial"/>
                <w:sz w:val="20"/>
                <w:szCs w:val="20"/>
                <w:color w:val="auto"/>
              </w:rPr>
              <w:t>Stock Ownership Requirements</w:t>
            </w:r>
          </w:p>
        </w:tc>
        <w:tc>
          <w:tcPr>
            <w:tcW w:w="2640" w:type="dxa"/>
            <w:vAlign w:val="bottom"/>
          </w:tcPr>
          <w:p>
            <w:pPr>
              <w:ind w:left="1480"/>
              <w:spacing w:after="0"/>
              <w:rPr>
                <w:sz w:val="20"/>
                <w:szCs w:val="20"/>
                <w:color w:val="auto"/>
              </w:rPr>
            </w:pPr>
            <w:r>
              <w:rPr>
                <w:rFonts w:ascii="Arial" w:cs="Arial" w:eastAsia="Arial" w:hAnsi="Arial"/>
                <w:sz w:val="20"/>
                <w:szCs w:val="20"/>
                <w:color w:val="auto"/>
              </w:rPr>
              <w:t>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w:t>
            </w:r>
          </w:p>
        </w:tc>
      </w:tr>
      <w:tr>
        <w:trPr>
          <w:trHeight w:val="297"/>
        </w:trPr>
        <w:tc>
          <w:tcPr>
            <w:tcW w:w="5460" w:type="dxa"/>
            <w:vAlign w:val="bottom"/>
          </w:tcPr>
          <w:p>
            <w:pPr>
              <w:spacing w:after="0"/>
              <w:rPr>
                <w:sz w:val="20"/>
                <w:szCs w:val="20"/>
                <w:color w:val="auto"/>
              </w:rPr>
            </w:pPr>
            <w:r>
              <w:rPr>
                <w:rFonts w:ascii="Arial" w:cs="Arial" w:eastAsia="Arial" w:hAnsi="Arial"/>
                <w:sz w:val="20"/>
                <w:szCs w:val="20"/>
                <w:color w:val="auto"/>
              </w:rPr>
              <w:t>Stock Plan System</w:t>
            </w:r>
          </w:p>
        </w:tc>
        <w:tc>
          <w:tcPr>
            <w:tcW w:w="2640" w:type="dxa"/>
            <w:vAlign w:val="bottom"/>
          </w:tcPr>
          <w:p>
            <w:pPr>
              <w:ind w:left="1480"/>
              <w:spacing w:after="0"/>
              <w:rPr>
                <w:sz w:val="20"/>
                <w:szCs w:val="20"/>
                <w:color w:val="auto"/>
              </w:rPr>
            </w:pPr>
            <w:r>
              <w:rPr>
                <w:rFonts w:ascii="Arial" w:cs="Arial" w:eastAsia="Arial" w:hAnsi="Arial"/>
                <w:sz w:val="20"/>
                <w:szCs w:val="20"/>
                <w:color w:val="auto"/>
              </w:rPr>
              <w:t>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w:t>
            </w:r>
          </w:p>
        </w:tc>
      </w:tr>
      <w:tr>
        <w:trPr>
          <w:trHeight w:val="275"/>
        </w:trPr>
        <w:tc>
          <w:tcPr>
            <w:tcW w:w="5460" w:type="dxa"/>
            <w:vAlign w:val="bottom"/>
          </w:tcPr>
          <w:p>
            <w:pPr>
              <w:spacing w:after="0"/>
              <w:rPr>
                <w:sz w:val="20"/>
                <w:szCs w:val="20"/>
                <w:color w:val="auto"/>
              </w:rPr>
            </w:pPr>
            <w:r>
              <w:rPr>
                <w:rFonts w:ascii="Arial" w:cs="Arial" w:eastAsia="Arial" w:hAnsi="Arial"/>
                <w:sz w:val="20"/>
                <w:szCs w:val="20"/>
                <w:color w:val="auto"/>
              </w:rPr>
              <w:t>Strategic and Operational Modifier</w:t>
            </w:r>
          </w:p>
        </w:tc>
        <w:tc>
          <w:tcPr>
            <w:tcW w:w="2640" w:type="dxa"/>
            <w:vAlign w:val="bottom"/>
          </w:tcPr>
          <w:p>
            <w:pPr>
              <w:ind w:left="1480"/>
              <w:spacing w:after="0"/>
              <w:rPr>
                <w:sz w:val="20"/>
                <w:szCs w:val="20"/>
                <w:color w:val="auto"/>
              </w:rPr>
            </w:pPr>
            <w:r>
              <w:rPr>
                <w:rFonts w:ascii="Arial" w:cs="Arial" w:eastAsia="Arial" w:hAnsi="Arial"/>
                <w:sz w:val="20"/>
                <w:szCs w:val="20"/>
                <w:color w:val="auto"/>
              </w:rPr>
              <w:t>§ 2.1(d)</w:t>
            </w:r>
          </w:p>
        </w:tc>
      </w:tr>
      <w:tr>
        <w:trPr>
          <w:trHeight w:val="279"/>
        </w:trPr>
        <w:tc>
          <w:tcPr>
            <w:tcW w:w="5460" w:type="dxa"/>
            <w:vAlign w:val="bottom"/>
          </w:tcPr>
          <w:p>
            <w:pPr>
              <w:spacing w:after="0"/>
              <w:rPr>
                <w:sz w:val="20"/>
                <w:szCs w:val="20"/>
                <w:color w:val="auto"/>
              </w:rPr>
            </w:pPr>
            <w:r>
              <w:rPr>
                <w:rFonts w:ascii="Arial" w:cs="Arial" w:eastAsia="Arial" w:hAnsi="Arial"/>
                <w:sz w:val="20"/>
                <w:szCs w:val="20"/>
                <w:color w:val="auto"/>
              </w:rPr>
              <w:t>Subsidiary</w:t>
            </w:r>
          </w:p>
        </w:tc>
        <w:tc>
          <w:tcPr>
            <w:tcW w:w="2640" w:type="dxa"/>
            <w:vAlign w:val="bottom"/>
          </w:tcPr>
          <w:p>
            <w:pPr>
              <w:ind w:left="1480"/>
              <w:spacing w:after="0"/>
              <w:rPr>
                <w:sz w:val="20"/>
                <w:szCs w:val="20"/>
                <w:color w:val="auto"/>
              </w:rPr>
            </w:pPr>
            <w:r>
              <w:rPr>
                <w:rFonts w:ascii="Arial" w:cs="Arial" w:eastAsia="Arial" w:hAnsi="Arial"/>
                <w:sz w:val="20"/>
                <w:szCs w:val="20"/>
                <w:color w:val="auto"/>
              </w:rPr>
              <w:t>Plan</w:t>
            </w:r>
          </w:p>
        </w:tc>
      </w:tr>
      <w:tr>
        <w:trPr>
          <w:trHeight w:val="310"/>
        </w:trPr>
        <w:tc>
          <w:tcPr>
            <w:tcW w:w="5460" w:type="dxa"/>
            <w:vAlign w:val="bottom"/>
          </w:tcPr>
          <w:p>
            <w:pPr>
              <w:spacing w:after="0"/>
              <w:rPr>
                <w:sz w:val="20"/>
                <w:szCs w:val="20"/>
                <w:color w:val="auto"/>
              </w:rPr>
            </w:pPr>
            <w:r>
              <w:rPr>
                <w:rFonts w:ascii="Arial" w:cs="Arial" w:eastAsia="Arial" w:hAnsi="Arial"/>
                <w:sz w:val="20"/>
                <w:szCs w:val="20"/>
                <w:color w:val="auto"/>
              </w:rPr>
              <w:t>Target Award</w:t>
            </w:r>
          </w:p>
        </w:tc>
        <w:tc>
          <w:tcPr>
            <w:tcW w:w="2640" w:type="dxa"/>
            <w:vAlign w:val="bottom"/>
          </w:tcPr>
          <w:p>
            <w:pPr>
              <w:ind w:left="1480"/>
              <w:spacing w:after="0"/>
              <w:rPr>
                <w:sz w:val="20"/>
                <w:szCs w:val="20"/>
                <w:color w:val="auto"/>
              </w:rPr>
            </w:pPr>
            <w:r>
              <w:rPr>
                <w:rFonts w:ascii="Arial" w:cs="Arial" w:eastAsia="Arial" w:hAnsi="Arial"/>
                <w:sz w:val="20"/>
                <w:szCs w:val="20"/>
                <w:color w:val="auto"/>
                <w:w w:val="94"/>
              </w:rPr>
              <w:t>1</w:t>
            </w:r>
            <w:r>
              <w:rPr>
                <w:rFonts w:ascii="Arial" w:cs="Arial" w:eastAsia="Arial" w:hAnsi="Arial"/>
                <w:sz w:val="25"/>
                <w:szCs w:val="25"/>
                <w:color w:val="auto"/>
                <w:w w:val="94"/>
                <w:vertAlign w:val="superscript"/>
              </w:rPr>
              <w:t>st</w:t>
            </w:r>
            <w:r>
              <w:rPr>
                <w:rFonts w:ascii="Arial" w:cs="Arial" w:eastAsia="Arial" w:hAnsi="Arial"/>
                <w:sz w:val="20"/>
                <w:szCs w:val="20"/>
                <w:color w:val="auto"/>
                <w:w w:val="94"/>
              </w:rPr>
              <w:t xml:space="preserve"> ¶; § 1.1(a)</w:t>
            </w:r>
          </w:p>
        </w:tc>
      </w:tr>
      <w:tr>
        <w:trPr>
          <w:trHeight w:val="243"/>
        </w:trPr>
        <w:tc>
          <w:tcPr>
            <w:tcW w:w="5460" w:type="dxa"/>
            <w:vAlign w:val="bottom"/>
          </w:tcPr>
          <w:p>
            <w:pPr>
              <w:spacing w:after="0"/>
              <w:rPr>
                <w:sz w:val="20"/>
                <w:szCs w:val="20"/>
                <w:color w:val="auto"/>
              </w:rPr>
            </w:pPr>
            <w:r>
              <w:rPr>
                <w:rFonts w:ascii="Arial" w:cs="Arial" w:eastAsia="Arial" w:hAnsi="Arial"/>
                <w:sz w:val="20"/>
                <w:szCs w:val="20"/>
                <w:color w:val="auto"/>
              </w:rPr>
              <w:t>Tax or Taxes</w:t>
            </w:r>
          </w:p>
        </w:tc>
        <w:tc>
          <w:tcPr>
            <w:tcW w:w="2640" w:type="dxa"/>
            <w:vAlign w:val="bottom"/>
          </w:tcPr>
          <w:p>
            <w:pPr>
              <w:ind w:left="1480"/>
              <w:spacing w:after="0"/>
              <w:rPr>
                <w:sz w:val="20"/>
                <w:szCs w:val="20"/>
                <w:color w:val="auto"/>
              </w:rPr>
            </w:pPr>
            <w:r>
              <w:rPr>
                <w:rFonts w:ascii="Arial" w:cs="Arial" w:eastAsia="Arial" w:hAnsi="Arial"/>
                <w:sz w:val="20"/>
                <w:szCs w:val="20"/>
                <w:color w:val="auto"/>
              </w:rPr>
              <w:t>Plan</w:t>
            </w:r>
          </w:p>
        </w:tc>
      </w:tr>
      <w:tr>
        <w:trPr>
          <w:trHeight w:val="261"/>
        </w:trPr>
        <w:tc>
          <w:tcPr>
            <w:tcW w:w="5460" w:type="dxa"/>
            <w:vAlign w:val="bottom"/>
          </w:tcPr>
          <w:p>
            <w:pPr>
              <w:spacing w:after="0"/>
              <w:rPr>
                <w:sz w:val="20"/>
                <w:szCs w:val="20"/>
                <w:color w:val="auto"/>
              </w:rPr>
            </w:pPr>
            <w:r>
              <w:rPr>
                <w:rFonts w:ascii="Arial" w:cs="Arial" w:eastAsia="Arial" w:hAnsi="Arial"/>
                <w:sz w:val="20"/>
                <w:szCs w:val="20"/>
                <w:color w:val="auto"/>
              </w:rPr>
              <w:t>Tax Reform</w:t>
            </w:r>
          </w:p>
        </w:tc>
        <w:tc>
          <w:tcPr>
            <w:tcW w:w="2640" w:type="dxa"/>
            <w:vAlign w:val="bottom"/>
          </w:tcPr>
          <w:p>
            <w:pPr>
              <w:ind w:left="1480"/>
              <w:spacing w:after="0"/>
              <w:rPr>
                <w:sz w:val="20"/>
                <w:szCs w:val="20"/>
                <w:color w:val="auto"/>
              </w:rPr>
            </w:pPr>
            <w:r>
              <w:rPr>
                <w:rFonts w:ascii="Arial" w:cs="Arial" w:eastAsia="Arial" w:hAnsi="Arial"/>
                <w:sz w:val="20"/>
                <w:szCs w:val="20"/>
                <w:color w:val="auto"/>
              </w:rPr>
              <w:t>§ 4.1(a)</w:t>
            </w:r>
          </w:p>
        </w:tc>
      </w:tr>
      <w:tr>
        <w:trPr>
          <w:trHeight w:val="265"/>
        </w:trPr>
        <w:tc>
          <w:tcPr>
            <w:tcW w:w="5460" w:type="dxa"/>
            <w:vAlign w:val="bottom"/>
          </w:tcPr>
          <w:p>
            <w:pPr>
              <w:spacing w:after="0"/>
              <w:rPr>
                <w:sz w:val="20"/>
                <w:szCs w:val="20"/>
                <w:color w:val="auto"/>
              </w:rPr>
            </w:pPr>
            <w:r>
              <w:rPr>
                <w:rFonts w:ascii="Arial" w:cs="Arial" w:eastAsia="Arial" w:hAnsi="Arial"/>
                <w:sz w:val="20"/>
                <w:szCs w:val="20"/>
                <w:color w:val="auto"/>
              </w:rPr>
              <w:t>Total Disability</w:t>
            </w:r>
          </w:p>
        </w:tc>
        <w:tc>
          <w:tcPr>
            <w:tcW w:w="2640" w:type="dxa"/>
            <w:vAlign w:val="bottom"/>
          </w:tcPr>
          <w:p>
            <w:pPr>
              <w:ind w:left="1480"/>
              <w:spacing w:after="0"/>
              <w:rPr>
                <w:sz w:val="20"/>
                <w:szCs w:val="20"/>
                <w:color w:val="auto"/>
              </w:rPr>
            </w:pPr>
            <w:r>
              <w:rPr>
                <w:rFonts w:ascii="Arial" w:cs="Arial" w:eastAsia="Arial" w:hAnsi="Arial"/>
                <w:sz w:val="20"/>
                <w:szCs w:val="20"/>
                <w:color w:val="auto"/>
              </w:rPr>
              <w:t>§ 5.1(c)(i)</w:t>
            </w:r>
          </w:p>
        </w:tc>
      </w:tr>
      <w:tr>
        <w:trPr>
          <w:trHeight w:val="261"/>
        </w:trPr>
        <w:tc>
          <w:tcPr>
            <w:tcW w:w="5460" w:type="dxa"/>
            <w:vAlign w:val="bottom"/>
          </w:tcPr>
          <w:p>
            <w:pPr>
              <w:spacing w:after="0"/>
              <w:rPr>
                <w:sz w:val="20"/>
                <w:szCs w:val="20"/>
                <w:color w:val="auto"/>
              </w:rPr>
            </w:pPr>
            <w:r>
              <w:rPr>
                <w:rFonts w:ascii="Arial" w:cs="Arial" w:eastAsia="Arial" w:hAnsi="Arial"/>
                <w:sz w:val="20"/>
                <w:szCs w:val="20"/>
                <w:color w:val="auto"/>
              </w:rPr>
              <w:t>Total Stockholder Return or TSR</w:t>
            </w:r>
          </w:p>
        </w:tc>
        <w:tc>
          <w:tcPr>
            <w:tcW w:w="2640" w:type="dxa"/>
            <w:vAlign w:val="bottom"/>
          </w:tcPr>
          <w:p>
            <w:pPr>
              <w:ind w:left="1480"/>
              <w:spacing w:after="0"/>
              <w:rPr>
                <w:sz w:val="20"/>
                <w:szCs w:val="20"/>
                <w:color w:val="auto"/>
              </w:rPr>
            </w:pPr>
            <w:r>
              <w:rPr>
                <w:rFonts w:ascii="Arial" w:cs="Arial" w:eastAsia="Arial" w:hAnsi="Arial"/>
                <w:sz w:val="20"/>
                <w:szCs w:val="20"/>
                <w:color w:val="auto"/>
              </w:rPr>
              <w:t>§ 3.2</w:t>
            </w:r>
          </w:p>
        </w:tc>
      </w:tr>
      <w:tr>
        <w:trPr>
          <w:trHeight w:val="252"/>
        </w:trPr>
        <w:tc>
          <w:tcPr>
            <w:tcW w:w="5460" w:type="dxa"/>
            <w:vAlign w:val="bottom"/>
          </w:tcPr>
          <w:p>
            <w:pPr>
              <w:spacing w:after="0"/>
              <w:rPr>
                <w:sz w:val="20"/>
                <w:szCs w:val="20"/>
                <w:color w:val="auto"/>
              </w:rPr>
            </w:pPr>
            <w:r>
              <w:rPr>
                <w:rFonts w:ascii="Arial" w:cs="Arial" w:eastAsia="Arial" w:hAnsi="Arial"/>
                <w:sz w:val="20"/>
                <w:szCs w:val="20"/>
                <w:color w:val="auto"/>
              </w:rPr>
              <w:t>Total Stockholder Return Performance Factor</w:t>
            </w:r>
          </w:p>
        </w:tc>
        <w:tc>
          <w:tcPr>
            <w:tcW w:w="2640" w:type="dxa"/>
            <w:vAlign w:val="bottom"/>
          </w:tcPr>
          <w:p>
            <w:pPr>
              <w:ind w:left="1480"/>
              <w:spacing w:after="0"/>
              <w:rPr>
                <w:sz w:val="20"/>
                <w:szCs w:val="20"/>
                <w:color w:val="auto"/>
              </w:rPr>
            </w:pPr>
            <w:r>
              <w:rPr>
                <w:rFonts w:ascii="Arial" w:cs="Arial" w:eastAsia="Arial" w:hAnsi="Arial"/>
                <w:sz w:val="20"/>
                <w:szCs w:val="20"/>
                <w:color w:val="auto"/>
              </w:rPr>
              <w:t>§ 3.1; § 3.2</w:t>
            </w:r>
          </w:p>
        </w:tc>
      </w:tr>
      <w:tr>
        <w:trPr>
          <w:trHeight w:val="261"/>
        </w:trPr>
        <w:tc>
          <w:tcPr>
            <w:tcW w:w="5460" w:type="dxa"/>
            <w:vAlign w:val="bottom"/>
          </w:tcPr>
          <w:p>
            <w:pPr>
              <w:spacing w:after="0"/>
              <w:rPr>
                <w:sz w:val="20"/>
                <w:szCs w:val="20"/>
                <w:color w:val="auto"/>
              </w:rPr>
            </w:pPr>
            <w:r>
              <w:rPr>
                <w:rFonts w:ascii="Arial" w:cs="Arial" w:eastAsia="Arial" w:hAnsi="Arial"/>
                <w:sz w:val="20"/>
                <w:szCs w:val="20"/>
                <w:color w:val="auto"/>
              </w:rPr>
              <w:t>2026 Long Range Plan</w:t>
            </w:r>
          </w:p>
        </w:tc>
        <w:tc>
          <w:tcPr>
            <w:tcW w:w="2640" w:type="dxa"/>
            <w:vAlign w:val="bottom"/>
          </w:tcPr>
          <w:p>
            <w:pPr>
              <w:ind w:left="1480"/>
              <w:spacing w:after="0"/>
              <w:rPr>
                <w:sz w:val="20"/>
                <w:szCs w:val="20"/>
                <w:color w:val="auto"/>
              </w:rPr>
            </w:pPr>
            <w:r>
              <w:rPr>
                <w:rFonts w:ascii="Arial" w:cs="Arial" w:eastAsia="Arial" w:hAnsi="Arial"/>
                <w:sz w:val="20"/>
                <w:szCs w:val="20"/>
                <w:color w:val="auto"/>
              </w:rPr>
              <w:t>§ 2.2(c)</w:t>
            </w:r>
          </w:p>
        </w:tc>
      </w:tr>
      <w:tr>
        <w:trPr>
          <w:trHeight w:val="270"/>
        </w:trPr>
        <w:tc>
          <w:tcPr>
            <w:tcW w:w="5460" w:type="dxa"/>
            <w:vAlign w:val="bottom"/>
          </w:tcPr>
          <w:p>
            <w:pPr>
              <w:spacing w:after="0"/>
              <w:rPr>
                <w:sz w:val="20"/>
                <w:szCs w:val="20"/>
                <w:color w:val="auto"/>
              </w:rPr>
            </w:pPr>
            <w:r>
              <w:rPr>
                <w:rFonts w:ascii="Arial" w:cs="Arial" w:eastAsia="Arial" w:hAnsi="Arial"/>
                <w:sz w:val="20"/>
                <w:szCs w:val="20"/>
                <w:color w:val="auto"/>
              </w:rPr>
              <w:t>Vesting Period</w:t>
            </w:r>
          </w:p>
        </w:tc>
        <w:tc>
          <w:tcPr>
            <w:tcW w:w="2640" w:type="dxa"/>
            <w:vAlign w:val="bottom"/>
          </w:tcPr>
          <w:p>
            <w:pPr>
              <w:ind w:left="1480"/>
              <w:spacing w:after="0"/>
              <w:rPr>
                <w:sz w:val="20"/>
                <w:szCs w:val="20"/>
                <w:color w:val="auto"/>
              </w:rPr>
            </w:pPr>
            <w:r>
              <w:rPr>
                <w:rFonts w:ascii="Arial" w:cs="Arial" w:eastAsia="Arial" w:hAnsi="Arial"/>
                <w:sz w:val="20"/>
                <w:szCs w:val="20"/>
                <w:color w:val="auto"/>
              </w:rPr>
              <w:t>§ 1.3</w:t>
            </w:r>
          </w:p>
        </w:tc>
      </w:tr>
    </w:tbl>
    <w:p>
      <w:pPr>
        <w:sectPr>
          <w:pgSz w:w="11900" w:h="16838" w:orient="portrait"/>
          <w:cols w:equalWidth="0" w:num="1">
            <w:col w:w="10139"/>
          </w:cols>
          <w:pgMar w:left="320" w:top="118" w:right="1440"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Post-Employment Conduct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(PSU Grant)</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This Post-Employment Conduct Agreement (this “PECA”) attached as Exhibit A to the Award Agreement with an Award Date of February 25, 2026, (the “Award Agreement”) is entered into in consideration of, among other things, the grant of performance restricted stock units to me under the Award Agreement (the “PSUs”) pursuant to the Lockheed Martin Corporation 2020 Incentive Performance Award Plan (the “Plan”) and the consideration set forth in Section 2 below. References to the “Corporation” shall include Lockheed Martin Corporation and its Subsidiaries. By accepting the PSUs, I agree as follows:</w:t>
      </w:r>
    </w:p>
    <w:p>
      <w:pPr>
        <w:spacing w:after="0" w:line="197"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Restrictions Following Termination of Employment</w:t>
      </w:r>
      <w:r>
        <w:rPr>
          <w:rFonts w:ascii="Arial" w:cs="Arial" w:eastAsia="Arial" w:hAnsi="Arial"/>
          <w:sz w:val="20"/>
          <w:szCs w:val="20"/>
          <w:color w:val="auto"/>
        </w:rPr>
        <w:t>.</w:t>
      </w:r>
    </w:p>
    <w:p>
      <w:pPr>
        <w:spacing w:after="0" w:line="350" w:lineRule="exact"/>
        <w:rPr>
          <w:rFonts w:ascii="Arial" w:cs="Arial" w:eastAsia="Arial" w:hAnsi="Arial"/>
          <w:sz w:val="20"/>
          <w:szCs w:val="20"/>
          <w:color w:val="auto"/>
        </w:rPr>
      </w:pPr>
    </w:p>
    <w:p>
      <w:pPr>
        <w:jc w:val="both"/>
        <w:ind w:firstLine="656"/>
        <w:spacing w:after="0" w:line="259" w:lineRule="auto"/>
        <w:tabs>
          <w:tab w:leader="none" w:pos="1295"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Covenant Not To Compete</w:t>
      </w:r>
      <w:r>
        <w:rPr>
          <w:rFonts w:ascii="Arial" w:cs="Arial" w:eastAsia="Arial" w:hAnsi="Arial"/>
          <w:sz w:val="20"/>
          <w:szCs w:val="20"/>
          <w:color w:val="auto"/>
        </w:rPr>
        <w:t xml:space="preserve"> - Without the express written consent of the ”Required Approver” (as defined in Section 6), during the “Restricted Period” (as defined in Section 6), I will not, directly or indirectly, be employed by, provide services to, or advise a “Restricted Company” (as defined in Section 6), whether as an employee, advisor, director, officer, partner or consultant, or in any other position, function or role that, in any such case,</w:t>
      </w:r>
    </w:p>
    <w:p>
      <w:pPr>
        <w:spacing w:after="0" w:line="208" w:lineRule="exact"/>
        <w:rPr>
          <w:rFonts w:ascii="Arial" w:cs="Arial" w:eastAsia="Arial" w:hAnsi="Arial"/>
          <w:sz w:val="20"/>
          <w:szCs w:val="20"/>
          <w:color w:val="auto"/>
        </w:rPr>
      </w:pPr>
    </w:p>
    <w:p>
      <w:pPr>
        <w:ind w:left="1960" w:hanging="656"/>
        <w:spacing w:after="0" w:line="271" w:lineRule="auto"/>
        <w:tabs>
          <w:tab w:leader="none" w:pos="1746" w:val="left"/>
        </w:tabs>
        <w:numPr>
          <w:ilvl w:val="2"/>
          <w:numId w:val="78"/>
        </w:numPr>
        <w:rPr>
          <w:rFonts w:ascii="Arial" w:cs="Arial" w:eastAsia="Arial" w:hAnsi="Arial"/>
          <w:sz w:val="20"/>
          <w:szCs w:val="20"/>
          <w:color w:val="auto"/>
        </w:rPr>
      </w:pPr>
      <w:r>
        <w:rPr>
          <w:rFonts w:ascii="Arial" w:cs="Arial" w:eastAsia="Arial" w:hAnsi="Arial"/>
          <w:sz w:val="20"/>
          <w:szCs w:val="20"/>
          <w:color w:val="auto"/>
        </w:rPr>
        <w:t>oversees, controls or affects the design, operation, research, manufacture, marketing, sale or distribution of “Competitive Products or Services” (as defined in Section 6) of or by the Restricted Company, or</w:t>
      </w:r>
    </w:p>
    <w:p>
      <w:pPr>
        <w:spacing w:after="0" w:line="304" w:lineRule="exact"/>
        <w:rPr>
          <w:rFonts w:ascii="Arial" w:cs="Arial" w:eastAsia="Arial" w:hAnsi="Arial"/>
          <w:sz w:val="20"/>
          <w:szCs w:val="20"/>
          <w:color w:val="auto"/>
        </w:rPr>
      </w:pPr>
    </w:p>
    <w:p>
      <w:pPr>
        <w:ind w:left="1960" w:hanging="656"/>
        <w:spacing w:after="0" w:line="254" w:lineRule="auto"/>
        <w:tabs>
          <w:tab w:leader="none" w:pos="1774" w:val="left"/>
        </w:tabs>
        <w:numPr>
          <w:ilvl w:val="2"/>
          <w:numId w:val="78"/>
        </w:numPr>
        <w:rPr>
          <w:rFonts w:ascii="Arial" w:cs="Arial" w:eastAsia="Arial" w:hAnsi="Arial"/>
          <w:sz w:val="20"/>
          <w:szCs w:val="20"/>
          <w:color w:val="auto"/>
        </w:rPr>
      </w:pPr>
      <w:r>
        <w:rPr>
          <w:rFonts w:ascii="Arial" w:cs="Arial" w:eastAsia="Arial" w:hAnsi="Arial"/>
          <w:sz w:val="20"/>
          <w:szCs w:val="20"/>
          <w:color w:val="auto"/>
        </w:rPr>
        <w:t>would involve a substantial risk that the “Confidential or Proprietary Information” (as defined in Section 1(c)) of the Corporation (including but not limited to technical information or intellectual property, strategic plans, information relating to pricing offered to the Corporation by vendors or suppliers or to prices charged or pricing contemplated to be charged by the Corporation, information relating to employee performance, promotions or identification for promotion, or information relating to the Corporation’s cost base) could be used to the disadvantage of the Corporation.</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 1(a) is necessary to protect, among other interests, the Corporation’s trade secrets and other Confidential or Proprietary Information, as defined by Section 1(c), and goodwill in its customers and employees, and (B) Section 1(a) shall not apply to me if I am covered under an applicable state statute or local ordinance or rule prohibiting non-competition restrictions, including on the basis of my income or profession. In addition, Section 1(a) shall only apply while I am employed by or otherwise working for the Corporation if I primarily work or reside in California, Virginia (but only if I am a “low-wage employee” under Virginia Code Section 40.1-28.7:8), Minnesota, North Dakota, or Oklahoma.</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0"/>
          <w:szCs w:val="20"/>
          <w:color w:val="auto"/>
        </w:rPr>
        <w:t>To the extent permitted by applicable law, including but not limited to any applicable rules governing attorney conduct (such as the ABA Model Rules of Professional Conduct and state versions thereof), Sections 1(a)(i) and (ii) and Section 1(b) relating to non-solicitation, shall</w:t>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apply to individuals who are employed by the Corporation in an attorney position and whose occupation during the Restricted Period does not include practicing law.</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 lieu of Section 1(a)(i) and (ii), as well as Section 1(b) relating to non-solicitation, the following Section 1(a)(iii) shall apply to individuals who are employed by the Corporation in an attorney position, and whose occupation during the Restricted Period includes practicing law.</w:t>
      </w:r>
    </w:p>
    <w:p>
      <w:pPr>
        <w:spacing w:after="0" w:line="205" w:lineRule="exact"/>
        <w:rPr>
          <w:sz w:val="20"/>
          <w:szCs w:val="20"/>
          <w:color w:val="auto"/>
        </w:rPr>
      </w:pPr>
    </w:p>
    <w:p>
      <w:pPr>
        <w:jc w:val="both"/>
        <w:ind w:left="1300" w:firstLine="4"/>
        <w:spacing w:after="0" w:line="254" w:lineRule="auto"/>
        <w:tabs>
          <w:tab w:leader="none" w:pos="1851" w:val="left"/>
        </w:tabs>
        <w:numPr>
          <w:ilvl w:val="0"/>
          <w:numId w:val="79"/>
        </w:numPr>
        <w:rPr>
          <w:rFonts w:ascii="Arial" w:cs="Arial" w:eastAsia="Arial" w:hAnsi="Arial"/>
          <w:sz w:val="20"/>
          <w:szCs w:val="20"/>
          <w:color w:val="auto"/>
        </w:rPr>
      </w:pPr>
      <w:r>
        <w:rPr>
          <w:rFonts w:ascii="Arial" w:cs="Arial" w:eastAsia="Arial" w:hAnsi="Arial"/>
          <w:sz w:val="20"/>
          <w:szCs w:val="20"/>
          <w:color w:val="auto"/>
        </w:rPr>
        <w:t>Post-Employment Activity As a Lawyer – I acknowledge that as counsel to the Corporation, I owe ethical and fiduciary obligations to the Corporation and that at least some of these obligations will continue even after my Termination Date (as defined in Section 6) with the Corporation. I agree that after my Termination Date I will comply fully with all applicable ethical and fiduciary obligations that I owe to the Corporation. To the extent permitted by applicable law, including but not limited to any applicable rules governing attorney conduct, I agree that I will not:</w:t>
      </w:r>
    </w:p>
    <w:p>
      <w:pPr>
        <w:spacing w:after="0" w:line="200" w:lineRule="exact"/>
        <w:rPr>
          <w:rFonts w:ascii="Arial" w:cs="Arial" w:eastAsia="Arial" w:hAnsi="Arial"/>
          <w:sz w:val="20"/>
          <w:szCs w:val="20"/>
          <w:color w:val="auto"/>
        </w:rPr>
      </w:pPr>
    </w:p>
    <w:p>
      <w:pPr>
        <w:ind w:left="2280" w:hanging="328"/>
        <w:spacing w:after="0" w:line="286" w:lineRule="auto"/>
        <w:tabs>
          <w:tab w:leader="none" w:pos="22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Represent any client in the same or a substantially related matter in which I represented the Corporation where the client’s interests are materially adverse to the Corporation; or</w:t>
      </w:r>
    </w:p>
    <w:p>
      <w:pPr>
        <w:spacing w:after="0" w:line="180" w:lineRule="exact"/>
        <w:rPr>
          <w:rFonts w:ascii="Arial" w:cs="Arial" w:eastAsia="Arial" w:hAnsi="Arial"/>
          <w:sz w:val="20"/>
          <w:szCs w:val="20"/>
          <w:color w:val="auto"/>
        </w:rPr>
      </w:pPr>
    </w:p>
    <w:p>
      <w:pPr>
        <w:jc w:val="both"/>
        <w:ind w:left="2280" w:hanging="328"/>
        <w:spacing w:after="0" w:line="262" w:lineRule="auto"/>
        <w:tabs>
          <w:tab w:leader="none" w:pos="22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Disclose confidential information relating to my representation of the Corporation, including the disclosure of information that is to the disadvantage of the Corporation, except for information that is or becomes generally known.</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The Corporation’s Senior Vice President, General Counsel, and Corporate Secretary or the General Tax Counsel, as applicable, will determine in their discretion whether an individual is employed by the Corporation in an attorney position.</w:t>
      </w:r>
    </w:p>
    <w:p>
      <w:pPr>
        <w:spacing w:after="0" w:line="181" w:lineRule="exact"/>
        <w:rPr>
          <w:sz w:val="20"/>
          <w:szCs w:val="20"/>
          <w:color w:val="auto"/>
        </w:rPr>
      </w:pPr>
    </w:p>
    <w:p>
      <w:pPr>
        <w:jc w:val="both"/>
        <w:ind w:firstLine="656"/>
        <w:spacing w:after="0" w:line="251" w:lineRule="auto"/>
        <w:tabs>
          <w:tab w:leader="none" w:pos="1295"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Non-Solicit</w:t>
      </w:r>
      <w:r>
        <w:rPr>
          <w:rFonts w:ascii="Arial" w:cs="Arial" w:eastAsia="Arial" w:hAnsi="Arial"/>
          <w:sz w:val="20"/>
          <w:szCs w:val="20"/>
          <w:color w:val="auto"/>
        </w:rPr>
        <w:t xml:space="preserve"> – Without the express written consent of the Required Approver, during the two-year period following the Termination Date, I will not (i) cause or attempt to cause, directly or indirectly, the complete or partial loss of any contract in effect before the Termination Date between the Corporation and any customer, supplier, distributor or manufacturer of or to the Corporation with which I was responsible, in whole or in part, for soliciting, negotiating, implementing, managing, or overseeing or (ii) induce or attempt to induce, directly or indirectly, any person who is an employee of the Corporation with whom I worked or interacted with within two years prior to the Termination Date to cease employment with the Corporation in order to perform work or services for any entity other than the Corporation.</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 1(b)(i) is necessary to protect, among other interests, the Corporation’s trade secrets and other Confidential or Proprietary Information, as defined by Section 1(c), and goodwill in its customers and employees, and (B) Section 1(b)(i) shall not apply to me if I am a “low-wage employee” under Virginia Code Section 40.1-28.7:8 or am covered under an applicable state statute or local ordinance or rule prohibiting non-solicitation restrictions, including on the basis of my income or profession. In addition, if I primarily reside or work in California, Section 1(b) shall apply only while I am employed by or otherwise working for the Corporation.</w:t>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56"/>
        <w:spacing w:after="0" w:line="249" w:lineRule="auto"/>
        <w:tabs>
          <w:tab w:leader="none" w:pos="1284"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Protection of Proprietary Information</w:t>
      </w:r>
      <w:r>
        <w:rPr>
          <w:rFonts w:ascii="Arial" w:cs="Arial" w:eastAsia="Arial" w:hAnsi="Arial"/>
          <w:sz w:val="20"/>
          <w:szCs w:val="20"/>
          <w:color w:val="auto"/>
        </w:rPr>
        <w:t xml:space="preserve"> – Except to the extent required by law, following my Termination Date, I will have a continuing obligation to comply with the terms of any non-disclosure or similar agreements that I signed while employed by the Corporation committing to hold confidential the “Confidential or Proprietary Information” (as defined below) of the Corporation or any of its affiliates, subsidiaries, related companies, joint ventures, partnerships, customers, suppliers, partners, contractors or agents, in each case in accordance with the terms of such agreements. I will not use or disclose or allow the use or disclosure by others to any person or entity of Confidential or Proprietary Information of the Corporation or others to which I had access or that I was responsible for creating or overseeing during my employment with the Corporation. In the event I become legally compelled (by deposition, interrogatory, request for documents, subpoena, civil investigative demand or otherwise) to disclose any proprietary or confidential information, I will immediately notify the Corporation’s Senior Vice President, General Counsel and Corporate Secretary as to the existence of the obligation and will cooperate with any reasonable request by the Corporation for assistance in seeking to protect the information. All materials to which I have had access, or which were furnished or otherwise made available to me in connection with my employment with the Corporation shall be and remain the property of the Corporation. For purposes of this PECA, “Confidential or Proprietary Information” means trade secrets, as defined by the federal Defend Trade Secrets Act of 2016 and/or applicable state trade secret law, and Sensitive Information within the meaning of CRX-015 (a copy of which has been made available to me), including but not limited to information that a person or entity desires to protect from unauthorized disclosure to third parties that can provide the person or entity with a business, technological, or economic advantage over its competitors, or which, if known or used by third parties or if used by the person’s or entity’s employees or agents in an unauthorized manner, might be detrimental to the person’s or entity’s interests. Confidential or Proprietary Information may include, but is not limited to:</w:t>
      </w:r>
    </w:p>
    <w:p>
      <w:pPr>
        <w:spacing w:after="0" w:line="218" w:lineRule="exact"/>
        <w:rPr>
          <w:rFonts w:ascii="Arial" w:cs="Arial" w:eastAsia="Arial" w:hAnsi="Arial"/>
          <w:sz w:val="20"/>
          <w:szCs w:val="20"/>
          <w:color w:val="auto"/>
        </w:rPr>
      </w:pPr>
    </w:p>
    <w:p>
      <w:pPr>
        <w:ind w:left="1960" w:hanging="656"/>
        <w:spacing w:after="0" w:line="259" w:lineRule="auto"/>
        <w:tabs>
          <w:tab w:leader="none" w:pos="1778" w:val="left"/>
        </w:tabs>
        <w:numPr>
          <w:ilvl w:val="1"/>
          <w:numId w:val="81"/>
        </w:numPr>
        <w:rPr>
          <w:rFonts w:ascii="Arial" w:cs="Arial" w:eastAsia="Arial" w:hAnsi="Arial"/>
          <w:sz w:val="20"/>
          <w:szCs w:val="20"/>
          <w:color w:val="auto"/>
        </w:rPr>
      </w:pPr>
      <w:r>
        <w:rPr>
          <w:rFonts w:ascii="Arial" w:cs="Arial" w:eastAsia="Arial" w:hAnsi="Arial"/>
          <w:sz w:val="20"/>
          <w:szCs w:val="20"/>
          <w:color w:val="auto"/>
        </w:rPr>
        <w:t>existing and contemplated business, marketing and financial business information such as business plans and methods, marketing information, cost estimates, forecasts, financial data, cost or pricing data, bid and proposal information, customer identification, sources of supply, contemplated product lines, proposed business alliances, and information about customers or competitors, and</w:t>
      </w:r>
    </w:p>
    <w:p>
      <w:pPr>
        <w:spacing w:after="0" w:line="195" w:lineRule="exact"/>
        <w:rPr>
          <w:rFonts w:ascii="Arial" w:cs="Arial" w:eastAsia="Arial" w:hAnsi="Arial"/>
          <w:sz w:val="20"/>
          <w:szCs w:val="20"/>
          <w:color w:val="auto"/>
        </w:rPr>
      </w:pPr>
    </w:p>
    <w:p>
      <w:pPr>
        <w:ind w:left="1960" w:hanging="656"/>
        <w:spacing w:after="0" w:line="258" w:lineRule="auto"/>
        <w:tabs>
          <w:tab w:leader="none" w:pos="1860" w:val="left"/>
        </w:tabs>
        <w:numPr>
          <w:ilvl w:val="1"/>
          <w:numId w:val="81"/>
        </w:numPr>
        <w:rPr>
          <w:rFonts w:ascii="Arial" w:cs="Arial" w:eastAsia="Arial" w:hAnsi="Arial"/>
          <w:sz w:val="20"/>
          <w:szCs w:val="20"/>
          <w:color w:val="auto"/>
        </w:rPr>
      </w:pPr>
      <w:r>
        <w:rPr>
          <w:rFonts w:ascii="Arial" w:cs="Arial" w:eastAsia="Arial" w:hAnsi="Arial"/>
          <w:sz w:val="20"/>
          <w:szCs w:val="20"/>
          <w:color w:val="auto"/>
        </w:rPr>
        <w:t>existing and contemplated technical information and documentation pertaining to technology, know how, equipment, machines, devices and systems, computer hardware and software, compositions, formulas, products, processes, methods, designs, specifications, mask works, testing or evaluation procedures, manufacturing processes, production techniques, research and development activities, inventions, discoveries, and improvements, and</w:t>
      </w:r>
    </w:p>
    <w:p>
      <w:pPr>
        <w:spacing w:after="0" w:line="194" w:lineRule="exact"/>
        <w:rPr>
          <w:rFonts w:ascii="Arial" w:cs="Arial" w:eastAsia="Arial" w:hAnsi="Arial"/>
          <w:sz w:val="20"/>
          <w:szCs w:val="20"/>
          <w:color w:val="auto"/>
        </w:rPr>
      </w:pPr>
    </w:p>
    <w:p>
      <w:pPr>
        <w:ind w:left="1780" w:hanging="476"/>
        <w:spacing w:after="0"/>
        <w:tabs>
          <w:tab w:leader="none" w:pos="1780" w:val="left"/>
        </w:tabs>
        <w:numPr>
          <w:ilvl w:val="1"/>
          <w:numId w:val="81"/>
        </w:numPr>
        <w:rPr>
          <w:rFonts w:ascii="Arial" w:cs="Arial" w:eastAsia="Arial" w:hAnsi="Arial"/>
          <w:sz w:val="20"/>
          <w:szCs w:val="20"/>
          <w:color w:val="auto"/>
        </w:rPr>
      </w:pPr>
      <w:r>
        <w:rPr>
          <w:rFonts w:ascii="Arial" w:cs="Arial" w:eastAsia="Arial" w:hAnsi="Arial"/>
          <w:sz w:val="20"/>
          <w:szCs w:val="20"/>
          <w:color w:val="auto"/>
        </w:rPr>
        <w:t>for supervisory employees only, human resources and personnel information.</w:t>
      </w:r>
    </w:p>
    <w:p>
      <w:pPr>
        <w:spacing w:after="0" w:line="256" w:lineRule="exact"/>
        <w:rPr>
          <w:rFonts w:ascii="Arial" w:cs="Arial" w:eastAsia="Arial" w:hAnsi="Arial"/>
          <w:sz w:val="20"/>
          <w:szCs w:val="20"/>
          <w:color w:val="auto"/>
        </w:rPr>
      </w:pPr>
    </w:p>
    <w:p>
      <w:pPr>
        <w:jc w:val="both"/>
        <w:ind w:firstLine="656"/>
        <w:spacing w:after="0" w:line="262" w:lineRule="auto"/>
        <w:tabs>
          <w:tab w:leader="none" w:pos="129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 Disparagement</w:t>
      </w:r>
      <w:r>
        <w:rPr>
          <w:rFonts w:ascii="Arial" w:cs="Arial" w:eastAsia="Arial" w:hAnsi="Arial"/>
          <w:sz w:val="20"/>
          <w:szCs w:val="20"/>
          <w:color w:val="auto"/>
        </w:rPr>
        <w:t xml:space="preserve"> – Following the Termination Date, for supervisory or management employees only, I will not make any statements, whether verbal or written, that disparage or reasonably may be interpreted to disparage the Corporation or its directors, officers, employees, technology, products or services with respect to any matter whatsoever.</w:t>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56"/>
        <w:spacing w:after="0" w:line="251" w:lineRule="auto"/>
        <w:tabs>
          <w:tab w:leader="none" w:pos="1295"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Cooperation in Litigation and Investigations</w:t>
      </w:r>
      <w:r>
        <w:rPr>
          <w:rFonts w:ascii="Arial" w:cs="Arial" w:eastAsia="Arial" w:hAnsi="Arial"/>
          <w:sz w:val="20"/>
          <w:szCs w:val="20"/>
          <w:color w:val="auto"/>
        </w:rPr>
        <w:t xml:space="preserve"> – Following the Termination Date, I will, to the extent reasonably requested, cooperate with the Corporation in any pending or future litigation (including alternative dispute resolution proceedings) or investigations in which the Corporation or any of its subsidiaries or affiliates is a party or is required or requested to provide testimony and regarding which, as a result of my employment with the Corporation, I reasonably could be expected to have knowledge or information relevant to the litigation or investigation. Notwithstanding any other provision of this PECA, nothing in this PECA shall affect my obligation to cooperate with any governmental inquiry or investigation or to give truthful testimony in court.</w:t>
      </w:r>
    </w:p>
    <w:p>
      <w:pPr>
        <w:spacing w:after="0" w:line="219" w:lineRule="exact"/>
        <w:rPr>
          <w:rFonts w:ascii="Arial" w:cs="Arial" w:eastAsia="Arial" w:hAnsi="Arial"/>
          <w:sz w:val="20"/>
          <w:szCs w:val="20"/>
          <w:color w:val="auto"/>
        </w:rPr>
      </w:pPr>
    </w:p>
    <w:p>
      <w:pPr>
        <w:jc w:val="both"/>
        <w:ind w:firstLine="656"/>
        <w:spacing w:after="0" w:line="262" w:lineRule="auto"/>
        <w:tabs>
          <w:tab w:leader="none" w:pos="1294"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Communications with Regulatory Authorities</w:t>
      </w:r>
      <w:r>
        <w:rPr>
          <w:rFonts w:ascii="Arial" w:cs="Arial" w:eastAsia="Arial" w:hAnsi="Arial"/>
          <w:sz w:val="20"/>
          <w:szCs w:val="20"/>
          <w:color w:val="auto"/>
        </w:rPr>
        <w:t xml:space="preserve"> – Nothing in this PECA prohibits or restricts me (or my attorney) from initiating communications directly with, responding to an inquiry from, or providing testimony before the Securities and Exchange Commission, Equal Employment Opportunity Commission, or any other federal or state regulatory authority.</w:t>
      </w:r>
    </w:p>
    <w:p>
      <w:pPr>
        <w:spacing w:after="0" w:line="205" w:lineRule="exact"/>
        <w:rPr>
          <w:rFonts w:ascii="Arial" w:cs="Arial" w:eastAsia="Arial" w:hAnsi="Arial"/>
          <w:sz w:val="20"/>
          <w:szCs w:val="20"/>
          <w:color w:val="auto"/>
        </w:rPr>
      </w:pPr>
    </w:p>
    <w:p>
      <w:pPr>
        <w:ind w:firstLine="656"/>
        <w:spacing w:after="0" w:line="271" w:lineRule="auto"/>
        <w:tabs>
          <w:tab w:leader="none" w:pos="1295"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Notices (including under the Defend Trade Secrets Act and National Labor Relations Act)</w:t>
      </w:r>
      <w:r>
        <w:rPr>
          <w:rFonts w:ascii="Arial" w:cs="Arial" w:eastAsia="Arial" w:hAnsi="Arial"/>
          <w:sz w:val="20"/>
          <w:szCs w:val="20"/>
          <w:color w:val="auto"/>
        </w:rPr>
        <w:t xml:space="preserve"> – Notwithstanding anything in this PECA to the contrary:</w:t>
      </w:r>
    </w:p>
    <w:p>
      <w:pPr>
        <w:spacing w:after="0" w:line="196" w:lineRule="exact"/>
        <w:rPr>
          <w:rFonts w:ascii="Arial" w:cs="Arial" w:eastAsia="Arial" w:hAnsi="Arial"/>
          <w:sz w:val="20"/>
          <w:szCs w:val="20"/>
          <w:color w:val="auto"/>
        </w:rPr>
      </w:pPr>
    </w:p>
    <w:p>
      <w:pPr>
        <w:jc w:val="both"/>
        <w:ind w:left="1960" w:hanging="656"/>
        <w:spacing w:after="0" w:line="277" w:lineRule="auto"/>
        <w:tabs>
          <w:tab w:leader="none" w:pos="1947" w:val="left"/>
        </w:tabs>
        <w:numPr>
          <w:ilvl w:val="2"/>
          <w:numId w:val="82"/>
        </w:numPr>
        <w:rPr>
          <w:rFonts w:ascii="Arial" w:cs="Arial" w:eastAsia="Arial" w:hAnsi="Arial"/>
          <w:sz w:val="19"/>
          <w:szCs w:val="19"/>
          <w:color w:val="auto"/>
        </w:rPr>
      </w:pPr>
      <w:r>
        <w:rPr>
          <w:rFonts w:ascii="Arial" w:cs="Arial" w:eastAsia="Arial" w:hAnsi="Arial"/>
          <w:sz w:val="19"/>
          <w:szCs w:val="19"/>
          <w:color w:val="auto"/>
        </w:rPr>
        <w:t>I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w:t>
      </w:r>
    </w:p>
    <w:p>
      <w:pPr>
        <w:spacing w:after="0" w:line="179" w:lineRule="exact"/>
        <w:rPr>
          <w:rFonts w:ascii="Arial" w:cs="Arial" w:eastAsia="Arial" w:hAnsi="Arial"/>
          <w:sz w:val="19"/>
          <w:szCs w:val="19"/>
          <w:color w:val="auto"/>
        </w:rPr>
      </w:pPr>
    </w:p>
    <w:p>
      <w:pPr>
        <w:jc w:val="both"/>
        <w:ind w:left="1960" w:hanging="656"/>
        <w:spacing w:after="0" w:line="259" w:lineRule="auto"/>
        <w:tabs>
          <w:tab w:leader="none" w:pos="1950" w:val="left"/>
        </w:tabs>
        <w:numPr>
          <w:ilvl w:val="2"/>
          <w:numId w:val="82"/>
        </w:numPr>
        <w:rPr>
          <w:rFonts w:ascii="Arial" w:cs="Arial" w:eastAsia="Arial" w:hAnsi="Arial"/>
          <w:sz w:val="20"/>
          <w:szCs w:val="20"/>
          <w:color w:val="auto"/>
        </w:rPr>
      </w:pPr>
      <w:r>
        <w:rPr>
          <w:rFonts w:ascii="Arial" w:cs="Arial" w:eastAsia="Arial" w:hAnsi="Arial"/>
          <w:sz w:val="20"/>
          <w:szCs w:val="20"/>
          <w:color w:val="auto"/>
        </w:rPr>
        <w:t>If I file a lawsuit for retaliation by the Corporation for reporting a suspected violation of law, I may disclose the Corporation’s trade secrets to my attorney and use the trade secret information in the court proceeding if I (1) file any document containing the trade secret under seal; and (2) do not disclose the trade secret, except pursuant to court order.</w:t>
      </w:r>
    </w:p>
    <w:p>
      <w:pPr>
        <w:spacing w:after="0" w:line="208" w:lineRule="exact"/>
        <w:rPr>
          <w:rFonts w:ascii="Arial" w:cs="Arial" w:eastAsia="Arial" w:hAnsi="Arial"/>
          <w:sz w:val="20"/>
          <w:szCs w:val="20"/>
          <w:color w:val="auto"/>
        </w:rPr>
      </w:pPr>
    </w:p>
    <w:p>
      <w:pPr>
        <w:jc w:val="both"/>
        <w:ind w:left="1960" w:hanging="656"/>
        <w:spacing w:after="0" w:line="251" w:lineRule="auto"/>
        <w:tabs>
          <w:tab w:leader="none" w:pos="1953" w:val="left"/>
        </w:tabs>
        <w:numPr>
          <w:ilvl w:val="2"/>
          <w:numId w:val="82"/>
        </w:numPr>
        <w:rPr>
          <w:rFonts w:ascii="Arial" w:cs="Arial" w:eastAsia="Arial" w:hAnsi="Arial"/>
          <w:sz w:val="20"/>
          <w:szCs w:val="20"/>
          <w:color w:val="auto"/>
        </w:rPr>
      </w:pPr>
      <w:r>
        <w:rPr>
          <w:rFonts w:ascii="Arial" w:cs="Arial" w:eastAsia="Arial" w:hAnsi="Arial"/>
          <w:sz w:val="20"/>
          <w:szCs w:val="20"/>
          <w:color w:val="auto"/>
        </w:rPr>
        <w:t>Nothing in this PECA in any way prohibits or is intended to restrict or impede, and shall not be interpreted or understood as restricting or impeding, me from (1) for non-supervisory employees only, exercising my rights under Section 7 of the National Labor Relations Act (NLRA) (including with respect to engaging in concerted activities for the purpose of collective bargaining or other mutual aid or protection, discussing terms and conditions of employment, or otherwise engaging in protected conduct); or (2) otherwise disclosing or discussing truthful information about unlawful employment practices (including unlawful discrimination, harassment, retaliation, or sexual assault).</w:t>
      </w:r>
    </w:p>
    <w:p>
      <w:pPr>
        <w:spacing w:after="0" w:line="219" w:lineRule="exact"/>
        <w:rPr>
          <w:rFonts w:ascii="Arial" w:cs="Arial" w:eastAsia="Arial" w:hAnsi="Arial"/>
          <w:sz w:val="20"/>
          <w:szCs w:val="20"/>
          <w:color w:val="auto"/>
        </w:rPr>
      </w:pPr>
    </w:p>
    <w:p>
      <w:pPr>
        <w:jc w:val="both"/>
        <w:ind w:firstLine="8"/>
        <w:spacing w:after="0" w:line="254" w:lineRule="auto"/>
        <w:tabs>
          <w:tab w:leader="none" w:pos="63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Consideration and Acknowledgement</w:t>
      </w:r>
      <w:r>
        <w:rPr>
          <w:rFonts w:ascii="Arial" w:cs="Arial" w:eastAsia="Arial" w:hAnsi="Arial"/>
          <w:sz w:val="20"/>
          <w:szCs w:val="20"/>
          <w:color w:val="auto"/>
        </w:rPr>
        <w:t>. I acknowledge and agree that the benefits and compensation opportunities being made available to me under the Award Agreement are in addition to the benefits and compensation opportunities that otherwise are or would be available to me in connection with my employment by the Corporation and that the grant of the PSUs is expressly made contingent upon my agreements with the Corporation set forth in this PECA. I acknowledge that the scope and duration of the restrictions in Section 1 are necessary to be</w:t>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effective and are fair and reasonable in light of the value of the benefits and compensation opportunities being made available to me under the Award Agreement. I further acknowledge and agree that as a result of the high level executive and management positions I hold with the Corporation and the access to and extensive knowledge of the Corporation's Confidential or Proprietary Information, employees, suppliers and customers, (i) these restrictions are reasonably required for the protection of the Corporation's legitimate business interests, including, but not limited to, the Corporation’s Confidential or Proprietary Information,</w:t>
      </w:r>
    </w:p>
    <w:p>
      <w:pPr>
        <w:spacing w:after="0" w:line="4" w:lineRule="exact"/>
        <w:rPr>
          <w:sz w:val="20"/>
          <w:szCs w:val="20"/>
          <w:color w:val="auto"/>
        </w:rPr>
      </w:pPr>
    </w:p>
    <w:p>
      <w:pPr>
        <w:jc w:val="both"/>
        <w:ind w:firstLine="8"/>
        <w:spacing w:after="0" w:line="253" w:lineRule="auto"/>
        <w:tabs>
          <w:tab w:leader="none" w:pos="282"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area, duration and scope of the restrictions are reasonable and necessary to protect the Corporation, (iii) the restrictions do not unduly oppress or restrict my ability to earn a livelihood in my profession, and (iv) the restrictions are not an undue restraint on my trade or any of the public interests that may be involved. I further acknowledge that I had the right to consult legal counsel prior to accepting this Award Agreement.</w:t>
      </w:r>
    </w:p>
    <w:p>
      <w:pPr>
        <w:spacing w:after="0" w:line="308"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Remedies For Breach of Section 1; Additional Remedies of Clawback and Recoupment</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656"/>
        <w:spacing w:after="0" w:line="262" w:lineRule="auto"/>
        <w:tabs>
          <w:tab w:leader="none" w:pos="1295" w:val="left"/>
        </w:tabs>
        <w:numPr>
          <w:ilvl w:val="1"/>
          <w:numId w:val="85"/>
        </w:numPr>
        <w:rPr>
          <w:rFonts w:ascii="Arial" w:cs="Arial" w:eastAsia="Arial" w:hAnsi="Arial"/>
          <w:sz w:val="20"/>
          <w:szCs w:val="20"/>
          <w:color w:val="auto"/>
        </w:rPr>
      </w:pPr>
      <w:r>
        <w:rPr>
          <w:rFonts w:ascii="Arial" w:cs="Arial" w:eastAsia="Arial" w:hAnsi="Arial"/>
          <w:sz w:val="20"/>
          <w:szCs w:val="20"/>
          <w:color w:val="auto"/>
        </w:rPr>
        <w:t>I agree, upon demand by the Corporation, to forfeit, return or repay to the Corporation the “Benefits and Proceeds” (as defined below) (without regard to any taxes paid by me or on my behalf in respect of such Benefits and Proceeds) in the event any of the following occur:</w:t>
      </w:r>
    </w:p>
    <w:p>
      <w:pPr>
        <w:spacing w:after="0" w:line="205" w:lineRule="exact"/>
        <w:rPr>
          <w:rFonts w:ascii="Arial" w:cs="Arial" w:eastAsia="Arial" w:hAnsi="Arial"/>
          <w:sz w:val="20"/>
          <w:szCs w:val="20"/>
          <w:color w:val="auto"/>
        </w:rPr>
      </w:pPr>
    </w:p>
    <w:p>
      <w:pPr>
        <w:ind w:left="1700" w:hanging="396"/>
        <w:spacing w:after="0"/>
        <w:tabs>
          <w:tab w:leader="none" w:pos="1700" w:val="left"/>
        </w:tabs>
        <w:numPr>
          <w:ilvl w:val="2"/>
          <w:numId w:val="85"/>
        </w:numPr>
        <w:rPr>
          <w:rFonts w:ascii="Arial" w:cs="Arial" w:eastAsia="Arial" w:hAnsi="Arial"/>
          <w:sz w:val="20"/>
          <w:szCs w:val="20"/>
          <w:color w:val="auto"/>
        </w:rPr>
      </w:pPr>
      <w:r>
        <w:rPr>
          <w:rFonts w:ascii="Arial" w:cs="Arial" w:eastAsia="Arial" w:hAnsi="Arial"/>
          <w:sz w:val="20"/>
          <w:szCs w:val="20"/>
          <w:color w:val="auto"/>
        </w:rPr>
        <w:t>I breach any of the covenants or agreements in Section 1;</w:t>
      </w:r>
    </w:p>
    <w:p>
      <w:pPr>
        <w:spacing w:after="0" w:line="242" w:lineRule="exact"/>
        <w:rPr>
          <w:rFonts w:ascii="Arial" w:cs="Arial" w:eastAsia="Arial" w:hAnsi="Arial"/>
          <w:sz w:val="20"/>
          <w:szCs w:val="20"/>
          <w:color w:val="auto"/>
        </w:rPr>
      </w:pPr>
    </w:p>
    <w:p>
      <w:pPr>
        <w:ind w:left="1960" w:hanging="656"/>
        <w:spacing w:after="0" w:line="259" w:lineRule="auto"/>
        <w:tabs>
          <w:tab w:leader="none" w:pos="1788" w:val="left"/>
        </w:tabs>
        <w:numPr>
          <w:ilvl w:val="2"/>
          <w:numId w:val="85"/>
        </w:numPr>
        <w:rPr>
          <w:rFonts w:ascii="Arial" w:cs="Arial" w:eastAsia="Arial" w:hAnsi="Arial"/>
          <w:sz w:val="20"/>
          <w:szCs w:val="20"/>
          <w:color w:val="auto"/>
        </w:rPr>
      </w:pPr>
      <w:r>
        <w:rPr>
          <w:rFonts w:ascii="Arial" w:cs="Arial" w:eastAsia="Arial" w:hAnsi="Arial"/>
          <w:sz w:val="20"/>
          <w:szCs w:val="20"/>
          <w:color w:val="auto"/>
        </w:rPr>
        <w:t>The Corporation determines that either (a) my intentional misconduct or gross negligence, or (b) my failure to report another person’s intentional misconduct or gross negligence of which I had knowledge during the period I was employed by the Corporation, contributed to the Corporation having to restate all or a portion of its financial statements filed for any period with the Securities and Exchange Commission;</w:t>
      </w:r>
    </w:p>
    <w:p>
      <w:pPr>
        <w:spacing w:after="0" w:line="208" w:lineRule="exact"/>
        <w:rPr>
          <w:rFonts w:ascii="Arial" w:cs="Arial" w:eastAsia="Arial" w:hAnsi="Arial"/>
          <w:sz w:val="20"/>
          <w:szCs w:val="20"/>
          <w:color w:val="auto"/>
        </w:rPr>
      </w:pPr>
    </w:p>
    <w:p>
      <w:pPr>
        <w:jc w:val="both"/>
        <w:ind w:left="1960" w:hanging="656"/>
        <w:spacing w:after="0" w:line="254" w:lineRule="auto"/>
        <w:tabs>
          <w:tab w:leader="none" w:pos="1953" w:val="left"/>
        </w:tabs>
        <w:numPr>
          <w:ilvl w:val="2"/>
          <w:numId w:val="85"/>
        </w:numPr>
        <w:rPr>
          <w:rFonts w:ascii="Arial" w:cs="Arial" w:eastAsia="Arial" w:hAnsi="Arial"/>
          <w:sz w:val="20"/>
          <w:szCs w:val="20"/>
          <w:color w:val="auto"/>
        </w:rPr>
      </w:pPr>
      <w:r>
        <w:rPr>
          <w:rFonts w:ascii="Arial" w:cs="Arial" w:eastAsia="Arial" w:hAnsi="Arial"/>
          <w:sz w:val="20"/>
          <w:szCs w:val="20"/>
          <w:color w:val="auto"/>
        </w:rPr>
        <w:t>The Corporation determines that I engaged in fraud, bribery or any other illegal act or that my intentional misconduct or gross negligence (including the failure to report the acts of another person of which I had knowledge during the period I was employed by the Corporation) contributed to another person’s fraud, bribery or other illegal act, which in any such case adversely affected the Corporation’s financial position or reputation;</w:t>
      </w:r>
    </w:p>
    <w:p>
      <w:pPr>
        <w:spacing w:after="0" w:line="200" w:lineRule="exact"/>
        <w:rPr>
          <w:rFonts w:ascii="Arial" w:cs="Arial" w:eastAsia="Arial" w:hAnsi="Arial"/>
          <w:sz w:val="20"/>
          <w:szCs w:val="20"/>
          <w:color w:val="auto"/>
        </w:rPr>
      </w:pPr>
    </w:p>
    <w:p>
      <w:pPr>
        <w:ind w:left="1960" w:hanging="656"/>
        <w:spacing w:after="0" w:line="286" w:lineRule="auto"/>
        <w:tabs>
          <w:tab w:leader="none" w:pos="1951" w:val="left"/>
        </w:tabs>
        <w:numPr>
          <w:ilvl w:val="2"/>
          <w:numId w:val="85"/>
        </w:numPr>
        <w:rPr>
          <w:rFonts w:ascii="Arial" w:cs="Arial" w:eastAsia="Arial" w:hAnsi="Arial"/>
          <w:sz w:val="20"/>
          <w:szCs w:val="20"/>
          <w:color w:val="auto"/>
        </w:rPr>
      </w:pPr>
      <w:r>
        <w:rPr>
          <w:rFonts w:ascii="Arial" w:cs="Arial" w:eastAsia="Arial" w:hAnsi="Arial"/>
          <w:sz w:val="20"/>
          <w:szCs w:val="20"/>
          <w:color w:val="auto"/>
        </w:rPr>
        <w:t>The Corporation determines that my intentional misconduct or gross negligence caused severe reputational or financial harm to the Corporation;</w:t>
      </w:r>
    </w:p>
    <w:p>
      <w:pPr>
        <w:spacing w:after="0" w:line="180" w:lineRule="exact"/>
        <w:rPr>
          <w:rFonts w:ascii="Arial" w:cs="Arial" w:eastAsia="Arial" w:hAnsi="Arial"/>
          <w:sz w:val="20"/>
          <w:szCs w:val="20"/>
          <w:color w:val="auto"/>
        </w:rPr>
      </w:pPr>
    </w:p>
    <w:p>
      <w:pPr>
        <w:jc w:val="both"/>
        <w:ind w:left="1960" w:hanging="656"/>
        <w:spacing w:after="0" w:line="254" w:lineRule="auto"/>
        <w:tabs>
          <w:tab w:leader="none" w:pos="1948" w:val="left"/>
        </w:tabs>
        <w:numPr>
          <w:ilvl w:val="2"/>
          <w:numId w:val="85"/>
        </w:numPr>
        <w:rPr>
          <w:rFonts w:ascii="Arial" w:cs="Arial" w:eastAsia="Arial" w:hAnsi="Arial"/>
          <w:sz w:val="20"/>
          <w:szCs w:val="20"/>
          <w:color w:val="auto"/>
        </w:rPr>
      </w:pPr>
      <w:r>
        <w:rPr>
          <w:rFonts w:ascii="Arial" w:cs="Arial" w:eastAsia="Arial" w:hAnsi="Arial"/>
          <w:sz w:val="20"/>
          <w:szCs w:val="20"/>
          <w:color w:val="auto"/>
        </w:rPr>
        <w:t>The Corporation determines that I misappropriated Confidential or Proprietary Information, as defined in Section 1(c), and I (A) intended to use the misappropriated Confidential or Proprietary Information to cause severe reputational or financial harm to the Corporation or (B) used the misappropriated Confidential or Proprietary Information in a manner that caused severe reputational or financial harm to the Corporation; or</w:t>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60" w:hanging="656"/>
        <w:spacing w:after="0" w:line="259" w:lineRule="auto"/>
        <w:tabs>
          <w:tab w:leader="none" w:pos="1812" w:val="left"/>
        </w:tabs>
        <w:numPr>
          <w:ilvl w:val="2"/>
          <w:numId w:val="86"/>
        </w:numPr>
        <w:rPr>
          <w:rFonts w:ascii="Arial" w:cs="Arial" w:eastAsia="Arial" w:hAnsi="Arial"/>
          <w:sz w:val="20"/>
          <w:szCs w:val="20"/>
          <w:color w:val="auto"/>
        </w:rPr>
      </w:pPr>
      <w:r>
        <w:rPr>
          <w:rFonts w:ascii="Arial" w:cs="Arial" w:eastAsia="Arial" w:hAnsi="Arial"/>
          <w:sz w:val="20"/>
          <w:szCs w:val="20"/>
          <w:color w:val="auto"/>
        </w:rPr>
        <w:t>Under such other circumstances specified in a written recovery policy adopted by the Corporation to comply with Rule 10D-1 under the Securities Exchange Act and New York Stock Exchange listing standards requiring the Corporation to recover from executive officers erroneously awarded compensation or other applicable law.</w:t>
      </w:r>
    </w:p>
    <w:p>
      <w:pPr>
        <w:spacing w:after="0" w:line="195" w:lineRule="exact"/>
        <w:rPr>
          <w:rFonts w:ascii="Arial" w:cs="Arial" w:eastAsia="Arial" w:hAnsi="Arial"/>
          <w:sz w:val="20"/>
          <w:szCs w:val="20"/>
          <w:color w:val="auto"/>
        </w:rPr>
      </w:pPr>
    </w:p>
    <w:p>
      <w:pPr>
        <w:jc w:val="both"/>
        <w:ind w:firstLine="656"/>
        <w:spacing w:after="0" w:line="254" w:lineRule="auto"/>
        <w:tabs>
          <w:tab w:leader="none" w:pos="1295"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remedy provided in Section 3(a) shall not be the exclusive remedy available to the Corporation for any of the conduct described in Section 3(a) and shall not limit the Corporation from seeking damages or injunctive relief. For purposes of Section 3(a), a determination by the Corporation means, with respect to an Elected Officer, a determination by the Management Development and Compensation Committee of the Board of Directors of the Corporation (the “Committee”) and, with respect to any other employee, a determination by a review committee consisting of the Senior Vice President, Chief Human Resources Officer, the Senior Vice President, Ethics and Enterprise Assurance, and the Senior Vice President, General Counsel and Corporate Secretary (the “Review Committee”).</w:t>
      </w:r>
    </w:p>
    <w:p>
      <w:pPr>
        <w:spacing w:after="0" w:line="199" w:lineRule="exact"/>
        <w:rPr>
          <w:rFonts w:ascii="Arial" w:cs="Arial" w:eastAsia="Arial" w:hAnsi="Arial"/>
          <w:sz w:val="20"/>
          <w:szCs w:val="20"/>
          <w:color w:val="auto"/>
        </w:rPr>
      </w:pPr>
    </w:p>
    <w:p>
      <w:pPr>
        <w:jc w:val="both"/>
        <w:ind w:firstLine="656"/>
        <w:spacing w:after="0" w:line="254" w:lineRule="auto"/>
        <w:tabs>
          <w:tab w:leader="none" w:pos="1284" w:val="left"/>
        </w:tabs>
        <w:numPr>
          <w:ilvl w:val="1"/>
          <w:numId w:val="87"/>
        </w:numPr>
        <w:rPr>
          <w:rFonts w:ascii="Arial" w:cs="Arial" w:eastAsia="Arial" w:hAnsi="Arial"/>
          <w:sz w:val="20"/>
          <w:szCs w:val="20"/>
          <w:color w:val="auto"/>
        </w:rPr>
      </w:pPr>
      <w:r>
        <w:rPr>
          <w:rFonts w:ascii="Arial" w:cs="Arial" w:eastAsia="Arial" w:hAnsi="Arial"/>
          <w:sz w:val="20"/>
          <w:szCs w:val="20"/>
          <w:color w:val="auto"/>
        </w:rPr>
        <w:t>For purposes of this Section 3, “Benefits and Proceeds” means (i) to the extent I own Stock issued in respect of vested PSUs, such Stock; (ii) to the extent I no longer own the shares of Stock of the Corporation issued in respect of the PSUs, cash in an amount equal to the greater of (x) the value of such Stock on the date the associated PSUs vested (which, unless otherwise determined by the Committee or the Review Committee, shall be equal to the closing price of the shares of Stock as finally reported by the New York Stock Exchange on such date), and (y) the proceeds received in connection with the disposition of such Stock; and (iii) to the extent I have not earned the PSUs fully, all of my remaining rights, title or interest in my Award and any accrued dividend equivalents with respect thereto.</w:t>
      </w:r>
    </w:p>
    <w:p>
      <w:pPr>
        <w:spacing w:after="0" w:line="213" w:lineRule="exact"/>
        <w:rPr>
          <w:rFonts w:ascii="Arial" w:cs="Arial" w:eastAsia="Arial" w:hAnsi="Arial"/>
          <w:sz w:val="20"/>
          <w:szCs w:val="20"/>
          <w:color w:val="auto"/>
        </w:rPr>
      </w:pPr>
    </w:p>
    <w:p>
      <w:pPr>
        <w:jc w:val="both"/>
        <w:ind w:firstLine="8"/>
        <w:spacing w:after="0" w:line="254" w:lineRule="auto"/>
        <w:tabs>
          <w:tab w:leader="none" w:pos="637"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Injunctive Relief</w:t>
      </w:r>
      <w:r>
        <w:rPr>
          <w:rFonts w:ascii="Arial" w:cs="Arial" w:eastAsia="Arial" w:hAnsi="Arial"/>
          <w:sz w:val="20"/>
          <w:szCs w:val="20"/>
          <w:color w:val="auto"/>
        </w:rPr>
        <w:t>. I acknowledge that the Corporation’s remedies at law may be inadequate to protect the Corporation against any actual or threatened breach of the provisions of Section 1 or the conduct described in Section 3(a), and, therefore, without prejudice to any other rights and remedies otherwise available to the Corporation at law or in equity (including but not limited to, an action under Section 3(a)), the Corporation shall be entitled to injunctive relief in its favor and to specific performance without proof of actual damages and without the requirement of the posting of any bond or similar security.</w:t>
      </w:r>
    </w:p>
    <w:p>
      <w:pPr>
        <w:spacing w:after="0" w:line="200" w:lineRule="exact"/>
        <w:rPr>
          <w:rFonts w:ascii="Arial" w:cs="Arial" w:eastAsia="Arial" w:hAnsi="Arial"/>
          <w:sz w:val="20"/>
          <w:szCs w:val="20"/>
          <w:color w:val="auto"/>
        </w:rPr>
      </w:pPr>
    </w:p>
    <w:p>
      <w:pPr>
        <w:jc w:val="both"/>
        <w:ind w:firstLine="8"/>
        <w:spacing w:after="0" w:line="252" w:lineRule="auto"/>
        <w:tabs>
          <w:tab w:leader="none" w:pos="637"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Invalidity; Unenforceability</w:t>
      </w:r>
      <w:r>
        <w:rPr>
          <w:rFonts w:ascii="Arial" w:cs="Arial" w:eastAsia="Arial" w:hAnsi="Arial"/>
          <w:sz w:val="20"/>
          <w:szCs w:val="20"/>
          <w:color w:val="auto"/>
        </w:rPr>
        <w:t>. It is the desire and intent of the parties that the provisions of this PECA shall be enforced to the fullest extent permissible. The covenants in each section of this PECA are independent of any other provisions of this PECA. Each term in this PECA constitutes a separate covenant between the parties, and each term is fully severable from any other term. The parties agree if any particular paragraphs, subparagraphs, phrases, words, or other portions of this PECA are determined by an appropriate court to be invalid or unenforceable as written, they shall be modified as necessary to comport with the reasonable intent and expectations of the parties and in favor of providing reasonable protection to all of the Corporation’s legitimate business interests, and such modification shall not affect the remaining provisions of this PECA, or if they cannot be modified to be made valid or enforceable, then they shall be severed from this PECA, and all remaining terms and provisions shall remain enforceable.</w:t>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8"/>
        <w:spacing w:after="0" w:line="271" w:lineRule="auto"/>
        <w:tabs>
          <w:tab w:leader="none" w:pos="63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not defined in this PECA have the meaning given to them in the Plan, as applicable. For purposes of this PECA, the following terms have the meanings given below:</w:t>
      </w:r>
    </w:p>
    <w:p>
      <w:pPr>
        <w:spacing w:after="0" w:line="196" w:lineRule="exact"/>
        <w:rPr>
          <w:rFonts w:ascii="Arial" w:cs="Arial" w:eastAsia="Arial" w:hAnsi="Arial"/>
          <w:sz w:val="20"/>
          <w:szCs w:val="20"/>
          <w:color w:val="auto"/>
        </w:rPr>
      </w:pPr>
    </w:p>
    <w:p>
      <w:pPr>
        <w:jc w:val="both"/>
        <w:ind w:left="660" w:hanging="4"/>
        <w:spacing w:after="0" w:line="250" w:lineRule="auto"/>
        <w:tabs>
          <w:tab w:leader="none" w:pos="1307" w:val="left"/>
        </w:tabs>
        <w:numPr>
          <w:ilvl w:val="1"/>
          <w:numId w:val="89"/>
        </w:numPr>
        <w:rPr>
          <w:rFonts w:ascii="Arial" w:cs="Arial" w:eastAsia="Arial" w:hAnsi="Arial"/>
          <w:sz w:val="20"/>
          <w:szCs w:val="20"/>
          <w:color w:val="auto"/>
        </w:rPr>
      </w:pPr>
      <w:r>
        <w:rPr>
          <w:rFonts w:ascii="Arial" w:cs="Arial" w:eastAsia="Arial" w:hAnsi="Arial"/>
          <w:sz w:val="20"/>
          <w:szCs w:val="20"/>
          <w:color w:val="auto"/>
        </w:rPr>
        <w:t>“Competitive Products or Services” means products or services that compete with, or are an alternative or potential alternative to, products sold or services provided by a subsidiary, business area, division or operating unit or business of the Corporation as of the Termination Date and at any time within the two-year period ending on the Termination Date; provided, that, (i) if I had direct responsibility for the business of, or function with respect to, a subsidiary, or for a business area, division or operating unit or business of the Corporation at any time within the two-year period ending on the Termination Date, Competitive Products or Services includes the products so sold or the services so provided during that two-year period by the subsidiary, business area, division or operating unit of the Corporation for which I had responsibility, and (ii) if I did not have direct responsibility for the business of, or function with respect to, a subsidiary, or for a business area, division or operating unit or business of the Corporation at any time within the two-year period ending on the Termination Date, Competitive Products or Services includes the products so sold or the services so provided by a subsidiary, business area, division or operating unit of the Corporation for which I had access (or was required or permitted such access in the performance of my duties or responsibilities with the Corporation) to Confidential or Proprietary Information of the Corporation at any time during the two-year period ending on the Termination Date.</w:t>
      </w:r>
    </w:p>
    <w:p>
      <w:pPr>
        <w:spacing w:after="0" w:line="210" w:lineRule="exact"/>
        <w:rPr>
          <w:rFonts w:ascii="Arial" w:cs="Arial" w:eastAsia="Arial" w:hAnsi="Arial"/>
          <w:sz w:val="20"/>
          <w:szCs w:val="20"/>
          <w:color w:val="auto"/>
        </w:rPr>
      </w:pPr>
    </w:p>
    <w:p>
      <w:pPr>
        <w:ind w:left="660" w:right="20" w:hanging="4"/>
        <w:spacing w:after="0" w:line="286" w:lineRule="auto"/>
        <w:tabs>
          <w:tab w:leader="none" w:pos="1307" w:val="left"/>
        </w:tabs>
        <w:numPr>
          <w:ilvl w:val="1"/>
          <w:numId w:val="89"/>
        </w:numPr>
        <w:rPr>
          <w:rFonts w:ascii="Arial" w:cs="Arial" w:eastAsia="Arial" w:hAnsi="Arial"/>
          <w:sz w:val="20"/>
          <w:szCs w:val="20"/>
          <w:color w:val="auto"/>
        </w:rPr>
      </w:pPr>
      <w:r>
        <w:rPr>
          <w:rFonts w:ascii="Arial" w:cs="Arial" w:eastAsia="Arial" w:hAnsi="Arial"/>
          <w:sz w:val="20"/>
          <w:szCs w:val="20"/>
          <w:color w:val="auto"/>
        </w:rPr>
        <w:t>“Elected Officer” means an officer of the Corporation who was elected to their position by the Corporation’s Board of Directors.</w:t>
      </w:r>
    </w:p>
    <w:p>
      <w:pPr>
        <w:spacing w:after="0" w:line="180" w:lineRule="exact"/>
        <w:rPr>
          <w:rFonts w:ascii="Arial" w:cs="Arial" w:eastAsia="Arial" w:hAnsi="Arial"/>
          <w:sz w:val="20"/>
          <w:szCs w:val="20"/>
          <w:color w:val="auto"/>
        </w:rPr>
      </w:pPr>
    </w:p>
    <w:p>
      <w:pPr>
        <w:ind w:left="1300" w:hanging="644"/>
        <w:spacing w:after="0"/>
        <w:tabs>
          <w:tab w:leader="none" w:pos="1300" w:val="left"/>
        </w:tabs>
        <w:numPr>
          <w:ilvl w:val="1"/>
          <w:numId w:val="89"/>
        </w:numPr>
        <w:rPr>
          <w:rFonts w:ascii="Arial" w:cs="Arial" w:eastAsia="Arial" w:hAnsi="Arial"/>
          <w:sz w:val="20"/>
          <w:szCs w:val="20"/>
          <w:color w:val="auto"/>
        </w:rPr>
      </w:pPr>
      <w:r>
        <w:rPr>
          <w:rFonts w:ascii="Arial" w:cs="Arial" w:eastAsia="Arial" w:hAnsi="Arial"/>
          <w:sz w:val="20"/>
          <w:szCs w:val="20"/>
          <w:color w:val="auto"/>
        </w:rPr>
        <w:t>“Required Approver” means:</w:t>
      </w:r>
    </w:p>
    <w:p>
      <w:pPr>
        <w:spacing w:after="0" w:line="242" w:lineRule="exact"/>
        <w:rPr>
          <w:rFonts w:ascii="Arial" w:cs="Arial" w:eastAsia="Arial" w:hAnsi="Arial"/>
          <w:sz w:val="20"/>
          <w:szCs w:val="20"/>
          <w:color w:val="auto"/>
        </w:rPr>
      </w:pPr>
    </w:p>
    <w:p>
      <w:pPr>
        <w:ind w:left="1960" w:hanging="656"/>
        <w:spacing w:after="0" w:line="286" w:lineRule="auto"/>
        <w:tabs>
          <w:tab w:leader="none" w:pos="1809" w:val="left"/>
        </w:tabs>
        <w:numPr>
          <w:ilvl w:val="2"/>
          <w:numId w:val="89"/>
        </w:numPr>
        <w:rPr>
          <w:rFonts w:ascii="Arial" w:cs="Arial" w:eastAsia="Arial" w:hAnsi="Arial"/>
          <w:sz w:val="20"/>
          <w:szCs w:val="20"/>
          <w:color w:val="auto"/>
        </w:rPr>
      </w:pPr>
      <w:r>
        <w:rPr>
          <w:rFonts w:ascii="Arial" w:cs="Arial" w:eastAsia="Arial" w:hAnsi="Arial"/>
          <w:sz w:val="20"/>
          <w:szCs w:val="20"/>
          <w:color w:val="auto"/>
        </w:rPr>
        <w:t>with respect to the Chairman, President and Chief Executive Officer, the Management Development and Compensation Committee of the Corporation’s Board of Directors;</w:t>
      </w:r>
    </w:p>
    <w:p>
      <w:pPr>
        <w:spacing w:after="0" w:line="167" w:lineRule="exact"/>
        <w:rPr>
          <w:rFonts w:ascii="Arial" w:cs="Arial" w:eastAsia="Arial" w:hAnsi="Arial"/>
          <w:sz w:val="20"/>
          <w:szCs w:val="20"/>
          <w:color w:val="auto"/>
        </w:rPr>
      </w:pPr>
    </w:p>
    <w:p>
      <w:pPr>
        <w:ind w:left="1960" w:right="20" w:hanging="656"/>
        <w:spacing w:after="0" w:line="286" w:lineRule="auto"/>
        <w:tabs>
          <w:tab w:leader="none" w:pos="1854" w:val="left"/>
        </w:tabs>
        <w:numPr>
          <w:ilvl w:val="2"/>
          <w:numId w:val="89"/>
        </w:numPr>
        <w:rPr>
          <w:rFonts w:ascii="Arial" w:cs="Arial" w:eastAsia="Arial" w:hAnsi="Arial"/>
          <w:sz w:val="20"/>
          <w:szCs w:val="20"/>
          <w:color w:val="auto"/>
        </w:rPr>
      </w:pPr>
      <w:r>
        <w:rPr>
          <w:rFonts w:ascii="Arial" w:cs="Arial" w:eastAsia="Arial" w:hAnsi="Arial"/>
          <w:sz w:val="20"/>
          <w:szCs w:val="20"/>
          <w:color w:val="auto"/>
        </w:rPr>
        <w:t>with respect to an Elected Officer (other than the Chairman, President and Chief Executive Officer), the Corporation’s Chief Executive Officer; or</w:t>
      </w:r>
    </w:p>
    <w:p>
      <w:pPr>
        <w:spacing w:after="0" w:line="167" w:lineRule="exact"/>
        <w:rPr>
          <w:rFonts w:ascii="Arial" w:cs="Arial" w:eastAsia="Arial" w:hAnsi="Arial"/>
          <w:sz w:val="20"/>
          <w:szCs w:val="20"/>
          <w:color w:val="auto"/>
        </w:rPr>
      </w:pPr>
    </w:p>
    <w:p>
      <w:pPr>
        <w:ind w:left="1960" w:right="20" w:hanging="656"/>
        <w:spacing w:after="0" w:line="286" w:lineRule="auto"/>
        <w:tabs>
          <w:tab w:leader="none" w:pos="1923" w:val="left"/>
        </w:tabs>
        <w:numPr>
          <w:ilvl w:val="2"/>
          <w:numId w:val="89"/>
        </w:numPr>
        <w:rPr>
          <w:rFonts w:ascii="Arial" w:cs="Arial" w:eastAsia="Arial" w:hAnsi="Arial"/>
          <w:sz w:val="20"/>
          <w:szCs w:val="20"/>
          <w:color w:val="auto"/>
        </w:rPr>
      </w:pPr>
      <w:r>
        <w:rPr>
          <w:rFonts w:ascii="Arial" w:cs="Arial" w:eastAsia="Arial" w:hAnsi="Arial"/>
          <w:sz w:val="20"/>
          <w:szCs w:val="20"/>
          <w:color w:val="auto"/>
        </w:rPr>
        <w:t>with respect to all other employees, the Senior Vice President, Chief Human Resources Officer of the Corporation.</w:t>
      </w:r>
    </w:p>
    <w:p>
      <w:pPr>
        <w:spacing w:after="0" w:line="180" w:lineRule="exact"/>
        <w:rPr>
          <w:rFonts w:ascii="Arial" w:cs="Arial" w:eastAsia="Arial" w:hAnsi="Arial"/>
          <w:sz w:val="20"/>
          <w:szCs w:val="20"/>
          <w:color w:val="auto"/>
        </w:rPr>
      </w:pPr>
    </w:p>
    <w:p>
      <w:pPr>
        <w:jc w:val="both"/>
        <w:ind w:left="660" w:hanging="4"/>
        <w:spacing w:after="0" w:line="250" w:lineRule="auto"/>
        <w:tabs>
          <w:tab w:leader="none" w:pos="1307" w:val="left"/>
        </w:tabs>
        <w:numPr>
          <w:ilvl w:val="1"/>
          <w:numId w:val="89"/>
        </w:numPr>
        <w:rPr>
          <w:rFonts w:ascii="Arial" w:cs="Arial" w:eastAsia="Arial" w:hAnsi="Arial"/>
          <w:sz w:val="20"/>
          <w:szCs w:val="20"/>
          <w:color w:val="auto"/>
        </w:rPr>
      </w:pPr>
      <w:r>
        <w:rPr>
          <w:rFonts w:ascii="Arial" w:cs="Arial" w:eastAsia="Arial" w:hAnsi="Arial"/>
          <w:sz w:val="20"/>
          <w:szCs w:val="20"/>
          <w:color w:val="auto"/>
        </w:rPr>
        <w:t>“Restricted Company” means any business or entity that is engaged in any business activity that is competitive with the business and business activities engaged in by the Corporation in the aerospace and defense industry, including, but not limited to, the following entities: The Boeing Company, General Dynamics Corporation, Northrop Grumman Corporation, Raytheon Technologies Corporation, Honeywell International Inc., BAE Systems Inc., L3Harris Technologies, Inc., Thales S.A., Airbus Group, Inc., Textron Inc., Leonardo S.p.A., Leidos Holdings, Inc., Space Exploration Technologies Corp., Palantir Technologies Inc., GE Aerospace, Anduril Industries, Inc., Shield AI Inc., Sierra Nevada Company and (i) any entity directly or indirectly controlling, controlled by, or under common control with any of the foregoing, and (ii) any successor to all or part of the business of any of the foregoing as a result of a merger, reorganization,</w:t>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consolidation, spin-off, split-up, acquisition, divestiture, or similar transaction, or as a result of a name change.</w:t>
      </w:r>
    </w:p>
    <w:p>
      <w:pPr>
        <w:spacing w:after="0" w:line="243" w:lineRule="exact"/>
        <w:rPr>
          <w:sz w:val="20"/>
          <w:szCs w:val="20"/>
          <w:color w:val="auto"/>
        </w:rPr>
      </w:pPr>
    </w:p>
    <w:p>
      <w:pPr>
        <w:ind w:left="1300" w:hanging="644"/>
        <w:spacing w:after="0"/>
        <w:tabs>
          <w:tab w:leader="none" w:pos="13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“Restricted Period” means:</w:t>
      </w:r>
    </w:p>
    <w:p>
      <w:pPr>
        <w:spacing w:after="0" w:line="256" w:lineRule="exact"/>
        <w:rPr>
          <w:rFonts w:ascii="Arial" w:cs="Arial" w:eastAsia="Arial" w:hAnsi="Arial"/>
          <w:sz w:val="20"/>
          <w:szCs w:val="20"/>
          <w:color w:val="auto"/>
        </w:rPr>
      </w:pPr>
    </w:p>
    <w:p>
      <w:pPr>
        <w:ind w:left="1620" w:right="20" w:hanging="316"/>
        <w:spacing w:after="0" w:line="286" w:lineRule="auto"/>
        <w:tabs>
          <w:tab w:leader="none" w:pos="1607" w:val="left"/>
        </w:tabs>
        <w:numPr>
          <w:ilvl w:val="2"/>
          <w:numId w:val="90"/>
        </w:numPr>
        <w:rPr>
          <w:rFonts w:ascii="Arial" w:cs="Arial" w:eastAsia="Arial" w:hAnsi="Arial"/>
          <w:sz w:val="20"/>
          <w:szCs w:val="20"/>
          <w:color w:val="auto"/>
        </w:rPr>
      </w:pPr>
      <w:r>
        <w:rPr>
          <w:rFonts w:ascii="Arial" w:cs="Arial" w:eastAsia="Arial" w:hAnsi="Arial"/>
          <w:sz w:val="20"/>
          <w:szCs w:val="20"/>
          <w:color w:val="auto"/>
        </w:rPr>
        <w:t>with respect to an employee who is an Elected Officer at any time during the six-month period prior to their Termination Date, the two-year period following the Termination Date; or</w:t>
      </w:r>
    </w:p>
    <w:p>
      <w:pPr>
        <w:spacing w:after="0" w:line="167" w:lineRule="exact"/>
        <w:rPr>
          <w:rFonts w:ascii="Arial" w:cs="Arial" w:eastAsia="Arial" w:hAnsi="Arial"/>
          <w:sz w:val="20"/>
          <w:szCs w:val="20"/>
          <w:color w:val="auto"/>
        </w:rPr>
      </w:pPr>
    </w:p>
    <w:p>
      <w:pPr>
        <w:ind w:left="1620" w:hanging="316"/>
        <w:spacing w:after="0"/>
        <w:tabs>
          <w:tab w:leader="none" w:pos="1620" w:val="left"/>
        </w:tabs>
        <w:numPr>
          <w:ilvl w:val="2"/>
          <w:numId w:val="90"/>
        </w:numPr>
        <w:rPr>
          <w:rFonts w:ascii="Arial" w:cs="Arial" w:eastAsia="Arial" w:hAnsi="Arial"/>
          <w:sz w:val="20"/>
          <w:szCs w:val="20"/>
          <w:color w:val="auto"/>
        </w:rPr>
      </w:pPr>
      <w:r>
        <w:rPr>
          <w:rFonts w:ascii="Arial" w:cs="Arial" w:eastAsia="Arial" w:hAnsi="Arial"/>
          <w:sz w:val="20"/>
          <w:szCs w:val="20"/>
          <w:color w:val="auto"/>
        </w:rPr>
        <w:t>with respect to all other employees, the one-year period following the Termination Date.</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“Termination Date” means my last day of employment with the Corporation.</w:t>
      </w:r>
    </w:p>
    <w:p>
      <w:pPr>
        <w:spacing w:after="0" w:line="242" w:lineRule="exact"/>
        <w:rPr>
          <w:rFonts w:ascii="Arial" w:cs="Arial" w:eastAsia="Arial" w:hAnsi="Arial"/>
          <w:sz w:val="20"/>
          <w:szCs w:val="20"/>
          <w:color w:val="auto"/>
        </w:rPr>
      </w:pPr>
    </w:p>
    <w:p>
      <w:pPr>
        <w:ind w:left="640" w:hanging="632"/>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firstLine="656"/>
        <w:spacing w:after="0" w:line="286" w:lineRule="auto"/>
        <w:tabs>
          <w:tab w:leader="none" w:pos="1295"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Plan, the Award Agreement (with Exhibit B) and this PECA constitute the entire agreement governing the terms of the award of the PSUs to me.</w:t>
      </w:r>
    </w:p>
    <w:p>
      <w:pPr>
        <w:spacing w:after="0" w:line="167" w:lineRule="exact"/>
        <w:rPr>
          <w:rFonts w:ascii="Arial" w:cs="Arial" w:eastAsia="Arial" w:hAnsi="Arial"/>
          <w:sz w:val="20"/>
          <w:szCs w:val="20"/>
          <w:color w:val="auto"/>
        </w:rPr>
      </w:pPr>
    </w:p>
    <w:p>
      <w:pPr>
        <w:jc w:val="both"/>
        <w:ind w:firstLine="656"/>
        <w:spacing w:after="0" w:line="252" w:lineRule="auto"/>
        <w:tabs>
          <w:tab w:leader="none" w:pos="1295"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This PECA shall be governed by Maryland law, without regard to its provisions governing conflicts of law. Any enforcement of, or challenge to, this PECA may only be brought in the United States District Court for the District of Maryland, unless it is determined that such court does not have subject matter jurisdiction, in which case any such enforcement or challenge must be brought in the Circuit Court of Montgomery County in the State of Maryland. Both parties consent to the proper jurisdiction and venue of such court, as applicable, for the purpose of enforcing or challenging this PECA. For residents of California, Massachusetts (Section 1(a) only), Minnesota (Section 1(a) only), Washington and Wisconsin, or if otherwise provided in an applicable Addenda, this Section 7(b) shall not apply; instead, the parties agree that the law of the state in which I am domiciled at the time of acceptance shall govern the interpretation, application, and enforcement of this PECA, without regard to any choice of law rules of that or any other state, and that the exclusive venue shall be the state or federal courts sitting in or covering the county where I am domiciled at the time of acceptance.</w:t>
      </w:r>
    </w:p>
    <w:p>
      <w:pPr>
        <w:spacing w:after="0" w:line="204" w:lineRule="exact"/>
        <w:rPr>
          <w:rFonts w:ascii="Arial" w:cs="Arial" w:eastAsia="Arial" w:hAnsi="Arial"/>
          <w:sz w:val="20"/>
          <w:szCs w:val="20"/>
          <w:color w:val="auto"/>
        </w:rPr>
      </w:pPr>
    </w:p>
    <w:p>
      <w:pPr>
        <w:ind w:right="20" w:firstLine="656"/>
        <w:spacing w:after="0" w:line="286" w:lineRule="auto"/>
        <w:tabs>
          <w:tab w:leader="none" w:pos="1284"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This PECA shall inure to the benefit of the Corporation’s successors and assigns and may be assigned by the Corporation without my consent.</w:t>
      </w:r>
    </w:p>
    <w:p>
      <w:pPr>
        <w:spacing w:after="0" w:line="167" w:lineRule="exact"/>
        <w:rPr>
          <w:rFonts w:ascii="Arial" w:cs="Arial" w:eastAsia="Arial" w:hAnsi="Arial"/>
          <w:sz w:val="20"/>
          <w:szCs w:val="20"/>
          <w:color w:val="auto"/>
        </w:rPr>
      </w:pPr>
    </w:p>
    <w:p>
      <w:pPr>
        <w:jc w:val="both"/>
        <w:ind w:firstLine="656"/>
        <w:spacing w:after="0" w:line="259" w:lineRule="auto"/>
        <w:tabs>
          <w:tab w:leader="none" w:pos="1295"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This PECA provides for certain obligations on my part following the Termination Date and shall not, by implication or otherwise, affect in any way my obligations to the Corporation during the term of my employment by the Corporation, whether pursuant to written agreements between the Corporation and me, the provisions of applicable Corporate policies that may be adopted from time to time or applicable law or regulation.</w:t>
      </w:r>
    </w:p>
    <w:p>
      <w:pPr>
        <w:spacing w:after="0" w:line="208" w:lineRule="exact"/>
        <w:rPr>
          <w:rFonts w:ascii="Arial" w:cs="Arial" w:eastAsia="Arial" w:hAnsi="Arial"/>
          <w:sz w:val="20"/>
          <w:szCs w:val="20"/>
          <w:color w:val="auto"/>
        </w:rPr>
      </w:pPr>
    </w:p>
    <w:p>
      <w:pPr>
        <w:jc w:val="both"/>
        <w:ind w:firstLine="656"/>
        <w:spacing w:after="0" w:line="255" w:lineRule="auto"/>
        <w:tabs>
          <w:tab w:leader="none" w:pos="1295"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restrictive covenants and other terms in this PECA are to be read consistent with the terms of any other restrictive covenants or other agreements that I have executed with the Corporation; provided, however, to the extent there is a conflict between/among such agreements, such agreements shall be construed as providing the broadest possible protections to the Corporation, even if such construction would require provisions of more than one such agreement to be given effect.</w:t>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56"/>
        <w:spacing w:after="0" w:line="262" w:lineRule="auto"/>
        <w:tabs>
          <w:tab w:leader="none" w:pos="1294"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obligations I have undertaken in this PECA shall survive the Termination Date and no dispute regarding any other provisions of this PECA or regarding my employment or the termination of my employment shall prevent the operation and enforcement of these obligations.</w:t>
      </w:r>
    </w:p>
    <w:p>
      <w:pPr>
        <w:spacing w:after="0" w:line="205" w:lineRule="exact"/>
        <w:rPr>
          <w:rFonts w:ascii="Arial" w:cs="Arial" w:eastAsia="Arial" w:hAnsi="Arial"/>
          <w:sz w:val="20"/>
          <w:szCs w:val="20"/>
          <w:color w:val="auto"/>
        </w:rPr>
      </w:pPr>
    </w:p>
    <w:p>
      <w:pPr>
        <w:jc w:val="both"/>
        <w:ind w:firstLine="656"/>
        <w:spacing w:after="0" w:line="255" w:lineRule="auto"/>
        <w:tabs>
          <w:tab w:leader="none" w:pos="1295" w:val="left"/>
        </w:tabs>
        <w:numPr>
          <w:ilvl w:val="0"/>
          <w:numId w:val="92"/>
        </w:numPr>
        <w:rPr>
          <w:rFonts w:ascii="Arial" w:cs="Arial" w:eastAsia="Arial" w:hAnsi="Arial"/>
          <w:sz w:val="20"/>
          <w:szCs w:val="20"/>
          <w:color w:val="auto"/>
        </w:rPr>
      </w:pPr>
      <w:r>
        <w:rPr>
          <w:rFonts w:ascii="Arial" w:cs="Arial" w:eastAsia="Arial" w:hAnsi="Arial"/>
          <w:sz w:val="20"/>
          <w:szCs w:val="20"/>
          <w:color w:val="auto"/>
        </w:rPr>
        <w:t>I acknowledge and agree that different provisions than those set forth in this PECA, including with respect to the restrictive covenant obligations, may apply to me if I primarily reside or work in certain jurisdictions. While I primarily reside or work in such a jurisdiction, including on the Termination Date, I agree that the provisions within this PECA shall be superseded only as set forth in the applicable Addendum attached hereto or as explicitly noted within the PECA.</w:t>
      </w:r>
    </w:p>
    <w:p>
      <w:pPr>
        <w:spacing w:after="0" w:line="209" w:lineRule="exact"/>
        <w:rPr>
          <w:sz w:val="20"/>
          <w:szCs w:val="20"/>
          <w:color w:val="auto"/>
        </w:rPr>
      </w:pPr>
    </w:p>
    <w:p>
      <w:pPr>
        <w:jc w:val="center"/>
        <w:spacing w:after="0" w:line="298" w:lineRule="auto"/>
        <w:rPr>
          <w:sz w:val="20"/>
          <w:szCs w:val="20"/>
          <w:color w:val="auto"/>
        </w:rPr>
      </w:pPr>
      <w:r>
        <w:rPr>
          <w:rFonts w:ascii="Arial" w:cs="Arial" w:eastAsia="Arial" w:hAnsi="Arial"/>
          <w:sz w:val="20"/>
          <w:szCs w:val="20"/>
          <w:b w:val="1"/>
          <w:bCs w:val="1"/>
          <w:color w:val="auto"/>
        </w:rPr>
        <w:t>This PECA is effective as of the acceptance by me of the award of PSUs under the Award Agreement and is not contingent on the vesting of my PSU Award.</w:t>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COLORADO ADDENDUM TO POST-EMPLOYMENT CONDUCT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Restrictive Covenant to Colorado Employees</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This notice is to advise you that the Corporation is, contemporaneously with this notice, providing you with a Post-Employment Conduct Agreement (the “PECA”) containing covenants that could restrict your options for subsequent employment following separation from the Corporation, in that you will be prohibited from certain competition and solicitation of customers, employees, etc., as described in Section 1 of the PECA (and as modified by this Colorado Addendum) and from disclosing or using Confidential Information as described in Section 1 of the PECA (and as modified by this Colorado Addendum).</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You acknowledge that this notice was provided to you at least fourteen (14) days before the earlier of your Termination Date, as defined in the PECA, or the effective date of the consideration provided to you for such covenant. By electronically signing the Award Agreement, you expressly acknowledge and agree that you are deemed to have separately signed this notice.</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The provisions of this Colorado Addendum apply only to those employees of the Corporation who primarily work or reside in the State of Colorado.</w:t>
      </w:r>
    </w:p>
    <w:p>
      <w:pPr>
        <w:spacing w:after="0" w:line="179" w:lineRule="exact"/>
        <w:rPr>
          <w:sz w:val="20"/>
          <w:szCs w:val="20"/>
          <w:color w:val="auto"/>
        </w:rPr>
      </w:pPr>
    </w:p>
    <w:p>
      <w:pPr>
        <w:ind w:left="640" w:hanging="308"/>
        <w:spacing w:after="0"/>
        <w:tabs>
          <w:tab w:leader="none" w:pos="640" w:val="left"/>
        </w:tabs>
        <w:numPr>
          <w:ilvl w:val="0"/>
          <w:numId w:val="93"/>
        </w:numPr>
        <w:rPr>
          <w:rFonts w:ascii="Arial" w:cs="Arial" w:eastAsia="Arial" w:hAnsi="Arial"/>
          <w:sz w:val="20"/>
          <w:szCs w:val="20"/>
          <w:b w:val="1"/>
          <w:bCs w:val="1"/>
          <w:color w:val="auto"/>
        </w:rPr>
      </w:pPr>
      <w:r>
        <w:rPr>
          <w:rFonts w:ascii="Arial" w:cs="Arial" w:eastAsia="Arial" w:hAnsi="Arial"/>
          <w:sz w:val="20"/>
          <w:szCs w:val="20"/>
          <w:color w:val="auto"/>
        </w:rPr>
        <w:t>The following is added to the end of Section 1(a) of the PECA “</w:t>
      </w:r>
      <w:r>
        <w:rPr>
          <w:rFonts w:ascii="Arial" w:cs="Arial" w:eastAsia="Arial" w:hAnsi="Arial"/>
          <w:sz w:val="20"/>
          <w:szCs w:val="20"/>
          <w:b w:val="1"/>
          <w:bCs w:val="1"/>
          <w:color w:val="auto"/>
        </w:rPr>
        <w:t>Covenant Not to Compete</w:t>
      </w:r>
      <w:r>
        <w:rPr>
          <w:rFonts w:ascii="Arial" w:cs="Arial" w:eastAsia="Arial" w:hAnsi="Arial"/>
          <w:sz w:val="20"/>
          <w:szCs w:val="20"/>
          <w:color w:val="auto"/>
        </w:rPr>
        <w:t>”:</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restrictions described in Section 1(a) are intended to cover geographic territory where your knowledge of the Corporation’s trade secrets could be used by a Restricted Company to unfairly compete with or undermine the Corporation’s legitimate business interests.</w:t>
      </w:r>
    </w:p>
    <w:p>
      <w:pPr>
        <w:spacing w:after="0" w:line="176" w:lineRule="exact"/>
        <w:rPr>
          <w:sz w:val="20"/>
          <w:szCs w:val="20"/>
          <w:color w:val="auto"/>
        </w:rPr>
      </w:pPr>
    </w:p>
    <w:p>
      <w:pPr>
        <w:ind w:left="660" w:hanging="328"/>
        <w:spacing w:after="0" w:line="288" w:lineRule="auto"/>
        <w:tabs>
          <w:tab w:leader="none" w:pos="649"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The language in Section 1 of the PECA “</w:t>
      </w:r>
      <w:r>
        <w:rPr>
          <w:rFonts w:ascii="Arial" w:cs="Arial" w:eastAsia="Arial" w:hAnsi="Arial"/>
          <w:sz w:val="20"/>
          <w:szCs w:val="20"/>
          <w:b w:val="1"/>
          <w:bCs w:val="1"/>
          <w:color w:val="auto"/>
        </w:rPr>
        <w:t>Restrictions Following Termination of Employment</w:t>
      </w:r>
      <w:r>
        <w:rPr>
          <w:rFonts w:ascii="Arial" w:cs="Arial" w:eastAsia="Arial" w:hAnsi="Arial"/>
          <w:sz w:val="20"/>
          <w:szCs w:val="20"/>
          <w:color w:val="auto"/>
        </w:rPr>
        <w:t>” is modified by adding the following:</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restrictions related to competitive activities in Section 1(a) only apply to the extent I earn, both at the time this PECA is entered into and at the time the Corporation enforces it, an amount of annualized cash compensation equivalent to or greater than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Corporation. As of January 1, 2026, that threshold is $130,014.</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restrictions related to solicitation activities in Section 1(b)(i) only apply to the extent I earn, both at the time this PECA is entered into and at the time the Corporation enforces it, an amount of annualized cash compensation equivalent to or greater than 60% of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Corporation. As of January 1, 2026, that threshold is $78,008.40.</w:t>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308"/>
        <w:spacing w:after="0"/>
        <w:tabs>
          <w:tab w:leader="none" w:pos="640"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The language in Section 2 of the PECA “</w:t>
      </w:r>
      <w:r>
        <w:rPr>
          <w:rFonts w:ascii="Arial" w:cs="Arial" w:eastAsia="Arial" w:hAnsi="Arial"/>
          <w:sz w:val="20"/>
          <w:szCs w:val="20"/>
          <w:b w:val="1"/>
          <w:bCs w:val="1"/>
          <w:color w:val="auto"/>
        </w:rPr>
        <w:t>Consideration and Acknowledgement</w:t>
      </w:r>
      <w:r>
        <w:rPr>
          <w:rFonts w:ascii="Arial" w:cs="Arial" w:eastAsia="Arial" w:hAnsi="Arial"/>
          <w:sz w:val="20"/>
          <w:szCs w:val="20"/>
          <w:color w:val="auto"/>
        </w:rPr>
        <w:t>” is modified by adding the following:</w:t>
      </w:r>
    </w:p>
    <w:p>
      <w:pPr>
        <w:spacing w:after="0" w:line="2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 acknowledge and agree that the restrictions in this PECA are reasonable and shall not prohibit the disclosure of information arising from my general training, knowledge, skill, or experience, whether gained on the job or otherwise, information readily ascertainable to the public, and/or information an employee has a right to disclose as legally protected conduct.</w:t>
      </w:r>
    </w:p>
    <w:p>
      <w:pPr>
        <w:spacing w:after="0" w:line="139"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The language in Section 7(b) of the PECA is modified by adding the following: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 understand that if I primarily reside or work in the State of Colorado at the time my employment with the Corporation is terminated, the PECA will be subject to the laws and courts of the State of Colorado. During this period, venue shall be the State and Federal courts sitting in Colorado and the parties waive any defense, whether asserted by motion or pleading, that the venue specified by this Addendum is an improper or inconvenient venue.</w:t>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Award Date: February 25, 2026</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Page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DISTRICT OF COLUMBIA ADDENDUM TO POST-EMPLOYMENT CONDUCT AGREEMENT</w:t>
      </w:r>
    </w:p>
    <w:p>
      <w:pPr>
        <w:spacing w:after="0" w:line="245" w:lineRule="exact"/>
        <w:rPr>
          <w:sz w:val="20"/>
          <w:szCs w:val="20"/>
          <w:color w:val="auto"/>
        </w:rPr>
      </w:pPr>
    </w:p>
    <w:p>
      <w:pPr>
        <w:ind w:right="340" w:firstLine="648"/>
        <w:spacing w:after="0" w:line="274" w:lineRule="auto"/>
        <w:rPr>
          <w:sz w:val="20"/>
          <w:szCs w:val="20"/>
          <w:color w:val="auto"/>
        </w:rPr>
      </w:pPr>
      <w:r>
        <w:rPr>
          <w:rFonts w:ascii="Arial" w:cs="Arial" w:eastAsia="Arial" w:hAnsi="Arial"/>
          <w:sz w:val="19"/>
          <w:szCs w:val="19"/>
          <w:color w:val="auto"/>
        </w:rPr>
        <w:t>The District of Columbia’s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Corporation has determined that you are a highly compensated employee. For more information about the Ban on Non-Compete Agreements Amendment Act of 2020, contact the District of Columbia Department of Employment Services (DOES).</w:t>
      </w:r>
    </w:p>
    <w:p>
      <w:pPr>
        <w:spacing w:after="0" w:line="184" w:lineRule="exact"/>
        <w:rPr>
          <w:sz w:val="20"/>
          <w:szCs w:val="20"/>
          <w:color w:val="auto"/>
        </w:rPr>
      </w:pPr>
    </w:p>
    <w:p>
      <w:pPr>
        <w:ind w:right="80" w:firstLine="648"/>
        <w:spacing w:after="0" w:line="258" w:lineRule="auto"/>
        <w:rPr>
          <w:sz w:val="20"/>
          <w:szCs w:val="20"/>
          <w:color w:val="auto"/>
        </w:rPr>
      </w:pPr>
      <w:r>
        <w:rPr>
          <w:rFonts w:ascii="Arial" w:cs="Arial" w:eastAsia="Arial" w:hAnsi="Arial"/>
          <w:sz w:val="20"/>
          <w:szCs w:val="20"/>
          <w:color w:val="auto"/>
        </w:rPr>
        <w:t>The Corporation is, contemporaneously with this notice, providing you with a Post-Employment Conduct Agreement (the “PECA”) containing covenants that could restrict your options for subsequent employment following separation from the Corporation, in that you will be prohibited from certain competition and solicitation of customers, employees, etc., as described in Section 1 of the PECA. The provisions of this District of Columbia Addendum apply only to those employees of the Corporation who primarily work in the District of Columbia and are as follows.</w:t>
      </w:r>
    </w:p>
    <w:p>
      <w:pPr>
        <w:spacing w:after="0" w:line="195" w:lineRule="exact"/>
        <w:rPr>
          <w:sz w:val="20"/>
          <w:szCs w:val="20"/>
          <w:color w:val="auto"/>
        </w:rPr>
      </w:pPr>
    </w:p>
    <w:p>
      <w:pPr>
        <w:jc w:val="both"/>
        <w:ind w:firstLine="8"/>
        <w:spacing w:after="0" w:line="269" w:lineRule="auto"/>
        <w:tabs>
          <w:tab w:leader="none" w:pos="313" w:val="left"/>
        </w:tabs>
        <w:numPr>
          <w:ilvl w:val="0"/>
          <w:numId w:val="97"/>
        </w:numPr>
        <w:rPr>
          <w:rFonts w:ascii="Arial" w:cs="Arial" w:eastAsia="Arial" w:hAnsi="Arial"/>
          <w:sz w:val="20"/>
          <w:szCs w:val="20"/>
          <w:b w:val="1"/>
          <w:bCs w:val="1"/>
          <w:color w:val="auto"/>
        </w:rPr>
      </w:pPr>
      <w:r>
        <w:rPr>
          <w:rFonts w:ascii="Arial" w:cs="Arial" w:eastAsia="Arial" w:hAnsi="Arial"/>
          <w:sz w:val="20"/>
          <w:szCs w:val="20"/>
          <w:color w:val="auto"/>
        </w:rPr>
        <w:t>For Elected Officers, and regarding the non-competition obligation in Section 1(a) of the PECA only, the definition of “</w:t>
      </w:r>
      <w:r>
        <w:rPr>
          <w:rFonts w:ascii="Arial" w:cs="Arial" w:eastAsia="Arial" w:hAnsi="Arial"/>
          <w:sz w:val="20"/>
          <w:szCs w:val="20"/>
          <w:b w:val="1"/>
          <w:bCs w:val="1"/>
          <w:color w:val="auto"/>
        </w:rPr>
        <w:t>Restricted Period</w:t>
      </w:r>
      <w:r>
        <w:rPr>
          <w:rFonts w:ascii="Arial" w:cs="Arial" w:eastAsia="Arial" w:hAnsi="Arial"/>
          <w:sz w:val="20"/>
          <w:szCs w:val="20"/>
          <w:color w:val="auto"/>
        </w:rPr>
        <w:t>” is modified by reducing the period from two-years after the Termination Date to one year after the Termination Date.</w:t>
      </w:r>
    </w:p>
    <w:p>
      <w:pPr>
        <w:spacing w:after="0" w:line="183" w:lineRule="exact"/>
        <w:rPr>
          <w:rFonts w:ascii="Arial" w:cs="Arial" w:eastAsia="Arial" w:hAnsi="Arial"/>
          <w:sz w:val="20"/>
          <w:szCs w:val="20"/>
          <w:b w:val="1"/>
          <w:bCs w:val="1"/>
          <w:color w:val="auto"/>
        </w:rPr>
      </w:pPr>
    </w:p>
    <w:p>
      <w:pPr>
        <w:ind w:left="640" w:hanging="308"/>
        <w:spacing w:after="0"/>
        <w:tabs>
          <w:tab w:leader="none" w:pos="640"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The following is added to the end of Section 1(a) of the PECA “</w:t>
      </w:r>
      <w:r>
        <w:rPr>
          <w:rFonts w:ascii="Arial" w:cs="Arial" w:eastAsia="Arial" w:hAnsi="Arial"/>
          <w:sz w:val="20"/>
          <w:szCs w:val="20"/>
          <w:b w:val="1"/>
          <w:bCs w:val="1"/>
          <w:color w:val="auto"/>
        </w:rPr>
        <w:t>Covenant Not to Compete</w:t>
      </w:r>
      <w:r>
        <w:rPr>
          <w:rFonts w:ascii="Arial" w:cs="Arial" w:eastAsia="Arial" w:hAnsi="Arial"/>
          <w:sz w:val="20"/>
          <w:szCs w:val="20"/>
          <w:color w:val="auto"/>
        </w:rPr>
        <w:t>”:</w:t>
      </w:r>
    </w:p>
    <w:p>
      <w:pPr>
        <w:spacing w:after="0" w:line="258" w:lineRule="exact"/>
        <w:rPr>
          <w:sz w:val="20"/>
          <w:szCs w:val="20"/>
          <w:color w:val="auto"/>
        </w:rPr>
      </w:pPr>
    </w:p>
    <w:p>
      <w:pPr>
        <w:jc w:val="both"/>
        <w:ind w:right="660" w:firstLine="648"/>
        <w:spacing w:after="0" w:line="252" w:lineRule="auto"/>
        <w:rPr>
          <w:sz w:val="20"/>
          <w:szCs w:val="20"/>
          <w:color w:val="auto"/>
        </w:rPr>
      </w:pPr>
      <w:r>
        <w:rPr>
          <w:rFonts w:ascii="Arial" w:cs="Arial" w:eastAsia="Arial" w:hAnsi="Arial"/>
          <w:sz w:val="20"/>
          <w:szCs w:val="20"/>
          <w:color w:val="auto"/>
        </w:rPr>
        <w:t>I understand that the non-competition obligations under Section 1(a) shall apply to me if I am a “highly compensated employee.” A “highly compensated employee” for this purpose is someone who is reasonably expected to earn at least $162,164 (in 2026) during a consecutive 12-month period or whose compensation earned from the Corporation in the consecutive 12-month period preceding the date the proposed non-competition is to begin is at least $162,164 (in 2026). The dollar threshold for highly compensated employee status will be adjusted each calendar year based on increases in the Consumer Price Index. Compensation includes the individual’s hourly wages, salary, bonuses or cash incentives, commissions, overtime premiums, vested stocked (including restricted stock units), and other payments provided on a regular or irregular basis.</w:t>
      </w:r>
    </w:p>
    <w:p>
      <w:pPr>
        <w:spacing w:after="0" w:line="215" w:lineRule="exact"/>
        <w:rPr>
          <w:sz w:val="20"/>
          <w:szCs w:val="20"/>
          <w:color w:val="auto"/>
        </w:rPr>
      </w:pPr>
    </w:p>
    <w:p>
      <w:pPr>
        <w:jc w:val="both"/>
        <w:ind w:right="640" w:firstLine="648"/>
        <w:spacing w:after="0" w:line="262" w:lineRule="auto"/>
        <w:rPr>
          <w:sz w:val="20"/>
          <w:szCs w:val="20"/>
          <w:color w:val="auto"/>
        </w:rPr>
      </w:pPr>
      <w:r>
        <w:rPr>
          <w:rFonts w:ascii="Arial" w:cs="Arial" w:eastAsia="Arial" w:hAnsi="Arial"/>
          <w:sz w:val="20"/>
          <w:szCs w:val="20"/>
          <w:color w:val="auto"/>
        </w:rPr>
        <w:t>The restrictions described in Section 1(a) are intended to cover geographic territory where my knowledge of the Corporation’s trade secrets could be used by a Restricted Company to unfairly compete with or undermine the Corporation’s legitimate business interests.</w:t>
      </w:r>
    </w:p>
    <w:p>
      <w:pPr>
        <w:spacing w:after="0" w:line="190" w:lineRule="exact"/>
        <w:rPr>
          <w:sz w:val="20"/>
          <w:szCs w:val="20"/>
          <w:color w:val="auto"/>
        </w:rPr>
      </w:pPr>
    </w:p>
    <w:p>
      <w:pPr>
        <w:ind w:left="640" w:hanging="308"/>
        <w:spacing w:after="0"/>
        <w:tabs>
          <w:tab w:leader="none" w:pos="640" w:val="left"/>
        </w:tabs>
        <w:numPr>
          <w:ilvl w:val="0"/>
          <w:numId w:val="98"/>
        </w:numPr>
        <w:rPr>
          <w:rFonts w:ascii="Arial" w:cs="Arial" w:eastAsia="Arial" w:hAnsi="Arial"/>
          <w:sz w:val="20"/>
          <w:szCs w:val="20"/>
          <w:b w:val="1"/>
          <w:bCs w:val="1"/>
          <w:color w:val="auto"/>
        </w:rPr>
      </w:pPr>
      <w:r>
        <w:rPr>
          <w:rFonts w:ascii="Arial" w:cs="Arial" w:eastAsia="Arial" w:hAnsi="Arial"/>
          <w:sz w:val="20"/>
          <w:szCs w:val="20"/>
          <w:color w:val="auto"/>
        </w:rPr>
        <w:t>A new Section “</w:t>
      </w:r>
      <w:r>
        <w:rPr>
          <w:rFonts w:ascii="Arial" w:cs="Arial" w:eastAsia="Arial" w:hAnsi="Arial"/>
          <w:sz w:val="20"/>
          <w:szCs w:val="20"/>
          <w:b w:val="1"/>
          <w:bCs w:val="1"/>
          <w:color w:val="auto"/>
        </w:rPr>
        <w:t>Notice</w:t>
      </w:r>
      <w:r>
        <w:rPr>
          <w:rFonts w:ascii="Arial" w:cs="Arial" w:eastAsia="Arial" w:hAnsi="Arial"/>
          <w:sz w:val="20"/>
          <w:szCs w:val="20"/>
          <w:color w:val="auto"/>
        </w:rPr>
        <w:t>” is added to the end of the PECA, reading as follows:</w:t>
      </w:r>
    </w:p>
    <w:p>
      <w:pPr>
        <w:spacing w:after="0" w:line="258" w:lineRule="exact"/>
        <w:rPr>
          <w:sz w:val="20"/>
          <w:szCs w:val="20"/>
          <w:color w:val="auto"/>
        </w:rPr>
      </w:pPr>
    </w:p>
    <w:p>
      <w:pPr>
        <w:ind w:right="660" w:firstLine="648"/>
        <w:spacing w:after="0" w:line="286" w:lineRule="auto"/>
        <w:rPr>
          <w:sz w:val="20"/>
          <w:szCs w:val="20"/>
          <w:color w:val="auto"/>
        </w:rPr>
      </w:pPr>
      <w:r>
        <w:rPr>
          <w:rFonts w:ascii="Arial" w:cs="Arial" w:eastAsia="Arial" w:hAnsi="Arial"/>
          <w:sz w:val="20"/>
          <w:szCs w:val="20"/>
          <w:color w:val="auto"/>
        </w:rPr>
        <w:t>I agree that before being required to sign this PECA, the Corporation provided written notice to me that I had at least fourteen (14) calendar days to review the non-competition provision in the PECA before I must execute the PECA.</w:t>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Award Date: February 25,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Page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Stock Ownership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Lockheed Martin’s Stock Ownership Requirements for Key Employees apply to all senior level positions of Vice President and above. This reflects the expectations of our major stockholders that management demonstrate its confidence in Lockheed Martin through a reasonable level of personal share ownership. This practice is consistent with other major U.S. corporations which link some portion of personal financial interests of key employees with those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Requirements</w:t>
      </w:r>
    </w:p>
    <w:p>
      <w:pPr>
        <w:spacing w:after="0" w:line="287" w:lineRule="exact"/>
        <w:rPr>
          <w:sz w:val="20"/>
          <w:szCs w:val="20"/>
          <w:color w:val="auto"/>
        </w:rPr>
      </w:pPr>
    </w:p>
    <w:tbl>
      <w:tblPr>
        <w:tblLayout w:type="fixed"/>
        <w:tblInd w:w="170" w:type="dxa"/>
        <w:tblCellMar>
          <w:top w:w="0" w:type="dxa"/>
          <w:left w:w="0" w:type="dxa"/>
          <w:bottom w:w="0" w:type="dxa"/>
          <w:right w:w="0" w:type="dxa"/>
        </w:tblCellMar>
      </w:tblPr>
      <w:tr>
        <w:trPr>
          <w:trHeight w:val="270"/>
        </w:trPr>
        <w:tc>
          <w:tcPr>
            <w:tcW w:w="6140" w:type="dxa"/>
            <w:vAlign w:val="bottom"/>
            <w:tcBorders>
              <w:top w:val="single" w:sz="8" w:color="auto"/>
              <w:left w:val="single" w:sz="8" w:color="auto"/>
              <w:bottom w:val="single" w:sz="8" w:color="auto"/>
              <w:right w:val="single" w:sz="8" w:color="auto"/>
            </w:tcBorders>
          </w:tcPr>
          <w:p>
            <w:pPr>
              <w:ind w:left="2880"/>
              <w:spacing w:after="0"/>
              <w:rPr>
                <w:sz w:val="20"/>
                <w:szCs w:val="20"/>
                <w:color w:val="auto"/>
              </w:rPr>
            </w:pPr>
            <w:r>
              <w:rPr>
                <w:rFonts w:ascii="Arial" w:cs="Arial" w:eastAsia="Arial" w:hAnsi="Arial"/>
                <w:sz w:val="20"/>
                <w:szCs w:val="20"/>
                <w:color w:val="auto"/>
              </w:rPr>
              <w:t>Title</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Annual Base Pay Multiple</w:t>
            </w:r>
          </w:p>
        </w:tc>
      </w:tr>
      <w:tr>
        <w:trPr>
          <w:trHeight w:val="250"/>
        </w:trPr>
        <w:tc>
          <w:tcPr>
            <w:tcW w:w="6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Chairman, President and Chief Executive Officer</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 times</w:t>
            </w:r>
          </w:p>
        </w:tc>
      </w:tr>
      <w:tr>
        <w:trPr>
          <w:trHeight w:val="250"/>
        </w:trPr>
        <w:tc>
          <w:tcPr>
            <w:tcW w:w="6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Chief Operating Officer; Chief Financial Officer</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 times</w:t>
            </w:r>
          </w:p>
        </w:tc>
      </w:tr>
      <w:tr>
        <w:trPr>
          <w:trHeight w:val="250"/>
        </w:trPr>
        <w:tc>
          <w:tcPr>
            <w:tcW w:w="6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Business Area Presidents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 times</w:t>
            </w:r>
          </w:p>
        </w:tc>
      </w:tr>
      <w:tr>
        <w:trPr>
          <w:trHeight w:val="250"/>
        </w:trPr>
        <w:tc>
          <w:tcPr>
            <w:tcW w:w="6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Senior Vice Presidents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 times</w:t>
            </w:r>
          </w:p>
        </w:tc>
      </w:tr>
      <w:tr>
        <w:trPr>
          <w:trHeight w:val="250"/>
        </w:trPr>
        <w:tc>
          <w:tcPr>
            <w:tcW w:w="6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Other Elected Officers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 times</w:t>
            </w:r>
          </w:p>
        </w:tc>
      </w:tr>
      <w:tr>
        <w:trPr>
          <w:trHeight w:val="250"/>
        </w:trPr>
        <w:tc>
          <w:tcPr>
            <w:tcW w:w="6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Other Vice Presidents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 times</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Satisfaction of Requirements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Covered employees may satisfy their ownership requirements with common stock in these categories:</w:t>
      </w:r>
    </w:p>
    <w:p>
      <w:pPr>
        <w:spacing w:after="0" w:line="256" w:lineRule="exact"/>
        <w:rPr>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20"/>
          <w:szCs w:val="20"/>
          <w:color w:val="auto"/>
        </w:rPr>
      </w:pPr>
      <w:r>
        <w:rPr>
          <w:rFonts w:ascii="Arial" w:cs="Arial" w:eastAsia="Arial" w:hAnsi="Arial"/>
          <w:sz w:val="20"/>
          <w:szCs w:val="20"/>
          <w:color w:val="auto"/>
        </w:rPr>
        <w:t>Shares owned directly.</w:t>
      </w:r>
    </w:p>
    <w:p>
      <w:pPr>
        <w:spacing w:after="0" w:line="1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20"/>
          <w:szCs w:val="20"/>
          <w:color w:val="auto"/>
        </w:rPr>
      </w:pPr>
      <w:r>
        <w:rPr>
          <w:rFonts w:ascii="Arial" w:cs="Arial" w:eastAsia="Arial" w:hAnsi="Arial"/>
          <w:sz w:val="20"/>
          <w:szCs w:val="20"/>
          <w:color w:val="auto"/>
        </w:rPr>
        <w:t>Shares owned by a spouse or a trust.</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20"/>
          <w:szCs w:val="20"/>
          <w:color w:val="auto"/>
        </w:rPr>
      </w:pPr>
      <w:r>
        <w:rPr>
          <w:rFonts w:ascii="Arial" w:cs="Arial" w:eastAsia="Arial" w:hAnsi="Arial"/>
          <w:sz w:val="20"/>
          <w:szCs w:val="20"/>
          <w:color w:val="auto"/>
        </w:rPr>
        <w:t>Shares represented by monies invested in 401(k) Company Common Stock Funds or comparable plans.</w:t>
      </w:r>
    </w:p>
    <w:p>
      <w:pPr>
        <w:spacing w:after="0" w:line="12"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99"/>
        </w:numPr>
        <w:rPr>
          <w:rFonts w:ascii="Times New Roman" w:cs="Times New Roman" w:eastAsia="Times New Roman" w:hAnsi="Times New Roman"/>
          <w:sz w:val="20"/>
          <w:szCs w:val="20"/>
          <w:color w:val="auto"/>
        </w:rPr>
      </w:pPr>
      <w:r>
        <w:rPr>
          <w:rFonts w:ascii="Arial" w:cs="Arial" w:eastAsia="Arial" w:hAnsi="Arial"/>
          <w:sz w:val="20"/>
          <w:szCs w:val="20"/>
          <w:color w:val="auto"/>
        </w:rPr>
        <w:t>Share equivalents as represented by income deferred to the Company Stock Investment Option of the Deferred Management Incentive Compensation Plan (DMICP).</w:t>
      </w:r>
    </w:p>
    <w:p>
      <w:pPr>
        <w:ind w:left="640" w:hanging="308"/>
        <w:spacing w:after="0"/>
        <w:tabs>
          <w:tab w:leader="none" w:pos="640" w:val="left"/>
        </w:tabs>
        <w:numPr>
          <w:ilvl w:val="0"/>
          <w:numId w:val="99"/>
        </w:numPr>
        <w:rPr>
          <w:rFonts w:ascii="Times New Roman" w:cs="Times New Roman" w:eastAsia="Times New Roman" w:hAnsi="Times New Roman"/>
          <w:sz w:val="20"/>
          <w:szCs w:val="20"/>
          <w:color w:val="auto"/>
        </w:rPr>
      </w:pPr>
      <w:r>
        <w:rPr>
          <w:rFonts w:ascii="Arial" w:cs="Arial" w:eastAsia="Arial" w:hAnsi="Arial"/>
          <w:sz w:val="20"/>
          <w:szCs w:val="20"/>
          <w:color w:val="auto"/>
        </w:rPr>
        <w:t>Unvested Restricted Stock Units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Key employees will be required to achieve the appropriate ownership level within five years and are expected to make continuous progress toward their target. Appointment to a new level will reset the five year requirement. Unvested Performance Share Units are not counted toward meeting the guidelines.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Period</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Covered employees must retain net vested Restricted Stock Units and Performance Stock Units if the ownership requirements are not yet satisfied.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Covered employees are asked to report annually on their progress toward attainment of their share ownership goals.</w:t>
      </w:r>
    </w:p>
    <w:p>
      <w:pPr>
        <w:sectPr>
          <w:pgSz w:w="11900" w:h="16838" w:orient="portrait"/>
          <w:cols w:equalWidth="0" w:num="1">
            <w:col w:w="11240"/>
          </w:cols>
          <w:pgMar w:left="320" w:top="118" w:right="339" w:bottom="1440" w:gutter="0" w:footer="0" w:header="0"/>
        </w:sectPr>
      </w:pPr>
    </w:p>
    <w:bookmarkStart w:id="99" w:name="page100"/>
    <w:bookmarkEnd w:id="99"/>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LOCKHEED MARTIN CORPORATION</w:t>
      </w:r>
    </w:p>
    <w:p>
      <w:pPr>
        <w:spacing w:after="0" w:line="33"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MANAGEMENT INCENTIVE COMPENSATION PLAN</w:t>
      </w:r>
    </w:p>
    <w:p>
      <w:pPr>
        <w:jc w:val="center"/>
        <w:spacing w:after="0"/>
        <w:rPr>
          <w:sz w:val="20"/>
          <w:szCs w:val="20"/>
          <w:color w:val="auto"/>
        </w:rPr>
      </w:pPr>
      <w:r>
        <w:rPr>
          <w:rFonts w:ascii="Arial" w:cs="Arial" w:eastAsia="Arial" w:hAnsi="Arial"/>
          <w:sz w:val="20"/>
          <w:szCs w:val="20"/>
          <w:color w:val="auto"/>
        </w:rPr>
        <w:t>Effective January 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Effective January 1, 2026</w:t>
      </w:r>
    </w:p>
    <w:p>
      <w:pPr>
        <w:spacing w:after="0" w:line="200" w:lineRule="exact"/>
        <w:rPr>
          <w:sz w:val="20"/>
          <w:szCs w:val="20"/>
          <w:color w:val="auto"/>
        </w:rPr>
      </w:pP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Article I.</w:t>
      </w:r>
      <w:r>
        <w:rPr>
          <w:sz w:val="20"/>
          <w:szCs w:val="20"/>
          <w:color w:val="auto"/>
        </w:rPr>
        <w:tab/>
      </w:r>
      <w:r>
        <w:rPr>
          <w:rFonts w:ascii="Arial" w:cs="Arial" w:eastAsia="Arial" w:hAnsi="Arial"/>
          <w:sz w:val="19"/>
          <w:szCs w:val="19"/>
          <w:b w:val="1"/>
          <w:bCs w:val="1"/>
          <w:color w:val="auto"/>
        </w:rPr>
        <w:t>PURPOSE OF THE PLAN</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Plan is established to provide a further incentive to selected Employees to promote the success of Lockheed Martin Corporation by providing an opportunity to receive additional compensation for performance measured against established goals. The Plan is intended to achieve the following:</w:t>
      </w:r>
    </w:p>
    <w:p>
      <w:pPr>
        <w:spacing w:after="0" w:line="205" w:lineRule="exact"/>
        <w:rPr>
          <w:sz w:val="20"/>
          <w:szCs w:val="20"/>
          <w:color w:val="auto"/>
        </w:rPr>
      </w:pPr>
    </w:p>
    <w:p>
      <w:pPr>
        <w:ind w:left="920" w:hanging="394"/>
        <w:spacing w:after="0"/>
        <w:tabs>
          <w:tab w:leader="none" w:pos="9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Link pay of executive Employees to business performance.</w:t>
      </w:r>
    </w:p>
    <w:p>
      <w:pPr>
        <w:spacing w:after="0" w:line="256" w:lineRule="exact"/>
        <w:rPr>
          <w:rFonts w:ascii="Arial" w:cs="Arial" w:eastAsia="Arial" w:hAnsi="Arial"/>
          <w:sz w:val="20"/>
          <w:szCs w:val="20"/>
          <w:color w:val="auto"/>
        </w:rPr>
      </w:pPr>
    </w:p>
    <w:p>
      <w:pPr>
        <w:ind w:left="920" w:hanging="394"/>
        <w:spacing w:after="0" w:line="271" w:lineRule="auto"/>
        <w:tabs>
          <w:tab w:leader="none" w:pos="103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Incentivize Employees to work individually and as teams to meet objectives and goals consistent with enhancing shareholder value.</w:t>
      </w:r>
    </w:p>
    <w:p>
      <w:pPr>
        <w:spacing w:after="0" w:line="196" w:lineRule="exact"/>
        <w:rPr>
          <w:rFonts w:ascii="Arial" w:cs="Arial" w:eastAsia="Arial" w:hAnsi="Arial"/>
          <w:sz w:val="20"/>
          <w:szCs w:val="20"/>
          <w:color w:val="auto"/>
        </w:rPr>
      </w:pPr>
    </w:p>
    <w:p>
      <w:pPr>
        <w:ind w:left="920" w:hanging="394"/>
        <w:spacing w:after="0"/>
        <w:tabs>
          <w:tab w:leader="none" w:pos="9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Facilitate the Company’s ability to retain qualified Employees and to attract top executive talent.</w:t>
      </w:r>
    </w:p>
    <w:p>
      <w:pPr>
        <w:spacing w:after="0" w:line="241"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Article II.</w:t>
      </w:r>
      <w:r>
        <w:rPr>
          <w:sz w:val="20"/>
          <w:szCs w:val="20"/>
          <w:color w:val="auto"/>
        </w:rPr>
        <w:tab/>
      </w:r>
      <w:r>
        <w:rPr>
          <w:rFonts w:ascii="Arial" w:cs="Arial" w:eastAsia="Arial" w:hAnsi="Arial"/>
          <w:sz w:val="19"/>
          <w:szCs w:val="19"/>
          <w:b w:val="1"/>
          <w:bCs w:val="1"/>
          <w:color w:val="auto"/>
        </w:rPr>
        <w:t>DEFINITIONS</w:t>
      </w:r>
    </w:p>
    <w:p>
      <w:pPr>
        <w:spacing w:after="0" w:line="25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9"/>
          <w:szCs w:val="19"/>
          <w:color w:val="auto"/>
        </w:rPr>
        <w:t>BOARD OF DIRECTORS – The Board of Directors of Lockheed Martin Corporation.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Section 2.02 CODE – The Internal Revenue Code of 1986, as amended from time to time, and the regulations promulgated thereunder.</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Section 2.03 COMMITTEE – The Management Development and Compensation Committee of the Board of Directors as from time to time appointed or constituted by the Board of Directors.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Section 2.04 COMPANY – Lockheed Martin Corporation and those subsidiaries of which it owns directly or indirectly 50% or more of the voting stock or other equity.</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9"/>
          <w:szCs w:val="19"/>
          <w:color w:val="auto"/>
        </w:rPr>
        <w:t>ELECTED OFFICER – An Employee who has been elected as an officer by the Board of Directors.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Section 2.06 EMPLOYEE – Any person who is employed by the Company and who is paid a salary as distinguished from an hourly wage. The term “Employee” includes only those individuals that the Company classifies on its payroll records as Employees and does not include consultants, independent contractors, leased employees, co-op students, interns, temporary employees, or casual employees (ineligible for any employment periods in casual status), individuals paid by a third party or other individuals not classified as an Employee by the Company. Notwithstanding the foregoing, the term “Employee” shall not include any employee who, during any part of such year, was represented by a collective bargaining agent.</w:t>
      </w:r>
    </w:p>
    <w:p>
      <w:pPr>
        <w:spacing w:after="0" w:line="200"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9"/>
          <w:szCs w:val="19"/>
          <w:color w:val="auto"/>
        </w:rPr>
        <w:t>INCENTIVE COMPENSATION – A payment made pursuant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2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9"/>
          <w:szCs w:val="19"/>
          <w:color w:val="auto"/>
        </w:rPr>
        <w:t>PARTICIPANT – Any Employee selected to participate in the Plan in accordance with Article III.</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Section 2.09 PLAN – This Lockheed Martin Corporation Management Incentive Compensation Plan, effective as of January 1, 2021, as amended or restated from time to time.</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9"/>
          <w:szCs w:val="19"/>
          <w:color w:val="auto"/>
        </w:rPr>
        <w:t>PLAN YEAR – A calendar year.</w:t>
      </w:r>
    </w:p>
    <w:p>
      <w:pPr>
        <w:spacing w:after="0" w:line="254"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Article III.</w:t>
      </w:r>
      <w:r>
        <w:rPr>
          <w:sz w:val="20"/>
          <w:szCs w:val="20"/>
          <w:color w:val="auto"/>
        </w:rPr>
        <w:tab/>
      </w:r>
      <w:r>
        <w:rPr>
          <w:rFonts w:ascii="Arial" w:cs="Arial" w:eastAsia="Arial" w:hAnsi="Arial"/>
          <w:sz w:val="19"/>
          <w:szCs w:val="19"/>
          <w:b w:val="1"/>
          <w:bCs w:val="1"/>
          <w:color w:val="auto"/>
        </w:rPr>
        <w:t>ELIGIBILITY AND PARTICIPATION</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Elected Officers of the Company are eligible to participate in the Plan. An Elected Officer’s participation in the Plan for a Plan Year is subject to the approval of the Committee. Employees who are considered by the Company’s Chief Executive Officer or Senior Vice President, Chief Human Resources Officer to be key Employees of the Company also are eligible to participate in the Plan, subject to the Employee’s selection of and approval by the Chief Executive Officer or Senior Vice President, Chief Human Resources Officer for participation in a Plan Year. No member of the Committee shall be eligible for participation in the Plan.</w:t>
      </w:r>
    </w:p>
    <w:p>
      <w:pPr>
        <w:spacing w:after="0" w:line="198"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Article IV.</w:t>
      </w:r>
      <w:r>
        <w:rPr>
          <w:sz w:val="20"/>
          <w:szCs w:val="20"/>
          <w:color w:val="auto"/>
        </w:rPr>
        <w:tab/>
      </w:r>
      <w:r>
        <w:rPr>
          <w:rFonts w:ascii="Arial" w:cs="Arial" w:eastAsia="Arial" w:hAnsi="Arial"/>
          <w:sz w:val="19"/>
          <w:szCs w:val="19"/>
          <w:b w:val="1"/>
          <w:bCs w:val="1"/>
          <w:color w:val="auto"/>
        </w:rPr>
        <w:t>LIMITATIONS ON INCENTIVE COMPENSATION</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Section 4.01 Notwithstanding any other provisions of the Plan that may be to the contrary, Incentive Compensation awards made to Participants who are Elected Officers on the last day of the Plan Year are subject to this Article IV.</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Section 4.02 Incentive Compensation payable under the Plan to (i) the Elected Officer who is the Chief Executive Officer shall not exceed 0.3% of Cash Flow for the Plan Year; and (ii) each of the Participants who are Elected Officers on the last day of the Plan Year, other than the Chief Executive Officer, shall not exceed 0.2% of Cash Flow for the Plan Year. For purposes of this Section 4.02, Cash Flow for any period means net cash flow from operations but not taking into account: (i) the aggregate after-tax difference between the amount forecasted in the Company’s Long Range Plan for the relevant year to be contributed by the Company to the Company’s defined benefit pension plans during the period and the actual amounts contributed by the Company during the period; and (ii) any tax payments or tax benefits during the period associated with the divestiture of business units. Cash Flow shall be determined by the Committee based upon the comparable numbers reported on the Company’s audited consolidated financial statements or, if audited financial statements are not available for the period for which Cash Flow is being determined, the Committee shall determine Cash Flow in a manner consistent with the historical practices used by the Company in determining net cash provided by operating activities as reported in its audited consolidated statement of cash flows, in either case as modified by this paragraph.</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Section 4.03 Before authorizing any Incentive Compensation payment under this Plan to a Participant who is an Elected Officer, the Committee must certify in writing (by resolution or otherwise) that the payments are consistent with Section 4.02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21"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Article V.</w:t>
      </w:r>
      <w:r>
        <w:rPr>
          <w:sz w:val="20"/>
          <w:szCs w:val="20"/>
          <w:color w:val="auto"/>
        </w:rPr>
        <w:tab/>
      </w:r>
      <w:r>
        <w:rPr>
          <w:rFonts w:ascii="Arial" w:cs="Arial" w:eastAsia="Arial" w:hAnsi="Arial"/>
          <w:sz w:val="19"/>
          <w:szCs w:val="19"/>
          <w:b w:val="1"/>
          <w:bCs w:val="1"/>
          <w:color w:val="auto"/>
        </w:rPr>
        <w:t>INCENTIVE COMPENSATION PAYMENTS</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Section 5.01 The Committee (or the Committee’s delegate in the case of Participants who are not Elected Officers) shall determine the proposed amount of Incentive Compensation to be paid to each Participant with respect to a Plan Year based upon achievement of the performance goals established by the Committee or its delegate for the Plan Year (such performance goals to be established and defined in the discretion of the Committee or the Committee’s delegate, as the case may be, on or before March 30 of the Plan Year) and subject to the limitations described in Article IV. Notwithstanding the preceding sentence, in determining the proposed amount of each Participant’s Incentive Compensation award for a Plan Year, the Committee (or the Board of Directors in the case of Participants who are Elected Officers or the Company’s Chief Executive Officer or Senior Vice President, Chief Human Resources Officer in the case of Participants who are not Elected Officers) may make an upward (subject to Article IV) or downward (including to zero) adjustment to the amount of an Incentive Compensation award otherwise payable to the Participant for the Plan Year on the basis of such factors as it deems relevant.</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Section 5.02 The Committee (or the Committee’s delegate in the case of Participants who are not Elected Officers) reserves the right to adjust performance measures, the applicable performance goals and performance results with respect to the Plan to the extent the Committee (or the Committee’s delegate in the case of Participants who are not Elected Officers) determines such adjustment is reasonably necessary or advisable to preserve the intended incentives and benefits with respect to awards for a Plan Year to reflect (a) any change in capitalization, any corporate transaction (such as a reorganization, combination, separation, merger, consolidation, acquisition, divestiture, spin off, split off or any combination of the foregoing), or any complete or partial liquidation, (b) any change in accounting policies or practices, (c) the effects of any special charges to earnings, or (d) any unusual events or events that were unforeseen at the time of the establishment of the performance goals for the applicable Plan Year.</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Section 5.03 With respect to a Plan Year, the Committee shall recommend to the Board of Directors the proposed amount of Incentive Compensation award to each Participant who is an Elected Officer. The Board of Directors shall review and approve the recommendations of the Committee or make adjustments to the proposed amounts of Incentive Compensation payable for a Plan Year to a Participant who is an Elected Officer, on the basis of such factors as it deems relevant. Any such determination shall be in the sole and absolute discretion of the Board of Directors and all decisions shall be final and binding on all parties. The Company’s Chief Executive Officer or Senior Vice President, Chief Human Resources Officer has the authority to and shall approve payouts to Participants who are not Elected Officers.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Section 5.04 The Incentive Compensation amount determined for each Participant with respect to each Plan Year shall be paid to such Participant in cash not later than March 15 following the Plan Year or deferred at the direction of the Committee, but only to the extent permitted under Code Section 409A, or other applicable law, until the Participant’s termination of employment. Notwithstanding the foregoing, U.S.-based Participants may also elect to defer payments in accordance with the terms of the Lockheed Martin Corporation Deferred Management Incentive Compensation Plan.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Section 5.05 Before the end of each Plan Year, the Board of Directors or the Company’s Senior Vice President, Chief Human Resources Officer may set a minimum aggregate bonus amount that must be used to pay Incentive Compensation awards under this Plan attributable to service during the Plan Year to any combination of Participants who are not Elected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Section 5.06 Participants are responsible for payment of all taxes imposed on them as a result of Incentive Compensation payments made under this Plan. In general, all applicable U.S. and foreign Federal, state, provincial and local taxes and other required deductions or amounts will be withheld from all Incentive Compensation payments made under this Plan.</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Article VI.</w:t>
      </w:r>
      <w:r>
        <w:rPr>
          <w:sz w:val="20"/>
          <w:szCs w:val="20"/>
          <w:color w:val="auto"/>
        </w:rPr>
        <w:tab/>
      </w:r>
      <w:r>
        <w:rPr>
          <w:rFonts w:ascii="Arial" w:cs="Arial" w:eastAsia="Arial" w:hAnsi="Arial"/>
          <w:sz w:val="19"/>
          <w:szCs w:val="19"/>
          <w:b w:val="1"/>
          <w:bCs w:val="1"/>
          <w:color w:val="auto"/>
        </w:rPr>
        <w:t>COST OF PLAN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cost for this Plan is intended to be an allowable expense.</w:t>
      </w: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Article VII.</w:t>
      </w:r>
      <w:r>
        <w:rPr>
          <w:sz w:val="20"/>
          <w:szCs w:val="20"/>
          <w:color w:val="auto"/>
        </w:rPr>
        <w:tab/>
      </w:r>
      <w:r>
        <w:rPr>
          <w:rFonts w:ascii="Arial" w:cs="Arial" w:eastAsia="Arial" w:hAnsi="Arial"/>
          <w:sz w:val="19"/>
          <w:szCs w:val="19"/>
          <w:b w:val="1"/>
          <w:bCs w:val="1"/>
          <w:color w:val="auto"/>
        </w:rPr>
        <w:t>RIGHTS OF PARTICIPANTS</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Section 7.01 All payments are subject to the discretion of the Board of Directors (in the case of Participants who are Elected Officers) or its delegate (in the case of Participants who are not Elected Officers). No Participant shall have any right to require the Board of Directors or its delegate, as applicable, to make any appropriation to the Plan for any Plan Year, nor shall any Participant have any vested interest or property right in any share in any amounts which may be appropriated to the Plan.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Section 7.02 This Plan does not constitute an employment agreement of any kind, or a promise of employment for a specific term (including the Plan Year) and, to the extent applicable, does not alter the at will nature of a Participant’s employment with the Company, which may be terminated by the Company or a Participant for any or no reason and without advance notice. This Plan does not interfere in any way with the right of the Company, subject to the terms of any employment agreement or other contract to the contrary, at any time to terminate the employment of a Participant or to increase or decrease the compensation of a Participant.</w:t>
      </w:r>
    </w:p>
    <w:p>
      <w:pPr>
        <w:spacing w:after="0" w:line="198"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Article VIII.</w:t>
      </w:r>
      <w:r>
        <w:rPr>
          <w:sz w:val="20"/>
          <w:szCs w:val="20"/>
          <w:color w:val="auto"/>
        </w:rPr>
        <w:tab/>
      </w:r>
      <w:r>
        <w:rPr>
          <w:rFonts w:ascii="Arial" w:cs="Arial" w:eastAsia="Arial" w:hAnsi="Arial"/>
          <w:sz w:val="19"/>
          <w:szCs w:val="19"/>
          <w:b w:val="1"/>
          <w:bCs w:val="1"/>
          <w:color w:val="auto"/>
        </w:rPr>
        <w:t>AUTHORITY TO RECOVER PAYMENTS</w:t>
      </w:r>
    </w:p>
    <w:p>
      <w:pPr>
        <w:spacing w:after="0" w:line="258"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The Board of Directors retains the authority to make retroactive adjustments to an Incentive Compensation payment made under the Plan in accordance with the provisions regarding Recovery of Payments (Claw Back) in Exhibit A.</w:t>
      </w:r>
    </w:p>
    <w:p>
      <w:pPr>
        <w:spacing w:after="0" w:line="19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Article IX.</w:t>
      </w:r>
      <w:r>
        <w:rPr>
          <w:sz w:val="20"/>
          <w:szCs w:val="20"/>
          <w:color w:val="auto"/>
        </w:rPr>
        <w:tab/>
      </w:r>
      <w:r>
        <w:rPr>
          <w:rFonts w:ascii="Arial" w:cs="Arial" w:eastAsia="Arial" w:hAnsi="Arial"/>
          <w:sz w:val="19"/>
          <w:szCs w:val="19"/>
          <w:b w:val="1"/>
          <w:bCs w:val="1"/>
          <w:color w:val="auto"/>
        </w:rPr>
        <w:t>PLAN ADMINISTRATION</w:t>
      </w: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Plan shall be administered under the direction of the Committee. The Committee shall have the right to construe the Plan, to interpret any provision thereof, to make rules and regulations relating to the Plan, and to determine any factual question arising in connection with the Plan's operation after such investigation or hearing as the Committee may deem appropriate. With respect to Participants who are not Elected Officers, the Company’s Senior Vice President, Chief Human Resources Officer or delegate has the authority to administer, construe, and interpret the Plan, to make rules and regulations relating to the Plan, and to determine any factual question arising under the Plan. Any decision made by the Committee or the Company’s Senior Vice President, Chief Human Resources Officer or delegate under the provisions of this Article shall be conclusive and binding on all parties concerned. The Committee may further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w:t>
      </w:r>
    </w:p>
    <w:p>
      <w:pPr>
        <w:spacing w:after="0" w:line="19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Article X.</w:t>
      </w:r>
      <w:r>
        <w:rPr>
          <w:sz w:val="20"/>
          <w:szCs w:val="20"/>
          <w:color w:val="auto"/>
        </w:rPr>
        <w:tab/>
      </w:r>
      <w:r>
        <w:rPr>
          <w:rFonts w:ascii="Arial" w:cs="Arial" w:eastAsia="Arial" w:hAnsi="Arial"/>
          <w:sz w:val="19"/>
          <w:szCs w:val="19"/>
          <w:b w:val="1"/>
          <w:bCs w:val="1"/>
          <w:color w:val="auto"/>
        </w:rPr>
        <w:t>AMENDMENT OR TERMINATION OF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Board of Directors or its delegate shall have the right to terminate or amend this Plan at any time without notice and without any form of payment or compensation in lieu of same, and to discontinue further payments hereunder.</w:t>
      </w:r>
    </w:p>
    <w:p>
      <w:pPr>
        <w:spacing w:after="0" w:line="19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Article XI.</w:t>
      </w:r>
      <w:r>
        <w:rPr>
          <w:sz w:val="20"/>
          <w:szCs w:val="20"/>
          <w:color w:val="auto"/>
        </w:rPr>
        <w:tab/>
      </w:r>
      <w:r>
        <w:rPr>
          <w:rFonts w:ascii="Arial" w:cs="Arial" w:eastAsia="Arial" w:hAnsi="Arial"/>
          <w:sz w:val="19"/>
          <w:szCs w:val="19"/>
          <w:b w:val="1"/>
          <w:bCs w:val="1"/>
          <w:color w:val="auto"/>
        </w:rPr>
        <w:t>EXHIBITS; ADDENDA</w:t>
      </w:r>
    </w:p>
    <w:p>
      <w:pPr>
        <w:spacing w:after="0" w:line="258" w:lineRule="exact"/>
        <w:rPr>
          <w:sz w:val="20"/>
          <w:szCs w:val="20"/>
          <w:color w:val="auto"/>
        </w:rPr>
      </w:pPr>
    </w:p>
    <w:p>
      <w:pPr>
        <w:ind w:right="460"/>
        <w:spacing w:after="0" w:line="437" w:lineRule="auto"/>
        <w:rPr>
          <w:sz w:val="20"/>
          <w:szCs w:val="20"/>
          <w:color w:val="auto"/>
        </w:rPr>
      </w:pPr>
      <w:r>
        <w:rPr>
          <w:rFonts w:ascii="Arial" w:cs="Arial" w:eastAsia="Arial" w:hAnsi="Arial"/>
          <w:sz w:val="20"/>
          <w:szCs w:val="20"/>
          <w:color w:val="auto"/>
        </w:rPr>
        <w:t xml:space="preserve">The exhibits and addenda to this Plan are hereby incorporated and made a part hereof and are an integral part of this Plan. </w:t>
      </w:r>
      <w:r>
        <w:rPr>
          <w:rFonts w:ascii="Arial" w:cs="Arial" w:eastAsia="Arial" w:hAnsi="Arial"/>
          <w:sz w:val="20"/>
          <w:szCs w:val="20"/>
          <w:b w:val="1"/>
          <w:bCs w:val="1"/>
          <w:color w:val="auto"/>
        </w:rPr>
        <w:t>Article XII. EFFECTIVE DATE</w:t>
      </w:r>
    </w:p>
    <w:p>
      <w:pPr>
        <w:spacing w:after="0" w:line="2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Plan, as amended and restated herein, is effective with respect to the operations of the Company for the Plan Year beginning January 1,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LOCKHEED MARTIN CORPORATION</w:t>
      </w:r>
    </w:p>
    <w:p>
      <w:pPr>
        <w:spacing w:after="0" w:line="200" w:lineRule="exact"/>
        <w:rPr>
          <w:sz w:val="20"/>
          <w:szCs w:val="20"/>
          <w:color w:val="auto"/>
        </w:rPr>
      </w:pPr>
    </w:p>
    <w:p>
      <w:pPr>
        <w:spacing w:after="0" w:line="380"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20"/>
          <w:szCs w:val="20"/>
          <w:color w:val="auto"/>
        </w:rPr>
        <w:t>By:</w:t>
        <w:tab/>
        <w:t>/s/ Chris Wronsky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125095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Chris Wronsky</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Senior Vice President,</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Human Resources Officer</w:t>
      </w:r>
    </w:p>
    <w:p>
      <w:pPr>
        <w:spacing w:after="0" w:line="200" w:lineRule="exact"/>
        <w:rPr>
          <w:sz w:val="20"/>
          <w:szCs w:val="20"/>
          <w:color w:val="auto"/>
        </w:rPr>
      </w:pPr>
    </w:p>
    <w:p>
      <w:pPr>
        <w:spacing w:after="0" w:line="212" w:lineRule="exact"/>
        <w:rPr>
          <w:sz w:val="20"/>
          <w:szCs w:val="20"/>
          <w:color w:val="auto"/>
        </w:rPr>
      </w:pPr>
    </w:p>
    <w:p>
      <w:pPr>
        <w:ind w:left="6060"/>
        <w:spacing w:after="0"/>
        <w:tabs>
          <w:tab w:leader="none" w:pos="6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Arial" w:cs="Arial" w:eastAsia="Arial" w:hAnsi="Arial"/>
          <w:sz w:val="20"/>
          <w:szCs w:val="20"/>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122555</wp:posOffset>
            </wp:positionV>
            <wp:extent cx="2802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Administrative Provisions</w:t>
      </w:r>
    </w:p>
    <w:p>
      <w:pPr>
        <w:spacing w:after="0" w:line="200" w:lineRule="exact"/>
        <w:rPr>
          <w:sz w:val="20"/>
          <w:szCs w:val="20"/>
          <w:color w:val="auto"/>
        </w:rPr>
      </w:pPr>
    </w:p>
    <w:p>
      <w:pPr>
        <w:spacing w:after="0" w:line="29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Article I.</w:t>
      </w:r>
      <w:r>
        <w:rPr>
          <w:sz w:val="20"/>
          <w:szCs w:val="20"/>
          <w:color w:val="auto"/>
        </w:rPr>
        <w:tab/>
      </w:r>
      <w:r>
        <w:rPr>
          <w:rFonts w:ascii="Arial" w:cs="Arial" w:eastAsia="Arial" w:hAnsi="Arial"/>
          <w:sz w:val="19"/>
          <w:szCs w:val="19"/>
          <w:b w:val="1"/>
          <w:bCs w:val="1"/>
          <w:color w:val="auto"/>
        </w:rPr>
        <w:t>STANDARD OF CONDUCT AND PERFORMANCE EXPECTATION</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It is a prerequisite that before any payment under the Plan can be considered that a Participant will have acted in accordance with the Lockheed Martin Corporation Code of Ethics and Business Conduct and fostered an atmosphere to encourage all employees acting under the Participant’s supervision to perform their duties in accordance with the highest ethical standards. Ethical behavior is imperative. It is also a prerequisite before a payment under a Plan can be considered that a Participant be in good standing with the Company. Thus, in evaluating performance against individual goals, a Participant’s adherence to the Company’s ethical standards will be considered paramount in determining awards under the Plan.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Participants whose individual performance is determined to be unacceptable are not eligible to receive Incentive Compensation awards.</w:t>
      </w:r>
    </w:p>
    <w:p>
      <w:pPr>
        <w:spacing w:after="0" w:line="16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Article II.</w:t>
      </w:r>
      <w:r>
        <w:rPr>
          <w:sz w:val="20"/>
          <w:szCs w:val="20"/>
          <w:color w:val="auto"/>
        </w:rPr>
        <w:tab/>
      </w:r>
      <w:r>
        <w:rPr>
          <w:rFonts w:ascii="Arial" w:cs="Arial" w:eastAsia="Arial" w:hAnsi="Arial"/>
          <w:sz w:val="19"/>
          <w:szCs w:val="19"/>
          <w:b w:val="1"/>
          <w:bCs w:val="1"/>
          <w:color w:val="auto"/>
        </w:rPr>
        <w:t>DEFINITIONS</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With respect to a Participant, unless otherwise defined in this Article II of Exhibit A, capitalized terms used in this document have the meanings set forth in the Plan.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Section 2.01 DAILY PRO-RATED – The partial Incentive Compensation award for a Participant who does not work in an eligible position for the entire Plan Year will be pro-rated to the day, i.e., the number of days the Employee is a Participant during the Plan Year divided by the number of days in the Plan Year. An Incentive Compensation award for a Participant whose individual target and/or award formula changes during the Plan Year will be pro-rated to the day, i.e., the Participant’s original individual target and/or award formula times the number of days during which the original percentage or formula applied to the Participant divided by the number of days in the Plan Year, plus the Participant’s new individual target and/or award formula times the number of days during which the new percentage or formula applied to the Participant divided by the number of days in the Plan Year.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Section 2.02 DISABILITY – Termination of employment as a result of becoming totally disabled as evidenced by commencement of benefits under the Company’s long-term disability plan in which the Participant is enrolled (or, if not a Participant in a Company-sponsored long-term disability plan, under circumstances which would result in the Participant becoming eligible for benefits using the standards set forth in the Company’s long-term disability plan).</w:t>
      </w:r>
    </w:p>
    <w:p>
      <w:pPr>
        <w:spacing w:after="0" w:line="20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9"/>
          <w:szCs w:val="19"/>
          <w:color w:val="auto"/>
        </w:rPr>
        <w:t>ESP – The Lockheed Martin Corporation Executive Severance Plan, as amended from time to time.</w:t>
      </w:r>
    </w:p>
    <w:p>
      <w:pPr>
        <w:spacing w:after="0" w:line="24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9"/>
          <w:szCs w:val="19"/>
          <w:color w:val="auto"/>
        </w:rPr>
        <w:t>QUALIFYING LEAVE OF ABSENCE – With respect to U.S.-based Employees only, the following situations:</w:t>
      </w:r>
    </w:p>
    <w:p>
      <w:pPr>
        <w:spacing w:after="0" w:line="256" w:lineRule="exact"/>
        <w:rPr>
          <w:sz w:val="20"/>
          <w:szCs w:val="20"/>
          <w:color w:val="auto"/>
        </w:rPr>
      </w:pPr>
    </w:p>
    <w:p>
      <w:pPr>
        <w:ind w:left="1940" w:hanging="389"/>
        <w:spacing w:after="0"/>
        <w:tabs>
          <w:tab w:leader="none" w:pos="19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Paid or unpaid military leave of absence pursuant to CRX-537;</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6" w:lineRule="exact"/>
        <w:rPr>
          <w:rFonts w:ascii="Arial" w:cs="Arial" w:eastAsia="Arial" w:hAnsi="Arial"/>
          <w:sz w:val="20"/>
          <w:szCs w:val="20"/>
          <w:color w:val="auto"/>
        </w:rPr>
      </w:pPr>
    </w:p>
    <w:p>
      <w:pPr>
        <w:ind w:left="5560"/>
        <w:spacing w:after="0"/>
        <w:rPr>
          <w:rFonts w:ascii="Arial" w:cs="Arial" w:eastAsia="Arial" w:hAnsi="Arial"/>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23" w:lineRule="exact"/>
        <w:rPr>
          <w:sz w:val="20"/>
          <w:szCs w:val="20"/>
          <w:color w:val="auto"/>
        </w:rPr>
      </w:pPr>
    </w:p>
    <w:p>
      <w:pPr>
        <w:ind w:left="1960" w:right="20" w:hanging="409"/>
        <w:spacing w:after="0" w:line="271" w:lineRule="auto"/>
        <w:tabs>
          <w:tab w:leader="none" w:pos="199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Unpaid leave of absence during which an Employee receives payments under a workers’ compensation insurance policy maintained pursuant to Treasurer’s Operating Instruction TOI-50-9; and</w:t>
      </w:r>
    </w:p>
    <w:p>
      <w:pPr>
        <w:spacing w:after="0" w:line="196" w:lineRule="exact"/>
        <w:rPr>
          <w:rFonts w:ascii="Arial" w:cs="Arial" w:eastAsia="Arial" w:hAnsi="Arial"/>
          <w:sz w:val="20"/>
          <w:szCs w:val="20"/>
          <w:color w:val="auto"/>
        </w:rPr>
      </w:pPr>
    </w:p>
    <w:p>
      <w:pPr>
        <w:jc w:val="both"/>
        <w:ind w:left="1960" w:hanging="409"/>
        <w:spacing w:after="0" w:line="262" w:lineRule="auto"/>
        <w:tabs>
          <w:tab w:leader="none" w:pos="201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Unpaid leave of absence during which an Employee, who is otherwise eligible for Short-Term Disability Leave pay under CRX-534 (STDL Pay), receives payments under a state-mandated short term disability insurance law in lieu of STDL Pay.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Section 2.05 RETIREMENT – Retirement under the terms of a Company-sponsored pension plan or for Employees who do not participate in a pension plan, termination from employment with the Company following the attainment of age 55 and a minimum of ten years of service or attainment of age 65.</w:t>
      </w:r>
    </w:p>
    <w:p>
      <w:pPr>
        <w:spacing w:after="0" w:line="190"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Article III.</w:t>
      </w:r>
      <w:r>
        <w:rPr>
          <w:sz w:val="20"/>
          <w:szCs w:val="20"/>
          <w:color w:val="auto"/>
        </w:rPr>
        <w:tab/>
      </w:r>
      <w:r>
        <w:rPr>
          <w:rFonts w:ascii="Arial" w:cs="Arial" w:eastAsia="Arial" w:hAnsi="Arial"/>
          <w:sz w:val="19"/>
          <w:szCs w:val="19"/>
          <w:b w:val="1"/>
          <w:bCs w:val="1"/>
          <w:color w:val="auto"/>
        </w:rPr>
        <w:t>ELIGIBILITY FOR INCENTIVE COMPENSATION AWARDS</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Section 3.01 In general, a Participant must be an Employee in active status, on paid leave of absence through the Company’s payroll or on a Qualifying Leave of Absence on the business day coincident with or next following their Business Area’s first job action of the Plan Year and through December 31 of the Plan Year to be eligible for a full Incentive Compensation award for that Plan Year.</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Section 3.02 A Participant will be eligible to receive a Daily Pro-Rated Incentive Compensation payment if the Participant is in active status, on paid leave of absence through the Company’s payroll or on a Qualifying Leave of Absence for a portion of the Plan Year and satisfies a provision described in this Section 3.02. If a Participant is eligible to receive an Incentive Compensation payment pursuant to the preceding sentence, and more than one provision of this Section 3.02 applies to the Participant for the Plan Year, then all applicable provisions will be applied to calculate the Participant’s Incentive Compensation payment. No Incentive Compensation will be paid from this Plan for the period of employment in an ineligible position.</w:t>
      </w:r>
    </w:p>
    <w:p>
      <w:pPr>
        <w:spacing w:after="0" w:line="214" w:lineRule="exact"/>
        <w:rPr>
          <w:sz w:val="20"/>
          <w:szCs w:val="20"/>
          <w:color w:val="auto"/>
        </w:rPr>
      </w:pPr>
    </w:p>
    <w:p>
      <w:pPr>
        <w:ind w:left="660" w:hanging="393"/>
        <w:spacing w:after="0" w:line="286" w:lineRule="auto"/>
        <w:tabs>
          <w:tab w:leader="none" w:pos="74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Hire during a Plan Year: A Participant who at any time during the Plan Year is hired or re-hired will be eligible to receive a Daily Pro-Rated Incentive Compensation award under the Plan.</w:t>
      </w:r>
    </w:p>
    <w:p>
      <w:pPr>
        <w:spacing w:after="0" w:line="167" w:lineRule="exact"/>
        <w:rPr>
          <w:rFonts w:ascii="Arial" w:cs="Arial" w:eastAsia="Arial" w:hAnsi="Arial"/>
          <w:sz w:val="20"/>
          <w:szCs w:val="20"/>
          <w:color w:val="auto"/>
        </w:rPr>
      </w:pPr>
    </w:p>
    <w:p>
      <w:pPr>
        <w:jc w:val="both"/>
        <w:ind w:left="660" w:hanging="393"/>
        <w:spacing w:after="0" w:line="262" w:lineRule="auto"/>
        <w:tabs>
          <w:tab w:leader="none" w:pos="7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Promotion during a Plan Year: A Participant who is promoted during the Plan Year and is a Participant before and after the promotion will be eligible to receive a full Incentive Compensation payment for the Plan Year calculated on a Daily Pro-Rated basis using the Participant’s individual targets and award formulas before and after the promotion.</w:t>
      </w:r>
    </w:p>
    <w:p>
      <w:pPr>
        <w:spacing w:after="0" w:line="205" w:lineRule="exact"/>
        <w:rPr>
          <w:rFonts w:ascii="Arial" w:cs="Arial" w:eastAsia="Arial" w:hAnsi="Arial"/>
          <w:sz w:val="20"/>
          <w:szCs w:val="20"/>
          <w:color w:val="auto"/>
        </w:rPr>
      </w:pPr>
    </w:p>
    <w:p>
      <w:pPr>
        <w:ind w:left="660" w:hanging="393"/>
        <w:spacing w:after="0" w:line="286" w:lineRule="auto"/>
        <w:tabs>
          <w:tab w:leader="none" w:pos="84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Promotion into the Plan during a Plan Year: An Employee who at any time during the Plan Year is promoted and selected to be a Participant will be eligible to receive a Daily Pro-Rated Incentive Compensation award under the Plan.</w:t>
      </w:r>
    </w:p>
    <w:p>
      <w:pPr>
        <w:spacing w:after="0" w:line="167" w:lineRule="exact"/>
        <w:rPr>
          <w:rFonts w:ascii="Arial" w:cs="Arial" w:eastAsia="Arial" w:hAnsi="Arial"/>
          <w:sz w:val="20"/>
          <w:szCs w:val="20"/>
          <w:color w:val="auto"/>
        </w:rPr>
      </w:pPr>
    </w:p>
    <w:p>
      <w:pPr>
        <w:jc w:val="both"/>
        <w:ind w:left="660" w:hanging="393"/>
        <w:spacing w:after="0" w:line="262" w:lineRule="auto"/>
        <w:tabs>
          <w:tab w:leader="none" w:pos="79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Downlevel during a Plan Year: A Participant who is downleveled during the Plan Year and is a Participant before and after the downlevel will be eligible to receive a full Incentive Compensation payment for the Plan Year calculated on a Daily Pro-Rated basis using the Participant’s individual targets and award formulas before and after the downlevel.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23" w:lineRule="exact"/>
        <w:rPr>
          <w:sz w:val="20"/>
          <w:szCs w:val="20"/>
          <w:color w:val="auto"/>
        </w:rPr>
      </w:pPr>
    </w:p>
    <w:p>
      <w:pPr>
        <w:jc w:val="both"/>
        <w:ind w:left="400" w:hanging="393"/>
        <w:spacing w:after="0" w:line="262" w:lineRule="auto"/>
        <w:tabs>
          <w:tab w:leader="none" w:pos="49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Job Transfer or Downlevel out of the Plan during a Plan Year: A Participant who at any time during the Plan Year is job transferred or downleveled and who, thereafter, is not eligible to participate in the Plan, will be eligible to receive a Daily Pro-Rated Incentive Compensation award under the Plan.</w:t>
      </w:r>
    </w:p>
    <w:p>
      <w:pPr>
        <w:spacing w:after="0" w:line="191" w:lineRule="exact"/>
        <w:rPr>
          <w:rFonts w:ascii="Arial" w:cs="Arial" w:eastAsia="Arial" w:hAnsi="Arial"/>
          <w:sz w:val="20"/>
          <w:szCs w:val="20"/>
          <w:color w:val="auto"/>
        </w:rPr>
      </w:pPr>
    </w:p>
    <w:p>
      <w:pPr>
        <w:ind w:left="420" w:hanging="413"/>
        <w:spacing w:after="0"/>
        <w:tabs>
          <w:tab w:leader="none" w:pos="4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Involuntary Termination during a Plan Year:</w:t>
      </w:r>
    </w:p>
    <w:p>
      <w:pPr>
        <w:spacing w:after="0" w:line="256" w:lineRule="exact"/>
        <w:rPr>
          <w:rFonts w:ascii="Arial" w:cs="Arial" w:eastAsia="Arial" w:hAnsi="Arial"/>
          <w:sz w:val="20"/>
          <w:szCs w:val="20"/>
          <w:color w:val="auto"/>
        </w:rPr>
      </w:pPr>
    </w:p>
    <w:p>
      <w:pPr>
        <w:jc w:val="both"/>
        <w:ind w:left="640" w:hanging="82"/>
        <w:spacing w:after="0" w:line="259" w:lineRule="auto"/>
        <w:tabs>
          <w:tab w:leader="none" w:pos="1018" w:val="left"/>
        </w:tabs>
        <w:numPr>
          <w:ilvl w:val="1"/>
          <w:numId w:val="104"/>
        </w:numPr>
        <w:rPr>
          <w:rFonts w:ascii="Arial" w:cs="Arial" w:eastAsia="Arial" w:hAnsi="Arial"/>
          <w:sz w:val="20"/>
          <w:szCs w:val="20"/>
          <w:color w:val="auto"/>
        </w:rPr>
      </w:pPr>
      <w:r>
        <w:rPr>
          <w:rFonts w:ascii="Arial" w:cs="Arial" w:eastAsia="Arial" w:hAnsi="Arial"/>
          <w:sz w:val="20"/>
          <w:szCs w:val="20"/>
          <w:color w:val="auto"/>
        </w:rPr>
        <w:t>Non-ESP-Eligible U.S.-Based Participants: A U.S.-based Participant who does not receive a payment under the ESP may be considered for a Daily Pro-Rated Incentive Compensation award in the Company’s discretion if the Participant has a minimum of six (6) months as an active Employee during the Plan Year. The Daily Pro-Rated Incentive Compensation award will be based on year-end performance results.</w:t>
      </w:r>
    </w:p>
    <w:p>
      <w:pPr>
        <w:spacing w:after="0" w:line="195" w:lineRule="exact"/>
        <w:rPr>
          <w:rFonts w:ascii="Arial" w:cs="Arial" w:eastAsia="Arial" w:hAnsi="Arial"/>
          <w:sz w:val="20"/>
          <w:szCs w:val="20"/>
          <w:color w:val="auto"/>
        </w:rPr>
      </w:pPr>
    </w:p>
    <w:p>
      <w:pPr>
        <w:jc w:val="both"/>
        <w:ind w:left="640" w:hanging="82"/>
        <w:spacing w:after="0" w:line="259" w:lineRule="auto"/>
        <w:tabs>
          <w:tab w:leader="none" w:pos="116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ESP-Eligible U.S.-Based Participants: A U.S.-based Participant who receives any payment under the ESP, regardless of whether the Participant receives a supplemental payment under the ESP, is not eligible to receive an award under the Plan with respect to the Plan Year in which the layoff occurs, including a layoff that occurs on the last day of the Plan Year.</w:t>
      </w:r>
    </w:p>
    <w:p>
      <w:pPr>
        <w:spacing w:after="0" w:line="208" w:lineRule="exact"/>
        <w:rPr>
          <w:rFonts w:ascii="Arial" w:cs="Arial" w:eastAsia="Arial" w:hAnsi="Arial"/>
          <w:sz w:val="20"/>
          <w:szCs w:val="20"/>
          <w:color w:val="auto"/>
        </w:rPr>
      </w:pPr>
    </w:p>
    <w:p>
      <w:pPr>
        <w:jc w:val="both"/>
        <w:ind w:left="640" w:hanging="82"/>
        <w:spacing w:after="0" w:line="254" w:lineRule="auto"/>
        <w:tabs>
          <w:tab w:leader="none" w:pos="1143" w:val="left"/>
        </w:tabs>
        <w:numPr>
          <w:ilvl w:val="1"/>
          <w:numId w:val="104"/>
        </w:numPr>
        <w:rPr>
          <w:rFonts w:ascii="Arial" w:cs="Arial" w:eastAsia="Arial" w:hAnsi="Arial"/>
          <w:sz w:val="20"/>
          <w:szCs w:val="20"/>
          <w:color w:val="auto"/>
        </w:rPr>
      </w:pPr>
      <w:r>
        <w:rPr>
          <w:rFonts w:ascii="Arial" w:cs="Arial" w:eastAsia="Arial" w:hAnsi="Arial"/>
          <w:sz w:val="20"/>
          <w:szCs w:val="20"/>
          <w:color w:val="auto"/>
        </w:rPr>
        <w:t>Participants Based Outside of the U.S.: A Participant based outside of the U.S. (for clarity, including, but not limited to, Participants who are covered by an Addendum to the Plan) may be considered for a Daily Pro-Rated Incentive Compensation award in the Company’s discretion if the Participant has a minimum of six (6) months as an active Employee during the Plan Year. The Daily Pro-Rated Incentive Compensation award will be made as soon as administratively practicable after termination and based on a payment made “At Target.”</w:t>
      </w:r>
    </w:p>
    <w:p>
      <w:pPr>
        <w:spacing w:after="0" w:line="214" w:lineRule="exact"/>
        <w:rPr>
          <w:rFonts w:ascii="Arial" w:cs="Arial" w:eastAsia="Arial" w:hAnsi="Arial"/>
          <w:sz w:val="20"/>
          <w:szCs w:val="20"/>
          <w:color w:val="auto"/>
        </w:rPr>
      </w:pPr>
    </w:p>
    <w:p>
      <w:pPr>
        <w:jc w:val="both"/>
        <w:ind w:left="400" w:hanging="393"/>
        <w:spacing w:after="0" w:line="259" w:lineRule="auto"/>
        <w:tabs>
          <w:tab w:leader="none" w:pos="50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Retirement during a Plan Year: A Participant who terminates employment with the Company on account of Retirement during a Plan Year may be considered for a Daily Pro-Rated Incentive Compensation award in the Company’s discretion if the Participant has a minimum of six (6) full months as an active Employee during the Plan Year. The Daily Pro-Rated Incentive Compensation award will be based on year-end performance results.</w:t>
      </w:r>
    </w:p>
    <w:p>
      <w:pPr>
        <w:spacing w:after="0" w:line="195" w:lineRule="exact"/>
        <w:rPr>
          <w:rFonts w:ascii="Arial" w:cs="Arial" w:eastAsia="Arial" w:hAnsi="Arial"/>
          <w:sz w:val="20"/>
          <w:szCs w:val="20"/>
          <w:color w:val="auto"/>
        </w:rPr>
      </w:pPr>
    </w:p>
    <w:p>
      <w:pPr>
        <w:jc w:val="both"/>
        <w:ind w:left="400" w:hanging="393"/>
        <w:spacing w:after="0" w:line="259" w:lineRule="auto"/>
        <w:tabs>
          <w:tab w:leader="none" w:pos="58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Disability or death during a Plan Year: A Participant who terminates employment with the Company on account of Disability or death during a Plan Year may be considered for a Daily Pro-Rated Incentive Compensation award in the Company’s discretion. The Daily Pro-Rated Incentive Compensation award will be made as soon as administratively practicable after termination and based on a payment made “At Target.”</w:t>
      </w:r>
    </w:p>
    <w:p>
      <w:pPr>
        <w:spacing w:after="0" w:line="208" w:lineRule="exact"/>
        <w:rPr>
          <w:rFonts w:ascii="Arial" w:cs="Arial" w:eastAsia="Arial" w:hAnsi="Arial"/>
          <w:sz w:val="20"/>
          <w:szCs w:val="20"/>
          <w:color w:val="auto"/>
        </w:rPr>
      </w:pPr>
    </w:p>
    <w:p>
      <w:pPr>
        <w:jc w:val="both"/>
        <w:ind w:left="400" w:hanging="393"/>
        <w:spacing w:after="0" w:line="262" w:lineRule="auto"/>
        <w:tabs>
          <w:tab w:leader="none" w:pos="45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Unpaid leave of absence during a Plan Year: A Participant who during the Plan Year has an approved unpaid leave of absence that is not a Qualifying Leave of Absence may be considered for a Daily Pro-Rated Incentive Compensation award that excludes the period of the unpaid leave in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80"/>
          </w:cols>
          <w:pgMar w:left="580" w:top="1440" w:right="339" w:bottom="1440" w:gutter="0" w:footer="0" w:header="0"/>
        </w:sectPr>
      </w:pPr>
    </w:p>
    <w:bookmarkStart w:id="107" w:name="page108"/>
    <w:bookmarkEnd w:id="107"/>
    <w:p>
      <w:pPr>
        <w:spacing w:after="0" w:line="123" w:lineRule="exact"/>
        <w:rPr>
          <w:sz w:val="20"/>
          <w:szCs w:val="20"/>
          <w:color w:val="auto"/>
        </w:rPr>
      </w:pPr>
    </w:p>
    <w:p>
      <w:pPr>
        <w:jc w:val="both"/>
        <w:ind w:left="660" w:hanging="393"/>
        <w:spacing w:after="0" w:line="255" w:lineRule="auto"/>
        <w:tabs>
          <w:tab w:leader="none" w:pos="66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Qualifying Leave of Absence during the Plan Year: An Employee who has a Qualifying Leave of Absence during the Plan Year will be eligible to receive an Incentive Compensation payment for the Plan Year that is not pro-rated for the period of the Qualifying Leave of Absence, provided the Employee would have been a Participant but for the Qualifying Leave of Absence. Payment will be based on year-end performance results.</w:t>
      </w:r>
    </w:p>
    <w:p>
      <w:pPr>
        <w:spacing w:after="0" w:line="210" w:lineRule="exact"/>
        <w:rPr>
          <w:rFonts w:ascii="Arial" w:cs="Arial" w:eastAsia="Arial" w:hAnsi="Arial"/>
          <w:sz w:val="20"/>
          <w:szCs w:val="20"/>
          <w:color w:val="auto"/>
        </w:rPr>
      </w:pPr>
    </w:p>
    <w:p>
      <w:pPr>
        <w:ind w:left="660" w:hanging="393"/>
        <w:spacing w:after="0" w:line="286" w:lineRule="auto"/>
        <w:tabs>
          <w:tab w:leader="none" w:pos="83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Voluntary termination during the Plan Year: A Participant is not eligible for an Incentive Compensation award if the Participant voluntarily terminates employment, other than on account of Retirement, during the Plan Year.</w:t>
      </w:r>
    </w:p>
    <w:p>
      <w:pPr>
        <w:spacing w:after="0" w:line="140" w:lineRule="exact"/>
        <w:rPr>
          <w:rFonts w:ascii="Arial" w:cs="Arial" w:eastAsia="Arial" w:hAnsi="Arial"/>
          <w:sz w:val="20"/>
          <w:szCs w:val="20"/>
          <w:color w:val="auto"/>
        </w:rPr>
      </w:pPr>
    </w:p>
    <w:p>
      <w:pPr>
        <w:ind w:left="660" w:right="20" w:hanging="393"/>
        <w:spacing w:after="0" w:line="286" w:lineRule="auto"/>
        <w:tabs>
          <w:tab w:leader="none" w:pos="70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Termination for cause during a Plan Year: A Participant who is terminated for cause during the Plan Year is not eligible for an award under the Plan.</w:t>
      </w:r>
    </w:p>
    <w:p>
      <w:pPr>
        <w:spacing w:after="0" w:line="138"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Article IV.</w:t>
      </w:r>
      <w:r>
        <w:rPr>
          <w:sz w:val="20"/>
          <w:szCs w:val="20"/>
          <w:color w:val="auto"/>
        </w:rPr>
        <w:tab/>
      </w:r>
      <w:r>
        <w:rPr>
          <w:rFonts w:ascii="Arial" w:cs="Arial" w:eastAsia="Arial" w:hAnsi="Arial"/>
          <w:sz w:val="19"/>
          <w:szCs w:val="19"/>
          <w:b w:val="1"/>
          <w:bCs w:val="1"/>
          <w:color w:val="auto"/>
        </w:rPr>
        <w:t>RECOVERY OF PAYMENTS (CLAW BACK)</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Section 4.01 The Board of Directors retains the authority to make retroactive adjustments to a payment made under the Plan under the following circumstances and such other circumstances as may be specified by final regulation issued by the Securities and Exchange Commission entitling the Company to recapture or claw back amounts paid pursuant to the Plan:</w:t>
      </w:r>
    </w:p>
    <w:p>
      <w:pPr>
        <w:spacing w:after="0" w:line="205" w:lineRule="exact"/>
        <w:rPr>
          <w:sz w:val="20"/>
          <w:szCs w:val="20"/>
          <w:color w:val="auto"/>
        </w:rPr>
      </w:pPr>
    </w:p>
    <w:p>
      <w:pPr>
        <w:jc w:val="both"/>
        <w:ind w:left="660" w:hanging="393"/>
        <w:spacing w:after="0" w:line="254" w:lineRule="auto"/>
        <w:tabs>
          <w:tab w:leader="none" w:pos="74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the Board of Directors determines, after consideration of all the facts and circumstances that the Board of Directors in its sole discretion considers relevant, that either (i) the intentional misconduct or gross negligence of an Elected Officer, or (ii) the failure of an Elected Officer to report another person’s intentional misconduct or gross negligence of which the Elected Officer had knowledge, contributed to the Company having to restate all or a portion of its financial statements filed with the Securities and Exchange Commission, then the Board of Directors may require the Elected Officer to repay to the Company the value of any payment under the Plan as determined by the Board of Directors.</w:t>
      </w:r>
    </w:p>
    <w:p>
      <w:pPr>
        <w:spacing w:after="0" w:line="200" w:lineRule="exact"/>
        <w:rPr>
          <w:rFonts w:ascii="Arial" w:cs="Arial" w:eastAsia="Arial" w:hAnsi="Arial"/>
          <w:sz w:val="20"/>
          <w:szCs w:val="20"/>
          <w:color w:val="auto"/>
        </w:rPr>
      </w:pPr>
    </w:p>
    <w:p>
      <w:pPr>
        <w:jc w:val="both"/>
        <w:ind w:left="660" w:hanging="393"/>
        <w:spacing w:after="0" w:line="254" w:lineRule="auto"/>
        <w:tabs>
          <w:tab w:leader="none" w:pos="74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the Board of Directors determines, after consideration of all the facts and circumstances that the Board of Directors in its sole discretion considers relevant, that an Elected Officer either (i) engaged in fraud, bribery or other illegal act, or (ii) the Elected Officer’s intentional misconduct or gross negligence (including the failure by the Elected Officer to report the acts of another person of which the Elected Officer had knowledge) contributed to another person’s fraud, bribery or other illegal act, which in either case adversely impacted the Company’s financial position or reputation, the Board of Directors may require the Elected Officer to repay to the Company the value of any payment under the Plan as determined by the Board of Directors.</w:t>
      </w:r>
    </w:p>
    <w:p>
      <w:pPr>
        <w:spacing w:after="0" w:line="213" w:lineRule="exact"/>
        <w:rPr>
          <w:rFonts w:ascii="Arial" w:cs="Arial" w:eastAsia="Arial" w:hAnsi="Arial"/>
          <w:sz w:val="20"/>
          <w:szCs w:val="20"/>
          <w:color w:val="auto"/>
        </w:rPr>
      </w:pPr>
    </w:p>
    <w:p>
      <w:pPr>
        <w:jc w:val="both"/>
        <w:ind w:left="660" w:hanging="393"/>
        <w:spacing w:after="0" w:line="255" w:lineRule="auto"/>
        <w:tabs>
          <w:tab w:leader="none" w:pos="73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the Board of Directors determines, after consideration of all the facts and circumstances that the Board of Directors in its sole discretion considers relevant, that an Elected Officer engaged in intentional misconduct or gross negligence that caused severe reputational or financial harm to the Company, the Board of Directors may require the Elected Officer to repay to the Company the value of any payment under the Plan as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23" w:lineRule="exact"/>
        <w:rPr>
          <w:sz w:val="20"/>
          <w:szCs w:val="20"/>
          <w:color w:val="auto"/>
        </w:rPr>
      </w:pPr>
    </w:p>
    <w:p>
      <w:pPr>
        <w:jc w:val="both"/>
        <w:ind w:left="660" w:hanging="393"/>
        <w:spacing w:after="0" w:line="252" w:lineRule="auto"/>
        <w:tabs>
          <w:tab w:leader="none" w:pos="74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If the Board of Directors determines, after consideration of all the facts and circumstances that the Board of Directors in its sole discretion considers relevant, that an Elected Officer misappropriated Lockheed Martin Proprietary Information or other Sensitive Information as defined in CRX-015, and the Elected Officer either (i) intended to use the misappropriated Lockheed Martin Proprietary Information or other Sensitive Information to cause severe reputational or financial harm the Company or (ii) used the misappropriated Lockheed Martin Proprietary Information or other Sensitive Information in a manner that caused severe reputational or financial harm to the Company, the Board of Directors may require the Elected Officer to repay to the Company the value of any payment under the Plan as determined by the Board of Directors.</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To the extent permissible under applicable law, the Board of Directors may delegate its authority to make determinations under this Article IV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ADDENDUM 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PROVISIONS APPLICABLE TO EMPLOYEES OF LM AUSTRALIA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MODIFICATIONS TO THE PLAN AND EXHIBIT A</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THE PLAN</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All references to Code section 409A are inapplicable to Employees who are employed by LM Australia. Payments under the Plan will be taxed as income under local rules, inclusive of superannuation and subject to any other applicable deductions required by law or regulation.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Australia, Section 2.06 is revised in its entirety as follows:</w:t>
      </w:r>
    </w:p>
    <w:p>
      <w:pPr>
        <w:spacing w:after="0" w:line="243"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EMPLOYEE –The term “Employee” includes only those individuals that the Company classifies on its payroll records as Employees and does not include consultants, independent contractors, interns, volunteers, temporary or casual employees, individuals paid by a third party or other individuals not classified as an Employee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EXHIBIT A</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Australia, the first paragraph of Section 3.02 is revised in its entirety as follows:</w:t>
      </w:r>
    </w:p>
    <w:p>
      <w:pPr>
        <w:spacing w:after="0" w:line="243" w:lineRule="exact"/>
        <w:rPr>
          <w:sz w:val="20"/>
          <w:szCs w:val="20"/>
          <w:color w:val="auto"/>
        </w:rPr>
      </w:pPr>
    </w:p>
    <w:p>
      <w:pPr>
        <w:jc w:val="both"/>
        <w:ind w:left="660"/>
        <w:spacing w:after="0" w:line="252" w:lineRule="auto"/>
        <w:rPr>
          <w:sz w:val="20"/>
          <w:szCs w:val="20"/>
          <w:color w:val="auto"/>
        </w:rPr>
      </w:pPr>
      <w:r>
        <w:rPr>
          <w:rFonts w:ascii="Arial" w:cs="Arial" w:eastAsia="Arial" w:hAnsi="Arial"/>
          <w:sz w:val="20"/>
          <w:szCs w:val="20"/>
          <w:color w:val="auto"/>
        </w:rPr>
        <w:t>A Participant will be eligible to receive a Daily Pro-Rated Incentive Compensation payment if the Participant is in active status or on paid leave of absence through the Company’s payroll for a portion of the Plan Year and satisfies a provision described in this Section 3.02. For purposes of the foregoing, an Employee is considered to be on paid leave of absence through the Company’s payroll for the first 36 weeks of parental leave (regardless of whether any portion of the parental leave of absence began prior to the current Plan Year), with any unpaid periods of parental leave in excess of 36 weeks treated as unpaid leave. If a Participant is eligible to receive an Incentive Compensation payment pursuant to the preceding sentences of this Section 3.02, and more than one provision of this Section 3.02 applies to the Participant for the Plan Year, then all applicable provisions will be applied to calculate the Participant’s Incentive Compensation payment.</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With respect to Employees employed by LM Australia, the references in Section 3.02(f) to “layoff” or to being “laid off” mean “redundancy” or being “made redundant”.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ACKNOWLEDGEMENT AND DISCRETION</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Plan does not form part of any contract (including a contract of employment) between a Participant and the Company. Any reference to obligations or requirements of the Company in this Plan is not intended to give rise to contractual obligations binding on the Company.</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Any payment made to a Participant under this Plan does not form part of a Participant's contract of employment or annual salary for any purpose, including leave entitlements, notice and severance payments, unless otherwise provided by legislation.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ADDENDUM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PROVISIONS APPLICABLE TO EMPLOYEES OF LM CANADA</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THE PLAN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All references to the Code are inapplicable to Employees who are employed by LM Canada.</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With respect to Employees employed by LM Canada, Article VII is revised by adding the following new Section 7.03 to the end thereof:</w:t>
      </w:r>
    </w:p>
    <w:p>
      <w:pPr>
        <w:spacing w:after="0" w:line="167"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Any payment made under this Plan is a discretionary and extraordinary item of compensation that is outside a Participant’s normal, regular or expected compensation, and in no way represents any portion of a Participant’s salary, compensation or other remuneration for the purpose of calculating any payments on account of termination, severance, pay in lieu of notice, redundancy, end of service premiums or bonuses. Nothing in this Plan shall be construed to provide the Participant with any rights whatsoever to participate or to continue participation in this Plan, or to compensation or damages in lieu of participation.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EXHIBIT 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Canada, Section 2.02 is amended in its entirety as follows: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DISABILITY – Termination of employment as a result of becoming totally disabled in accordance with applicable law, including consideration of, without limitation, commencement of benefits under the Company’s long-term disability plan in which the Participant is enrolled (or, if not a Participant in a Company-sponsored long-term disability plan, under circumstances which would result in the Participant becoming eligible for benefits using the standards set forth in the Company’s long-term disability plan).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Canada, the first paragraph of Section 3.02 is revised in its entirety as follows:</w:t>
      </w:r>
    </w:p>
    <w:p>
      <w:pPr>
        <w:spacing w:after="0" w:line="25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A Participant will be eligible to receive a Daily Pro-Rated Incentive Compensation payment if the Participant is in active status or on paid leave of absence through the Company’s payroll for a portion of the Plan Year and satisfies a provision described in this Section 3.02. For purposes of the foregoing, an Employee is considered to be on paid leave of absence through the Company’s payroll for purposes of this Plan only if the Employee is receiving salary-type payments through the Company’s payroll, regardless of whether the Employee’s status in the Company’s human resources management system is identified as being on a paid leave. If a Participant is eligible to receive an Incentive Compensation payment pursuant to the preceding sentences of this Section 3.02, and more than one provision of this Section 3.02 applies to the Participant for the Plan Year, then all applicable provisions will be applied to calculate the Participant’s Incentive Compensation payment.</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With respect to Employees employed by LM Canada, Section 3.02(f) is revised by adding the following new paragraph to the end thereof:</w:t>
      </w:r>
    </w:p>
    <w:p>
      <w:pPr>
        <w:spacing w:after="0" w:line="210" w:lineRule="exact"/>
        <w:rPr>
          <w:sz w:val="20"/>
          <w:szCs w:val="20"/>
          <w:color w:val="auto"/>
        </w:rPr>
      </w:pPr>
    </w:p>
    <w:p>
      <w:pPr>
        <w:ind w:right="980"/>
        <w:spacing w:after="0" w:line="286" w:lineRule="auto"/>
        <w:rPr>
          <w:sz w:val="20"/>
          <w:szCs w:val="20"/>
          <w:color w:val="auto"/>
        </w:rPr>
      </w:pPr>
      <w:r>
        <w:rPr>
          <w:rFonts w:ascii="Arial" w:cs="Arial" w:eastAsia="Arial" w:hAnsi="Arial"/>
          <w:sz w:val="20"/>
          <w:szCs w:val="20"/>
          <w:color w:val="auto"/>
        </w:rPr>
        <w:t>For the purposes of this provision, a Participant shall be considered to have been laid off or to have been involuntarily terminated effective as of the date stated in the notice of termination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6"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Company to the Participant and shall not be extended by and shall not include any period following such termination date in which the Participant is in receipt of, or entitled to receive, statutory, contractual or common law notice of termination or pay in lieu of such notice, except to the minimum extent required by applicable employment standards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80"/>
          </w:cols>
          <w:pgMar w:left="320" w:top="1440" w:right="599" w:bottom="1440" w:gutter="0" w:footer="0" w:header="0"/>
        </w:sectPr>
      </w:pPr>
    </w:p>
    <w:bookmarkStart w:id="112" w:name="page113"/>
    <w:bookmarkEnd w:id="112"/>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ADDENDUM III</w:t>
      </w:r>
    </w:p>
    <w:p>
      <w:pPr>
        <w:spacing w:after="0" w:line="243"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PROVISIONS APPLICABLE TO EMPLOYEES OF LOCKHEED MARTIN UK</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THE PLAN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All references to the Code are inapplicable to Employees who are employed by Lockheed Martin UK Limited (“LM UK”).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2.06 is revised in its entirety as follows:</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color w:val="auto"/>
        </w:rPr>
        <w:t>EMPLOYEE – Any person who is employed by LM UK and does not include consultants, independent contractors, students, interns, temporary or casual employees, zero hours workers or other individuals not classified by LM UK as its employee except where such an individual is entitled by law to not to be treated less favorably than a comparable permanent employee.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5.04 is revised in its entirety as follows:</w:t>
      </w:r>
    </w:p>
    <w:p>
      <w:pPr>
        <w:spacing w:after="0" w:line="256"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20"/>
          <w:szCs w:val="20"/>
          <w:color w:val="auto"/>
        </w:rPr>
        <w:t>Incentive Compensation payments under the Plan will be paid to each Participant through payroll not later than March 30 following the Plan Year (the “Payment 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5.06 is revised in its entirety as follows:</w:t>
      </w:r>
    </w:p>
    <w:p>
      <w:pPr>
        <w:spacing w:after="0" w:line="243"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All Incentive Compensation payments made under the Plan shall be non-pensionable and shall be subject to PAYE and National Insurance and any other applicable deductions through the payroll. This does not affect the Employee’s ability to make additional voluntary pension contributions.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7.02 is revised in its entirety as follows: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20"/>
          <w:szCs w:val="20"/>
          <w:color w:val="auto"/>
        </w:rPr>
        <w:t>This Plan does not form a part of the Participant’s contract of employment, or constitute an employment agreement or benefit of any kind, or a promise of employment for a specific term (including the Plan Year) and does not alter the nature of a Participant’s employment with the Company, which may be terminated by the Company or a Participant in accordance with the Participant’s contract of employment.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EXHIBIT A</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second paragraph of Article I is revised in its entirety as follows:</w:t>
      </w:r>
    </w:p>
    <w:p>
      <w:pPr>
        <w:spacing w:after="0" w:line="243" w:lineRule="exact"/>
        <w:rPr>
          <w:sz w:val="20"/>
          <w:szCs w:val="20"/>
          <w:color w:val="auto"/>
        </w:rPr>
      </w:pPr>
    </w:p>
    <w:p>
      <w:pPr>
        <w:jc w:val="both"/>
        <w:ind w:left="660"/>
        <w:spacing w:after="0" w:line="258" w:lineRule="auto"/>
        <w:rPr>
          <w:sz w:val="20"/>
          <w:szCs w:val="20"/>
          <w:color w:val="auto"/>
        </w:rPr>
      </w:pPr>
      <w:r>
        <w:rPr>
          <w:rFonts w:ascii="Arial" w:cs="Arial" w:eastAsia="Arial" w:hAnsi="Arial"/>
          <w:sz w:val="20"/>
          <w:szCs w:val="20"/>
          <w:color w:val="auto"/>
        </w:rPr>
        <w:t>Participants whose individual performance is determined to be unacceptable are not eligible to receive Incentive Compensation awards, and Participants who are employed by LM UK will not be eligible to receive an Incentive Compensation award if they are subject to LM UK’s disciplinary procedure or a performance improvement plan or are under notice of termination of employment (except where termination is by reason of Redundancy or Disability) at the Payment Date.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2.02 is revised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DISABILITY – Termination of employment for capability on the grounds of ill-health.</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2.05 is revised in its entirety as follows: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RETIREMENT – Retirement under the terms of a Company-sponsored pension plan or, for Employees who do not participate in a pension plan, termination from employment with the Company following the attainment of age 55.</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new Section 2.06 is added as follows: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LTD BENEFITS – The payments that are made under the Company’s long-term disability plan.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3.01 is revised in its entirety as follows:</w:t>
      </w:r>
    </w:p>
    <w:p>
      <w:pPr>
        <w:spacing w:after="0" w:line="256" w:lineRule="exact"/>
        <w:rPr>
          <w:sz w:val="20"/>
          <w:szCs w:val="20"/>
          <w:color w:val="auto"/>
        </w:rPr>
      </w:pPr>
    </w:p>
    <w:p>
      <w:pPr>
        <w:jc w:val="both"/>
        <w:ind w:left="660"/>
        <w:spacing w:after="0" w:line="251" w:lineRule="auto"/>
        <w:rPr>
          <w:sz w:val="20"/>
          <w:szCs w:val="20"/>
          <w:color w:val="auto"/>
        </w:rPr>
      </w:pPr>
      <w:r>
        <w:rPr>
          <w:rFonts w:ascii="Arial" w:cs="Arial" w:eastAsia="Arial" w:hAnsi="Arial"/>
          <w:sz w:val="20"/>
          <w:szCs w:val="20"/>
          <w:color w:val="auto"/>
        </w:rPr>
        <w:t>In general, an Employee must be a Participant on the business day coincident with or next following their Business Area’s first job action of the Plan Year and through December 31 of the Plan Year to receive a full Incentive Compensation payment for the Plan Year, and a Participant will be eligible to receive an Incentive Compensation payment if the Participant is a Participant for a portion of the Plan Year and satisfies a provision described Section 3.02. For purposes of the foregoing, an Employee will not be eligible for an Incentive Compensation award with respect to any period of leave of absence (whether paid or unpaid) in excess of 26 weeks (regardless of whether the leave of absence began prior to the current Plan Year).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Section 3.02(f) is revised in its entirety as follows:</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color w:val="auto"/>
        </w:rPr>
        <w:t>Redundancy during a Plan Year: A Participant who terminates employment with the Company on account of redundancy during a Plan Year may be considered for a Daily Pro-Rated Incentive Compensation award in the Company’s discretion if the Participant has a minimum of six (6) months as a Participant during the Plan Year. The pro-rated award will be based on a payment made “At Target.”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employed by LM UK, new Section 3.02(m) is added as follows:</w:t>
      </w:r>
    </w:p>
    <w:p>
      <w:pPr>
        <w:spacing w:after="0" w:line="270" w:lineRule="exact"/>
        <w:rPr>
          <w:sz w:val="20"/>
          <w:szCs w:val="20"/>
          <w:color w:val="auto"/>
        </w:rPr>
      </w:pPr>
    </w:p>
    <w:p>
      <w:pPr>
        <w:jc w:val="both"/>
        <w:ind w:left="660"/>
        <w:spacing w:after="0" w:line="265" w:lineRule="auto"/>
        <w:rPr>
          <w:sz w:val="20"/>
          <w:szCs w:val="20"/>
          <w:color w:val="auto"/>
        </w:rPr>
      </w:pPr>
      <w:r>
        <w:rPr>
          <w:rFonts w:ascii="Arial" w:cs="Arial" w:eastAsia="Arial" w:hAnsi="Arial"/>
          <w:sz w:val="20"/>
          <w:szCs w:val="20"/>
          <w:color w:val="auto"/>
        </w:rPr>
        <w:t>LTD Benefits during a Plan Year: A Participant is not eligible for an Incentive Compensation award with respect to any part of a Plan Year for which they are receiving LTD Benefits but will receive a Daily Pro-Rated Incentive Compensation award for the remainder of the year that they are not in receipt of LTD Benefits and otherwise eligible for an Incentive Compensation payment under another provision of this Section 3.02. Where the Participant’s performance has not been evaluated, the individual component of the Daily Pro-Rated award will be based on a payment made “At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ADDENDUM IV</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PROVISIONS APPLICABLE TO LOCKHEED MARTIN EMPLOYEES IN TÜRKIYE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MODIFICATIONS TO EXHIBIT A</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Employees who are residents in Türkiye, a new Section 3.02(n) is added as follows:</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Notwithstanding any provision to the contrary in subsections (f)(iii), (g), or (l) of Section 3.02, a Participant who has a termination of employment for any reason shall be eligible for a Daily Pro-Rated Incentive Compensation award. The Daily Pro-Rated Incentive Compensation award will be made as soon as administratively practicable after termination and based on a payment made “At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00" w:lineRule="exact"/>
        <w:rPr>
          <w:sz w:val="20"/>
          <w:szCs w:val="20"/>
          <w:color w:val="auto"/>
        </w:rPr>
      </w:pPr>
    </w:p>
    <w:p>
      <w:pPr>
        <w:spacing w:after="0" w:line="25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are aware of the incorporation by reference of our report dated April 23, 2026, relating to the unaudited consolidated interim financial statements of Lockheed Martin Corporation that is included in its Form 10-Q for the quarter ended March 29, 2026, in the following Registration Statements of Lockheed Martin Corporation:</w:t>
      </w:r>
    </w:p>
    <w:p>
      <w:pPr>
        <w:spacing w:after="0" w:line="198"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333-92363 on Form S-8;</w:t>
      </w:r>
    </w:p>
    <w:p>
      <w:pPr>
        <w:spacing w:after="0" w:line="27"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333-115357 on Form S-8;</w:t>
      </w:r>
    </w:p>
    <w:p>
      <w:pPr>
        <w:ind w:left="660" w:hanging="328"/>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333-155687 on Form S-8;</w:t>
      </w: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333-188118 on Form S-8;</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333-195466 on Form S-8;</w:t>
      </w:r>
    </w:p>
    <w:p>
      <w:pPr>
        <w:ind w:left="660" w:hanging="328"/>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333-237829, 333-237831, and 333-237832 on Form S-8;</w:t>
      </w: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333-271323 on Form S-8;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333-271325 on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ectPr>
          <w:pgSz w:w="11900" w:h="16838" w:orient="portrait"/>
          <w:cols w:equalWidth="0" w:num="1">
            <w:col w:w="11240"/>
          </w:cols>
          <w:pgMar w:left="320" w:top="93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5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JAMES D. TAICLET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James D. Taiclet, certify that:</w:t>
      </w:r>
    </w:p>
    <w:p>
      <w:pPr>
        <w:spacing w:after="0" w:line="225"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6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40" w:hanging="324"/>
        <w:spacing w:after="0" w:line="268" w:lineRule="auto"/>
        <w:tabs>
          <w:tab w:leader="none" w:pos="96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7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324"/>
        <w:spacing w:after="0" w:line="268" w:lineRule="auto"/>
        <w:tabs>
          <w:tab w:leader="none" w:pos="96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6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87" w:lineRule="auto"/>
        <w:tabs>
          <w:tab w:leader="none" w:pos="96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17780</wp:posOffset>
            </wp:positionV>
            <wp:extent cx="19627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April 23, 2026</w:t>
      </w:r>
    </w:p>
    <w:p>
      <w:pPr>
        <w:sectPr>
          <w:pgSz w:w="11900" w:h="16838" w:orient="portrait"/>
          <w:cols w:equalWidth="0" w:num="1">
            <w:col w:w="11240"/>
          </w:cols>
          <w:pgMar w:left="320" w:top="93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EVAN T. SCOTT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Evan T. Scott, certify that:</w:t>
      </w:r>
    </w:p>
    <w:p>
      <w:pPr>
        <w:spacing w:after="0" w:line="225"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6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40" w:hanging="324"/>
        <w:spacing w:after="0" w:line="268" w:lineRule="auto"/>
        <w:tabs>
          <w:tab w:leader="none" w:pos="96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7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324"/>
        <w:spacing w:after="0" w:line="268" w:lineRule="auto"/>
        <w:tabs>
          <w:tab w:leader="none" w:pos="96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6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87" w:lineRule="auto"/>
        <w:tabs>
          <w:tab w:leader="none" w:pos="96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Evan T.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Evan T. Scott</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April 23, 2026</w:t>
      </w:r>
    </w:p>
    <w:p>
      <w:pPr>
        <w:sectPr>
          <w:pgSz w:w="11900" w:h="16838" w:orient="portrait"/>
          <w:cols w:equalWidth="0" w:num="1">
            <w:col w:w="11240"/>
          </w:cols>
          <w:pgMar w:left="320" w:top="931" w:right="339" w:bottom="1440" w:gutter="0" w:footer="0" w:header="0"/>
        </w:sectPr>
      </w:pPr>
    </w:p>
    <w:bookmarkStart w:id="118" w:name="page119"/>
    <w:bookmarkEnd w:id="118"/>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 OF JAMES D. TAICLET AND EVAN T. SCOTT PURSUANT TO 18 U.S.C. SECTION 1350, AS ADOPTED PURSUANT TO SECTION 906 OF THE SARBANES-OXLEY ACT OF 2002</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Lockheed Martin Corporation (the “Corporation”) on Form 10-Q for the period ended March 29, 2026, as filed with the U.S. Securities and Exchange Commission on the date hereof (the “Report”), I, James D. Taiclet, Chief Executive Officer of the Corporation, and I, Evan T. Scott, Chief Financial Officer of the Corporation, each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980" w:hanging="486"/>
        <w:spacing w:after="0" w:line="266" w:lineRule="auto"/>
        <w:tabs>
          <w:tab w:leader="none" w:pos="9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8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Evan T.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Evan T. Scott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lowerLetter"/>
      <w:start w:val="1"/>
    </w:lvl>
  </w:abstractNum>
  <w:abstractNum w:abstractNumId="3">
    <w:nsid w:val="180115BE"/>
    <w:multiLevelType w:val="hybridMultilevel"/>
    <w:lvl w:ilvl="0">
      <w:lvlJc w:val="left"/>
      <w:lvlText w:val="(%1)"/>
      <w:numFmt w:val="lowerLetter"/>
      <w:start w:val="1"/>
    </w:lvl>
  </w:abstractNum>
  <w:abstractNum w:abstractNumId="4">
    <w:nsid w:val="235BA861"/>
    <w:multiLevelType w:val="hybridMultilevel"/>
    <w:lvl w:ilvl="0">
      <w:lvlJc w:val="left"/>
      <w:lvlText w:val="(%1)"/>
      <w:numFmt w:val="lowerLetter"/>
      <w:start w:val="1"/>
    </w:lvl>
  </w:abstractNum>
  <w:abstractNum w:abstractNumId="5">
    <w:nsid w:val="47398C89"/>
    <w:multiLevelType w:val="hybridMultilevel"/>
    <w:lvl w:ilvl="0">
      <w:lvlJc w:val="left"/>
      <w:lvlText w:val="(%1)"/>
      <w:numFmt w:val="lowerLetter"/>
      <w:start w:val="1"/>
    </w:lvl>
  </w:abstractNum>
  <w:abstractNum w:abstractNumId="6">
    <w:nsid w:val="354FE9F9"/>
    <w:multiLevelType w:val="hybridMultilevel"/>
    <w:lvl w:ilvl="0">
      <w:lvlJc w:val="left"/>
      <w:lvlText w:val="\endash "/>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1)"/>
      <w:numFmt w:val="lowerLetter"/>
      <w:start w:val="1"/>
    </w:lvl>
  </w:abstractNum>
  <w:abstractNum w:abstractNumId="10">
    <w:nsid w:val="10233C99"/>
    <w:multiLevelType w:val="hybridMultilevel"/>
    <w:lvl w:ilvl="0">
      <w:lvlJc w:val="left"/>
      <w:lvlText w:val="%1"/>
      <w:numFmt w:val="decimal"/>
      <w:start w:val="15"/>
    </w:lvl>
  </w:abstractNum>
  <w:abstractNum w:abstractNumId="11">
    <w:nsid w:val="3F6AB60F"/>
    <w:multiLevelType w:val="hybridMultilevel"/>
    <w:lvl w:ilvl="0">
      <w:lvlJc w:val="left"/>
      <w:lvlText w:val="%1"/>
      <w:numFmt w:val="decimal"/>
      <w:start w:val="32"/>
    </w:lvl>
  </w:abstractNum>
  <w:abstractNum w:abstractNumId="12">
    <w:nsid w:val="61574095"/>
    <w:multiLevelType w:val="hybridMultilevel"/>
    <w:lvl w:ilvl="0">
      <w:lvlJc w:val="left"/>
      <w:lvlText w:val="%1"/>
      <w:numFmt w:val="decimal"/>
      <w:start w:val="104"/>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2"/>
    </w:lvl>
  </w:abstractNum>
  <w:abstractNum w:abstractNumId="15">
    <w:nsid w:val="579BE4F1"/>
    <w:multiLevelType w:val="hybridMultilevel"/>
    <w:lvl w:ilvl="0">
      <w:lvlJc w:val="left"/>
      <w:lvlText w:val="%1."/>
      <w:numFmt w:val="decimal"/>
      <w:start w:val="3"/>
    </w:lvl>
  </w:abstractNum>
  <w:abstractNum w:abstractNumId="16">
    <w:nsid w:val="310C50B3"/>
    <w:multiLevelType w:val="hybridMultilevel"/>
    <w:lvl w:ilvl="0">
      <w:lvlJc w:val="left"/>
      <w:lvlText w:val="(%1)"/>
      <w:numFmt w:val="lowerRoman"/>
      <w:start w:val="2"/>
    </w:lvl>
  </w:abstractNum>
  <w:abstractNum w:abstractNumId="17">
    <w:nsid w:val="5FF87E05"/>
    <w:multiLevelType w:val="hybridMultilevel"/>
    <w:lvl w:ilvl="0">
      <w:lvlJc w:val="left"/>
      <w:lvlText w:val="%1."/>
      <w:numFmt w:val="decimal"/>
      <w:start w:val="4"/>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Roman"/>
      <w:start w:val="1"/>
    </w:lvl>
  </w:abstractNum>
  <w:abstractNum w:abstractNumId="20">
    <w:nsid w:val="1DBABF00"/>
    <w:multiLevelType w:val="hybridMultilevel"/>
    <w:lvl w:ilvl="0">
      <w:lvlJc w:val="left"/>
      <w:lvlText w:val="(%1)"/>
      <w:numFmt w:val="lowerLetter"/>
      <w:start w:val="2"/>
    </w:lvl>
  </w:abstractNum>
  <w:abstractNum w:abstractNumId="21">
    <w:nsid w:val="4AD084E9"/>
    <w:multiLevelType w:val="hybridMultilevel"/>
    <w:lvl w:ilvl="0">
      <w:lvlJc w:val="left"/>
      <w:lvlText w:val="(%1)"/>
      <w:numFmt w:val="lowerLetter"/>
      <w:start w:val="3"/>
    </w:lvl>
  </w:abstractNum>
  <w:abstractNum w:abstractNumId="22">
    <w:nsid w:val="1F48EAA1"/>
    <w:multiLevelType w:val="hybridMultilevel"/>
    <w:lvl w:ilvl="0">
      <w:lvlJc w:val="left"/>
      <w:lvlText w:val="%1."/>
      <w:numFmt w:val="decimal"/>
      <w:start w:val="5"/>
    </w:lvl>
  </w:abstractNum>
  <w:abstractNum w:abstractNumId="23">
    <w:nsid w:val="1381823A"/>
    <w:multiLevelType w:val="hybridMultilevel"/>
    <w:lvl w:ilvl="0">
      <w:lvlJc w:val="left"/>
      <w:lvlText w:val="%1."/>
      <w:numFmt w:val="decimal"/>
      <w:start w:val="6"/>
    </w:lvl>
  </w:abstractNum>
  <w:abstractNum w:abstractNumId="24">
    <w:nsid w:val="5DB70AE5"/>
    <w:multiLevelType w:val="hybridMultilevel"/>
    <w:lvl w:ilvl="0">
      <w:lvlJc w:val="left"/>
      <w:lvlText w:val="%1"/>
      <w:numFmt w:val="lowerLetter"/>
      <w:start w:val="1"/>
    </w:lvl>
    <w:lvl w:ilvl="1">
      <w:lvlJc w:val="left"/>
      <w:lvlText w:val="(%2)"/>
      <w:numFmt w:val="lowerLetter"/>
      <w:start w:val="1"/>
    </w:lvl>
  </w:abstractNum>
  <w:abstractNum w:abstractNumId="25">
    <w:nsid w:val="100F8FCA"/>
    <w:multiLevelType w:val="hybridMultilevel"/>
    <w:lvl w:ilvl="0">
      <w:lvlJc w:val="left"/>
      <w:lvlText w:val="(%1)"/>
      <w:numFmt w:val="lowerLetter"/>
      <w:start w:val="2"/>
    </w:lvl>
    <w:lvl w:ilvl="1">
      <w:lvlJc w:val="left"/>
      <w:lvlText w:val="%2"/>
      <w:numFmt w:val="lowerLetter"/>
      <w:start w:val="1"/>
    </w:lvl>
  </w:abstractNum>
  <w:abstractNum w:abstractNumId="26">
    <w:nsid w:val="6590700B"/>
    <w:multiLevelType w:val="hybridMultilevel"/>
    <w:lvl w:ilvl="0">
      <w:lvlJc w:val="left"/>
      <w:lvlText w:val="(%1)"/>
      <w:numFmt w:val="lowerLetter"/>
      <w:start w:val="3"/>
    </w:lvl>
  </w:abstractNum>
  <w:abstractNum w:abstractNumId="27">
    <w:nsid w:val="15014ACB"/>
    <w:multiLevelType w:val="hybridMultilevel"/>
    <w:lvl w:ilvl="0">
      <w:lvlJc w:val="left"/>
      <w:lvlText w:val="%1."/>
      <w:numFmt w:val="decimal"/>
      <w:start w:val="7"/>
    </w:lvl>
  </w:abstractNum>
  <w:abstractNum w:abstractNumId="28">
    <w:nsid w:val="5F5E7FD0"/>
    <w:multiLevelType w:val="hybridMultilevel"/>
    <w:lvl w:ilvl="0">
      <w:lvlJc w:val="left"/>
      <w:lvlText w:val="(%1)"/>
      <w:numFmt w:val="lowerLetter"/>
      <w:start w:val="1"/>
    </w:lvl>
    <w:lvl w:ilvl="1">
      <w:lvlJc w:val="left"/>
      <w:lvlText w:val="(%2)"/>
      <w:numFmt w:val="lowerRoman"/>
      <w:start w:val="1"/>
    </w:lvl>
  </w:abstractNum>
  <w:abstractNum w:abstractNumId="29">
    <w:nsid w:val="98A3148"/>
    <w:multiLevelType w:val="hybridMultilevel"/>
    <w:lvl w:ilvl="0">
      <w:lvlJc w:val="left"/>
      <w:lvlText w:val="(%1)"/>
      <w:numFmt w:val="lowerLetter"/>
      <w:start w:val="2"/>
    </w:lvl>
    <w:lvl w:ilvl="1">
      <w:lvlJc w:val="left"/>
      <w:lvlText w:val="(%2)"/>
      <w:numFmt w:val="lowerRoman"/>
      <w:start w:val="1"/>
    </w:lvl>
  </w:abstractNum>
  <w:abstractNum w:abstractNumId="30">
    <w:nsid w:val="799D0247"/>
    <w:multiLevelType w:val="hybridMultilevel"/>
    <w:lvl w:ilvl="0">
      <w:lvlJc w:val="left"/>
      <w:lvlText w:val="%1."/>
      <w:numFmt w:val="decimal"/>
      <w:start w:val="8"/>
    </w:lvl>
  </w:abstractNum>
  <w:abstractNum w:abstractNumId="31">
    <w:nsid w:val="6B94764"/>
    <w:multiLevelType w:val="hybridMultilevel"/>
    <w:lvl w:ilvl="0">
      <w:lvlJc w:val="left"/>
      <w:lvlText w:val="%1."/>
      <w:numFmt w:val="decimal"/>
      <w:start w:val="9"/>
    </w:lvl>
  </w:abstractNum>
  <w:abstractNum w:abstractNumId="32">
    <w:nsid w:val="42C296BD"/>
    <w:multiLevelType w:val="hybridMultilevel"/>
    <w:lvl w:ilvl="0">
      <w:lvlJc w:val="left"/>
      <w:lvlText w:val="%1."/>
      <w:numFmt w:val="decimal"/>
      <w:start w:val="10"/>
    </w:lvl>
  </w:abstractNum>
  <w:abstractNum w:abstractNumId="33">
    <w:nsid w:val="168E121F"/>
    <w:multiLevelType w:val="hybridMultilevel"/>
    <w:lvl w:ilvl="0">
      <w:lvlJc w:val="left"/>
      <w:lvlText w:val="%1."/>
      <w:numFmt w:val="decimal"/>
      <w:start w:val="11"/>
    </w:lvl>
  </w:abstractNum>
  <w:abstractNum w:abstractNumId="34">
    <w:nsid w:val="1EBA5D23"/>
    <w:multiLevelType w:val="hybridMultilevel"/>
    <w:lvl w:ilvl="0">
      <w:lvlJc w:val="left"/>
      <w:lvlText w:val="%1."/>
      <w:numFmt w:val="decimal"/>
      <w:start w:val="12"/>
    </w:lvl>
  </w:abstractNum>
  <w:abstractNum w:abstractNumId="35">
    <w:nsid w:val="661E3F1E"/>
    <w:multiLevelType w:val="hybridMultilevel"/>
    <w:lvl w:ilvl="0">
      <w:lvlJc w:val="left"/>
      <w:lvlText w:val="%1."/>
      <w:numFmt w:val="decimal"/>
      <w:start w:val="13"/>
    </w:lvl>
    <w:lvl w:ilvl="1">
      <w:lvlJc w:val="left"/>
      <w:lvlText w:val="(%2)"/>
      <w:numFmt w:val="lowerLetter"/>
      <w:start w:val="1"/>
    </w:lvl>
  </w:abstractNum>
  <w:abstractNum w:abstractNumId="36">
    <w:nsid w:val="5DC79EA8"/>
    <w:multiLevelType w:val="hybridMultilevel"/>
    <w:lvl w:ilvl="0">
      <w:lvlJc w:val="left"/>
      <w:lvlText w:val="(%1)"/>
      <w:numFmt w:val="lowerLetter"/>
      <w:start w:val="10"/>
    </w:lvl>
  </w:abstractNum>
  <w:abstractNum w:abstractNumId="37">
    <w:nsid w:val="540A471C"/>
    <w:multiLevelType w:val="hybridMultilevel"/>
    <w:lvl w:ilvl="0">
      <w:lvlJc w:val="left"/>
      <w:lvlText w:val="%1."/>
      <w:numFmt w:val="decimal"/>
      <w:start w:val="14"/>
    </w:lvl>
  </w:abstractNum>
  <w:abstractNum w:abstractNumId="38">
    <w:nsid w:val="7BD3EE7B"/>
    <w:multiLevelType w:val="hybridMultilevel"/>
    <w:lvl w:ilvl="0">
      <w:lvlJc w:val="left"/>
      <w:lvlText w:val="%1."/>
      <w:numFmt w:val="decimal"/>
      <w:start w:val="15"/>
    </w:lvl>
  </w:abstractNum>
  <w:abstractNum w:abstractNumId="39">
    <w:nsid w:val="51D9C564"/>
    <w:multiLevelType w:val="hybridMultilevel"/>
    <w:lvl w:ilvl="0">
      <w:lvlJc w:val="left"/>
      <w:lvlText w:val="%1."/>
      <w:numFmt w:val="decimal"/>
      <w:start w:val="16"/>
    </w:lvl>
  </w:abstractNum>
  <w:abstractNum w:abstractNumId="40">
    <w:nsid w:val="613EFDC5"/>
    <w:multiLevelType w:val="hybridMultilevel"/>
    <w:lvl w:ilvl="0">
      <w:lvlJc w:val="left"/>
      <w:lvlText w:val="%1."/>
      <w:numFmt w:val="decimal"/>
      <w:start w:val="17"/>
    </w:lvl>
  </w:abstractNum>
  <w:abstractNum w:abstractNumId="41">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11447B73"/>
    <w:multiLevelType w:val="hybridMultilevel"/>
    <w:lvl w:ilvl="0">
      <w:lvlJc w:val="left"/>
      <w:lvlText w:val="(%1)"/>
      <w:numFmt w:val="lowerRoman"/>
      <w:start w:val="3"/>
    </w:lvl>
    <w:lvl w:ilvl="1">
      <w:lvlJc w:val="left"/>
      <w:lvlText w:val="%2."/>
      <w:numFmt w:val="lowerLetter"/>
      <w:start w:val="1"/>
    </w:lvl>
  </w:abstractNum>
  <w:abstractNum w:abstractNumId="43">
    <w:nsid w:val="42963E5A"/>
    <w:multiLevelType w:val="hybridMultilevel"/>
    <w:lvl w:ilvl="0">
      <w:lvlJc w:val="left"/>
      <w:lvlText w:val="(%1)"/>
      <w:numFmt w:val="lowerLetter"/>
      <w:start w:val="2"/>
    </w:lvl>
  </w:abstractNum>
  <w:abstractNum w:abstractNumId="44">
    <w:nsid w:val="A0382C5"/>
    <w:multiLevelType w:val="hybridMultilevel"/>
    <w:lvl w:ilvl="0">
      <w:lvlJc w:val="left"/>
      <w:lvlText w:val="(%1)"/>
      <w:numFmt w:val="lowerLetter"/>
      <w:start w:val="3"/>
    </w:lvl>
    <w:lvl w:ilvl="1">
      <w:lvlJc w:val="left"/>
      <w:lvlText w:val="(%2)"/>
      <w:numFmt w:val="lowerRoman"/>
      <w:start w:val="1"/>
    </w:lvl>
  </w:abstractNum>
  <w:abstractNum w:abstractNumId="45">
    <w:nsid w:val="8F2B15E"/>
    <w:multiLevelType w:val="hybridMultilevel"/>
    <w:lvl w:ilvl="0">
      <w:lvlJc w:val="left"/>
      <w:lvlText w:val="(%1)"/>
      <w:numFmt w:val="lowerLetter"/>
      <w:start w:val="5"/>
    </w:lvl>
    <w:lvl w:ilvl="1">
      <w:lvlJc w:val="left"/>
      <w:lvlText w:val="(%2)"/>
      <w:numFmt w:val="lowerRoman"/>
      <w:start w:val="1"/>
    </w:lvl>
  </w:abstractNum>
  <w:abstractNum w:abstractNumId="46">
    <w:nsid w:val="1A32234B"/>
    <w:multiLevelType w:val="hybridMultilevel"/>
    <w:lvl w:ilvl="0">
      <w:lvlJc w:val="left"/>
      <w:lvlText w:val="(%1)"/>
      <w:numFmt w:val="lowerRoman"/>
      <w:start w:val="2"/>
    </w:lvl>
  </w:abstractNum>
  <w:abstractNum w:abstractNumId="47">
    <w:nsid w:val="3B0FD3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8">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9">
    <w:nsid w:val="496281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
    <w:nsid w:val="60B6DF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6A5EE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2">
    <w:nsid w:val="1433062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3">
    <w:nsid w:val="7FFFCA1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4">
    <w:nsid w:val="1A27709E"/>
    <w:multiLevelType w:val="hybridMultilevel"/>
    <w:lvl w:ilvl="0">
      <w:lvlJc w:val="left"/>
      <w:lvlText w:val="(%1)"/>
      <w:numFmt w:val="lowerLetter"/>
      <w:start w:val="6"/>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2"/>
    </w:lvl>
  </w:abstractNum>
  <w:abstractNum w:abstractNumId="57">
    <w:nsid w:val="7FB7E0AA"/>
    <w:multiLevelType w:val="hybridMultilevel"/>
    <w:lvl w:ilvl="0">
      <w:lvlJc w:val="left"/>
      <w:lvlText w:val="%1."/>
      <w:numFmt w:val="decimal"/>
      <w:start w:val="3"/>
    </w:lvl>
  </w:abstractNum>
  <w:abstractNum w:abstractNumId="58">
    <w:nsid w:val="6EB5BD4"/>
    <w:multiLevelType w:val="hybridMultilevel"/>
    <w:lvl w:ilvl="0">
      <w:lvlJc w:val="left"/>
      <w:lvlText w:val="%1."/>
      <w:numFmt w:val="decimal"/>
      <w:start w:val="4"/>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3"/>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2"/>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lowerLetter"/>
      <w:start w:val="2"/>
    </w:lvl>
  </w:abstractNum>
  <w:abstractNum w:abstractNumId="65">
    <w:nsid w:val="14E17E33"/>
    <w:multiLevelType w:val="hybridMultilevel"/>
    <w:lvl w:ilvl="0">
      <w:lvlJc w:val="left"/>
      <w:lvlText w:val="(%1)"/>
      <w:numFmt w:val="lowerLetter"/>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1"/>
    </w:lvl>
    <w:lvl w:ilvl="1">
      <w:lvlJc w:val="left"/>
      <w:lvlText w:val="(%2)"/>
      <w:numFmt w:val="lowerRoman"/>
      <w:start w:val="1"/>
    </w:lvl>
  </w:abstractNum>
  <w:abstractNum w:abstractNumId="69">
    <w:nsid w:val="2DF6D648"/>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70">
    <w:nsid w:val="46B7D447"/>
    <w:multiLevelType w:val="hybridMultilevel"/>
    <w:lvl w:ilvl="0">
      <w:lvlJc w:val="left"/>
      <w:lvlText w:val="(%1)"/>
      <w:numFmt w:val="lowerLetter"/>
      <w:start w:val="1"/>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lowerLetter"/>
      <w:start w:val="1"/>
    </w:lvl>
  </w:abstractNum>
  <w:abstractNum w:abstractNumId="73">
    <w:nsid w:val="57FC4FBB"/>
    <w:multiLevelType w:val="hybridMultilevel"/>
    <w:lvl w:ilvl="0">
      <w:lvlJc w:val="left"/>
      <w:lvlText w:val="(%1)"/>
      <w:numFmt w:val="lowerLetter"/>
      <w:start w:val="1"/>
    </w:lvl>
    <w:lvl w:ilvl="1">
      <w:lvlJc w:val="left"/>
      <w:lvlText w:val="(%2)"/>
      <w:numFmt w:val="lowerRoman"/>
      <w:start w:val="1"/>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7"/>
    </w:lvl>
  </w:abstractNum>
  <w:abstractNum w:abstractNumId="76">
    <w:nsid w:val="60EF0119"/>
    <w:multiLevelType w:val="hybridMultilevel"/>
    <w:lvl w:ilvl="0">
      <w:lvlJc w:val="left"/>
      <w:lvlText w:val="(%1)"/>
      <w:numFmt w:val="lowerRoman"/>
      <w:start w:val="1"/>
    </w:lvl>
  </w:abstractNum>
  <w:abstractNum w:abstractNumId="77">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7F01579B"/>
    <w:multiLevelType w:val="hybridMultilevel"/>
    <w:lvl w:ilvl="0">
      <w:lvlJc w:val="left"/>
      <w:lvlText w:val="(%1)"/>
      <w:numFmt w:val="lowerLetter"/>
      <w:start w:val="61"/>
    </w:lvl>
    <w:lvl w:ilvl="1">
      <w:lvlJc w:val="left"/>
      <w:lvlText w:val="(%2)"/>
      <w:numFmt w:val="lowerLetter"/>
      <w:start w:val="1"/>
    </w:lvl>
  </w:abstractNum>
  <w:abstractNum w:abstractNumId="79">
    <w:nsid w:val="49DA307D"/>
    <w:multiLevelType w:val="hybridMultilevel"/>
    <w:lvl w:ilvl="0">
      <w:lvlJc w:val="left"/>
      <w:lvlText w:val="(%1)"/>
      <w:numFmt w:val="lowerLetter"/>
      <w:start w:val="2"/>
    </w:lvl>
  </w:abstractNum>
  <w:abstractNum w:abstractNumId="80">
    <w:nsid w:val="7055A5F5"/>
    <w:multiLevelType w:val="hybridMultilevel"/>
    <w:lvl w:ilvl="0">
      <w:lvlJc w:val="left"/>
      <w:lvlText w:val="(%1)"/>
      <w:numFmt w:val="lowerLetter"/>
      <w:start w:val="3"/>
    </w:lvl>
    <w:lvl w:ilvl="1">
      <w:lvlJc w:val="left"/>
      <w:lvlText w:val="(%2)"/>
      <w:numFmt w:val="lowerRoman"/>
      <w:start w:val="1"/>
    </w:lvl>
  </w:abstractNum>
  <w:abstractNum w:abstractNumId="81">
    <w:nsid w:val="5FB8370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2">
    <w:nsid w:val="50801EE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488AC1A"/>
    <w:multiLevelType w:val="hybridMultilevel"/>
    <w:lvl w:ilvl="0">
      <w:lvlJc w:val="left"/>
      <w:lvlText w:val="(%1)"/>
      <w:numFmt w:val="lowerRoman"/>
      <w:start w:val="2"/>
    </w:lvl>
  </w:abstractNum>
  <w:abstractNum w:abstractNumId="84">
    <w:nsid w:val="5FB8011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5">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86">
    <w:nsid w:val="7672B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7">
    <w:nsid w:val="6FC75A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8">
    <w:nsid w:val="6A5F70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9">
    <w:nsid w:val="7D5E18F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0">
    <w:nsid w:val="5F3534A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1">
    <w:nsid w:val="73A1821B"/>
    <w:multiLevelType w:val="hybridMultilevel"/>
    <w:lvl w:ilvl="0">
      <w:lvlJc w:val="left"/>
      <w:lvlText w:val="(%1)"/>
      <w:numFmt w:val="lowerLetter"/>
      <w:start w:val="6"/>
    </w:lvl>
  </w:abstractNum>
  <w:abstractNum w:abstractNumId="92">
    <w:nsid w:val="7DE67713"/>
    <w:multiLevelType w:val="hybridMultilevel"/>
    <w:lvl w:ilvl="0">
      <w:lvlJc w:val="left"/>
      <w:lvlText w:val="%1."/>
      <w:numFmt w:val="decimal"/>
      <w:start w:val="1"/>
    </w:lvl>
  </w:abstractNum>
  <w:abstractNum w:abstractNumId="93">
    <w:nsid w:val="555C55B5"/>
    <w:multiLevelType w:val="hybridMultilevel"/>
    <w:lvl w:ilvl="0">
      <w:lvlJc w:val="left"/>
      <w:lvlText w:val="%1."/>
      <w:numFmt w:val="decimal"/>
      <w:start w:val="2"/>
    </w:lvl>
  </w:abstractNum>
  <w:abstractNum w:abstractNumId="94">
    <w:nsid w:val="3FA62ACA"/>
    <w:multiLevelType w:val="hybridMultilevel"/>
    <w:lvl w:ilvl="0">
      <w:lvlJc w:val="left"/>
      <w:lvlText w:val="%1."/>
      <w:numFmt w:val="decimal"/>
      <w:start w:val="3"/>
    </w:lvl>
  </w:abstractNum>
  <w:abstractNum w:abstractNumId="95">
    <w:nsid w:val="14FCE74E"/>
    <w:multiLevelType w:val="hybridMultilevel"/>
    <w:lvl w:ilvl="0">
      <w:lvlJc w:val="left"/>
      <w:lvlText w:val="%1."/>
      <w:numFmt w:val="decimal"/>
      <w:start w:val="4"/>
    </w:lvl>
  </w:abstractNum>
  <w:abstractNum w:abstractNumId="96">
    <w:nsid w:val="6A3DD3E8"/>
    <w:multiLevelType w:val="hybridMultilevel"/>
    <w:lvl w:ilvl="0">
      <w:lvlJc w:val="left"/>
      <w:lvlText w:val="%1."/>
      <w:numFmt w:val="decimal"/>
      <w:start w:val="1"/>
    </w:lvl>
    <w:lvl w:ilvl="1">
      <w:lvlJc w:val="left"/>
      <w:lvlText w:val="%2."/>
      <w:numFmt w:val="decimal"/>
      <w:start w:val="2"/>
    </w:lvl>
  </w:abstractNum>
  <w:abstractNum w:abstractNumId="97">
    <w:nsid w:val="71C91298"/>
    <w:multiLevelType w:val="hybridMultilevel"/>
    <w:lvl w:ilvl="0">
      <w:lvlJc w:val="left"/>
      <w:lvlText w:val="%1."/>
      <w:numFmt w:val="decimal"/>
      <w:start w:val="3"/>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1."/>
      <w:numFmt w:val="lowerLetter"/>
      <w:start w:val="1"/>
    </w:lvl>
  </w:abstractNum>
  <w:abstractNum w:abstractNumId="101">
    <w:nsid w:val="5092CA79"/>
    <w:multiLevelType w:val="hybridMultilevel"/>
    <w:lvl w:ilvl="0">
      <w:lvlJc w:val="left"/>
      <w:lvlText w:val="%1."/>
      <w:numFmt w:val="lowerLetter"/>
      <w:start w:val="2"/>
    </w:lvl>
  </w:abstractNum>
  <w:abstractNum w:abstractNumId="102">
    <w:nsid w:val="1D545C4D"/>
    <w:multiLevelType w:val="hybridMultilevel"/>
    <w:lvl w:ilvl="0">
      <w:lvlJc w:val="left"/>
      <w:lvlText w:val="(%1)"/>
      <w:numFmt w:val="lowerLetter"/>
      <w:start w:val="1"/>
    </w:lvl>
  </w:abstractNum>
  <w:abstractNum w:abstractNumId="103">
    <w:nsid w:val="59ADEA3D"/>
    <w:multiLevelType w:val="hybridMultilevel"/>
    <w:lvl w:ilvl="0">
      <w:lvlJc w:val="left"/>
      <w:lvlText w:val="(%1)"/>
      <w:numFmt w:val="lowerLetter"/>
      <w:start w:val="5"/>
    </w:lvl>
    <w:lvl w:ilvl="1">
      <w:lvlJc w:val="left"/>
      <w:lvlText w:val="(%2)"/>
      <w:numFmt w:val="lowerRoman"/>
      <w:start w:val="1"/>
    </w:lvl>
  </w:abstractNum>
  <w:abstractNum w:abstractNumId="104">
    <w:nsid w:val="288F1A34"/>
    <w:multiLevelType w:val="hybridMultilevel"/>
    <w:lvl w:ilvl="0">
      <w:lvlJc w:val="left"/>
      <w:lvlText w:val="(%1)"/>
      <w:numFmt w:val="lowerLetter"/>
      <w:start w:val="10"/>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Letter"/>
      <w:start w:val="4"/>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2026-04-23T15:41:34Z</dcterms:created>
  <dcterms:modified xsi:type="dcterms:W3CDTF">2026-04-23T15:41:34Z</dcterms:modified>
</cp:coreProperties>
</file>