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14350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YEARLEY DOUGLAS C</w:t>
              </w:r>
            </w:hyperlink>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LOCKHEED MARTIN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LMT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80" w:type="dxa"/>
            <w:vAlign w:val="bottom"/>
            <w:gridSpan w:val="4"/>
            <w:vMerge w:val="restart"/>
          </w:tcPr>
          <w:p>
            <w:pPr>
              <w:ind w:left="20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12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6801 ROCKLEDGE DRIVE</w:t>
            </w:r>
          </w:p>
        </w:tc>
        <w:tc>
          <w:tcPr>
            <w:tcW w:w="1100" w:type="dxa"/>
            <w:vAlign w:val="bottom"/>
          </w:tcPr>
          <w:p>
            <w:pPr>
              <w:spacing w:after="0"/>
              <w:rPr>
                <w:sz w:val="18"/>
                <w:szCs w:val="18"/>
                <w:color w:val="auto"/>
              </w:rPr>
            </w:pPr>
          </w:p>
        </w:tc>
        <w:tc>
          <w:tcPr>
            <w:tcW w:w="1580" w:type="dxa"/>
            <w:vAlign w:val="bottom"/>
            <w:gridSpan w:val="5"/>
          </w:tcPr>
          <w:p>
            <w:pPr>
              <w:ind w:left="420"/>
              <w:spacing w:after="0"/>
              <w:rPr>
                <w:sz w:val="20"/>
                <w:szCs w:val="20"/>
                <w:color w:val="auto"/>
              </w:rPr>
            </w:pPr>
            <w:r>
              <w:rPr>
                <w:rFonts w:ascii="Arial" w:cs="Arial" w:eastAsia="Arial" w:hAnsi="Arial"/>
                <w:sz w:val="17"/>
                <w:szCs w:val="17"/>
                <w:color w:val="0000FF"/>
              </w:rPr>
              <w:t>01/18/2005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tcBorders>
            <w:gridSpan w:val="4"/>
          </w:tcPr>
          <w:p>
            <w:pPr>
              <w:spacing w:after="0"/>
              <w:rPr>
                <w:sz w:val="22"/>
                <w:szCs w:val="22"/>
                <w:color w:val="auto"/>
              </w:rPr>
            </w:pPr>
          </w:p>
        </w:tc>
        <w:tc>
          <w:tcPr>
            <w:tcW w:w="960" w:type="dxa"/>
            <w:vAlign w:val="bottom"/>
            <w:tcBorders>
              <w:bottom w:val="single" w:sz="8" w:color="808080"/>
            </w:tcBorders>
            <w:gridSpan w:val="2"/>
          </w:tcPr>
          <w:p>
            <w:pPr>
              <w:spacing w:after="0"/>
              <w:rPr>
                <w:sz w:val="22"/>
                <w:szCs w:val="22"/>
                <w:color w:val="auto"/>
              </w:rPr>
            </w:pPr>
          </w:p>
        </w:tc>
        <w:tc>
          <w:tcPr>
            <w:tcW w:w="960" w:type="dxa"/>
            <w:vAlign w:val="bottom"/>
            <w:tcBorders>
              <w:bottom w:val="single" w:sz="8" w:color="808080"/>
            </w:tcBorders>
            <w:gridSpan w:val="2"/>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460" w:type="dxa"/>
            <w:vAlign w:val="bottom"/>
            <w:tcBorders>
              <w:bottom w:val="single" w:sz="8" w:color="808080"/>
            </w:tcBorders>
          </w:tcPr>
          <w:p>
            <w:pPr>
              <w:spacing w:after="0"/>
              <w:rPr>
                <w:sz w:val="22"/>
                <w:szCs w:val="22"/>
                <w:color w:val="auto"/>
              </w:rPr>
            </w:pPr>
          </w:p>
        </w:tc>
        <w:tc>
          <w:tcPr>
            <w:tcW w:w="2980" w:type="dxa"/>
            <w:vAlign w:val="bottom"/>
            <w:tcBorders>
              <w:bottom w:val="single" w:sz="8" w:color="808080"/>
            </w:tcBorders>
            <w:gridSpan w:val="5"/>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5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BETHESDA</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00" w:type="dxa"/>
            <w:vAlign w:val="bottom"/>
          </w:tcPr>
          <w:p>
            <w:pPr>
              <w:ind w:left="120"/>
              <w:spacing w:after="0"/>
              <w:rPr>
                <w:sz w:val="20"/>
                <w:szCs w:val="20"/>
                <w:color w:val="auto"/>
              </w:rPr>
            </w:pPr>
            <w:r>
              <w:rPr>
                <w:rFonts w:ascii="Arial" w:cs="Arial" w:eastAsia="Arial" w:hAnsi="Arial"/>
                <w:sz w:val="17"/>
                <w:szCs w:val="17"/>
                <w:color w:val="0000FF"/>
              </w:rPr>
              <w:t>20817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40"/>
              <w:spacing w:after="0"/>
              <w:rPr>
                <w:sz w:val="20"/>
                <w:szCs w:val="20"/>
                <w:color w:val="auto"/>
              </w:rPr>
            </w:pPr>
            <w:r>
              <w:rPr>
                <w:rFonts w:ascii="Arial" w:cs="Arial" w:eastAsia="Arial" w:hAnsi="Arial"/>
                <w:sz w:val="13"/>
                <w:szCs w:val="13"/>
                <w:color w:val="auto"/>
                <w:w w:val="99"/>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gridSpan w:val="7"/>
          </w:tcPr>
          <w:p>
            <w:pPr>
              <w:ind w:left="14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12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5"/>
          </w:tcPr>
          <w:p>
            <w:pPr>
              <w:ind w:left="100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w w:val="95"/>
              </w:rPr>
              <w:t>5. Number of</w:t>
            </w:r>
          </w:p>
        </w:tc>
        <w:tc>
          <w:tcPr>
            <w:tcW w:w="28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008000"/>
                <w:w w:val="88"/>
              </w:rPr>
              <w:t>(2)</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1,326.7292</w:t>
            </w: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0000FF"/>
              </w:rPr>
              <w:t>01/18/2005</w:t>
            </w:r>
          </w:p>
        </w:tc>
        <w:tc>
          <w:tcPr>
            <w:tcW w:w="1100" w:type="dxa"/>
            <w:vAlign w:val="bottom"/>
          </w:tcPr>
          <w:p>
            <w:pPr>
              <w:spacing w:after="0"/>
              <w:rPr>
                <w:sz w:val="11"/>
                <w:szCs w:val="11"/>
                <w:color w:val="auto"/>
              </w:rPr>
            </w:pPr>
          </w:p>
        </w:tc>
        <w:tc>
          <w:tcPr>
            <w:tcW w:w="86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A</w:t>
            </w:r>
          </w:p>
        </w:tc>
        <w:tc>
          <w:tcPr>
            <w:tcW w:w="720" w:type="dxa"/>
            <w:vAlign w:val="bottom"/>
          </w:tcPr>
          <w:p>
            <w:pPr>
              <w:spacing w:after="0" w:line="138" w:lineRule="exact"/>
              <w:rPr>
                <w:sz w:val="20"/>
                <w:szCs w:val="20"/>
                <w:color w:val="auto"/>
              </w:rPr>
            </w:pPr>
            <w:r>
              <w:rPr>
                <w:rFonts w:ascii="Arial" w:cs="Arial" w:eastAsia="Arial" w:hAnsi="Arial"/>
                <w:sz w:val="13"/>
                <w:szCs w:val="13"/>
                <w:color w:val="0000FF"/>
              </w:rPr>
              <w:t>1,326.7292</w:t>
            </w: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56.53</w:t>
            </w: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5"/>
              </w:rPr>
              <w:t>11,209.7541</w:t>
            </w:r>
          </w:p>
        </w:tc>
        <w:tc>
          <w:tcPr>
            <w:tcW w:w="640" w:type="dxa"/>
            <w:vAlign w:val="bottom"/>
          </w:tcPr>
          <w:p>
            <w:pPr>
              <w:ind w:left="360"/>
              <w:spacing w:after="0" w:line="13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ind w:left="140"/>
              <w:spacing w:after="0" w:line="81" w:lineRule="exact"/>
              <w:rPr>
                <w:sz w:val="20"/>
                <w:szCs w:val="20"/>
                <w:color w:val="auto"/>
              </w:rPr>
            </w:pPr>
            <w:r>
              <w:rPr>
                <w:rFonts w:ascii="Arial" w:cs="Arial" w:eastAsia="Arial" w:hAnsi="Arial"/>
                <w:sz w:val="9"/>
                <w:szCs w:val="9"/>
                <w:color w:val="0000FF"/>
              </w:rPr>
              <w:t>Stock</w:t>
            </w: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81" w:lineRule="exact"/>
              <w:rPr>
                <w:sz w:val="20"/>
                <w:szCs w:val="20"/>
                <w:color w:val="auto"/>
              </w:rPr>
            </w:pPr>
            <w:r>
              <w:rPr>
                <w:rFonts w:ascii="Arial" w:cs="Arial" w:eastAsia="Arial" w:hAnsi="Arial"/>
                <w:sz w:val="9"/>
                <w:szCs w:val="9"/>
                <w:color w:val="0000FF"/>
              </w:rPr>
              <w:t>Directors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Equity Plan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1,110.9439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3"/>
          </w:tcPr>
          <w:p>
            <w:pPr>
              <w:ind w:left="160"/>
              <w:spacing w:after="0" w:line="141" w:lineRule="exact"/>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2"/>
          </w:tcPr>
          <w:p>
            <w:pPr>
              <w:jc w:val="center"/>
              <w:spacing w:after="0" w:line="124" w:lineRule="exact"/>
              <w:rPr>
                <w:sz w:val="20"/>
                <w:szCs w:val="20"/>
                <w:color w:val="auto"/>
              </w:rPr>
            </w:pPr>
            <w:r>
              <w:rPr>
                <w:rFonts w:ascii="Arial" w:cs="Arial" w:eastAsia="Arial" w:hAnsi="Arial"/>
                <w:sz w:val="13"/>
                <w:szCs w:val="13"/>
                <w:color w:val="0000FF"/>
                <w:w w:val="89"/>
              </w:rPr>
              <w:t>1,110.9439</w:t>
            </w:r>
          </w:p>
        </w:tc>
        <w:tc>
          <w:tcPr>
            <w:tcW w:w="640" w:type="dxa"/>
            <w:vAlign w:val="bottom"/>
          </w:tcPr>
          <w:p>
            <w:pPr>
              <w:ind w:left="360"/>
              <w:spacing w:after="0" w:line="124" w:lineRule="exact"/>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24" w:lineRule="exact"/>
              <w:rPr>
                <w:sz w:val="20"/>
                <w:szCs w:val="20"/>
                <w:color w:val="auto"/>
              </w:rPr>
            </w:pPr>
            <w:r>
              <w:rPr>
                <w:rFonts w:ascii="Arial" w:cs="Arial" w:eastAsia="Arial" w:hAnsi="Arial"/>
                <w:sz w:val="13"/>
                <w:szCs w:val="13"/>
                <w:color w:val="0000FF"/>
              </w:rPr>
              <w:t>Directors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Deferred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Stock Plan</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260" w:type="dxa"/>
            <w:vAlign w:val="bottom"/>
          </w:tcPr>
          <w:p>
            <w:pPr>
              <w:spacing w:after="0"/>
              <w:rPr>
                <w:sz w:val="15"/>
                <w:szCs w:val="15"/>
                <w:color w:val="auto"/>
              </w:rPr>
            </w:pPr>
          </w:p>
        </w:tc>
        <w:tc>
          <w:tcPr>
            <w:tcW w:w="620" w:type="dxa"/>
            <w:vAlign w:val="bottom"/>
            <w:gridSpan w:val="2"/>
            <w:vMerge w:val="restart"/>
          </w:tcPr>
          <w:p>
            <w:pPr>
              <w:jc w:val="center"/>
              <w:ind w:right="208"/>
              <w:spacing w:after="0"/>
              <w:rPr>
                <w:sz w:val="20"/>
                <w:szCs w:val="20"/>
                <w:color w:val="auto"/>
              </w:rPr>
            </w:pPr>
            <w:r>
              <w:rPr>
                <w:rFonts w:ascii="Arial" w:cs="Arial" w:eastAsia="Arial" w:hAnsi="Arial"/>
                <w:sz w:val="17"/>
                <w:szCs w:val="17"/>
                <w:color w:val="0000FF"/>
                <w:w w:val="91"/>
              </w:rPr>
              <w:t>494</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restart"/>
          </w:tcPr>
          <w:p>
            <w:pPr>
              <w:jc w:val="center"/>
              <w:ind w:left="301"/>
              <w:spacing w:after="0" w:line="141" w:lineRule="exact"/>
              <w:rPr>
                <w:sz w:val="20"/>
                <w:szCs w:val="20"/>
                <w:color w:val="auto"/>
              </w:rPr>
            </w:pPr>
            <w:r>
              <w:rPr>
                <w:rFonts w:ascii="Arial" w:cs="Arial" w:eastAsia="Arial" w:hAnsi="Arial"/>
                <w:sz w:val="13"/>
                <w:szCs w:val="13"/>
                <w:color w:val="0000FF"/>
                <w:w w:val="82"/>
              </w:rPr>
              <w:t>494</w:t>
            </w:r>
          </w:p>
        </w:tc>
        <w:tc>
          <w:tcPr>
            <w:tcW w:w="340" w:type="dxa"/>
            <w:vAlign w:val="bottom"/>
          </w:tcPr>
          <w:p>
            <w:pPr>
              <w:spacing w:after="0"/>
              <w:rPr>
                <w:sz w:val="5"/>
                <w:szCs w:val="5"/>
                <w:color w:val="auto"/>
              </w:rPr>
            </w:pPr>
          </w:p>
        </w:tc>
        <w:tc>
          <w:tcPr>
            <w:tcW w:w="64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line="141" w:lineRule="exact"/>
              <w:rPr>
                <w:sz w:val="20"/>
                <w:szCs w:val="20"/>
                <w:color w:val="auto"/>
              </w:rPr>
            </w:pPr>
            <w:r>
              <w:rPr>
                <w:rFonts w:ascii="Arial" w:cs="Arial" w:eastAsia="Arial" w:hAnsi="Arial"/>
                <w:sz w:val="13"/>
                <w:szCs w:val="13"/>
                <w:color w:val="0000FF"/>
              </w:rPr>
              <w:t>Deferred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Comp Plan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stock units convert on a 1 for 1 basis.</w:t>
      </w:r>
    </w:p>
    <w:p>
      <w:pPr>
        <w:spacing w:after="0" w:line="43" w:lineRule="exact"/>
        <w:rPr>
          <w:rFonts w:ascii="Arial" w:cs="Arial" w:eastAsia="Arial" w:hAnsi="Arial"/>
          <w:sz w:val="13"/>
          <w:szCs w:val="13"/>
          <w:color w:val="008000"/>
        </w:rPr>
      </w:pPr>
    </w:p>
    <w:p>
      <w:pPr>
        <w:ind w:left="40" w:right="180" w:firstLine="1"/>
        <w:spacing w:after="0" w:line="316"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Under the Lockheed Martin Corporation Directors Equity Plan, each non-employee director elects to receive an award of stock options or phantom stock units or a combination of stock options and phantom stock units in accordance with the plan, which awards are exempt transactions under Rule 16b-3. Settlement in cash or stock (as elected by the holder) will occur upon the reporting person's retirement or termination of service.</w:t>
      </w:r>
    </w:p>
    <w:p>
      <w:pPr>
        <w:ind w:left="40" w:right="14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information pertains to phantom stock units acquired under the Lockheed Martin Directors Deferred Stock Plan exempt under Section 16(b). Units are settled upon the reporting person's retirement or termination of service.</w:t>
      </w:r>
    </w:p>
    <w:p>
      <w:pPr>
        <w:spacing w:after="0" w:line="25"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Settlement occurs on the reporting person's retirement or termination of service.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6"/>
              </w:rPr>
              <w:t>David A. Dedman Attorney-in-</w:t>
            </w: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01/19/2005</w:t>
            </w:r>
          </w:p>
        </w:tc>
        <w:tc>
          <w:tcPr>
            <w:tcW w:w="0" w:type="dxa"/>
            <w:vAlign w:val="bottom"/>
          </w:tcPr>
          <w:p>
            <w:pPr>
              <w:spacing w:after="0"/>
              <w:rPr>
                <w:sz w:val="1"/>
                <w:szCs w:val="1"/>
                <w:color w:val="auto"/>
              </w:rPr>
            </w:pPr>
          </w:p>
        </w:tc>
      </w:tr>
      <w:tr>
        <w:trPr>
          <w:trHeight w:val="83"/>
        </w:trPr>
        <w:tc>
          <w:tcPr>
            <w:tcW w:w="30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4"/>
              </w:rPr>
              <w:t>Fact</w:t>
            </w:r>
          </w:p>
        </w:tc>
        <w:tc>
          <w:tcPr>
            <w:tcW w:w="18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top w:val="single" w:sz="8" w:color="auto"/>
              <w:bottom w:val="single" w:sz="8" w:color="auto"/>
            </w:tcBorders>
            <w:vMerge w:val="continue"/>
          </w:tcPr>
          <w:p>
            <w:pPr>
              <w:spacing w:after="0"/>
              <w:rPr>
                <w:sz w:val="7"/>
                <w:szCs w:val="7"/>
                <w:color w:val="auto"/>
              </w:rPr>
            </w:pPr>
          </w:p>
        </w:tc>
        <w:tc>
          <w:tcPr>
            <w:tcW w:w="18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008" TargetMode="External"/><Relationship Id="rId13"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2019-12-18T09:12:17Z</dcterms:created>
  <dcterms:modified xsi:type="dcterms:W3CDTF">2019-12-18T09:12:17Z</dcterms:modified>
</cp:coreProperties>
</file>