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Exchange Act of 1934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1)</w:t>
      </w:r>
    </w:p>
    <w:p>
      <w:pPr>
        <w:spacing w:after="0" w:line="200" w:lineRule="exact"/>
        <w:rPr>
          <w:sz w:val="24"/>
          <w:szCs w:val="24"/>
          <w:color w:val="auto"/>
        </w:rPr>
      </w:pPr>
    </w:p>
    <w:p>
      <w:pPr>
        <w:spacing w:after="0" w:line="357" w:lineRule="exact"/>
        <w:rPr>
          <w:sz w:val="24"/>
          <w:szCs w:val="24"/>
          <w:color w:val="auto"/>
        </w:rPr>
      </w:pPr>
    </w:p>
    <w:p>
      <w:pPr>
        <w:ind w:left="1240" w:hanging="640"/>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Filed by the Registrant</w:t>
      </w:r>
    </w:p>
    <w:p>
      <w:pPr>
        <w:spacing w:after="0" w:line="72" w:lineRule="exact"/>
        <w:rPr>
          <w:sz w:val="24"/>
          <w:szCs w:val="24"/>
          <w:color w:val="auto"/>
        </w:rPr>
      </w:pPr>
    </w:p>
    <w:p>
      <w:pPr>
        <w:ind w:left="1240" w:hanging="640"/>
        <w:spacing w:after="0"/>
        <w:tabs>
          <w:tab w:leader="none" w:pos="124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Filed by a Party other than the Registrant</w:t>
      </w:r>
    </w:p>
    <w:p>
      <w:pPr>
        <w:spacing w:after="0" w:line="275" w:lineRule="exact"/>
        <w:rPr>
          <w:sz w:val="24"/>
          <w:szCs w:val="24"/>
          <w:color w:val="auto"/>
        </w:rPr>
      </w:pPr>
    </w:p>
    <w:p>
      <w:pPr>
        <w:ind w:left="600"/>
        <w:spacing w:after="0"/>
        <w:rPr>
          <w:sz w:val="20"/>
          <w:szCs w:val="20"/>
          <w:color w:val="auto"/>
        </w:rPr>
      </w:pPr>
      <w:r>
        <w:rPr>
          <w:rFonts w:ascii="Arial" w:cs="Arial" w:eastAsia="Arial" w:hAnsi="Arial"/>
          <w:sz w:val="14"/>
          <w:szCs w:val="14"/>
          <w:color w:val="auto"/>
        </w:rPr>
        <w:t>Check the appropriate box:</w:t>
      </w:r>
    </w:p>
    <w:p>
      <w:pPr>
        <w:spacing w:after="0" w:line="96" w:lineRule="exact"/>
        <w:rPr>
          <w:sz w:val="24"/>
          <w:szCs w:val="24"/>
          <w:color w:val="auto"/>
        </w:rPr>
      </w:pPr>
    </w:p>
    <w:p>
      <w:pPr>
        <w:ind w:left="1240" w:hanging="640"/>
        <w:spacing w:after="0"/>
        <w:tabs>
          <w:tab w:leader="none" w:pos="124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72" w:lineRule="exact"/>
        <w:rPr>
          <w:rFonts w:ascii="MS PGothic" w:cs="MS PGothic" w:eastAsia="MS PGothic" w:hAnsi="MS PGothic"/>
          <w:sz w:val="18"/>
          <w:szCs w:val="18"/>
          <w:color w:val="auto"/>
        </w:rPr>
      </w:pPr>
    </w:p>
    <w:p>
      <w:pPr>
        <w:ind w:left="1240" w:hanging="640"/>
        <w:spacing w:after="0"/>
        <w:tabs>
          <w:tab w:leader="none" w:pos="1240" w:val="left"/>
        </w:tabs>
        <w:numPr>
          <w:ilvl w:val="0"/>
          <w:numId w:val="3"/>
        </w:numPr>
        <w:rPr>
          <w:rFonts w:ascii="MS PGothic" w:cs="MS PGothic" w:eastAsia="MS PGothic" w:hAnsi="MS PGothic"/>
          <w:sz w:val="18"/>
          <w:szCs w:val="18"/>
          <w:color w:val="auto"/>
        </w:rPr>
      </w:pPr>
      <w:r>
        <w:rPr>
          <w:rFonts w:ascii="Arial" w:cs="Arial" w:eastAsia="Arial" w:hAnsi="Arial"/>
          <w:sz w:val="14"/>
          <w:szCs w:val="14"/>
          <w:b w:val="1"/>
          <w:bCs w:val="1"/>
          <w:color w:val="auto"/>
        </w:rPr>
        <w:t>Confidential, For Use of the Commission Only (as permitted by Rule 14a-6(e)(2))</w:t>
      </w:r>
    </w:p>
    <w:p>
      <w:pPr>
        <w:spacing w:after="0" w:line="72" w:lineRule="exact"/>
        <w:rPr>
          <w:sz w:val="24"/>
          <w:szCs w:val="24"/>
          <w:color w:val="auto"/>
        </w:rPr>
      </w:pPr>
    </w:p>
    <w:p>
      <w:pPr>
        <w:ind w:left="1240" w:hanging="640"/>
        <w:spacing w:after="0"/>
        <w:tabs>
          <w:tab w:leader="none" w:pos="1240" w:val="left"/>
        </w:tabs>
        <w:numPr>
          <w:ilvl w:val="0"/>
          <w:numId w:val="4"/>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72" w:lineRule="exact"/>
        <w:rPr>
          <w:sz w:val="24"/>
          <w:szCs w:val="24"/>
          <w:color w:val="auto"/>
        </w:rPr>
      </w:pPr>
    </w:p>
    <w:p>
      <w:pPr>
        <w:ind w:left="1240" w:hanging="640"/>
        <w:spacing w:after="0"/>
        <w:tabs>
          <w:tab w:leader="none" w:pos="1240"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72" w:lineRule="exact"/>
        <w:rPr>
          <w:rFonts w:ascii="MS PGothic" w:cs="MS PGothic" w:eastAsia="MS PGothic" w:hAnsi="MS PGothic"/>
          <w:sz w:val="18"/>
          <w:szCs w:val="18"/>
          <w:color w:val="auto"/>
        </w:rPr>
      </w:pPr>
    </w:p>
    <w:p>
      <w:pPr>
        <w:ind w:left="1240" w:hanging="640"/>
        <w:spacing w:after="0"/>
        <w:tabs>
          <w:tab w:leader="none" w:pos="1240"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325755</wp:posOffset>
            </wp:positionV>
            <wp:extent cx="128587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Lockheed Martin Corporation</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Registrant as Specified in its Charter)</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85" w:lineRule="exact"/>
        <w:rPr>
          <w:sz w:val="24"/>
          <w:szCs w:val="24"/>
          <w:color w:val="auto"/>
        </w:rPr>
      </w:pPr>
    </w:p>
    <w:p>
      <w:pPr>
        <w:ind w:left="600"/>
        <w:spacing w:after="0"/>
        <w:rPr>
          <w:sz w:val="20"/>
          <w:szCs w:val="20"/>
          <w:color w:val="auto"/>
        </w:rPr>
      </w:pPr>
      <w:r>
        <w:rPr>
          <w:rFonts w:ascii="Arial" w:cs="Arial" w:eastAsia="Arial" w:hAnsi="Arial"/>
          <w:sz w:val="14"/>
          <w:szCs w:val="14"/>
          <w:color w:val="auto"/>
        </w:rPr>
        <w:t>Payment of Filing Fee (Check all boxes that apply):</w:t>
      </w:r>
    </w:p>
    <w:p>
      <w:pPr>
        <w:spacing w:after="0" w:line="150" w:lineRule="exact"/>
        <w:rPr>
          <w:sz w:val="24"/>
          <w:szCs w:val="24"/>
          <w:color w:val="auto"/>
        </w:rPr>
      </w:pPr>
    </w:p>
    <w:p>
      <w:pPr>
        <w:ind w:left="1240" w:hanging="64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4"/>
          <w:szCs w:val="14"/>
          <w:color w:val="auto"/>
        </w:rPr>
        <w:t>No fee required</w:t>
      </w:r>
    </w:p>
    <w:p>
      <w:pPr>
        <w:spacing w:after="0" w:line="72" w:lineRule="exact"/>
        <w:rPr>
          <w:sz w:val="24"/>
          <w:szCs w:val="24"/>
          <w:color w:val="auto"/>
        </w:rPr>
      </w:pPr>
    </w:p>
    <w:p>
      <w:pPr>
        <w:ind w:left="1240" w:hanging="640"/>
        <w:spacing w:after="0"/>
        <w:tabs>
          <w:tab w:leader="none" w:pos="1240" w:val="left"/>
        </w:tabs>
        <w:numPr>
          <w:ilvl w:val="0"/>
          <w:numId w:val="7"/>
        </w:numPr>
        <w:rPr>
          <w:rFonts w:ascii="MS PGothic" w:cs="MS PGothic" w:eastAsia="MS PGothic" w:hAnsi="MS PGothic"/>
          <w:sz w:val="18"/>
          <w:szCs w:val="18"/>
          <w:color w:val="auto"/>
        </w:rPr>
      </w:pPr>
      <w:r>
        <w:rPr>
          <w:rFonts w:ascii="Arial" w:cs="Arial" w:eastAsia="Arial" w:hAnsi="Arial"/>
          <w:sz w:val="14"/>
          <w:szCs w:val="14"/>
          <w:color w:val="auto"/>
        </w:rPr>
        <w:t>Fee paid previously with preliminary materials</w:t>
      </w:r>
    </w:p>
    <w:p>
      <w:pPr>
        <w:spacing w:after="0" w:line="18" w:lineRule="exact"/>
        <w:rPr>
          <w:rFonts w:ascii="MS PGothic" w:cs="MS PGothic" w:eastAsia="MS PGothic" w:hAnsi="MS PGothic"/>
          <w:sz w:val="18"/>
          <w:szCs w:val="18"/>
          <w:color w:val="auto"/>
        </w:rPr>
      </w:pPr>
    </w:p>
    <w:p>
      <w:pPr>
        <w:ind w:left="1240" w:hanging="640"/>
        <w:spacing w:after="0"/>
        <w:tabs>
          <w:tab w:leader="none" w:pos="1240" w:val="left"/>
        </w:tabs>
        <w:numPr>
          <w:ilvl w:val="0"/>
          <w:numId w:val="7"/>
        </w:numPr>
        <w:rPr>
          <w:rFonts w:ascii="MS PGothic" w:cs="MS PGothic" w:eastAsia="MS PGothic" w:hAnsi="MS PGothic"/>
          <w:sz w:val="18"/>
          <w:szCs w:val="18"/>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1067435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05" w:right="1440" w:bottom="1440" w:gutter="0" w:footer="0" w:header="0"/>
        </w:sectPr>
      </w:pPr>
    </w:p>
    <w:bookmarkStart w:id="1" w:name="page2"/>
    <w:bookmarkEnd w:id="1"/>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5488940</wp:posOffset>
            </wp:positionH>
            <wp:positionV relativeFrom="page">
              <wp:posOffset>157480</wp:posOffset>
            </wp:positionV>
            <wp:extent cx="185166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1660" cy="325755"/>
                    </a:xfrm>
                    <a:prstGeom prst="rect">
                      <a:avLst/>
                    </a:prstGeom>
                    <a:noFill/>
                  </pic:spPr>
                </pic:pic>
              </a:graphicData>
            </a:graphic>
          </wp:anchor>
        </w:drawing>
      </w:r>
    </w:p>
    <w:p>
      <w:pPr>
        <w:ind w:left="3640"/>
        <w:spacing w:after="0"/>
        <w:rPr>
          <w:sz w:val="20"/>
          <w:szCs w:val="20"/>
          <w:color w:val="auto"/>
        </w:rPr>
      </w:pPr>
      <w:r>
        <w:rPr>
          <w:rFonts w:ascii="Times New Roman" w:cs="Times New Roman" w:eastAsia="Times New Roman" w:hAnsi="Times New Roman"/>
          <w:sz w:val="22"/>
          <w:szCs w:val="22"/>
          <w:b w:val="1"/>
          <w:bCs w:val="1"/>
          <w:color w:val="auto"/>
        </w:rPr>
        <w:t>Amendment No. 1 to 2024 Proxy Statement</w:t>
      </w:r>
    </w:p>
    <w:p>
      <w:pPr>
        <w:spacing w:after="0" w:line="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Lockheed Martin Corporation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March 25, 2024</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7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This Amendment No. 1 (this “Amendment”) amends the definitive proxy statement (the “2024 Proxy Statement”) originally filed by Lockheed Martin Corporation (the “Company”) with the Securities and Exchange Commission on March 15, 2024 relating to the Company’s 2024 Annual Meeting of Stockholders to be held on May 2, 2024. This Amendment is being filed solely to correct typographical errors in the transcription of certain text and webpage URLs in the stockholder proposals included in the 2024 Proxy Statement as Proposals 4, 5 and 6 and the inadvertent omission of certain text at the end of the stockholder proponent’s supporting statement for Proposal 5. Proposals 4, 5 and 6 are reproduced in full below with the full corrected text of the stockholder proponent’s supporting statements. Proposals 4, 5 and 6 as set forth below amend, replace, and correct Proposals 4, 5 and 6 of the originally filed 2024 Proxy Statement. The Company’s Board of Directors’ recommendation against Proposals 4, 5 and 6 are also reproduced below and are unchanged.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you have already submitted your proxy by voting your shares, you do not need to take any action unless you wish to change your vote.</w:t>
      </w:r>
    </w:p>
    <w:p>
      <w:pPr>
        <w:spacing w:after="0" w:line="28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This Amendment should be read in conjunction with the 2024 Proxy Statement. From and after the date of this Amendment, any references to the “2024 Proxy Statement” are to the 2024 Proxy Statement as amended hereby. Except for the corrections specified above, all information in the 2024 Proxy Statement remains unchanged, is as of March 15, 2024, and does not reflect any information or events occurring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951865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rPr>
          <w:sz w:val="20"/>
          <w:szCs w:val="20"/>
          <w:color w:val="auto"/>
        </w:rPr>
      </w:pPr>
      <w:r>
        <w:rPr>
          <w:rFonts w:ascii="Arial" w:cs="Arial" w:eastAsia="Arial" w:hAnsi="Arial"/>
          <w:sz w:val="29"/>
          <w:szCs w:val="29"/>
          <w:color w:val="auto"/>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125730</wp:posOffset>
            </wp:positionV>
            <wp:extent cx="82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34290"/>
                    </a:xfrm>
                    <a:prstGeom prst="rect">
                      <a:avLst/>
                    </a:prstGeom>
                    <a:noFill/>
                  </pic:spPr>
                </pic:pic>
              </a:graphicData>
            </a:graphic>
          </wp:anchor>
        </w:drawing>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404"/>
        </w:trPr>
        <w:tc>
          <w:tcPr>
            <w:tcW w:w="80" w:type="dxa"/>
            <w:vAlign w:val="bottom"/>
            <w:tcBorders>
              <w:top w:val="single" w:sz="8" w:color="BCBEC0"/>
              <w:left w:val="single" w:sz="8" w:color="343434"/>
            </w:tcBorders>
            <w:shd w:val="clear" w:color="auto" w:fill="BCBEC0"/>
          </w:tcPr>
          <w:p>
            <w:pPr>
              <w:spacing w:after="0"/>
              <w:rPr>
                <w:sz w:val="24"/>
                <w:szCs w:val="24"/>
                <w:color w:val="auto"/>
              </w:rPr>
            </w:pPr>
          </w:p>
        </w:tc>
        <w:tc>
          <w:tcPr>
            <w:tcW w:w="7540" w:type="dxa"/>
            <w:vAlign w:val="bottom"/>
            <w:tcBorders>
              <w:top w:val="single" w:sz="8" w:color="BCBEC0"/>
              <w:right w:val="single" w:sz="8" w:color="003478"/>
            </w:tcBorders>
            <w:shd w:val="clear" w:color="auto" w:fill="BCBEC0"/>
          </w:tcPr>
          <w:p>
            <w:pPr>
              <w:ind w:left="60"/>
              <w:spacing w:after="0"/>
              <w:rPr>
                <w:sz w:val="20"/>
                <w:szCs w:val="20"/>
                <w:color w:val="auto"/>
              </w:rPr>
            </w:pPr>
            <w:r>
              <w:rPr>
                <w:rFonts w:ascii="Arial" w:cs="Arial" w:eastAsia="Arial" w:hAnsi="Arial"/>
                <w:sz w:val="25"/>
                <w:szCs w:val="25"/>
                <w:color w:val="343434"/>
              </w:rPr>
              <w:t>Stockholder Proposal Requesting a Report on Alignment of</w:t>
            </w:r>
          </w:p>
        </w:tc>
        <w:tc>
          <w:tcPr>
            <w:tcW w:w="3640" w:type="dxa"/>
            <w:vAlign w:val="bottom"/>
            <w:tcBorders>
              <w:top w:val="single" w:sz="8" w:color="343434"/>
              <w:right w:val="single" w:sz="8" w:color="343434"/>
            </w:tcBorders>
          </w:tcPr>
          <w:p>
            <w:pPr>
              <w:ind w:left="920"/>
              <w:spacing w:after="0"/>
              <w:rPr>
                <w:sz w:val="20"/>
                <w:szCs w:val="20"/>
                <w:color w:val="auto"/>
              </w:rPr>
            </w:pPr>
            <w:r>
              <w:rPr>
                <w:rFonts w:ascii="Arial" w:cs="Arial" w:eastAsia="Arial" w:hAnsi="Arial"/>
                <w:sz w:val="17"/>
                <w:szCs w:val="17"/>
                <w:b w:val="1"/>
                <w:bCs w:val="1"/>
                <w:color w:val="auto"/>
              </w:rPr>
              <w:t>The Board recommends a vote</w:t>
            </w:r>
          </w:p>
        </w:tc>
      </w:tr>
      <w:tr>
        <w:trPr>
          <w:trHeight w:val="351"/>
        </w:trPr>
        <w:tc>
          <w:tcPr>
            <w:tcW w:w="80" w:type="dxa"/>
            <w:vAlign w:val="bottom"/>
            <w:tcBorders>
              <w:left w:val="single" w:sz="8" w:color="343434"/>
            </w:tcBorders>
            <w:shd w:val="clear" w:color="auto" w:fill="BCBEC0"/>
          </w:tcPr>
          <w:p>
            <w:pPr>
              <w:spacing w:after="0"/>
              <w:rPr>
                <w:sz w:val="24"/>
                <w:szCs w:val="24"/>
                <w:color w:val="auto"/>
              </w:rPr>
            </w:pPr>
          </w:p>
        </w:tc>
        <w:tc>
          <w:tcPr>
            <w:tcW w:w="7540" w:type="dxa"/>
            <w:vAlign w:val="bottom"/>
            <w:tcBorders>
              <w:right w:val="single" w:sz="8" w:color="003478"/>
            </w:tcBorders>
            <w:shd w:val="clear" w:color="auto" w:fill="BCBEC0"/>
          </w:tcPr>
          <w:p>
            <w:pPr>
              <w:ind w:left="60"/>
              <w:spacing w:after="0"/>
              <w:rPr>
                <w:sz w:val="20"/>
                <w:szCs w:val="20"/>
                <w:color w:val="auto"/>
              </w:rPr>
            </w:pPr>
            <w:r>
              <w:rPr>
                <w:rFonts w:ascii="Arial" w:cs="Arial" w:eastAsia="Arial" w:hAnsi="Arial"/>
                <w:sz w:val="25"/>
                <w:szCs w:val="25"/>
                <w:color w:val="343434"/>
              </w:rPr>
              <w:t>Political Activities with Human Rights Policy</w:t>
            </w:r>
          </w:p>
        </w:tc>
        <w:tc>
          <w:tcPr>
            <w:tcW w:w="3640" w:type="dxa"/>
            <w:vAlign w:val="bottom"/>
            <w:tcBorders>
              <w:right w:val="single" w:sz="8" w:color="343434"/>
            </w:tcBorders>
          </w:tcPr>
          <w:p>
            <w:pPr>
              <w:ind w:left="920"/>
              <w:spacing w:after="0"/>
              <w:rPr>
                <w:sz w:val="20"/>
                <w:szCs w:val="20"/>
                <w:color w:val="auto"/>
              </w:rPr>
            </w:pPr>
            <w:r>
              <w:rPr>
                <w:rFonts w:ascii="Arial" w:cs="Arial" w:eastAsia="Arial" w:hAnsi="Arial"/>
                <w:sz w:val="22"/>
                <w:szCs w:val="22"/>
                <w:b w:val="1"/>
                <w:bCs w:val="1"/>
                <w:color w:val="EE2724"/>
              </w:rPr>
              <w:t xml:space="preserve">AGAINST </w:t>
            </w:r>
            <w:r>
              <w:rPr>
                <w:rFonts w:ascii="Arial" w:cs="Arial" w:eastAsia="Arial" w:hAnsi="Arial"/>
                <w:sz w:val="17"/>
                <w:szCs w:val="17"/>
                <w:b w:val="1"/>
                <w:bCs w:val="1"/>
                <w:color w:val="000000"/>
              </w:rPr>
              <w:t>this proposal</w:t>
            </w:r>
          </w:p>
        </w:tc>
      </w:tr>
      <w:tr>
        <w:trPr>
          <w:trHeight w:val="130"/>
        </w:trPr>
        <w:tc>
          <w:tcPr>
            <w:tcW w:w="80" w:type="dxa"/>
            <w:vAlign w:val="bottom"/>
            <w:tcBorders>
              <w:left w:val="single" w:sz="8" w:color="343434"/>
              <w:bottom w:val="single" w:sz="8" w:color="BCBEC0"/>
            </w:tcBorders>
            <w:shd w:val="clear" w:color="auto" w:fill="BCBEC0"/>
          </w:tcPr>
          <w:p>
            <w:pPr>
              <w:spacing w:after="0"/>
              <w:rPr>
                <w:sz w:val="11"/>
                <w:szCs w:val="11"/>
                <w:color w:val="auto"/>
              </w:rPr>
            </w:pPr>
          </w:p>
        </w:tc>
        <w:tc>
          <w:tcPr>
            <w:tcW w:w="7540" w:type="dxa"/>
            <w:vAlign w:val="bottom"/>
            <w:tcBorders>
              <w:bottom w:val="single" w:sz="8" w:color="BCBEC0"/>
              <w:right w:val="single" w:sz="8" w:color="003478"/>
            </w:tcBorders>
            <w:shd w:val="clear" w:color="auto" w:fill="BCBEC0"/>
          </w:tcPr>
          <w:p>
            <w:pPr>
              <w:spacing w:after="0"/>
              <w:rPr>
                <w:sz w:val="11"/>
                <w:szCs w:val="11"/>
                <w:color w:val="auto"/>
              </w:rPr>
            </w:pPr>
          </w:p>
        </w:tc>
        <w:tc>
          <w:tcPr>
            <w:tcW w:w="3640" w:type="dxa"/>
            <w:vAlign w:val="bottom"/>
            <w:tcBorders>
              <w:right w:val="single" w:sz="8" w:color="343434"/>
            </w:tcBorders>
          </w:tcPr>
          <w:p>
            <w:pPr>
              <w:spacing w:after="0"/>
              <w:rPr>
                <w:sz w:val="11"/>
                <w:szCs w:val="11"/>
                <w:color w:val="auto"/>
              </w:rPr>
            </w:pPr>
          </w:p>
        </w:tc>
      </w:tr>
      <w:tr>
        <w:trPr>
          <w:trHeight w:val="20"/>
        </w:trPr>
        <w:tc>
          <w:tcPr>
            <w:tcW w:w="80" w:type="dxa"/>
            <w:vAlign w:val="bottom"/>
            <w:tcBorders>
              <w:left w:val="single" w:sz="8" w:color="343434"/>
            </w:tcBorders>
            <w:shd w:val="clear" w:color="auto" w:fill="343434"/>
          </w:tcPr>
          <w:p>
            <w:pPr>
              <w:spacing w:after="0" w:line="20" w:lineRule="exact"/>
              <w:rPr>
                <w:sz w:val="1"/>
                <w:szCs w:val="1"/>
                <w:color w:val="auto"/>
              </w:rPr>
            </w:pPr>
          </w:p>
        </w:tc>
        <w:tc>
          <w:tcPr>
            <w:tcW w:w="7540" w:type="dxa"/>
            <w:vAlign w:val="bottom"/>
            <w:tcBorders>
              <w:right w:val="single" w:sz="8" w:color="auto"/>
            </w:tcBorders>
            <w:shd w:val="clear" w:color="auto" w:fill="343434"/>
          </w:tcPr>
          <w:p>
            <w:pPr>
              <w:spacing w:after="0" w:line="20" w:lineRule="exact"/>
              <w:rPr>
                <w:sz w:val="1"/>
                <w:szCs w:val="1"/>
                <w:color w:val="auto"/>
              </w:rPr>
            </w:pPr>
          </w:p>
        </w:tc>
        <w:tc>
          <w:tcPr>
            <w:tcW w:w="3640" w:type="dxa"/>
            <w:vAlign w:val="bottom"/>
            <w:tcBorders>
              <w:right w:val="single" w:sz="8" w:color="343434"/>
            </w:tcBorders>
            <w:shd w:val="clear" w:color="auto" w:fill="343434"/>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-445135</wp:posOffset>
            </wp:positionV>
            <wp:extent cx="24003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42" w:lineRule="exact"/>
        <w:rPr>
          <w:sz w:val="20"/>
          <w:szCs w:val="20"/>
          <w:color w:val="auto"/>
        </w:rPr>
      </w:pPr>
    </w:p>
    <w:p>
      <w:pPr>
        <w:ind w:right="200"/>
        <w:spacing w:after="0" w:line="245" w:lineRule="auto"/>
        <w:rPr>
          <w:sz w:val="20"/>
          <w:szCs w:val="20"/>
          <w:color w:val="auto"/>
        </w:rPr>
      </w:pPr>
      <w:r>
        <w:rPr>
          <w:rFonts w:ascii="Calibri" w:cs="Calibri" w:eastAsia="Calibri" w:hAnsi="Calibri"/>
          <w:sz w:val="17"/>
          <w:szCs w:val="17"/>
          <w:color w:val="auto"/>
        </w:rPr>
        <w:t>The Sisters of St. Francis of Philadelphia, the Sisters of Charity of Saint Elizabeth and the Benedictne Sisters of Mount St. Scholastca intend to introduce the proposal set forth below at the Annual Meetng.</w:t>
      </w:r>
    </w:p>
    <w:p>
      <w:pPr>
        <w:spacing w:after="0" w:line="10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Beginning of Stockholder Proposal—Text and Footnotes are Reprinted from the Stockholder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40575" cy="5186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5186680"/>
                    </a:xfrm>
                    <a:prstGeom prst="rect">
                      <a:avLst/>
                    </a:prstGeom>
                    <a:noFill/>
                  </pic:spPr>
                </pic:pic>
              </a:graphicData>
            </a:graphic>
          </wp:anchor>
        </w:drawing>
      </w:r>
    </w:p>
    <w:p>
      <w:pPr>
        <w:spacing w:after="0" w:line="269" w:lineRule="exact"/>
        <w:rPr>
          <w:sz w:val="20"/>
          <w:szCs w:val="20"/>
          <w:color w:val="auto"/>
        </w:rPr>
      </w:pPr>
    </w:p>
    <w:p>
      <w:pPr>
        <w:ind w:left="120" w:right="720"/>
        <w:spacing w:after="0" w:line="238" w:lineRule="auto"/>
        <w:rPr>
          <w:sz w:val="20"/>
          <w:szCs w:val="20"/>
          <w:color w:val="auto"/>
        </w:rPr>
      </w:pPr>
      <w:r>
        <w:rPr>
          <w:rFonts w:ascii="Calibri" w:cs="Calibri" w:eastAsia="Calibri" w:hAnsi="Calibri"/>
          <w:sz w:val="17"/>
          <w:szCs w:val="17"/>
          <w:b w:val="1"/>
          <w:bCs w:val="1"/>
          <w:color w:val="auto"/>
        </w:rPr>
        <w:t xml:space="preserve">Resolved: </w:t>
      </w:r>
      <w:r>
        <w:rPr>
          <w:rFonts w:ascii="Calibri" w:cs="Calibri" w:eastAsia="Calibri" w:hAnsi="Calibri"/>
          <w:sz w:val="17"/>
          <w:szCs w:val="17"/>
          <w:color w:val="auto"/>
        </w:rPr>
        <w:t>Shareholders request the Board of Directors annually conduct an evaluaton and issue a public report, at reasonable cost and omitng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proprietary informaton, describing the alignment of its politcal actvites (including direct and indirect lobbying and politcal and electoneering expenditures) with its Human Rights Policy. The report should list and explain instances of misalignment, and state whether and how the identfed incongruencies have or will be addressed.</w:t>
      </w:r>
    </w:p>
    <w:p>
      <w:pPr>
        <w:spacing w:after="0" w:line="122" w:lineRule="exact"/>
        <w:rPr>
          <w:sz w:val="20"/>
          <w:szCs w:val="20"/>
          <w:color w:val="auto"/>
        </w:rPr>
      </w:pPr>
    </w:p>
    <w:p>
      <w:pPr>
        <w:ind w:left="120" w:right="520"/>
        <w:spacing w:after="0" w:line="238" w:lineRule="auto"/>
        <w:rPr>
          <w:sz w:val="20"/>
          <w:szCs w:val="20"/>
          <w:color w:val="auto"/>
        </w:rPr>
      </w:pPr>
      <w:r>
        <w:rPr>
          <w:rFonts w:ascii="Calibri" w:cs="Calibri" w:eastAsia="Calibri" w:hAnsi="Calibri"/>
          <w:sz w:val="17"/>
          <w:szCs w:val="17"/>
          <w:b w:val="1"/>
          <w:bCs w:val="1"/>
          <w:color w:val="auto"/>
        </w:rPr>
        <w:t xml:space="preserve">Whereas: </w:t>
      </w:r>
      <w:r>
        <w:rPr>
          <w:rFonts w:ascii="Calibri" w:cs="Calibri" w:eastAsia="Calibri" w:hAnsi="Calibri"/>
          <w:sz w:val="17"/>
          <w:szCs w:val="17"/>
          <w:color w:val="auto"/>
        </w:rPr>
        <w:t>Lockheed Martn (Lockheed), in its Human Rights Policy, commits to protectng and advancing human rights and minimizing the negatve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consequences of its business actvites. However, in oppositon to these commitments, Lockheed actvely lobbies, makes politcal contributons, and otherwise pushes for government sales of its products and services to customers linked to irremediable human rights violatons, especially in confict-afected and high-risk areas.</w:t>
      </w:r>
    </w:p>
    <w:p>
      <w:pPr>
        <w:spacing w:after="0" w:line="108" w:lineRule="exact"/>
        <w:rPr>
          <w:sz w:val="20"/>
          <w:szCs w:val="20"/>
          <w:color w:val="auto"/>
        </w:rPr>
      </w:pPr>
    </w:p>
    <w:p>
      <w:pPr>
        <w:ind w:left="120" w:right="240"/>
        <w:spacing w:after="0" w:line="206" w:lineRule="auto"/>
        <w:rPr>
          <w:sz w:val="20"/>
          <w:szCs w:val="20"/>
          <w:color w:val="auto"/>
        </w:rPr>
      </w:pPr>
      <w:r>
        <w:rPr>
          <w:rFonts w:ascii="Calibri" w:cs="Calibri" w:eastAsia="Calibri" w:hAnsi="Calibri"/>
          <w:sz w:val="17"/>
          <w:szCs w:val="17"/>
          <w:color w:val="auto"/>
        </w:rPr>
        <w:t>Engaging in politcal actvites that are misaligned with its Human Rights Policy presents material legal, reputatonal, regulatory, and litgaton risks to Lockheed and its investors.</w:t>
      </w:r>
      <w:r>
        <w:rPr>
          <w:rFonts w:ascii="Calibri" w:cs="Calibri" w:eastAsia="Calibri" w:hAnsi="Calibri"/>
          <w:sz w:val="22"/>
          <w:szCs w:val="22"/>
          <w:color w:val="auto"/>
          <w:vertAlign w:val="superscript"/>
        </w:rPr>
        <w:t>1</w:t>
      </w:r>
      <w:r>
        <w:rPr>
          <w:rFonts w:ascii="Calibri" w:cs="Calibri" w:eastAsia="Calibri" w:hAnsi="Calibri"/>
          <w:sz w:val="17"/>
          <w:szCs w:val="17"/>
          <w:color w:val="auto"/>
        </w:rPr>
        <w:t xml:space="preserve"> Shareholders lack assurance that Lockheed's lobbying actvites are not encouraging weak regulaton of its sales and products that present signifcant human rights risks. For example, Lockheed faces scrutny for its role manufacturing F-35 jets for the Joint Strike Fighter Program, the DOD's most expensive weapons system, which costs taxpayers over $1 trillion.</w:t>
      </w:r>
      <w:r>
        <w:rPr>
          <w:rFonts w:ascii="Calibri" w:cs="Calibri" w:eastAsia="Calibri" w:hAnsi="Calibri"/>
          <w:sz w:val="22"/>
          <w:szCs w:val="22"/>
          <w:color w:val="auto"/>
          <w:vertAlign w:val="superscript"/>
        </w:rPr>
        <w:t>2</w:t>
      </w:r>
      <w:r>
        <w:rPr>
          <w:rFonts w:ascii="Calibri" w:cs="Calibri" w:eastAsia="Calibri" w:hAnsi="Calibri"/>
          <w:sz w:val="17"/>
          <w:szCs w:val="17"/>
          <w:color w:val="auto"/>
        </w:rPr>
        <w:t xml:space="preserve"> Beyond the program's technical issues and environmental damages,</w:t>
      </w:r>
      <w:r>
        <w:rPr>
          <w:rFonts w:ascii="Calibri" w:cs="Calibri" w:eastAsia="Calibri" w:hAnsi="Calibri"/>
          <w:sz w:val="22"/>
          <w:szCs w:val="22"/>
          <w:color w:val="auto"/>
          <w:vertAlign w:val="superscript"/>
        </w:rPr>
        <w:t>3</w:t>
      </w:r>
      <w:r>
        <w:rPr>
          <w:rFonts w:ascii="Calibri" w:cs="Calibri" w:eastAsia="Calibri" w:hAnsi="Calibri"/>
          <w:sz w:val="17"/>
          <w:szCs w:val="17"/>
          <w:color w:val="auto"/>
        </w:rPr>
        <w:t xml:space="preserve"> Lockheed's F-35s have been used repeatedly to target civilians and are connected to apparent war crimes.</w:t>
      </w:r>
      <w:r>
        <w:rPr>
          <w:rFonts w:ascii="Calibri" w:cs="Calibri" w:eastAsia="Calibri" w:hAnsi="Calibri"/>
          <w:sz w:val="22"/>
          <w:szCs w:val="22"/>
          <w:color w:val="auto"/>
          <w:vertAlign w:val="superscript"/>
        </w:rPr>
        <w:t>4</w:t>
      </w:r>
      <w:r>
        <w:rPr>
          <w:rFonts w:ascii="Calibri" w:cs="Calibri" w:eastAsia="Calibri" w:hAnsi="Calibri"/>
          <w:sz w:val="17"/>
          <w:szCs w:val="17"/>
          <w:color w:val="auto"/>
        </w:rPr>
        <w:t xml:space="preserve"> Despite this, Lockheed contnues to lobby heavily to maintain and increase the F-35 budget.</w:t>
      </w:r>
      <w:r>
        <w:rPr>
          <w:rFonts w:ascii="Calibri" w:cs="Calibri" w:eastAsia="Calibri" w:hAnsi="Calibri"/>
          <w:sz w:val="22"/>
          <w:szCs w:val="22"/>
          <w:color w:val="auto"/>
          <w:vertAlign w:val="superscript"/>
        </w:rPr>
        <w:t>5</w:t>
      </w:r>
      <w:r>
        <w:rPr>
          <w:rFonts w:ascii="Calibri" w:cs="Calibri" w:eastAsia="Calibri" w:hAnsi="Calibri"/>
          <w:sz w:val="17"/>
          <w:szCs w:val="17"/>
          <w:color w:val="auto"/>
        </w:rPr>
        <w:t xml:space="preserve"> In July 2023, Lockheed was awarded another $3 billion deal to sell 25 F-35's to Israel, where escalatng violence exacerbates a humanitarian crisis.</w:t>
      </w:r>
      <w:r>
        <w:rPr>
          <w:rFonts w:ascii="Calibri" w:cs="Calibri" w:eastAsia="Calibri" w:hAnsi="Calibri"/>
          <w:sz w:val="22"/>
          <w:szCs w:val="22"/>
          <w:color w:val="auto"/>
          <w:vertAlign w:val="superscript"/>
        </w:rPr>
        <w:t>6</w:t>
      </w:r>
    </w:p>
    <w:p>
      <w:pPr>
        <w:spacing w:after="0" w:line="60" w:lineRule="exact"/>
        <w:rPr>
          <w:sz w:val="20"/>
          <w:szCs w:val="20"/>
          <w:color w:val="auto"/>
        </w:rPr>
      </w:pPr>
    </w:p>
    <w:p>
      <w:pPr>
        <w:ind w:left="120" w:right="180"/>
        <w:spacing w:after="0" w:line="208" w:lineRule="auto"/>
        <w:rPr>
          <w:sz w:val="20"/>
          <w:szCs w:val="20"/>
          <w:color w:val="auto"/>
        </w:rPr>
      </w:pPr>
      <w:r>
        <w:rPr>
          <w:rFonts w:ascii="Calibri" w:cs="Calibri" w:eastAsia="Calibri" w:hAnsi="Calibri"/>
          <w:sz w:val="17"/>
          <w:szCs w:val="17"/>
          <w:color w:val="auto"/>
        </w:rPr>
        <w:t>Research organizatons have recorded defense manufacturers exertng "deep infuence through money in politcs."</w:t>
      </w:r>
      <w:r>
        <w:rPr>
          <w:rFonts w:ascii="Calibri" w:cs="Calibri" w:eastAsia="Calibri" w:hAnsi="Calibri"/>
          <w:sz w:val="22"/>
          <w:szCs w:val="22"/>
          <w:color w:val="auto"/>
          <w:vertAlign w:val="superscript"/>
        </w:rPr>
        <w:t>7</w:t>
      </w:r>
      <w:r>
        <w:rPr>
          <w:rFonts w:ascii="Calibri" w:cs="Calibri" w:eastAsia="Calibri" w:hAnsi="Calibri"/>
          <w:sz w:val="17"/>
          <w:szCs w:val="17"/>
          <w:color w:val="auto"/>
        </w:rPr>
        <w:t xml:space="preserve"> Lockheed spent nearly $7 million lobbying in 2022, much of which focused on defense appropriatons and foreign military sales.</w:t>
      </w:r>
      <w:r>
        <w:rPr>
          <w:rFonts w:ascii="Calibri" w:cs="Calibri" w:eastAsia="Calibri" w:hAnsi="Calibri"/>
          <w:sz w:val="22"/>
          <w:szCs w:val="22"/>
          <w:color w:val="auto"/>
          <w:vertAlign w:val="superscript"/>
        </w:rPr>
        <w:t>8</w:t>
      </w:r>
      <w:r>
        <w:rPr>
          <w:rFonts w:ascii="Calibri" w:cs="Calibri" w:eastAsia="Calibri" w:hAnsi="Calibri"/>
          <w:sz w:val="17"/>
          <w:szCs w:val="17"/>
          <w:color w:val="auto"/>
        </w:rPr>
        <w:t xml:space="preserve"> Investors lack disclosure on these lobbying actvites, partcularly how they align with the Company's Human Rights Policy. The UN has critcized the "symbiotc relatonship" between governments and defense contractors, "which can cause States to approve arms exports despite genuine human rights risks that should prevent them."</w:t>
      </w:r>
      <w:r>
        <w:rPr>
          <w:rFonts w:ascii="Calibri" w:cs="Calibri" w:eastAsia="Calibri" w:hAnsi="Calibri"/>
          <w:sz w:val="22"/>
          <w:szCs w:val="22"/>
          <w:color w:val="auto"/>
          <w:vertAlign w:val="superscript"/>
        </w:rPr>
        <w:t>9</w:t>
      </w:r>
      <w:r>
        <w:rPr>
          <w:rFonts w:ascii="Calibri" w:cs="Calibri" w:eastAsia="Calibri" w:hAnsi="Calibri"/>
          <w:sz w:val="17"/>
          <w:szCs w:val="17"/>
          <w:color w:val="auto"/>
        </w:rPr>
        <w:t xml:space="preserve"> Additonally, Lockheed makes signifcant contributons to think tanks, which are not required to disclose donatons. Lockheed has donated to think tanks lobbying against emissions disclosures for defense companies, for increased nuclear weapons producton, and for US military involvement in foreign conficts.</w:t>
      </w:r>
      <w:r>
        <w:rPr>
          <w:rFonts w:ascii="Calibri" w:cs="Calibri" w:eastAsia="Calibri" w:hAnsi="Calibri"/>
          <w:sz w:val="22"/>
          <w:szCs w:val="22"/>
          <w:color w:val="auto"/>
          <w:vertAlign w:val="superscript"/>
        </w:rPr>
        <w:t>10</w:t>
      </w:r>
    </w:p>
    <w:p>
      <w:pPr>
        <w:spacing w:after="0" w:line="70" w:lineRule="exact"/>
        <w:rPr>
          <w:sz w:val="20"/>
          <w:szCs w:val="20"/>
          <w:color w:val="auto"/>
        </w:rPr>
      </w:pPr>
    </w:p>
    <w:p>
      <w:pPr>
        <w:ind w:left="120" w:right="920"/>
        <w:spacing w:after="0" w:line="211" w:lineRule="auto"/>
        <w:rPr>
          <w:sz w:val="20"/>
          <w:szCs w:val="20"/>
          <w:color w:val="auto"/>
        </w:rPr>
      </w:pPr>
      <w:r>
        <w:rPr>
          <w:rFonts w:ascii="Calibri" w:cs="Calibri" w:eastAsia="Calibri" w:hAnsi="Calibri"/>
          <w:sz w:val="17"/>
          <w:szCs w:val="17"/>
          <w:color w:val="auto"/>
        </w:rPr>
        <w:t>Although Lockheed claims its politcal actvites are conducted “in a responsible and ethical way,”</w:t>
      </w:r>
      <w:r>
        <w:rPr>
          <w:rFonts w:ascii="Calibri" w:cs="Calibri" w:eastAsia="Calibri" w:hAnsi="Calibri"/>
          <w:sz w:val="22"/>
          <w:szCs w:val="22"/>
          <w:color w:val="auto"/>
          <w:vertAlign w:val="superscript"/>
        </w:rPr>
        <w:t>11</w:t>
      </w:r>
      <w:r>
        <w:rPr>
          <w:rFonts w:ascii="Calibri" w:cs="Calibri" w:eastAsia="Calibri" w:hAnsi="Calibri"/>
          <w:sz w:val="17"/>
          <w:szCs w:val="17"/>
          <w:color w:val="auto"/>
        </w:rPr>
        <w:t xml:space="preserve"> they appear misaligned with its human rights commitments. Establishing clear policies and reportng on misalignment is critcal to mitgatng material risks that harm shareholder value.</w:t>
      </w:r>
    </w:p>
    <w:p>
      <w:pPr>
        <w:spacing w:after="0" w:line="51" w:lineRule="exact"/>
        <w:rPr>
          <w:sz w:val="20"/>
          <w:szCs w:val="20"/>
          <w:color w:val="auto"/>
        </w:rPr>
      </w:pPr>
    </w:p>
    <w:p>
      <w:pPr>
        <w:ind w:left="200" w:hanging="83"/>
        <w:spacing w:after="0"/>
        <w:tabs>
          <w:tab w:leader="none" w:pos="200" w:val="left"/>
        </w:tabs>
        <w:numPr>
          <w:ilvl w:val="0"/>
          <w:numId w:val="8"/>
        </w:numPr>
        <w:rPr>
          <w:rFonts w:ascii="Calibri" w:cs="Calibri" w:eastAsia="Calibri" w:hAnsi="Calibri"/>
          <w:sz w:val="20"/>
          <w:szCs w:val="20"/>
          <w:color w:val="auto"/>
          <w:vertAlign w:val="superscript"/>
        </w:rPr>
      </w:pPr>
      <w:r>
        <w:rPr>
          <w:rFonts w:ascii="Calibri" w:cs="Calibri" w:eastAsia="Calibri" w:hAnsi="Calibri"/>
          <w:sz w:val="15"/>
          <w:szCs w:val="15"/>
          <w:color w:val="auto"/>
        </w:rPr>
        <w:t>htps://corporate.vanguard.com/content/dam/corp/advocate/investment-stewardship/pdf/perspectves-and-commentary/INVSPOLS_032021.pdf</w:t>
      </w:r>
    </w:p>
    <w:p>
      <w:pPr>
        <w:spacing w:after="0" w:line="22" w:lineRule="exact"/>
        <w:rPr>
          <w:rFonts w:ascii="Calibri" w:cs="Calibri" w:eastAsia="Calibri" w:hAnsi="Calibri"/>
          <w:sz w:val="20"/>
          <w:szCs w:val="20"/>
          <w:color w:val="auto"/>
          <w:vertAlign w:val="superscript"/>
        </w:rPr>
      </w:pPr>
    </w:p>
    <w:p>
      <w:pPr>
        <w:ind w:left="120" w:right="5660"/>
        <w:spacing w:after="0" w:line="202" w:lineRule="auto"/>
        <w:rPr>
          <w:rFonts w:ascii="Calibri" w:cs="Calibri" w:eastAsia="Calibri" w:hAnsi="Calibri"/>
          <w:sz w:val="20"/>
          <w:szCs w:val="20"/>
          <w:color w:val="auto"/>
          <w:vertAlign w:val="superscript"/>
        </w:rPr>
      </w:pPr>
      <w:r>
        <w:rPr>
          <w:rFonts w:ascii="Calibri" w:cs="Calibri" w:eastAsia="Calibri" w:hAnsi="Calibri"/>
          <w:sz w:val="19"/>
          <w:szCs w:val="19"/>
          <w:color w:val="auto"/>
          <w:vertAlign w:val="superscript"/>
        </w:rPr>
        <w:t>2</w:t>
      </w:r>
      <w:r>
        <w:rPr>
          <w:rFonts w:ascii="Calibri" w:cs="Calibri" w:eastAsia="Calibri" w:hAnsi="Calibri"/>
          <w:sz w:val="15"/>
          <w:szCs w:val="15"/>
          <w:color w:val="auto"/>
        </w:rPr>
        <w:t xml:space="preserve"> htps://www.nytmes.com/2019/08/21/magazine/f35-joint-strike-fghter-program.html </w:t>
      </w:r>
      <w:r>
        <w:rPr>
          <w:rFonts w:ascii="Calibri" w:cs="Calibri" w:eastAsia="Calibri" w:hAnsi="Calibri"/>
          <w:sz w:val="19"/>
          <w:szCs w:val="19"/>
          <w:color w:val="auto"/>
          <w:vertAlign w:val="superscript"/>
        </w:rPr>
        <w:t>3</w:t>
      </w:r>
      <w:r>
        <w:rPr>
          <w:rFonts w:ascii="Calibri" w:cs="Calibri" w:eastAsia="Calibri" w:hAnsi="Calibri"/>
          <w:sz w:val="15"/>
          <w:szCs w:val="15"/>
          <w:color w:val="auto"/>
        </w:rPr>
        <w:t xml:space="preserve"> htps://saveourskiesvt.org/</w:t>
      </w:r>
    </w:p>
    <w:p>
      <w:pPr>
        <w:spacing w:after="0" w:line="1" w:lineRule="exact"/>
        <w:rPr>
          <w:rFonts w:ascii="Calibri" w:cs="Calibri" w:eastAsia="Calibri" w:hAnsi="Calibri"/>
          <w:sz w:val="20"/>
          <w:szCs w:val="20"/>
          <w:color w:val="auto"/>
          <w:vertAlign w:val="superscript"/>
        </w:rPr>
      </w:pPr>
    </w:p>
    <w:p>
      <w:pPr>
        <w:ind w:left="120" w:right="2600"/>
        <w:spacing w:after="0" w:line="189" w:lineRule="auto"/>
        <w:rPr>
          <w:rFonts w:ascii="Calibri" w:cs="Calibri" w:eastAsia="Calibri" w:hAnsi="Calibri"/>
          <w:sz w:val="20"/>
          <w:szCs w:val="20"/>
          <w:color w:val="auto"/>
          <w:vertAlign w:val="superscript"/>
        </w:rPr>
      </w:pPr>
      <w:r>
        <w:rPr>
          <w:rFonts w:ascii="Calibri" w:cs="Calibri" w:eastAsia="Calibri" w:hAnsi="Calibri"/>
          <w:sz w:val="19"/>
          <w:szCs w:val="19"/>
          <w:color w:val="auto"/>
          <w:vertAlign w:val="superscript"/>
        </w:rPr>
        <w:t>4</w:t>
      </w:r>
      <w:r>
        <w:rPr>
          <w:rFonts w:ascii="Calibri" w:cs="Calibri" w:eastAsia="Calibri" w:hAnsi="Calibri"/>
          <w:sz w:val="15"/>
          <w:szCs w:val="15"/>
          <w:color w:val="auto"/>
        </w:rPr>
        <w:t xml:space="preserve"> htps://investgate.afsc.org/company/lockheed-martn ; htps://www.hrw.org/news/2021/07/27/gaza-apparent-war-crimes-during-may-fghtng#:~:text=The%20UN%20says%20that%20Israeli,civilian%20deaths%2C%20including%202%20children.</w:t>
      </w:r>
    </w:p>
    <w:p>
      <w:pPr>
        <w:spacing w:after="0" w:line="1" w:lineRule="exact"/>
        <w:rPr>
          <w:rFonts w:ascii="Calibri" w:cs="Calibri" w:eastAsia="Calibri" w:hAnsi="Calibri"/>
          <w:sz w:val="20"/>
          <w:szCs w:val="20"/>
          <w:color w:val="auto"/>
          <w:vertAlign w:val="superscript"/>
        </w:rPr>
      </w:pPr>
    </w:p>
    <w:p>
      <w:pPr>
        <w:ind w:left="120"/>
        <w:spacing w:after="0" w:line="205" w:lineRule="auto"/>
        <w:rPr>
          <w:rFonts w:ascii="Calibri" w:cs="Calibri" w:eastAsia="Calibri" w:hAnsi="Calibri"/>
          <w:sz w:val="20"/>
          <w:szCs w:val="20"/>
          <w:color w:val="auto"/>
          <w:vertAlign w:val="superscript"/>
        </w:rPr>
      </w:pPr>
      <w:r>
        <w:rPr>
          <w:rFonts w:ascii="Calibri" w:cs="Calibri" w:eastAsia="Calibri" w:hAnsi="Calibri"/>
          <w:sz w:val="19"/>
          <w:szCs w:val="19"/>
          <w:color w:val="auto"/>
          <w:vertAlign w:val="superscript"/>
        </w:rPr>
        <w:t>5</w:t>
      </w:r>
      <w:r>
        <w:rPr>
          <w:rFonts w:ascii="Calibri" w:cs="Calibri" w:eastAsia="Calibri" w:hAnsi="Calibri"/>
          <w:sz w:val="15"/>
          <w:szCs w:val="15"/>
          <w:color w:val="auto"/>
        </w:rPr>
        <w:t xml:space="preserve"> htps://prospect.org/power/lockheed-backed-reps-lobby-against-f-35-spending-cuts/</w:t>
      </w:r>
    </w:p>
    <w:p>
      <w:pPr>
        <w:ind w:left="120" w:right="4500"/>
        <w:spacing w:after="0" w:line="202" w:lineRule="auto"/>
        <w:rPr>
          <w:rFonts w:ascii="Calibri" w:cs="Calibri" w:eastAsia="Calibri" w:hAnsi="Calibri"/>
          <w:sz w:val="20"/>
          <w:szCs w:val="20"/>
          <w:color w:val="auto"/>
          <w:vertAlign w:val="superscript"/>
        </w:rPr>
      </w:pPr>
      <w:r>
        <w:rPr>
          <w:rFonts w:ascii="Calibri" w:cs="Calibri" w:eastAsia="Calibri" w:hAnsi="Calibri"/>
          <w:sz w:val="19"/>
          <w:szCs w:val="19"/>
          <w:color w:val="auto"/>
          <w:vertAlign w:val="superscript"/>
        </w:rPr>
        <w:t>6</w:t>
      </w:r>
      <w:r>
        <w:rPr>
          <w:rFonts w:ascii="Calibri" w:cs="Calibri" w:eastAsia="Calibri" w:hAnsi="Calibri"/>
          <w:sz w:val="15"/>
          <w:szCs w:val="15"/>
          <w:color w:val="auto"/>
        </w:rPr>
        <w:t xml:space="preserve"> htps://www.reuters.com/world/middle-east/israel-buy-25-more-f-35-stealth-jets-3-bln-deal-2023-07-02/ </w:t>
      </w:r>
      <w:r>
        <w:rPr>
          <w:rFonts w:ascii="Calibri" w:cs="Calibri" w:eastAsia="Calibri" w:hAnsi="Calibri"/>
          <w:sz w:val="19"/>
          <w:szCs w:val="19"/>
          <w:color w:val="auto"/>
          <w:vertAlign w:val="superscript"/>
        </w:rPr>
        <w:t>7</w:t>
      </w:r>
      <w:r>
        <w:rPr>
          <w:rFonts w:ascii="Calibri" w:cs="Calibri" w:eastAsia="Calibri" w:hAnsi="Calibri"/>
          <w:sz w:val="15"/>
          <w:szCs w:val="15"/>
          <w:color w:val="auto"/>
        </w:rPr>
        <w:t xml:space="preserve"> htps://www.opensecrets.org/news/reports/capitalizing-on-confict/yemen-case-study</w:t>
      </w:r>
    </w:p>
    <w:p>
      <w:pPr>
        <w:spacing w:after="0" w:line="1" w:lineRule="exact"/>
        <w:rPr>
          <w:rFonts w:ascii="Calibri" w:cs="Calibri" w:eastAsia="Calibri" w:hAnsi="Calibri"/>
          <w:sz w:val="20"/>
          <w:szCs w:val="20"/>
          <w:color w:val="auto"/>
          <w:vertAlign w:val="superscript"/>
        </w:rPr>
      </w:pPr>
    </w:p>
    <w:p>
      <w:pPr>
        <w:ind w:left="200" w:right="3460" w:hanging="84"/>
        <w:spacing w:after="0" w:line="197" w:lineRule="auto"/>
        <w:rPr>
          <w:rFonts w:ascii="Calibri" w:cs="Calibri" w:eastAsia="Calibri" w:hAnsi="Calibri"/>
          <w:sz w:val="20"/>
          <w:szCs w:val="20"/>
          <w:color w:val="auto"/>
          <w:vertAlign w:val="superscript"/>
        </w:rPr>
      </w:pPr>
      <w:r>
        <w:rPr>
          <w:rFonts w:ascii="Calibri" w:cs="Calibri" w:eastAsia="Calibri" w:hAnsi="Calibri"/>
          <w:sz w:val="19"/>
          <w:szCs w:val="19"/>
          <w:color w:val="auto"/>
          <w:vertAlign w:val="superscript"/>
        </w:rPr>
        <w:t>8</w:t>
      </w:r>
      <w:r>
        <w:rPr>
          <w:rFonts w:ascii="Calibri" w:cs="Calibri" w:eastAsia="Calibri" w:hAnsi="Calibri"/>
          <w:sz w:val="15"/>
          <w:szCs w:val="15"/>
          <w:color w:val="auto"/>
        </w:rPr>
        <w:t xml:space="preserve"> htps://www.opensecrets.org/federal-lobbying/clients/summary?id=D000000104 ; htps://www.lockheedmartn.com/en-us/who-we-are/leadership-governance/board-of-directors/politcal-disclosures.html</w:t>
      </w:r>
    </w:p>
    <w:p>
      <w:pPr>
        <w:spacing w:after="0" w:line="1" w:lineRule="exact"/>
        <w:rPr>
          <w:rFonts w:ascii="Calibri" w:cs="Calibri" w:eastAsia="Calibri" w:hAnsi="Calibri"/>
          <w:sz w:val="20"/>
          <w:szCs w:val="20"/>
          <w:color w:val="auto"/>
          <w:vertAlign w:val="superscript"/>
        </w:rPr>
      </w:pPr>
    </w:p>
    <w:p>
      <w:pPr>
        <w:ind w:left="120"/>
        <w:spacing w:after="0" w:line="205" w:lineRule="auto"/>
        <w:rPr>
          <w:rFonts w:ascii="Calibri" w:cs="Calibri" w:eastAsia="Calibri" w:hAnsi="Calibri"/>
          <w:sz w:val="20"/>
          <w:szCs w:val="20"/>
          <w:color w:val="auto"/>
          <w:vertAlign w:val="superscript"/>
        </w:rPr>
      </w:pPr>
      <w:r>
        <w:rPr>
          <w:rFonts w:ascii="Calibri" w:cs="Calibri" w:eastAsia="Calibri" w:hAnsi="Calibri"/>
          <w:sz w:val="19"/>
          <w:szCs w:val="19"/>
          <w:color w:val="auto"/>
          <w:vertAlign w:val="superscript"/>
        </w:rPr>
        <w:t>9</w:t>
      </w:r>
      <w:r>
        <w:rPr>
          <w:rFonts w:ascii="Calibri" w:cs="Calibri" w:eastAsia="Calibri" w:hAnsi="Calibri"/>
          <w:sz w:val="15"/>
          <w:szCs w:val="15"/>
          <w:color w:val="auto"/>
        </w:rPr>
        <w:t xml:space="preserve"> htps://www.ohchr.org/sites/default/fles/2022-08/BHR-Arms-sector-info-note.pdf</w:t>
      </w:r>
    </w:p>
    <w:p>
      <w:pPr>
        <w:ind w:left="260" w:right="3800" w:hanging="138"/>
        <w:spacing w:after="0" w:line="202" w:lineRule="auto"/>
        <w:rPr>
          <w:rFonts w:ascii="Calibri" w:cs="Calibri" w:eastAsia="Calibri" w:hAnsi="Calibri"/>
          <w:sz w:val="20"/>
          <w:szCs w:val="20"/>
          <w:color w:val="auto"/>
          <w:vertAlign w:val="superscript"/>
        </w:rPr>
      </w:pPr>
      <w:r>
        <w:rPr>
          <w:rFonts w:ascii="Calibri" w:cs="Calibri" w:eastAsia="Calibri" w:hAnsi="Calibri"/>
          <w:sz w:val="19"/>
          <w:szCs w:val="19"/>
          <w:color w:val="auto"/>
          <w:vertAlign w:val="superscript"/>
        </w:rPr>
        <w:t>10</w:t>
      </w:r>
      <w:r>
        <w:rPr>
          <w:rFonts w:ascii="Calibri" w:cs="Calibri" w:eastAsia="Calibri" w:hAnsi="Calibri"/>
          <w:sz w:val="15"/>
          <w:szCs w:val="15"/>
          <w:color w:val="auto"/>
        </w:rPr>
        <w:t xml:space="preserve"> htps://inthesetmes.com/artcle/heritage-foundaton-lockheed-martn-weapons-industry-climate-regulaton-biden ; htps://quincyinst.org/report/defense-contractor-funded-think-tanks-dominate-ukraine-debate/ ; htps://inkstckmedia.com/what-buying-the-support-of-top-us-think-tanks-gets-you/</w:t>
      </w:r>
    </w:p>
    <w:p>
      <w:pPr>
        <w:ind w:left="120"/>
        <w:spacing w:after="0" w:line="226" w:lineRule="auto"/>
        <w:rPr>
          <w:rFonts w:ascii="Calibri" w:cs="Calibri" w:eastAsia="Calibri" w:hAnsi="Calibri"/>
          <w:sz w:val="20"/>
          <w:szCs w:val="20"/>
          <w:color w:val="auto"/>
          <w:vertAlign w:val="superscript"/>
        </w:rPr>
      </w:pPr>
      <w:r>
        <w:rPr>
          <w:rFonts w:ascii="Calibri" w:cs="Calibri" w:eastAsia="Calibri" w:hAnsi="Calibri"/>
          <w:sz w:val="19"/>
          <w:szCs w:val="19"/>
          <w:color w:val="auto"/>
          <w:vertAlign w:val="superscript"/>
        </w:rPr>
        <w:t>11</w:t>
      </w:r>
      <w:r>
        <w:rPr>
          <w:rFonts w:ascii="Calibri" w:cs="Calibri" w:eastAsia="Calibri" w:hAnsi="Calibri"/>
          <w:sz w:val="15"/>
          <w:szCs w:val="15"/>
          <w:color w:val="auto"/>
        </w:rPr>
        <w:t xml:space="preserve"> htps://www.lockheedmartn.com/en-us/who-we-are/leadership-governance/board-of-directors/politcal-disclosures.html</w:t>
      </w:r>
    </w:p>
    <w:p>
      <w:pPr>
        <w:spacing w:after="0" w:line="16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End of Stockholder Proposal—Board Vote Recommendaton on Proposal 4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9" w:right="319" w:bottom="1440" w:gutter="0" w:footer="0" w:header="0"/>
        </w:sectPr>
      </w:pPr>
    </w:p>
    <w:bookmarkStart w:id="3" w:name="page4"/>
    <w:bookmarkEnd w:id="3"/>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06285" cy="7003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700341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003478"/>
        </w:rPr>
        <w:t>The Board of Directors Recommends Voting AGAINST Proposal 4</w:t>
      </w:r>
    </w:p>
    <w:p>
      <w:pPr>
        <w:spacing w:after="0" w:line="132"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The Board recommends that stockholders vote </w:t>
      </w:r>
      <w:r>
        <w:rPr>
          <w:rFonts w:ascii="Calibri" w:cs="Calibri" w:eastAsia="Calibri" w:hAnsi="Calibri"/>
          <w:sz w:val="17"/>
          <w:szCs w:val="17"/>
          <w:b w:val="1"/>
          <w:bCs w:val="1"/>
          <w:color w:val="auto"/>
        </w:rPr>
        <w:t>AGAINST</w:t>
      </w:r>
      <w:r>
        <w:rPr>
          <w:rFonts w:ascii="Calibri" w:cs="Calibri" w:eastAsia="Calibri" w:hAnsi="Calibri"/>
          <w:sz w:val="17"/>
          <w:szCs w:val="17"/>
          <w:color w:val="auto"/>
        </w:rPr>
        <w:t xml:space="preserve"> this proposal because it is unnecessary and not in the best interests of stockholders for the reasons set forth below. The report called for by the proponent is unnecessary because (i) the Company’s politcal actvites fully align to our human rights policy, (ii) we already disclose our politcal actvites beyond that which is required by law and (iii) our approach to human rights and public policy maters mitgates risk to the Company. The report is not in the best interests of stockholders because, while we respect the proponents’ right to object philosophically to our core business, we disagree with their purported examples of misalignment between lobbying actvites and our human rights policy, and we believe that their selectve use of generalized assertons about the infuence of money in politcs are more properly addressed in the politcal realm.</w:t>
      </w:r>
    </w:p>
    <w:p>
      <w:pPr>
        <w:spacing w:after="0" w:line="29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Lockheed Martn’s politcal actvites support our business actvites and are fully aligned with our human rights commitments.</w:t>
      </w:r>
    </w:p>
    <w:p>
      <w:pPr>
        <w:spacing w:after="0" w:line="106" w:lineRule="exact"/>
        <w:rPr>
          <w:sz w:val="20"/>
          <w:szCs w:val="20"/>
          <w:color w:val="auto"/>
        </w:rPr>
      </w:pPr>
    </w:p>
    <w:p>
      <w:pPr>
        <w:spacing w:after="0"/>
        <w:rPr>
          <w:sz w:val="20"/>
          <w:szCs w:val="20"/>
          <w:color w:val="auto"/>
        </w:rPr>
      </w:pPr>
      <w:r>
        <w:rPr>
          <w:rFonts w:ascii="Calibri" w:cs="Calibri" w:eastAsia="Calibri" w:hAnsi="Calibri"/>
          <w:sz w:val="17"/>
          <w:szCs w:val="17"/>
          <w:color w:val="auto"/>
        </w:rPr>
        <w:t>There is no misalignment between our politcal actvites and our human rights commitments as set forth in our Human Rights Policy, the principles of which are highlighted on page 21. We do not lobby, advocate for or contribute to, or engage others to lobby or advocate on our behalf for, anything that would violate human rights, cause people to be treated with a lack of respect for their human dignity, exacerbate the consequences of our customers’ use of our products or services, or diminish economic or social well-being. We do not lobby for the relaxaton of U.S. government standards, including those that implicate human rights risks. To the contrary, in accordance with our Human Rights Policy, we engage in politcal afairs to advance and advocate our values and we support the U.S. government’s actvites to protect and promote human rights. As described on page 20, our strong governance processes at the management and Board levels ensure our politcal actvites are aligned with our policies and procedures, including our Human Rights Policy and related commitments.</w:t>
      </w:r>
    </w:p>
    <w:p>
      <w:pPr>
        <w:spacing w:after="0" w:line="302" w:lineRule="exact"/>
        <w:rPr>
          <w:sz w:val="20"/>
          <w:szCs w:val="20"/>
          <w:color w:val="auto"/>
        </w:rPr>
      </w:pPr>
    </w:p>
    <w:p>
      <w:pPr>
        <w:ind w:right="80"/>
        <w:spacing w:after="0" w:line="236" w:lineRule="auto"/>
        <w:rPr>
          <w:sz w:val="20"/>
          <w:szCs w:val="20"/>
          <w:color w:val="auto"/>
        </w:rPr>
      </w:pPr>
      <w:r>
        <w:rPr>
          <w:rFonts w:ascii="Calibri" w:cs="Calibri" w:eastAsia="Calibri" w:hAnsi="Calibri"/>
          <w:sz w:val="17"/>
          <w:szCs w:val="17"/>
          <w:color w:val="auto"/>
        </w:rPr>
        <w:t>We focus our politcal actvites on explaining how our products and services support the U.S. government’s security and deterrence strategy and correctng any misinformaton about our products. The U.S. government’s commitment to human rights in its foreign policy shapes the posture of our politcal engagements. The proponents assert incorrectly that Lockheed Martn lobbies for government sales of its products to customers linked to irremediable human rights violatons. For instance, the proponents assert that our work to sell F-35s to internatonal customers causes us to be complicit in war crimes and abet humanitarian crises, suggestng we should not sell F-35s to certain allies of the U.S. government despite the government’s desire for us to sell the planes to those allies. The proponents’ asserton is untrue and misstates the F-35 program’s role in strengthening global alliances and partnerships through connected deterrence capabilites, thus strengthening human rights. Ultmately, our work is closely aligned with our customers and is subject to rigorous government oversight to ensure that our business complies with the requirements of law and furthers the interest of the U.S. government and its allies to support human rights by helping to deter confict around the world.</w:t>
      </w:r>
    </w:p>
    <w:p>
      <w:pPr>
        <w:spacing w:after="0" w:line="10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We comprehensively disclose our politcal actvites and spending.</w:t>
      </w:r>
    </w:p>
    <w:p>
      <w:pPr>
        <w:spacing w:after="0" w:line="106" w:lineRule="exact"/>
        <w:rPr>
          <w:sz w:val="20"/>
          <w:szCs w:val="20"/>
          <w:color w:val="auto"/>
        </w:rPr>
      </w:pPr>
    </w:p>
    <w:p>
      <w:pPr>
        <w:ind w:right="40"/>
        <w:spacing w:after="0"/>
        <w:rPr>
          <w:sz w:val="20"/>
          <w:szCs w:val="20"/>
          <w:color w:val="auto"/>
        </w:rPr>
      </w:pPr>
      <w:r>
        <w:rPr>
          <w:rFonts w:ascii="Calibri" w:cs="Calibri" w:eastAsia="Calibri" w:hAnsi="Calibri"/>
          <w:sz w:val="17"/>
          <w:szCs w:val="17"/>
          <w:color w:val="auto"/>
        </w:rPr>
        <w:t>Lockheed Martn is commited to partcipatng in the politcal and public policy process in a responsible, non partsan and ethical way that serves the best interests of our stockholders and customers. We only engage in politcal actvites directly related to our core business interests, such as natonal defense, space exploraton, alternatve energy technologies, corporate taxes, export policy and internatonal trade. We contribute to public policy debates by partcipatng in trade and industry associatons, as well as engaging directly in advocacy eforts at the federal and state levels and grassroots communicatons eforts.</w:t>
      </w:r>
    </w:p>
    <w:p>
      <w:pPr>
        <w:spacing w:after="0" w:line="304" w:lineRule="exact"/>
        <w:rPr>
          <w:sz w:val="20"/>
          <w:szCs w:val="20"/>
          <w:color w:val="auto"/>
        </w:rPr>
      </w:pPr>
    </w:p>
    <w:p>
      <w:pPr>
        <w:ind w:right="20"/>
        <w:spacing w:after="0"/>
        <w:rPr>
          <w:sz w:val="20"/>
          <w:szCs w:val="20"/>
          <w:color w:val="auto"/>
        </w:rPr>
      </w:pPr>
      <w:r>
        <w:rPr>
          <w:rFonts w:ascii="Calibri" w:cs="Calibri" w:eastAsia="Calibri" w:hAnsi="Calibri"/>
          <w:sz w:val="17"/>
          <w:szCs w:val="17"/>
          <w:color w:val="auto"/>
        </w:rPr>
        <w:t>Lockheed Martn joins trade associatons that represent a broad spectrum of industry as well as industry segments that support a common goal/interests. We do so to engage on those policy issues important to our business interests. Mission consistency is important to us, and we review the value propositon of our partcipaton in associatons on a regular basis, considering a variety of factors including values alignment. We do not engage in politcal actvites, including lobbying, through research and policy insttutes, commonly known as think tanks, although we work with them on thought leadership regarding global security trends and other important issues impactng us and our customers, educatonal outreach and promoton, and other related actvites.</w:t>
      </w:r>
    </w:p>
    <w:p>
      <w:pPr>
        <w:spacing w:after="0" w:line="312" w:lineRule="exact"/>
        <w:rPr>
          <w:sz w:val="20"/>
          <w:szCs w:val="20"/>
          <w:color w:val="auto"/>
        </w:rPr>
      </w:pPr>
    </w:p>
    <w:p>
      <w:pPr>
        <w:ind w:right="300"/>
        <w:spacing w:after="0" w:line="234" w:lineRule="auto"/>
        <w:rPr>
          <w:sz w:val="20"/>
          <w:szCs w:val="20"/>
          <w:color w:val="auto"/>
        </w:rPr>
      </w:pPr>
      <w:r>
        <w:rPr>
          <w:rFonts w:ascii="Calibri" w:cs="Calibri" w:eastAsia="Calibri" w:hAnsi="Calibri"/>
          <w:sz w:val="17"/>
          <w:szCs w:val="17"/>
          <w:color w:val="auto"/>
        </w:rPr>
        <w:t>Our Politcal Disclosures webpage discloses extensive informaton about our politcal and public policy actvites beyond what is required by law. Our website discloses the philosophy, governance and oversight of our corporate politcal actvity, including our federal lobbying expenses and the specifc issues discussed.</w:t>
      </w:r>
    </w:p>
    <w:p>
      <w:pPr>
        <w:spacing w:after="0" w:line="10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Our approach to human rights and public policy maters mitgates risk to the Company.</w:t>
      </w:r>
    </w:p>
    <w:p>
      <w:pPr>
        <w:spacing w:after="0" w:line="106" w:lineRule="exact"/>
        <w:rPr>
          <w:sz w:val="20"/>
          <w:szCs w:val="20"/>
          <w:color w:val="auto"/>
        </w:rPr>
      </w:pPr>
    </w:p>
    <w:p>
      <w:pPr>
        <w:jc w:val="both"/>
        <w:ind w:right="100"/>
        <w:spacing w:after="0" w:line="238" w:lineRule="auto"/>
        <w:rPr>
          <w:sz w:val="20"/>
          <w:szCs w:val="20"/>
          <w:color w:val="auto"/>
        </w:rPr>
      </w:pPr>
      <w:r>
        <w:rPr>
          <w:rFonts w:ascii="Calibri" w:cs="Calibri" w:eastAsia="Calibri" w:hAnsi="Calibri"/>
          <w:sz w:val="17"/>
          <w:szCs w:val="17"/>
          <w:color w:val="auto"/>
        </w:rPr>
        <w:t>Our commitment to strengthening and upholding human rights (see page 21), supportng the U.S. government’s natonal security strategy, and ethically and transparently engaging in government afairs actvites by communicatng with our customers to share informaton about our products and services mitgates risk to our Company. Because of our engagement, we can beter understand our customers’ needs and perspectves and produce products and provide services that meet those needs, while sharing and advancing our Core Values of Do What’s Right, Respect Others and Perform with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870585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20" w:top="1440" w:right="53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uto"/>
        </w:rPr>
        <w: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125730</wp:posOffset>
            </wp:positionV>
            <wp:extent cx="8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34290"/>
                    </a:xfrm>
                    <a:prstGeom prst="rect">
                      <a:avLst/>
                    </a:prstGeom>
                    <a:noFill/>
                  </pic:spPr>
                </pic:pic>
              </a:graphicData>
            </a:graphic>
          </wp:anchor>
        </w:drawing>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404"/>
        </w:trPr>
        <w:tc>
          <w:tcPr>
            <w:tcW w:w="80" w:type="dxa"/>
            <w:vAlign w:val="bottom"/>
            <w:tcBorders>
              <w:top w:val="single" w:sz="8" w:color="BCBEC0"/>
              <w:left w:val="single" w:sz="8" w:color="343434"/>
            </w:tcBorders>
            <w:shd w:val="clear" w:color="auto" w:fill="BCBEC0"/>
          </w:tcPr>
          <w:p>
            <w:pPr>
              <w:spacing w:after="0"/>
              <w:rPr>
                <w:sz w:val="24"/>
                <w:szCs w:val="24"/>
                <w:color w:val="auto"/>
              </w:rPr>
            </w:pPr>
          </w:p>
        </w:tc>
        <w:tc>
          <w:tcPr>
            <w:tcW w:w="7540" w:type="dxa"/>
            <w:vAlign w:val="bottom"/>
            <w:tcBorders>
              <w:top w:val="single" w:sz="8" w:color="BCBEC0"/>
              <w:right w:val="single" w:sz="8" w:color="003478"/>
            </w:tcBorders>
            <w:shd w:val="clear" w:color="auto" w:fill="BCBEC0"/>
          </w:tcPr>
          <w:p>
            <w:pPr>
              <w:ind w:left="60"/>
              <w:spacing w:after="0"/>
              <w:rPr>
                <w:sz w:val="20"/>
                <w:szCs w:val="20"/>
                <w:color w:val="auto"/>
              </w:rPr>
            </w:pPr>
            <w:r>
              <w:rPr>
                <w:rFonts w:ascii="Arial" w:cs="Arial" w:eastAsia="Arial" w:hAnsi="Arial"/>
                <w:sz w:val="25"/>
                <w:szCs w:val="25"/>
                <w:color w:val="343434"/>
              </w:rPr>
              <w:t>Stockholder Proposal Requesting a Report on Reducing Full Value</w:t>
            </w:r>
          </w:p>
        </w:tc>
        <w:tc>
          <w:tcPr>
            <w:tcW w:w="36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7"/>
                <w:szCs w:val="17"/>
                <w:b w:val="1"/>
                <w:bCs w:val="1"/>
                <w:color w:val="auto"/>
              </w:rPr>
              <w:t>The Board recommends a vote</w:t>
            </w:r>
          </w:p>
        </w:tc>
      </w:tr>
      <w:tr>
        <w:trPr>
          <w:trHeight w:val="351"/>
        </w:trPr>
        <w:tc>
          <w:tcPr>
            <w:tcW w:w="80" w:type="dxa"/>
            <w:vAlign w:val="bottom"/>
            <w:tcBorders>
              <w:left w:val="single" w:sz="8" w:color="343434"/>
            </w:tcBorders>
            <w:shd w:val="clear" w:color="auto" w:fill="BCBEC0"/>
          </w:tcPr>
          <w:p>
            <w:pPr>
              <w:spacing w:after="0"/>
              <w:rPr>
                <w:sz w:val="24"/>
                <w:szCs w:val="24"/>
                <w:color w:val="auto"/>
              </w:rPr>
            </w:pPr>
          </w:p>
        </w:tc>
        <w:tc>
          <w:tcPr>
            <w:tcW w:w="7540" w:type="dxa"/>
            <w:vAlign w:val="bottom"/>
            <w:tcBorders>
              <w:right w:val="single" w:sz="8" w:color="003478"/>
            </w:tcBorders>
            <w:shd w:val="clear" w:color="auto" w:fill="BCBEC0"/>
          </w:tcPr>
          <w:p>
            <w:pPr>
              <w:ind w:left="60"/>
              <w:spacing w:after="0"/>
              <w:rPr>
                <w:sz w:val="20"/>
                <w:szCs w:val="20"/>
                <w:color w:val="auto"/>
              </w:rPr>
            </w:pPr>
            <w:r>
              <w:rPr>
                <w:rFonts w:ascii="Arial" w:cs="Arial" w:eastAsia="Arial" w:hAnsi="Arial"/>
                <w:sz w:val="25"/>
                <w:szCs w:val="25"/>
                <w:color w:val="343434"/>
              </w:rPr>
              <w:t>Chain GHG Emissions</w:t>
            </w:r>
          </w:p>
        </w:tc>
        <w:tc>
          <w:tcPr>
            <w:tcW w:w="3640" w:type="dxa"/>
            <w:vAlign w:val="bottom"/>
            <w:tcBorders>
              <w:right w:val="single" w:sz="8" w:color="auto"/>
            </w:tcBorders>
          </w:tcPr>
          <w:p>
            <w:pPr>
              <w:ind w:left="920"/>
              <w:spacing w:after="0"/>
              <w:rPr>
                <w:sz w:val="20"/>
                <w:szCs w:val="20"/>
                <w:color w:val="auto"/>
              </w:rPr>
            </w:pPr>
            <w:r>
              <w:rPr>
                <w:rFonts w:ascii="Arial" w:cs="Arial" w:eastAsia="Arial" w:hAnsi="Arial"/>
                <w:sz w:val="22"/>
                <w:szCs w:val="22"/>
                <w:b w:val="1"/>
                <w:bCs w:val="1"/>
                <w:color w:val="EE2724"/>
              </w:rPr>
              <w:t xml:space="preserve">AGAINST </w:t>
            </w:r>
            <w:r>
              <w:rPr>
                <w:rFonts w:ascii="Arial" w:cs="Arial" w:eastAsia="Arial" w:hAnsi="Arial"/>
                <w:sz w:val="17"/>
                <w:szCs w:val="17"/>
                <w:b w:val="1"/>
                <w:bCs w:val="1"/>
                <w:color w:val="000000"/>
              </w:rPr>
              <w:t>this proposal</w:t>
            </w:r>
          </w:p>
        </w:tc>
      </w:tr>
      <w:tr>
        <w:trPr>
          <w:trHeight w:val="130"/>
        </w:trPr>
        <w:tc>
          <w:tcPr>
            <w:tcW w:w="80" w:type="dxa"/>
            <w:vAlign w:val="bottom"/>
            <w:tcBorders>
              <w:left w:val="single" w:sz="8" w:color="343434"/>
              <w:bottom w:val="single" w:sz="8" w:color="BCBEC0"/>
            </w:tcBorders>
            <w:shd w:val="clear" w:color="auto" w:fill="BCBEC0"/>
          </w:tcPr>
          <w:p>
            <w:pPr>
              <w:spacing w:after="0"/>
              <w:rPr>
                <w:sz w:val="11"/>
                <w:szCs w:val="11"/>
                <w:color w:val="auto"/>
              </w:rPr>
            </w:pPr>
          </w:p>
        </w:tc>
        <w:tc>
          <w:tcPr>
            <w:tcW w:w="7540" w:type="dxa"/>
            <w:vAlign w:val="bottom"/>
            <w:tcBorders>
              <w:bottom w:val="single" w:sz="8" w:color="BCBEC0"/>
              <w:right w:val="single" w:sz="8" w:color="003478"/>
            </w:tcBorders>
            <w:shd w:val="clear" w:color="auto" w:fill="BCBEC0"/>
          </w:tcPr>
          <w:p>
            <w:pPr>
              <w:spacing w:after="0"/>
              <w:rPr>
                <w:sz w:val="11"/>
                <w:szCs w:val="11"/>
                <w:color w:val="auto"/>
              </w:rPr>
            </w:pPr>
          </w:p>
        </w:tc>
        <w:tc>
          <w:tcPr>
            <w:tcW w:w="3640" w:type="dxa"/>
            <w:vAlign w:val="bottom"/>
            <w:tcBorders>
              <w:right w:val="single" w:sz="8" w:color="auto"/>
            </w:tcBorders>
          </w:tcPr>
          <w:p>
            <w:pPr>
              <w:spacing w:after="0"/>
              <w:rPr>
                <w:sz w:val="11"/>
                <w:szCs w:val="11"/>
                <w:color w:val="auto"/>
              </w:rPr>
            </w:pPr>
          </w:p>
        </w:tc>
      </w:tr>
      <w:tr>
        <w:trPr>
          <w:trHeight w:val="20"/>
        </w:trPr>
        <w:tc>
          <w:tcPr>
            <w:tcW w:w="80" w:type="dxa"/>
            <w:vAlign w:val="bottom"/>
            <w:tcBorders>
              <w:left w:val="single" w:sz="8" w:color="343434"/>
            </w:tcBorders>
            <w:shd w:val="clear" w:color="auto" w:fill="343434"/>
          </w:tcPr>
          <w:p>
            <w:pPr>
              <w:spacing w:after="0" w:line="20" w:lineRule="exact"/>
              <w:rPr>
                <w:sz w:val="1"/>
                <w:szCs w:val="1"/>
                <w:color w:val="auto"/>
              </w:rPr>
            </w:pPr>
          </w:p>
        </w:tc>
        <w:tc>
          <w:tcPr>
            <w:tcW w:w="7540" w:type="dxa"/>
            <w:vAlign w:val="bottom"/>
            <w:tcBorders>
              <w:right w:val="single" w:sz="8" w:color="auto"/>
            </w:tcBorders>
            <w:shd w:val="clear" w:color="auto" w:fill="343434"/>
          </w:tcPr>
          <w:p>
            <w:pPr>
              <w:spacing w:after="0" w:line="20" w:lineRule="exact"/>
              <w:rPr>
                <w:sz w:val="1"/>
                <w:szCs w:val="1"/>
                <w:color w:val="auto"/>
              </w:rPr>
            </w:pPr>
          </w:p>
        </w:tc>
        <w:tc>
          <w:tcPr>
            <w:tcW w:w="36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-445135</wp:posOffset>
            </wp:positionV>
            <wp:extent cx="24003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55" w:lineRule="exact"/>
        <w:rPr>
          <w:sz w:val="20"/>
          <w:szCs w:val="20"/>
          <w:color w:val="auto"/>
        </w:rPr>
      </w:pPr>
    </w:p>
    <w:p>
      <w:pPr>
        <w:ind w:right="100"/>
        <w:spacing w:after="0" w:line="261" w:lineRule="auto"/>
        <w:rPr>
          <w:sz w:val="20"/>
          <w:szCs w:val="20"/>
          <w:color w:val="auto"/>
        </w:rPr>
      </w:pPr>
      <w:r>
        <w:rPr>
          <w:rFonts w:ascii="Calibri" w:cs="Calibri" w:eastAsia="Calibri" w:hAnsi="Calibri"/>
          <w:sz w:val="17"/>
          <w:szCs w:val="17"/>
          <w:color w:val="auto"/>
        </w:rPr>
        <w:t>As You Sow, on behalf of the LongView LargeCap 500 Index Fund, Warren Wilson College and Lisete Cooper 2015 Trust, intends to introduce the proposal set forth below at the Annual Meetng.</w:t>
      </w:r>
    </w:p>
    <w:p>
      <w:pPr>
        <w:spacing w:after="0" w:line="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Beginning of Stockholder Proposal—Text and Footnotes are Reprinted from the Stockholder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0575" cy="535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5358130"/>
                    </a:xfrm>
                    <a:prstGeom prst="rect">
                      <a:avLst/>
                    </a:prstGeom>
                    <a:noFill/>
                  </pic:spPr>
                </pic:pic>
              </a:graphicData>
            </a:graphic>
          </wp:anchor>
        </w:drawing>
      </w:r>
    </w:p>
    <w:p>
      <w:pPr>
        <w:spacing w:after="0" w:line="229" w:lineRule="exact"/>
        <w:rPr>
          <w:sz w:val="20"/>
          <w:szCs w:val="20"/>
          <w:color w:val="auto"/>
        </w:rPr>
      </w:pPr>
    </w:p>
    <w:p>
      <w:pPr>
        <w:jc w:val="both"/>
        <w:ind w:left="120" w:right="180"/>
        <w:spacing w:after="0" w:line="218" w:lineRule="auto"/>
        <w:rPr>
          <w:sz w:val="20"/>
          <w:szCs w:val="20"/>
          <w:color w:val="auto"/>
        </w:rPr>
      </w:pPr>
      <w:r>
        <w:rPr>
          <w:rFonts w:ascii="Calibri" w:cs="Calibri" w:eastAsia="Calibri" w:hAnsi="Calibri"/>
          <w:sz w:val="17"/>
          <w:szCs w:val="17"/>
          <w:b w:val="1"/>
          <w:bCs w:val="1"/>
          <w:color w:val="auto"/>
        </w:rPr>
        <w:t xml:space="preserve">WHEREAS: </w:t>
      </w:r>
      <w:r>
        <w:rPr>
          <w:rFonts w:ascii="Calibri" w:cs="Calibri" w:eastAsia="Calibri" w:hAnsi="Calibri"/>
          <w:sz w:val="17"/>
          <w:szCs w:val="17"/>
          <w:color w:val="auto"/>
        </w:rPr>
        <w:t>The Intergovernmental Panel on Climate Change reports that immediate and signifcant emissions reductons are required of all market sectors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to stave of the worst consequences of climate change.</w:t>
      </w:r>
      <w:r>
        <w:rPr>
          <w:rFonts w:ascii="Calibri" w:cs="Calibri" w:eastAsia="Calibri" w:hAnsi="Calibri"/>
          <w:sz w:val="22"/>
          <w:szCs w:val="22"/>
          <w:color w:val="auto"/>
          <w:vertAlign w:val="superscript"/>
        </w:rPr>
        <w:t>1</w:t>
      </w:r>
      <w:r>
        <w:rPr>
          <w:rFonts w:ascii="Calibri" w:cs="Calibri" w:eastAsia="Calibri" w:hAnsi="Calibri"/>
          <w:sz w:val="17"/>
          <w:szCs w:val="17"/>
          <w:color w:val="auto"/>
        </w:rPr>
        <w:t xml:space="preserve"> Decarbonizing the aviaton industry is a critcal component of global decarbonizaton, according to the Internatonal Energy Agency.</w:t>
      </w:r>
      <w:r>
        <w:rPr>
          <w:rFonts w:ascii="Calibri" w:cs="Calibri" w:eastAsia="Calibri" w:hAnsi="Calibri"/>
          <w:sz w:val="22"/>
          <w:szCs w:val="22"/>
          <w:color w:val="auto"/>
          <w:vertAlign w:val="superscript"/>
        </w:rPr>
        <w:t>2</w:t>
      </w:r>
      <w:r>
        <w:rPr>
          <w:rFonts w:ascii="Calibri" w:cs="Calibri" w:eastAsia="Calibri" w:hAnsi="Calibri"/>
          <w:sz w:val="17"/>
          <w:szCs w:val="17"/>
          <w:color w:val="auto"/>
        </w:rPr>
        <w:t xml:space="preserve"> Investor demand for science-aligned emission reductons and transiton planning refects the reality that climate-related risk exposure is growing.</w:t>
      </w:r>
      <w:r>
        <w:rPr>
          <w:rFonts w:ascii="Calibri" w:cs="Calibri" w:eastAsia="Calibri" w:hAnsi="Calibri"/>
          <w:sz w:val="22"/>
          <w:szCs w:val="22"/>
          <w:color w:val="auto"/>
          <w:vertAlign w:val="superscript"/>
        </w:rPr>
        <w:t>3</w:t>
      </w:r>
    </w:p>
    <w:p>
      <w:pPr>
        <w:spacing w:after="0" w:line="79" w:lineRule="exact"/>
        <w:rPr>
          <w:sz w:val="20"/>
          <w:szCs w:val="20"/>
          <w:color w:val="auto"/>
        </w:rPr>
      </w:pPr>
    </w:p>
    <w:p>
      <w:pPr>
        <w:ind w:left="120" w:right="200"/>
        <w:spacing w:after="0" w:line="221" w:lineRule="auto"/>
        <w:rPr>
          <w:sz w:val="20"/>
          <w:szCs w:val="20"/>
          <w:color w:val="auto"/>
        </w:rPr>
      </w:pPr>
      <w:r>
        <w:rPr>
          <w:rFonts w:ascii="Calibri" w:cs="Calibri" w:eastAsia="Calibri" w:hAnsi="Calibri"/>
          <w:sz w:val="17"/>
          <w:szCs w:val="17"/>
          <w:color w:val="auto"/>
        </w:rPr>
        <w:t>Lockheed Martn is subject to substantal emerging regulaton and increasing costs in the US and abroad regarding its emission-intensive operatons and products.</w:t>
      </w:r>
      <w:r>
        <w:rPr>
          <w:rFonts w:ascii="Calibri" w:cs="Calibri" w:eastAsia="Calibri" w:hAnsi="Calibri"/>
          <w:sz w:val="22"/>
          <w:szCs w:val="22"/>
          <w:color w:val="auto"/>
          <w:vertAlign w:val="superscript"/>
        </w:rPr>
        <w:t>4</w:t>
      </w:r>
      <w:r>
        <w:rPr>
          <w:rFonts w:ascii="Calibri" w:cs="Calibri" w:eastAsia="Calibri" w:hAnsi="Calibri"/>
          <w:sz w:val="17"/>
          <w:szCs w:val="17"/>
          <w:color w:val="auto"/>
        </w:rPr>
        <w:t xml:space="preserve"> For instance, the proposed Federal Supplier Climate Risks and Resilience Rule would require large federal contractors, such as Lockheed Martn, to disclose Scope 1, 2, and 3 emissions and set science-based emissions reducton targets.</w:t>
      </w:r>
      <w:r>
        <w:rPr>
          <w:rFonts w:ascii="Calibri" w:cs="Calibri" w:eastAsia="Calibri" w:hAnsi="Calibri"/>
          <w:sz w:val="22"/>
          <w:szCs w:val="22"/>
          <w:color w:val="auto"/>
          <w:vertAlign w:val="superscript"/>
        </w:rPr>
        <w:t>5</w:t>
      </w:r>
      <w:r>
        <w:rPr>
          <w:rFonts w:ascii="Calibri" w:cs="Calibri" w:eastAsia="Calibri" w:hAnsi="Calibri"/>
          <w:sz w:val="17"/>
          <w:szCs w:val="17"/>
          <w:color w:val="auto"/>
        </w:rPr>
        <w:t xml:space="preserve"> By reducing emissions from its full value chain, Lockheed Martn can reduce regulatory burdens and beter assess technological changes, capital deployment needs, and fnancial opportunites.</w:t>
      </w:r>
    </w:p>
    <w:p>
      <w:pPr>
        <w:spacing w:after="0" w:line="122" w:lineRule="exact"/>
        <w:rPr>
          <w:sz w:val="20"/>
          <w:szCs w:val="20"/>
          <w:color w:val="auto"/>
        </w:rPr>
      </w:pPr>
    </w:p>
    <w:p>
      <w:pPr>
        <w:ind w:left="120" w:right="120"/>
        <w:spacing w:after="0" w:line="235" w:lineRule="auto"/>
        <w:rPr>
          <w:sz w:val="20"/>
          <w:szCs w:val="20"/>
          <w:color w:val="auto"/>
        </w:rPr>
      </w:pPr>
      <w:r>
        <w:rPr>
          <w:rFonts w:ascii="Calibri" w:cs="Calibri" w:eastAsia="Calibri" w:hAnsi="Calibri"/>
          <w:sz w:val="17"/>
          <w:szCs w:val="17"/>
          <w:color w:val="auto"/>
        </w:rPr>
        <w:t>Lockheed Martn’s current disclosures lack specifc, forward-looking, and quanttatve acton plans that are sufcient to achieve alignment with the global aim of 1.5</w:t>
      </w:r>
      <w:r>
        <w:rPr>
          <w:rFonts w:ascii="Calibri" w:cs="Calibri" w:eastAsia="Calibri" w:hAnsi="Calibri"/>
          <w:sz w:val="22"/>
          <w:szCs w:val="22"/>
          <w:color w:val="auto"/>
          <w:vertAlign w:val="superscript"/>
        </w:rPr>
        <w:t>o</w:t>
      </w:r>
      <w:r>
        <w:rPr>
          <w:rFonts w:ascii="Calibri" w:cs="Calibri" w:eastAsia="Calibri" w:hAnsi="Calibri"/>
          <w:sz w:val="17"/>
          <w:szCs w:val="17"/>
          <w:color w:val="auto"/>
        </w:rPr>
        <w:t>C. While the Company set an emissions reducton target covering its operatons, this goal covers less than 5% of the Company’s total emissions and fails to align with a 1.5</w:t>
      </w:r>
      <w:r>
        <w:rPr>
          <w:rFonts w:ascii="Calibri" w:cs="Calibri" w:eastAsia="Calibri" w:hAnsi="Calibri"/>
          <w:sz w:val="22"/>
          <w:szCs w:val="22"/>
          <w:color w:val="auto"/>
          <w:vertAlign w:val="superscript"/>
        </w:rPr>
        <w:t>o</w:t>
      </w:r>
      <w:r>
        <w:rPr>
          <w:rFonts w:ascii="Calibri" w:cs="Calibri" w:eastAsia="Calibri" w:hAnsi="Calibri"/>
          <w:sz w:val="17"/>
          <w:szCs w:val="17"/>
          <w:color w:val="auto"/>
        </w:rPr>
        <w:t>C ambiton.</w:t>
      </w:r>
      <w:r>
        <w:rPr>
          <w:rFonts w:ascii="Calibri" w:cs="Calibri" w:eastAsia="Calibri" w:hAnsi="Calibri"/>
          <w:sz w:val="22"/>
          <w:szCs w:val="22"/>
          <w:color w:val="auto"/>
          <w:vertAlign w:val="superscript"/>
        </w:rPr>
        <w:t>6</w:t>
      </w:r>
      <w:r>
        <w:rPr>
          <w:rFonts w:ascii="Calibri" w:cs="Calibri" w:eastAsia="Calibri" w:hAnsi="Calibri"/>
          <w:sz w:val="17"/>
          <w:szCs w:val="17"/>
          <w:color w:val="auto"/>
        </w:rPr>
        <w:t xml:space="preserve"> Lockheed has yet to set a target to reduce emissions from its value chain, which consttutes 95% of the Company’s overall emissions. This absence of emission reducton targets across all scopes, coupled with the absence of a comprehensive transiton plan, leaves investors without crucial informaton regarding the Company’s exposure to climate-related risks in its supply chain and customer use, as well as its strategies for mitgatng these risks. Aerospace and industrial companies are galvanizing acton and investment toward decarbonizing. Lockheed risks falling behind as peers Airbus, BAE Systems, Cisco Systems, Deere &amp; Company, Honeywell, and Safran have established targets through the Science Based Targets initatve across all scopes of emissions.</w:t>
      </w:r>
      <w:r>
        <w:rPr>
          <w:rFonts w:ascii="Calibri" w:cs="Calibri" w:eastAsia="Calibri" w:hAnsi="Calibri"/>
          <w:sz w:val="22"/>
          <w:szCs w:val="22"/>
          <w:color w:val="auto"/>
          <w:vertAlign w:val="superscript"/>
        </w:rPr>
        <w:t>7</w:t>
      </w:r>
    </w:p>
    <w:p>
      <w:pPr>
        <w:spacing w:after="0" w:line="85" w:lineRule="exact"/>
        <w:rPr>
          <w:sz w:val="20"/>
          <w:szCs w:val="20"/>
          <w:color w:val="auto"/>
        </w:rPr>
      </w:pPr>
    </w:p>
    <w:p>
      <w:pPr>
        <w:ind w:left="120" w:right="660"/>
        <w:spacing w:after="0" w:line="245" w:lineRule="auto"/>
        <w:rPr>
          <w:sz w:val="20"/>
          <w:szCs w:val="20"/>
          <w:color w:val="auto"/>
        </w:rPr>
      </w:pPr>
      <w:r>
        <w:rPr>
          <w:rFonts w:ascii="Calibri" w:cs="Calibri" w:eastAsia="Calibri" w:hAnsi="Calibri"/>
          <w:sz w:val="17"/>
          <w:szCs w:val="17"/>
          <w:color w:val="auto"/>
        </w:rPr>
        <w:t>By setng science-aligned emission reducton targets across its full value chain and providing a comprehensive transiton plan, Lockheed Martn can improve its compettveness against peers, prepare for regulaton, and positon itself to maximize climate-related opportunites.</w:t>
      </w:r>
    </w:p>
    <w:p>
      <w:pPr>
        <w:spacing w:after="0" w:line="130" w:lineRule="exact"/>
        <w:rPr>
          <w:sz w:val="20"/>
          <w:szCs w:val="20"/>
          <w:color w:val="auto"/>
        </w:rPr>
      </w:pPr>
    </w:p>
    <w:p>
      <w:pPr>
        <w:ind w:left="120" w:right="720"/>
        <w:spacing w:after="0" w:line="239" w:lineRule="auto"/>
        <w:rPr>
          <w:sz w:val="20"/>
          <w:szCs w:val="20"/>
          <w:color w:val="auto"/>
        </w:rPr>
      </w:pPr>
      <w:r>
        <w:rPr>
          <w:rFonts w:ascii="Calibri" w:cs="Calibri" w:eastAsia="Calibri" w:hAnsi="Calibri"/>
          <w:sz w:val="17"/>
          <w:szCs w:val="17"/>
          <w:b w:val="1"/>
          <w:bCs w:val="1"/>
          <w:color w:val="auto"/>
        </w:rPr>
        <w:t xml:space="preserve">BE IT RESOLVED: </w:t>
      </w:r>
      <w:r>
        <w:rPr>
          <w:rFonts w:ascii="Calibri" w:cs="Calibri" w:eastAsia="Calibri" w:hAnsi="Calibri"/>
          <w:sz w:val="17"/>
          <w:szCs w:val="17"/>
          <w:color w:val="auto"/>
        </w:rPr>
        <w:t>Shareholders request that the Board issue a report, at reasonable expense and excluding confdental informaton, disclosing how</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Lockheed Martn intends to reduce its full value chain emissions in alignment with the Paris Agreement’s 1.5</w:t>
      </w:r>
      <w:r>
        <w:rPr>
          <w:rFonts w:ascii="Calibri" w:cs="Calibri" w:eastAsia="Calibri" w:hAnsi="Calibri"/>
          <w:sz w:val="22"/>
          <w:szCs w:val="22"/>
          <w:color w:val="auto"/>
          <w:vertAlign w:val="superscript"/>
        </w:rPr>
        <w:t>o</w:t>
      </w:r>
      <w:r>
        <w:rPr>
          <w:rFonts w:ascii="Calibri" w:cs="Calibri" w:eastAsia="Calibri" w:hAnsi="Calibri"/>
          <w:sz w:val="17"/>
          <w:szCs w:val="17"/>
          <w:color w:val="auto"/>
        </w:rPr>
        <w:t>C goal.</w:t>
      </w:r>
    </w:p>
    <w:p>
      <w:pPr>
        <w:spacing w:after="0" w:line="63" w:lineRule="exact"/>
        <w:rPr>
          <w:sz w:val="20"/>
          <w:szCs w:val="20"/>
          <w:color w:val="auto"/>
        </w:rPr>
      </w:pPr>
    </w:p>
    <w:p>
      <w:pPr>
        <w:ind w:left="120"/>
        <w:spacing w:after="0"/>
        <w:rPr>
          <w:sz w:val="20"/>
          <w:szCs w:val="20"/>
          <w:color w:val="auto"/>
        </w:rPr>
      </w:pPr>
      <w:r>
        <w:rPr>
          <w:rFonts w:ascii="Calibri" w:cs="Calibri" w:eastAsia="Calibri" w:hAnsi="Calibri"/>
          <w:sz w:val="17"/>
          <w:szCs w:val="17"/>
          <w:b w:val="1"/>
          <w:bCs w:val="1"/>
          <w:color w:val="auto"/>
        </w:rPr>
        <w:t xml:space="preserve">SUPPORTING STATEMENT: </w:t>
      </w:r>
      <w:r>
        <w:rPr>
          <w:rFonts w:ascii="Calibri" w:cs="Calibri" w:eastAsia="Calibri" w:hAnsi="Calibri"/>
          <w:sz w:val="17"/>
          <w:szCs w:val="17"/>
          <w:color w:val="auto"/>
        </w:rPr>
        <w:t>Proponents recommend, at Board discreton, that the report include:</w:t>
      </w:r>
    </w:p>
    <w:p>
      <w:pPr>
        <w:spacing w:after="0" w:line="130" w:lineRule="exact"/>
        <w:rPr>
          <w:sz w:val="20"/>
          <w:szCs w:val="20"/>
          <w:color w:val="auto"/>
        </w:rPr>
      </w:pPr>
    </w:p>
    <w:p>
      <w:pPr>
        <w:ind w:left="680" w:hanging="317"/>
        <w:spacing w:after="0"/>
        <w:tabs>
          <w:tab w:leader="none" w:pos="68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A tmeline for setng 1.5°C-aligned near-term emission reducton targets;</w:t>
      </w:r>
    </w:p>
    <w:p>
      <w:pPr>
        <w:spacing w:after="0" w:line="62" w:lineRule="exact"/>
        <w:rPr>
          <w:rFonts w:ascii="Calibri" w:cs="Calibri" w:eastAsia="Calibri" w:hAnsi="Calibri"/>
          <w:sz w:val="17"/>
          <w:szCs w:val="17"/>
          <w:color w:val="auto"/>
        </w:rPr>
      </w:pPr>
    </w:p>
    <w:p>
      <w:pPr>
        <w:ind w:left="680" w:hanging="317"/>
        <w:spacing w:after="0"/>
        <w:tabs>
          <w:tab w:leader="none" w:pos="68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A tmeline for setng long-term net zero goals;</w:t>
      </w:r>
    </w:p>
    <w:p>
      <w:pPr>
        <w:spacing w:after="0" w:line="75" w:lineRule="exact"/>
        <w:rPr>
          <w:rFonts w:ascii="Calibri" w:cs="Calibri" w:eastAsia="Calibri" w:hAnsi="Calibri"/>
          <w:sz w:val="17"/>
          <w:szCs w:val="17"/>
          <w:color w:val="auto"/>
        </w:rPr>
      </w:pPr>
    </w:p>
    <w:p>
      <w:pPr>
        <w:ind w:left="680" w:hanging="317"/>
        <w:spacing w:after="0"/>
        <w:tabs>
          <w:tab w:leader="none" w:pos="68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A climate transiton plan to achieve emissions reducton goals across all relevant emission scopes; and</w:t>
      </w:r>
    </w:p>
    <w:p>
      <w:pPr>
        <w:spacing w:after="0" w:line="62" w:lineRule="exact"/>
        <w:rPr>
          <w:rFonts w:ascii="Calibri" w:cs="Calibri" w:eastAsia="Calibri" w:hAnsi="Calibri"/>
          <w:sz w:val="17"/>
          <w:szCs w:val="17"/>
          <w:color w:val="auto"/>
        </w:rPr>
      </w:pPr>
    </w:p>
    <w:p>
      <w:pPr>
        <w:ind w:left="680" w:hanging="317"/>
        <w:spacing w:after="0"/>
        <w:tabs>
          <w:tab w:leader="none" w:pos="68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Annual reportng demonstratng progress towards meetng emission reducton goals.</w:t>
      </w:r>
    </w:p>
    <w:p>
      <w:pPr>
        <w:spacing w:after="0" w:line="33" w:lineRule="exact"/>
        <w:rPr>
          <w:sz w:val="20"/>
          <w:szCs w:val="20"/>
          <w:color w:val="auto"/>
        </w:rPr>
      </w:pPr>
    </w:p>
    <w:p>
      <w:pPr>
        <w:ind w:left="180" w:hanging="63"/>
        <w:spacing w:after="0"/>
        <w:tabs>
          <w:tab w:leader="none" w:pos="180" w:val="left"/>
        </w:tabs>
        <w:numPr>
          <w:ilvl w:val="0"/>
          <w:numId w:val="10"/>
        </w:numPr>
        <w:rPr>
          <w:rFonts w:ascii="Calibri" w:cs="Calibri" w:eastAsia="Calibri" w:hAnsi="Calibri"/>
          <w:sz w:val="18"/>
          <w:szCs w:val="18"/>
          <w:color w:val="auto"/>
          <w:vertAlign w:val="superscript"/>
        </w:rPr>
      </w:pPr>
      <w:r>
        <w:rPr>
          <w:rFonts w:ascii="Calibri" w:cs="Calibri" w:eastAsia="Calibri" w:hAnsi="Calibri"/>
          <w:sz w:val="14"/>
          <w:szCs w:val="14"/>
          <w:color w:val="auto"/>
        </w:rPr>
        <w:t>htps://www.ipcc.ch/report/ar6/syr/downloads/report/IPCC_AR6_SYR_FullVolume.pdf, p.20</w:t>
      </w:r>
    </w:p>
    <w:p>
      <w:pPr>
        <w:ind w:left="180" w:hanging="63"/>
        <w:spacing w:after="0" w:line="191" w:lineRule="auto"/>
        <w:tabs>
          <w:tab w:leader="none" w:pos="180" w:val="left"/>
        </w:tabs>
        <w:numPr>
          <w:ilvl w:val="0"/>
          <w:numId w:val="11"/>
        </w:numPr>
        <w:rPr>
          <w:rFonts w:ascii="Calibri" w:cs="Calibri" w:eastAsia="Calibri" w:hAnsi="Calibri"/>
          <w:sz w:val="18"/>
          <w:szCs w:val="18"/>
          <w:color w:val="auto"/>
          <w:vertAlign w:val="superscript"/>
        </w:rPr>
      </w:pPr>
      <w:r>
        <w:rPr>
          <w:rFonts w:ascii="Calibri" w:cs="Calibri" w:eastAsia="Calibri" w:hAnsi="Calibri"/>
          <w:sz w:val="14"/>
          <w:szCs w:val="14"/>
          <w:color w:val="auto"/>
        </w:rPr>
        <w:t>htps://iea.blob.core.windows.net/assets/13dab083-08c3-4dfd-a887-42a3ebe533bc/NetZeroRoadmap_AGlobalPathwaytoKeepthe1.5CGoalinReach-2023Update.pdf, p.87,88</w:t>
      </w:r>
    </w:p>
    <w:p>
      <w:pPr>
        <w:spacing w:after="0" w:line="36" w:lineRule="exact"/>
        <w:rPr>
          <w:rFonts w:ascii="Calibri" w:cs="Calibri" w:eastAsia="Calibri" w:hAnsi="Calibri"/>
          <w:sz w:val="18"/>
          <w:szCs w:val="18"/>
          <w:color w:val="auto"/>
          <w:vertAlign w:val="superscript"/>
        </w:rPr>
      </w:pPr>
    </w:p>
    <w:p>
      <w:pPr>
        <w:ind w:left="180" w:right="4540" w:hanging="69"/>
        <w:spacing w:after="0" w:line="189" w:lineRule="auto"/>
        <w:rPr>
          <w:rFonts w:ascii="Calibri" w:cs="Calibri" w:eastAsia="Calibri" w:hAnsi="Calibri"/>
          <w:sz w:val="18"/>
          <w:szCs w:val="18"/>
          <w:color w:val="auto"/>
          <w:vertAlign w:val="superscript"/>
        </w:rPr>
      </w:pPr>
      <w:r>
        <w:rPr>
          <w:rFonts w:ascii="Calibri" w:cs="Calibri" w:eastAsia="Calibri" w:hAnsi="Calibri"/>
          <w:sz w:val="19"/>
          <w:szCs w:val="19"/>
          <w:color w:val="auto"/>
          <w:vertAlign w:val="superscript"/>
        </w:rPr>
        <w:t>3</w:t>
      </w:r>
      <w:r>
        <w:rPr>
          <w:rFonts w:ascii="Calibri" w:cs="Calibri" w:eastAsia="Calibri" w:hAnsi="Calibri"/>
          <w:sz w:val="15"/>
          <w:szCs w:val="15"/>
          <w:color w:val="auto"/>
        </w:rPr>
        <w:t xml:space="preserve"> htps://www.weforum.org/agenda/2023/10/climate-loss-and-damage-cost-16-million-per-hour/; htps://corpgov.law.harvard.edu/2023/01/30/eu-fnalizes-esg-reportng-rules-with-internatonal-impacts/</w:t>
      </w:r>
    </w:p>
    <w:p>
      <w:pPr>
        <w:spacing w:after="0" w:line="3" w:lineRule="exact"/>
        <w:rPr>
          <w:rFonts w:ascii="Calibri" w:cs="Calibri" w:eastAsia="Calibri" w:hAnsi="Calibri"/>
          <w:sz w:val="18"/>
          <w:szCs w:val="18"/>
          <w:color w:val="auto"/>
          <w:vertAlign w:val="superscript"/>
        </w:rPr>
      </w:pPr>
    </w:p>
    <w:p>
      <w:pPr>
        <w:ind w:left="180" w:right="4240" w:hanging="69"/>
        <w:spacing w:after="0" w:line="217" w:lineRule="auto"/>
        <w:rPr>
          <w:rFonts w:ascii="Calibri" w:cs="Calibri" w:eastAsia="Calibri" w:hAnsi="Calibri"/>
          <w:sz w:val="18"/>
          <w:szCs w:val="18"/>
          <w:color w:val="auto"/>
          <w:vertAlign w:val="superscript"/>
        </w:rPr>
      </w:pPr>
      <w:r>
        <w:rPr>
          <w:rFonts w:ascii="Calibri" w:cs="Calibri" w:eastAsia="Calibri" w:hAnsi="Calibri"/>
          <w:sz w:val="19"/>
          <w:szCs w:val="19"/>
          <w:color w:val="auto"/>
          <w:vertAlign w:val="superscript"/>
        </w:rPr>
        <w:t>4</w:t>
      </w:r>
      <w:r>
        <w:rPr>
          <w:rFonts w:ascii="Calibri" w:cs="Calibri" w:eastAsia="Calibri" w:hAnsi="Calibri"/>
          <w:sz w:val="15"/>
          <w:szCs w:val="15"/>
          <w:color w:val="auto"/>
        </w:rPr>
        <w:t xml:space="preserve"> htps://www.f.com/content/7a0dd553-fa5b-4a58-81d1-e500f8ce3d2a; htps://www.npr.org/2023/10/12/1205068747/climate-change-emissions-companies-disclosure-sec-california</w:t>
      </w:r>
    </w:p>
    <w:p>
      <w:pPr>
        <w:ind w:left="120"/>
        <w:spacing w:after="0" w:line="219" w:lineRule="auto"/>
        <w:rPr>
          <w:rFonts w:ascii="Calibri" w:cs="Calibri" w:eastAsia="Calibri" w:hAnsi="Calibri"/>
          <w:sz w:val="18"/>
          <w:szCs w:val="18"/>
          <w:color w:val="auto"/>
          <w:vertAlign w:val="superscript"/>
        </w:rPr>
      </w:pPr>
      <w:r>
        <w:rPr>
          <w:rFonts w:ascii="Calibri" w:cs="Calibri" w:eastAsia="Calibri" w:hAnsi="Calibri"/>
          <w:sz w:val="19"/>
          <w:szCs w:val="19"/>
          <w:color w:val="auto"/>
          <w:vertAlign w:val="superscript"/>
        </w:rPr>
        <w:t>5</w:t>
      </w:r>
      <w:r>
        <w:rPr>
          <w:rFonts w:ascii="Calibri" w:cs="Calibri" w:eastAsia="Calibri" w:hAnsi="Calibri"/>
          <w:sz w:val="15"/>
          <w:szCs w:val="15"/>
          <w:color w:val="auto"/>
        </w:rPr>
        <w:t xml:space="preserve"> htps://www.sustainability.gov/federalsustainabilityplan/fed-supplier-rule.html</w:t>
      </w:r>
    </w:p>
    <w:p>
      <w:pPr>
        <w:ind w:left="180" w:right="2140" w:hanging="69"/>
        <w:spacing w:after="0" w:line="189" w:lineRule="auto"/>
        <w:rPr>
          <w:rFonts w:ascii="Calibri" w:cs="Calibri" w:eastAsia="Calibri" w:hAnsi="Calibri"/>
          <w:sz w:val="18"/>
          <w:szCs w:val="18"/>
          <w:color w:val="auto"/>
          <w:vertAlign w:val="superscript"/>
        </w:rPr>
      </w:pPr>
      <w:r>
        <w:rPr>
          <w:rFonts w:ascii="Calibri" w:cs="Calibri" w:eastAsia="Calibri" w:hAnsi="Calibri"/>
          <w:sz w:val="19"/>
          <w:szCs w:val="19"/>
          <w:color w:val="auto"/>
          <w:vertAlign w:val="superscript"/>
        </w:rPr>
        <w:t>6</w:t>
      </w:r>
      <w:r>
        <w:rPr>
          <w:rFonts w:ascii="Calibri" w:cs="Calibri" w:eastAsia="Calibri" w:hAnsi="Calibri"/>
          <w:sz w:val="15"/>
          <w:szCs w:val="15"/>
          <w:color w:val="auto"/>
        </w:rPr>
        <w:t xml:space="preserve"> htps://sustainability.lockheedmartn.com/sustainability/beyond-the-smp/carbon-strategy-and-climate-related-risk/; htps://www.lockheedmartn.com/content/dam/lockheed-martn/eo/documents/sustainability/2023-cdp-climate-change-response.pdf, p.30-34</w:t>
      </w:r>
    </w:p>
    <w:p>
      <w:pPr>
        <w:spacing w:after="0" w:line="2" w:lineRule="exact"/>
        <w:rPr>
          <w:rFonts w:ascii="Calibri" w:cs="Calibri" w:eastAsia="Calibri" w:hAnsi="Calibri"/>
          <w:sz w:val="18"/>
          <w:szCs w:val="18"/>
          <w:color w:val="auto"/>
          <w:vertAlign w:val="superscript"/>
        </w:rPr>
      </w:pPr>
    </w:p>
    <w:p>
      <w:pPr>
        <w:ind w:left="120"/>
        <w:spacing w:after="0"/>
        <w:rPr>
          <w:rFonts w:ascii="Calibri" w:cs="Calibri" w:eastAsia="Calibri" w:hAnsi="Calibri"/>
          <w:sz w:val="18"/>
          <w:szCs w:val="18"/>
          <w:color w:val="auto"/>
          <w:vertAlign w:val="superscript"/>
        </w:rPr>
      </w:pPr>
      <w:r>
        <w:rPr>
          <w:rFonts w:ascii="Calibri" w:cs="Calibri" w:eastAsia="Calibri" w:hAnsi="Calibri"/>
          <w:sz w:val="19"/>
          <w:szCs w:val="19"/>
          <w:color w:val="auto"/>
          <w:vertAlign w:val="superscript"/>
        </w:rPr>
        <w:t>7</w:t>
      </w:r>
      <w:r>
        <w:rPr>
          <w:rFonts w:ascii="Calibri" w:cs="Calibri" w:eastAsia="Calibri" w:hAnsi="Calibri"/>
          <w:sz w:val="15"/>
          <w:szCs w:val="15"/>
          <w:color w:val="auto"/>
        </w:rPr>
        <w:t xml:space="preserve"> htps://sciencebasedtargets.org/companies-taking-acton</w:t>
      </w:r>
    </w:p>
    <w:p>
      <w:pPr>
        <w:spacing w:after="0" w:line="7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End of Stockholder Proposal—Board Vote Recommendaton on Proposal 5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9" w:right="319" w:bottom="1440" w:gutter="0" w:footer="0" w:header="0"/>
        </w:sectPr>
      </w:pPr>
    </w:p>
    <w:bookmarkStart w:id="5" w:name="page6"/>
    <w:bookmarkEnd w:id="5"/>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7003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00341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003478"/>
        </w:rPr>
        <w:t>The Board of Directors Recommends Voting AGAINST Proposal 5</w:t>
      </w:r>
    </w:p>
    <w:p>
      <w:pPr>
        <w:spacing w:after="0" w:line="132" w:lineRule="exact"/>
        <w:rPr>
          <w:sz w:val="20"/>
          <w:szCs w:val="20"/>
          <w:color w:val="auto"/>
        </w:rPr>
      </w:pPr>
    </w:p>
    <w:p>
      <w:pPr>
        <w:spacing w:after="0" w:line="236" w:lineRule="auto"/>
        <w:rPr>
          <w:sz w:val="20"/>
          <w:szCs w:val="20"/>
          <w:color w:val="auto"/>
        </w:rPr>
      </w:pPr>
      <w:r>
        <w:rPr>
          <w:rFonts w:ascii="Calibri" w:cs="Calibri" w:eastAsia="Calibri" w:hAnsi="Calibri"/>
          <w:sz w:val="17"/>
          <w:szCs w:val="17"/>
          <w:color w:val="auto"/>
        </w:rPr>
        <w:t xml:space="preserve">The Board recommends that stockholders vote </w:t>
      </w:r>
      <w:r>
        <w:rPr>
          <w:rFonts w:ascii="Calibri" w:cs="Calibri" w:eastAsia="Calibri" w:hAnsi="Calibri"/>
          <w:sz w:val="17"/>
          <w:szCs w:val="17"/>
          <w:b w:val="1"/>
          <w:bCs w:val="1"/>
          <w:color w:val="auto"/>
        </w:rPr>
        <w:t>AGAINST</w:t>
      </w:r>
      <w:r>
        <w:rPr>
          <w:rFonts w:ascii="Calibri" w:cs="Calibri" w:eastAsia="Calibri" w:hAnsi="Calibri"/>
          <w:sz w:val="17"/>
          <w:szCs w:val="17"/>
          <w:color w:val="auto"/>
        </w:rPr>
        <w:t xml:space="preserve"> this proposal because we believe the proposal does not take into account the unique challenges the Company faces in reportng Scope 3 greenhouse gas (GHG) emissions and seeking their reducton when the end-users of our products are sovereign governments that are not obligated to—and in many cases will not for natonal security reasons—report on or make commitments regarding Scope 3 goals. In additon, the request of the proposal introduces potental risks to our Company that are not in the best interests of stockholders and is unnecessarily prescriptve and premature. The proposal ignores the meaningful actons that the Company has taken and contnues to take to reduce GHG emissions (including Scope 3) or our existng comprehensive reportng on these actons. Further, the proposal is nearly identcal to a proposal the same proponent representatve submited last year, which nearly two-thirds of our stockholders voted against.</w:t>
      </w:r>
    </w:p>
    <w:p>
      <w:pPr>
        <w:spacing w:after="0" w:line="111" w:lineRule="exact"/>
        <w:rPr>
          <w:sz w:val="20"/>
          <w:szCs w:val="20"/>
          <w:color w:val="auto"/>
        </w:rPr>
      </w:pPr>
    </w:p>
    <w:p>
      <w:pPr>
        <w:ind w:right="640"/>
        <w:spacing w:after="0" w:line="235" w:lineRule="auto"/>
        <w:rPr>
          <w:sz w:val="20"/>
          <w:szCs w:val="20"/>
          <w:color w:val="auto"/>
        </w:rPr>
      </w:pPr>
      <w:r>
        <w:rPr>
          <w:rFonts w:ascii="Calibri" w:cs="Calibri" w:eastAsia="Calibri" w:hAnsi="Calibri"/>
          <w:sz w:val="17"/>
          <w:szCs w:val="17"/>
          <w:b w:val="1"/>
          <w:bCs w:val="1"/>
          <w:color w:val="auto"/>
        </w:rPr>
        <w:t>We sell defense and security products to sovereign governments, which precludes us from setng standalone, quanttatve Scope 3 emissions reducton goals in isolaton.</w:t>
      </w:r>
    </w:p>
    <w:p>
      <w:pPr>
        <w:spacing w:after="0" w:line="53" w:lineRule="exact"/>
        <w:rPr>
          <w:sz w:val="20"/>
          <w:szCs w:val="20"/>
          <w:color w:val="auto"/>
        </w:rPr>
      </w:pPr>
    </w:p>
    <w:p>
      <w:pPr>
        <w:jc w:val="both"/>
        <w:ind w:right="180"/>
        <w:spacing w:after="0" w:line="238" w:lineRule="auto"/>
        <w:rPr>
          <w:sz w:val="20"/>
          <w:szCs w:val="20"/>
          <w:color w:val="auto"/>
        </w:rPr>
      </w:pPr>
      <w:r>
        <w:rPr>
          <w:rFonts w:ascii="Calibri" w:cs="Calibri" w:eastAsia="Calibri" w:hAnsi="Calibri"/>
          <w:sz w:val="17"/>
          <w:szCs w:val="17"/>
          <w:color w:val="auto"/>
        </w:rPr>
        <w:t>Aerospace and defense (A&amp;D) companies face industry-specifc constraints in addressing both upstream and downstream Scope 3 emissions, impeding our ability to set achievable quanttatve Scope 3 emissions reducton goals without extensive cross-industry and cross-government collaboraton. The defense industrial base relies on a highly specialized and complex supply chain. In additon, A&amp;D contractors’ unique customer profle impacts Scope 3 emissions in many ways including:</w:t>
      </w:r>
    </w:p>
    <w:p>
      <w:pPr>
        <w:spacing w:after="0" w:line="51" w:lineRule="exact"/>
        <w:rPr>
          <w:sz w:val="20"/>
          <w:szCs w:val="20"/>
          <w:color w:val="auto"/>
        </w:rPr>
      </w:pPr>
    </w:p>
    <w:p>
      <w:pPr>
        <w:ind w:left="300" w:hanging="189"/>
        <w:spacing w:after="0"/>
        <w:tabs>
          <w:tab w:leader="none" w:pos="30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Sovereign governments control the specifcaton of product requirements.</w:t>
      </w:r>
    </w:p>
    <w:p>
      <w:pPr>
        <w:spacing w:after="0" w:line="48" w:lineRule="exact"/>
        <w:rPr>
          <w:rFonts w:ascii="Calibri" w:cs="Calibri" w:eastAsia="Calibri" w:hAnsi="Calibri"/>
          <w:sz w:val="17"/>
          <w:szCs w:val="17"/>
          <w:color w:val="auto"/>
        </w:rPr>
      </w:pPr>
    </w:p>
    <w:p>
      <w:pPr>
        <w:ind w:left="300" w:hanging="189"/>
        <w:spacing w:after="0"/>
        <w:tabs>
          <w:tab w:leader="none" w:pos="300"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Sovereign governments control the ultmate end use of products.</w:t>
      </w:r>
    </w:p>
    <w:p>
      <w:pPr>
        <w:spacing w:after="0" w:line="52" w:lineRule="exact"/>
        <w:rPr>
          <w:rFonts w:ascii="Calibri" w:cs="Calibri" w:eastAsia="Calibri" w:hAnsi="Calibri"/>
          <w:sz w:val="17"/>
          <w:szCs w:val="17"/>
          <w:color w:val="auto"/>
        </w:rPr>
      </w:pPr>
    </w:p>
    <w:p>
      <w:pPr>
        <w:ind w:left="300" w:right="540" w:hanging="189"/>
        <w:spacing w:after="0" w:line="245" w:lineRule="auto"/>
        <w:tabs>
          <w:tab w:leader="none" w:pos="301" w:val="left"/>
        </w:tabs>
        <w:numPr>
          <w:ilvl w:val="0"/>
          <w:numId w:val="12"/>
        </w:numPr>
        <w:rPr>
          <w:rFonts w:ascii="Calibri" w:cs="Calibri" w:eastAsia="Calibri" w:hAnsi="Calibri"/>
          <w:sz w:val="17"/>
          <w:szCs w:val="17"/>
          <w:color w:val="auto"/>
        </w:rPr>
      </w:pPr>
      <w:r>
        <w:rPr>
          <w:rFonts w:ascii="Calibri" w:cs="Calibri" w:eastAsia="Calibri" w:hAnsi="Calibri"/>
          <w:sz w:val="17"/>
          <w:szCs w:val="17"/>
          <w:color w:val="auto"/>
        </w:rPr>
        <w:t>Customers do not currently provide contractors with product-in-use informaton and that which they might provide will be limited by natonal security consideratons.</w:t>
      </w:r>
    </w:p>
    <w:p>
      <w:pPr>
        <w:spacing w:after="0" w:line="49" w:lineRule="exact"/>
        <w:rPr>
          <w:sz w:val="20"/>
          <w:szCs w:val="20"/>
          <w:color w:val="auto"/>
        </w:rPr>
      </w:pPr>
    </w:p>
    <w:p>
      <w:pPr>
        <w:spacing w:after="0" w:line="234" w:lineRule="auto"/>
        <w:rPr>
          <w:sz w:val="20"/>
          <w:szCs w:val="20"/>
          <w:color w:val="auto"/>
        </w:rPr>
      </w:pPr>
      <w:r>
        <w:rPr>
          <w:rFonts w:ascii="Calibri" w:cs="Calibri" w:eastAsia="Calibri" w:hAnsi="Calibri"/>
          <w:sz w:val="17"/>
          <w:szCs w:val="17"/>
          <w:color w:val="auto"/>
        </w:rPr>
        <w:t>These factors make it extremely challenging for individual defense contractors to set the requested Scope 3 emissions reducton targets at this tme. They also set up a false comparison between defense contractors like Lockheed Martn and other sectors outside of defense, such as commercial aviaton or transportaton, for the purpose of setng Scope 3 emissions targets. We are unaware of any U.S.-based prime defense contractors that have set Net Zero Scope 3 reducton targets.</w:t>
      </w:r>
    </w:p>
    <w:p>
      <w:pPr>
        <w:spacing w:after="0" w:line="122" w:lineRule="exact"/>
        <w:rPr>
          <w:sz w:val="20"/>
          <w:szCs w:val="20"/>
          <w:color w:val="auto"/>
        </w:rPr>
      </w:pPr>
    </w:p>
    <w:p>
      <w:pPr>
        <w:ind w:right="20"/>
        <w:spacing w:after="0" w:line="234" w:lineRule="auto"/>
        <w:rPr>
          <w:sz w:val="20"/>
          <w:szCs w:val="20"/>
          <w:color w:val="auto"/>
        </w:rPr>
      </w:pPr>
      <w:r>
        <w:rPr>
          <w:rFonts w:ascii="Calibri" w:cs="Calibri" w:eastAsia="Calibri" w:hAnsi="Calibri"/>
          <w:sz w:val="17"/>
          <w:szCs w:val="17"/>
          <w:color w:val="auto"/>
        </w:rPr>
        <w:t>Given the nature of our business and our product portolio, we estmate that the largest contributon to our Scope 3 emissions falls in the category of use of sold products by our customers. These products are designed, developed and manufactured in accordance with customer design specifcatons for sovereign governments’ highly-sensitve, global security and deterrence objectves. The U.S. government and its allies, not our Company, decide how and when to use products they purchase from us, which may be classifed.</w:t>
      </w:r>
    </w:p>
    <w:p>
      <w:pPr>
        <w:spacing w:after="0" w:line="109" w:lineRule="exact"/>
        <w:rPr>
          <w:sz w:val="20"/>
          <w:szCs w:val="20"/>
          <w:color w:val="auto"/>
        </w:rPr>
      </w:pPr>
    </w:p>
    <w:p>
      <w:pPr>
        <w:ind w:right="60"/>
        <w:spacing w:after="0" w:line="237" w:lineRule="auto"/>
        <w:rPr>
          <w:sz w:val="20"/>
          <w:szCs w:val="20"/>
          <w:color w:val="auto"/>
        </w:rPr>
      </w:pPr>
      <w:r>
        <w:rPr>
          <w:rFonts w:ascii="Calibri" w:cs="Calibri" w:eastAsia="Calibri" w:hAnsi="Calibri"/>
          <w:sz w:val="17"/>
          <w:szCs w:val="17"/>
          <w:color w:val="auto"/>
        </w:rPr>
        <w:t>Despite the fact that the fundamental design and use of most of our products is determined by the U.S. government and its allies, we have engaged with the White House and the Department of Defense to discuss climate impacts of our products, shared challenges and collaboraton opportunites. We also engage to shape fnal climate-related regulatons to account for our industry challenges. And, as we discuss below, we view designing sustainability into our products as a compettve discriminator and contnually develop new technologies and applicatons of existng technologies that can reduce the environmental impact of our products.</w:t>
      </w:r>
    </w:p>
    <w:p>
      <w:pPr>
        <w:spacing w:after="0" w:line="109" w:lineRule="exact"/>
        <w:rPr>
          <w:sz w:val="20"/>
          <w:szCs w:val="20"/>
          <w:color w:val="auto"/>
        </w:rPr>
      </w:pPr>
    </w:p>
    <w:p>
      <w:pPr>
        <w:ind w:right="80"/>
        <w:spacing w:after="0"/>
        <w:rPr>
          <w:sz w:val="20"/>
          <w:szCs w:val="20"/>
          <w:color w:val="auto"/>
        </w:rPr>
      </w:pPr>
      <w:r>
        <w:rPr>
          <w:rFonts w:ascii="Calibri" w:cs="Calibri" w:eastAsia="Calibri" w:hAnsi="Calibri"/>
          <w:sz w:val="17"/>
          <w:szCs w:val="17"/>
          <w:color w:val="auto"/>
        </w:rPr>
        <w:t>The lack of an applicable and relevant framework for setng Scope 3 emissions targets for the defense industry and its shared supply chain further limits our current ability to implement this proposal. Accordingly, at this tme it is not even feasible for us to state a tmeline for setng 1.5°C aligned Scope 3 emissions reducton goals or a climate transiton plan as requested by the proponents.</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Our sustainability strategy yields results and, unlike the “report” requested by the proponents, efectvely mitgates risk.</w:t>
      </w:r>
    </w:p>
    <w:p>
      <w:pPr>
        <w:spacing w:after="0" w:line="52" w:lineRule="exact"/>
        <w:rPr>
          <w:sz w:val="20"/>
          <w:szCs w:val="20"/>
          <w:color w:val="auto"/>
        </w:rPr>
      </w:pPr>
    </w:p>
    <w:p>
      <w:pPr>
        <w:ind w:right="200"/>
        <w:spacing w:after="0" w:line="234" w:lineRule="auto"/>
        <w:rPr>
          <w:sz w:val="20"/>
          <w:szCs w:val="20"/>
          <w:color w:val="auto"/>
        </w:rPr>
      </w:pPr>
      <w:r>
        <w:rPr>
          <w:rFonts w:ascii="Calibri" w:cs="Calibri" w:eastAsia="Calibri" w:hAnsi="Calibri"/>
          <w:sz w:val="17"/>
          <w:szCs w:val="17"/>
          <w:color w:val="auto"/>
        </w:rPr>
        <w:t>Although the stockholder proposal purports to “only” require us to issue a report on GHG reducton, it efectvely would require us to set long-term quanttatve emission reducton targets, across all scopes, with a frm achievement tmeline that fail to improve on our already robust eforts to reduce emissions and are out of step with our business planning processes.</w:t>
      </w:r>
    </w:p>
    <w:p>
      <w:pPr>
        <w:spacing w:after="0" w:line="122" w:lineRule="exact"/>
        <w:rPr>
          <w:sz w:val="20"/>
          <w:szCs w:val="20"/>
          <w:color w:val="auto"/>
        </w:rPr>
      </w:pPr>
    </w:p>
    <w:p>
      <w:pPr>
        <w:ind w:right="60"/>
        <w:spacing w:after="0"/>
        <w:rPr>
          <w:sz w:val="20"/>
          <w:szCs w:val="20"/>
          <w:color w:val="auto"/>
        </w:rPr>
      </w:pPr>
      <w:r>
        <w:rPr>
          <w:rFonts w:ascii="Calibri" w:cs="Calibri" w:eastAsia="Calibri" w:hAnsi="Calibri"/>
          <w:sz w:val="17"/>
          <w:szCs w:val="17"/>
          <w:color w:val="auto"/>
        </w:rPr>
        <w:t>Over our nearly 20-year history of focused investment in operatonal energy efciency and carbon reducton, we have achieved meaningful GHG emissions reductons, including a 60% absolute reducton in Scope 1 and 2 GHG emissions between 2007 and 2023. These reductons are outperforming a science-based emissions reducton trajectory in line with accepted global decarbonizaton pathways under the absolute contracton approach. Our decarbonizaton goals and associated investment plan are part of our larger sustainability strategy called our Sustainability Management Plan (SMP). Each spring we report year-over-year progress against SMP goals in our Sustainability Performance Report, demonstratng our unwavering commitment to innovaton, integrity, resilience and operatonal excellence for our business and good corporate citzenship in our communites. Our SMP goals derive from our internal risk assessment process, are directly ted to our business strategy, and mitgate salient risks to our business while driving efciency into our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60" w:top="1440" w:right="539" w:bottom="1440" w:gutter="0" w:footer="0" w:header="0"/>
        </w:sectPr>
      </w:pPr>
    </w:p>
    <w:bookmarkStart w:id="6" w:name="page7"/>
    <w:bookmarkEnd w:id="6"/>
    <w:p>
      <w:pPr>
        <w:ind w:right="200"/>
        <w:spacing w:after="0" w:line="238" w:lineRule="auto"/>
        <w:rPr>
          <w:sz w:val="20"/>
          <w:szCs w:val="20"/>
          <w:color w:val="auto"/>
        </w:rPr>
      </w:pPr>
      <w:r>
        <w:rPr>
          <w:rFonts w:ascii="Calibri" w:cs="Calibri" w:eastAsia="Calibri" w:hAnsi="Calibri"/>
          <w:sz w:val="17"/>
          <w:szCs w:val="17"/>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06285" cy="6978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6978015"/>
                    </a:xfrm>
                    <a:prstGeom prst="rect">
                      <a:avLst/>
                    </a:prstGeom>
                    <a:noFill/>
                  </pic:spPr>
                </pic:pic>
              </a:graphicData>
            </a:graphic>
          </wp:anchor>
        </w:drawing>
        <w:t>We have also been a sector and industry leader in the evaluaton and disclosure of our Scope 3 emissions. We have contnued to improve our methodologies to assess, calculate and disclose our Scope 3 emissions using available recognized standards since we started doing so in 2012. We are transparent in disclosing details of our relevant Scope 3 emissions to our stockholders and stakeholders through our CDP Climate Change questonnaire and in our annual sustainability reportng.</w:t>
      </w:r>
    </w:p>
    <w:p>
      <w:pPr>
        <w:spacing w:after="0" w:line="108" w:lineRule="exact"/>
        <w:rPr>
          <w:sz w:val="20"/>
          <w:szCs w:val="20"/>
          <w:color w:val="auto"/>
        </w:rPr>
      </w:pPr>
    </w:p>
    <w:p>
      <w:pPr>
        <w:ind w:right="260"/>
        <w:spacing w:after="0" w:line="237" w:lineRule="auto"/>
        <w:rPr>
          <w:sz w:val="20"/>
          <w:szCs w:val="20"/>
          <w:color w:val="auto"/>
        </w:rPr>
      </w:pPr>
      <w:r>
        <w:rPr>
          <w:rFonts w:ascii="Calibri" w:cs="Calibri" w:eastAsia="Calibri" w:hAnsi="Calibri"/>
          <w:sz w:val="17"/>
          <w:szCs w:val="17"/>
          <w:color w:val="auto"/>
        </w:rPr>
        <w:t>We have a strong cross-functonal working group, led by our Sustainability team, that supports the SMP and all sustainability-related disclosure and reportng. This working group fulflls a foundatonal role in our overall risk mitgaton programs through the regular evaluaton of rapidly evolving science, methodologies and industry standards, and by monitoring emerging sustainability-related regulatons to ensure our business readiness. This working group has analyzed and developed compliance plans for the legislatve and regulatory frameworks that have emerged over the past two years related to GHG emissions.</w:t>
      </w:r>
    </w:p>
    <w:p>
      <w:pPr>
        <w:spacing w:after="0" w:line="109" w:lineRule="exact"/>
        <w:rPr>
          <w:sz w:val="20"/>
          <w:szCs w:val="20"/>
          <w:color w:val="auto"/>
        </w:rPr>
      </w:pPr>
    </w:p>
    <w:p>
      <w:pPr>
        <w:ind w:right="100"/>
        <w:spacing w:after="0" w:line="237" w:lineRule="auto"/>
        <w:rPr>
          <w:sz w:val="20"/>
          <w:szCs w:val="20"/>
          <w:color w:val="auto"/>
        </w:rPr>
      </w:pPr>
      <w:r>
        <w:rPr>
          <w:rFonts w:ascii="Calibri" w:cs="Calibri" w:eastAsia="Calibri" w:hAnsi="Calibri"/>
          <w:sz w:val="17"/>
          <w:szCs w:val="17"/>
          <w:color w:val="auto"/>
        </w:rPr>
        <w:t>Our Executve Leadership Team oversees our sustainability program, ensuring integraton and alignment with our overall business strategy. Our fnancial and strategic planning cycles are 3-5 years and we make some projectons in 10-year cycles. Our climate targets are set over similar cycles and align with our antcipated investments to uphold our fduciary duty to our stockholders. Setng long-term quanttatve targets would increase risk and cost to our Company because the targets would be wholly detached from our robust and sound business planning processes. Furthermore, the proposal would seek to supplant the business judgment of the Board of Directors and management which is keenly focused on all current and emerging risks facing the Company, including climate-related risks.</w:t>
      </w:r>
    </w:p>
    <w:p>
      <w:pPr>
        <w:spacing w:after="0" w:line="10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We prioritze investments to drive contnued emissions reductons, including across our full value chain.</w:t>
      </w:r>
    </w:p>
    <w:p>
      <w:pPr>
        <w:spacing w:after="0" w:line="52" w:lineRule="exact"/>
        <w:rPr>
          <w:sz w:val="20"/>
          <w:szCs w:val="20"/>
          <w:color w:val="auto"/>
        </w:rPr>
      </w:pPr>
    </w:p>
    <w:p>
      <w:pPr>
        <w:ind w:right="120"/>
        <w:spacing w:after="0" w:line="238" w:lineRule="auto"/>
        <w:rPr>
          <w:sz w:val="20"/>
          <w:szCs w:val="20"/>
          <w:color w:val="auto"/>
        </w:rPr>
      </w:pPr>
      <w:r>
        <w:rPr>
          <w:rFonts w:ascii="Calibri" w:cs="Calibri" w:eastAsia="Calibri" w:hAnsi="Calibri"/>
          <w:sz w:val="17"/>
          <w:szCs w:val="17"/>
          <w:color w:val="auto"/>
        </w:rPr>
        <w:t>As we explained in response to last year’s proposal from the same proponent representatve, which was almost identcal to the current proposal, we are constantly evaluatng and developing opportunites across our value chain and related to our products with the goal of contnued and expanded engagement and ultmately emissions reducton. In contrast, the proponent chose not to recognize our work or the signifcant stockholder support for our approach by requestng the same report as last year.</w:t>
      </w:r>
    </w:p>
    <w:p>
      <w:pPr>
        <w:spacing w:after="0" w:line="105" w:lineRule="exact"/>
        <w:rPr>
          <w:sz w:val="20"/>
          <w:szCs w:val="20"/>
          <w:color w:val="auto"/>
        </w:rPr>
      </w:pPr>
    </w:p>
    <w:p>
      <w:pPr>
        <w:spacing w:after="0"/>
        <w:rPr>
          <w:sz w:val="20"/>
          <w:szCs w:val="20"/>
          <w:color w:val="auto"/>
        </w:rPr>
      </w:pPr>
      <w:r>
        <w:rPr>
          <w:rFonts w:ascii="Calibri" w:cs="Calibri" w:eastAsia="Calibri" w:hAnsi="Calibri"/>
          <w:sz w:val="17"/>
          <w:szCs w:val="17"/>
          <w:color w:val="auto"/>
        </w:rPr>
        <w:t>Current examples of our actvites that demonstrate our contnued efort to address Scope 3 emissions include:</w:t>
      </w:r>
    </w:p>
    <w:p>
      <w:pPr>
        <w:spacing w:after="0" w:line="52" w:lineRule="exact"/>
        <w:rPr>
          <w:sz w:val="20"/>
          <w:szCs w:val="20"/>
          <w:color w:val="auto"/>
        </w:rPr>
      </w:pPr>
    </w:p>
    <w:p>
      <w:pPr>
        <w:ind w:left="300" w:right="380" w:hanging="189"/>
        <w:spacing w:after="0" w:line="234" w:lineRule="auto"/>
        <w:tabs>
          <w:tab w:leader="none" w:pos="301"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Contnuing to research, develop, test and evaluate products that reduce customer emissions through propulsion enhancements, including electrifcaton, hydrogen and sustainable aviaton fuel use; and lightweightng and enhanced technologies to reduce overall fight tme. Examples include:</w:t>
      </w:r>
    </w:p>
    <w:p>
      <w:pPr>
        <w:spacing w:after="0" w:line="64" w:lineRule="exact"/>
        <w:rPr>
          <w:rFonts w:ascii="Calibri" w:cs="Calibri" w:eastAsia="Calibri" w:hAnsi="Calibri"/>
          <w:sz w:val="17"/>
          <w:szCs w:val="17"/>
          <w:color w:val="auto"/>
        </w:rPr>
      </w:pPr>
    </w:p>
    <w:p>
      <w:pPr>
        <w:ind w:left="500" w:hanging="195"/>
        <w:spacing w:after="0"/>
        <w:tabs>
          <w:tab w:leader="none" w:pos="500" w:val="left"/>
        </w:tabs>
        <w:numPr>
          <w:ilvl w:val="1"/>
          <w:numId w:val="13"/>
        </w:numPr>
        <w:rPr>
          <w:rFonts w:ascii="Arial" w:cs="Arial" w:eastAsia="Arial" w:hAnsi="Arial"/>
          <w:sz w:val="17"/>
          <w:szCs w:val="17"/>
          <w:color w:val="auto"/>
        </w:rPr>
      </w:pPr>
      <w:r>
        <w:rPr>
          <w:rFonts w:ascii="Calibri" w:cs="Calibri" w:eastAsia="Calibri" w:hAnsi="Calibri"/>
          <w:sz w:val="17"/>
          <w:szCs w:val="17"/>
          <w:color w:val="auto"/>
        </w:rPr>
        <w:t>The commercial biofuel fight demonstraton of 1,500 miles using a Sikorsky S-92 (March 2022)</w:t>
      </w:r>
    </w:p>
    <w:p>
      <w:pPr>
        <w:spacing w:after="0" w:line="52" w:lineRule="exact"/>
        <w:rPr>
          <w:rFonts w:ascii="Arial" w:cs="Arial" w:eastAsia="Arial" w:hAnsi="Arial"/>
          <w:sz w:val="17"/>
          <w:szCs w:val="17"/>
          <w:color w:val="auto"/>
        </w:rPr>
      </w:pPr>
    </w:p>
    <w:p>
      <w:pPr>
        <w:ind w:left="500" w:right="140" w:hanging="195"/>
        <w:spacing w:after="0" w:line="235" w:lineRule="auto"/>
        <w:tabs>
          <w:tab w:leader="none" w:pos="501" w:val="left"/>
        </w:tabs>
        <w:numPr>
          <w:ilvl w:val="1"/>
          <w:numId w:val="13"/>
        </w:numPr>
        <w:rPr>
          <w:rFonts w:ascii="Arial" w:cs="Arial" w:eastAsia="Arial" w:hAnsi="Arial"/>
          <w:sz w:val="17"/>
          <w:szCs w:val="17"/>
          <w:color w:val="auto"/>
        </w:rPr>
      </w:pPr>
      <w:r>
        <w:rPr>
          <w:rFonts w:ascii="Calibri" w:cs="Calibri" w:eastAsia="Calibri" w:hAnsi="Calibri"/>
          <w:sz w:val="17"/>
          <w:szCs w:val="17"/>
          <w:color w:val="auto"/>
        </w:rPr>
        <w:t>Development of the Hybrid-Electric Demonstrator (HEX), a fully-autonomous hybrid-electric vertcal-take-of-and-landing (eVTOL) prototype with ranges greater than 500 nautcal miles (March 2023)</w:t>
      </w:r>
    </w:p>
    <w:p>
      <w:pPr>
        <w:spacing w:after="0" w:line="52" w:lineRule="exact"/>
        <w:rPr>
          <w:rFonts w:ascii="Arial" w:cs="Arial" w:eastAsia="Arial" w:hAnsi="Arial"/>
          <w:sz w:val="17"/>
          <w:szCs w:val="17"/>
          <w:color w:val="auto"/>
        </w:rPr>
      </w:pPr>
    </w:p>
    <w:p>
      <w:pPr>
        <w:ind w:left="500" w:right="40" w:hanging="195"/>
        <w:spacing w:after="0"/>
        <w:tabs>
          <w:tab w:leader="none" w:pos="501" w:val="left"/>
        </w:tabs>
        <w:numPr>
          <w:ilvl w:val="1"/>
          <w:numId w:val="13"/>
        </w:numPr>
        <w:rPr>
          <w:rFonts w:ascii="Arial" w:cs="Arial" w:eastAsia="Arial" w:hAnsi="Arial"/>
          <w:sz w:val="17"/>
          <w:szCs w:val="17"/>
          <w:color w:val="auto"/>
        </w:rPr>
      </w:pPr>
      <w:r>
        <w:rPr>
          <w:rFonts w:ascii="Calibri" w:cs="Calibri" w:eastAsia="Calibri" w:hAnsi="Calibri"/>
          <w:sz w:val="17"/>
          <w:szCs w:val="17"/>
          <w:color w:val="auto"/>
        </w:rPr>
        <w:t>Delivery of applied aircraf fight simulaton that balances live training with mission preparaton in the virtual world, reducing risk to our soldiers and avoiding actual fight hours to drive down operatonal and fuel costs and associated emissions (over 18,000 simulated F-35 pilot training hours in 2023).</w:t>
      </w:r>
    </w:p>
    <w:p>
      <w:pPr>
        <w:spacing w:after="0" w:line="256" w:lineRule="exact"/>
        <w:rPr>
          <w:rFonts w:ascii="Arial" w:cs="Arial" w:eastAsia="Arial" w:hAnsi="Arial"/>
          <w:sz w:val="17"/>
          <w:szCs w:val="17"/>
          <w:color w:val="auto"/>
        </w:rPr>
      </w:pPr>
    </w:p>
    <w:p>
      <w:pPr>
        <w:ind w:left="300" w:hanging="189"/>
        <w:spacing w:after="0"/>
        <w:tabs>
          <w:tab w:leader="none" w:pos="30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Launching our RENEWay program in 2023 aimed as supportng A&amp;D suppliers in reducing their carbon emissions. See page 26 for more details.</w:t>
      </w:r>
    </w:p>
    <w:p>
      <w:pPr>
        <w:spacing w:after="0" w:line="52" w:lineRule="exact"/>
        <w:rPr>
          <w:rFonts w:ascii="Calibri" w:cs="Calibri" w:eastAsia="Calibri" w:hAnsi="Calibri"/>
          <w:sz w:val="17"/>
          <w:szCs w:val="17"/>
          <w:color w:val="auto"/>
        </w:rPr>
      </w:pPr>
    </w:p>
    <w:p>
      <w:pPr>
        <w:ind w:left="300" w:right="320" w:hanging="189"/>
        <w:spacing w:after="0" w:line="234" w:lineRule="auto"/>
        <w:tabs>
          <w:tab w:leader="none" w:pos="301"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Joining nine other leading A&amp;D companies in 2023 in the utlizaton of Internatonal Aerospace Environmental Group (IAEG) Sustainability Assessments powered by EcoVadis aimed at acceleratng sustainability performance in the industry and the extended supply chain. The inaugural year of this program yielded nearly 1,000 supplier scorecards including access to supplier emissions data.</w:t>
      </w:r>
    </w:p>
    <w:p>
      <w:pPr>
        <w:spacing w:after="0" w:line="54" w:lineRule="exact"/>
        <w:rPr>
          <w:rFonts w:ascii="Calibri" w:cs="Calibri" w:eastAsia="Calibri" w:hAnsi="Calibri"/>
          <w:sz w:val="17"/>
          <w:szCs w:val="17"/>
          <w:color w:val="auto"/>
        </w:rPr>
      </w:pPr>
    </w:p>
    <w:p>
      <w:pPr>
        <w:ind w:left="300" w:right="200" w:hanging="189"/>
        <w:spacing w:after="0" w:line="245" w:lineRule="auto"/>
        <w:tabs>
          <w:tab w:leader="none" w:pos="301"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Actvely engaging in the American Center for Life Cycle Assessment (ACLCA) Industry Commitee and the IAEG GHG Accountng work group to drive consistent industry-wide GHG emissions accountng and reportng practces.</w:t>
      </w:r>
    </w:p>
    <w:p>
      <w:pPr>
        <w:spacing w:after="0" w:line="103" w:lineRule="exact"/>
        <w:rPr>
          <w:sz w:val="20"/>
          <w:szCs w:val="20"/>
          <w:color w:val="auto"/>
        </w:rPr>
      </w:pPr>
    </w:p>
    <w:p>
      <w:pPr>
        <w:ind w:right="440"/>
        <w:spacing w:after="0" w:line="235" w:lineRule="auto"/>
        <w:rPr>
          <w:sz w:val="20"/>
          <w:szCs w:val="20"/>
          <w:color w:val="auto"/>
        </w:rPr>
      </w:pPr>
      <w:r>
        <w:rPr>
          <w:rFonts w:ascii="Calibri" w:cs="Calibri" w:eastAsia="Calibri" w:hAnsi="Calibri"/>
          <w:sz w:val="17"/>
          <w:szCs w:val="17"/>
          <w:b w:val="1"/>
          <w:bCs w:val="1"/>
          <w:color w:val="auto"/>
        </w:rPr>
        <w:t>We are serious about climate change management and the reducton of our GHG emissions, as demonstrated by our long-standing sustainability programs, forward-looking commitments and detailed actvity reportng.</w:t>
      </w:r>
    </w:p>
    <w:p>
      <w:pPr>
        <w:spacing w:after="0" w:line="107"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For nearly 20 years, Lockheed Martn has been a sector and industry leader in developing impactul, corporate-wide programs and processes to manage climate change risk and providing public disclosure. We are commited to transparency with respect to our climate change initatves and have taken signifcant steps to increase our disclosure. Our recently restated and accelerated Scope 1 and Scope 2 carbon reducton and renewable energy goals and disclosures are on par with those of other defense contractors. Through our annual sustainability performance reports, we disclose progress towards our Scope 1 and 2 emission reducton goals. We also disclose details of our relevant Scope 3 emissions through our CDP Climate Change questonnaire and our Performance Index, which are both accessible on the Disclosure Hub on our sustainability website. Accordingly, we already produce annual reports detailing our programs and plans to achieve our emissions reducton targets and demonstratng our measured progress toward meetng emissions reductons goals. We also already disclose relevant Scope 3 emissions informaton. As the proposal specifcally requests Scope 3 emissions disclosures and annual reports demonstratng progress towards meetng emissions reducton goals, these elements of the proposal are duplicatve and unnecessary.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942340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20" w:top="1408" w:right="539" w:bottom="1440" w:gutter="0" w:footer="0" w:header="0"/>
        </w:sectPr>
      </w:pPr>
    </w:p>
    <w:bookmarkStart w:id="7" w:name="page8"/>
    <w:bookmarkEnd w:id="7"/>
    <w:p>
      <w:pPr>
        <w:spacing w:after="0"/>
        <w:rPr>
          <w:sz w:val="20"/>
          <w:szCs w:val="20"/>
          <w:color w:val="auto"/>
        </w:rPr>
      </w:pPr>
      <w:r>
        <w:rPr>
          <w:rFonts w:ascii="Arial" w:cs="Arial" w:eastAsia="Arial" w:hAnsi="Arial"/>
          <w:sz w:val="29"/>
          <w:szCs w:val="29"/>
          <w:color w:val="auto"/>
        </w:rPr>
        <w:t>Proposal 6</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80" w:type="dxa"/>
            <w:vAlign w:val="bottom"/>
            <w:tcBorders>
              <w:top w:val="single" w:sz="8" w:color="343434"/>
              <w:left w:val="single" w:sz="8" w:color="343434"/>
            </w:tcBorders>
            <w:shd w:val="clear" w:color="auto" w:fill="BCBEC0"/>
          </w:tcPr>
          <w:p>
            <w:pPr>
              <w:spacing w:after="0"/>
              <w:rPr>
                <w:sz w:val="24"/>
                <w:szCs w:val="24"/>
                <w:color w:val="auto"/>
              </w:rPr>
            </w:pPr>
          </w:p>
        </w:tc>
        <w:tc>
          <w:tcPr>
            <w:tcW w:w="7420" w:type="dxa"/>
            <w:vAlign w:val="bottom"/>
            <w:tcBorders>
              <w:top w:val="single" w:sz="8" w:color="343434"/>
              <w:right w:val="single" w:sz="8" w:color="003478"/>
            </w:tcBorders>
            <w:vMerge w:val="restart"/>
            <w:shd w:val="clear" w:color="auto" w:fill="BCBEC0"/>
          </w:tcPr>
          <w:p>
            <w:pPr>
              <w:ind w:left="60"/>
              <w:spacing w:after="0"/>
              <w:rPr>
                <w:sz w:val="20"/>
                <w:szCs w:val="20"/>
                <w:color w:val="auto"/>
              </w:rPr>
            </w:pPr>
            <w:r>
              <w:rPr>
                <w:rFonts w:ascii="Arial" w:cs="Arial" w:eastAsia="Arial" w:hAnsi="Arial"/>
                <w:sz w:val="25"/>
                <w:szCs w:val="25"/>
                <w:color w:val="343434"/>
              </w:rPr>
              <w:t>Stockholder Proposal Requesting Reduction in Threshold to Call</w:t>
            </w:r>
          </w:p>
        </w:tc>
        <w:tc>
          <w:tcPr>
            <w:tcW w:w="3600" w:type="dxa"/>
            <w:vAlign w:val="bottom"/>
            <w:tcBorders>
              <w:top w:val="single" w:sz="8" w:color="343434"/>
              <w:right w:val="single" w:sz="8" w:color="343434"/>
            </w:tcBorders>
          </w:tcPr>
          <w:p>
            <w:pPr>
              <w:ind w:left="900"/>
              <w:spacing w:after="0"/>
              <w:rPr>
                <w:sz w:val="20"/>
                <w:szCs w:val="20"/>
                <w:color w:val="auto"/>
              </w:rPr>
            </w:pPr>
            <w:r>
              <w:rPr>
                <w:rFonts w:ascii="Arial" w:cs="Arial" w:eastAsia="Arial" w:hAnsi="Arial"/>
                <w:sz w:val="17"/>
                <w:szCs w:val="17"/>
                <w:b w:val="1"/>
                <w:bCs w:val="1"/>
                <w:color w:val="auto"/>
              </w:rPr>
              <w:t>The Board recommends a</w:t>
            </w:r>
          </w:p>
        </w:tc>
        <w:tc>
          <w:tcPr>
            <w:tcW w:w="0" w:type="dxa"/>
            <w:vAlign w:val="bottom"/>
          </w:tcPr>
          <w:p>
            <w:pPr>
              <w:spacing w:after="0"/>
              <w:rPr>
                <w:sz w:val="1"/>
                <w:szCs w:val="1"/>
                <w:color w:val="auto"/>
              </w:rPr>
            </w:pPr>
          </w:p>
        </w:tc>
      </w:tr>
      <w:tr>
        <w:trPr>
          <w:trHeight w:val="128"/>
        </w:trPr>
        <w:tc>
          <w:tcPr>
            <w:tcW w:w="80" w:type="dxa"/>
            <w:vAlign w:val="bottom"/>
            <w:tcBorders>
              <w:left w:val="single" w:sz="8" w:color="343434"/>
            </w:tcBorders>
            <w:shd w:val="clear" w:color="auto" w:fill="BCBEC0"/>
          </w:tcPr>
          <w:p>
            <w:pPr>
              <w:spacing w:after="0"/>
              <w:rPr>
                <w:sz w:val="11"/>
                <w:szCs w:val="11"/>
                <w:color w:val="auto"/>
              </w:rPr>
            </w:pPr>
          </w:p>
        </w:tc>
        <w:tc>
          <w:tcPr>
            <w:tcW w:w="7420" w:type="dxa"/>
            <w:vAlign w:val="bottom"/>
            <w:tcBorders>
              <w:right w:val="single" w:sz="8" w:color="003478"/>
            </w:tcBorders>
            <w:vMerge w:val="continue"/>
            <w:shd w:val="clear" w:color="auto" w:fill="BCBEC0"/>
          </w:tcPr>
          <w:p>
            <w:pPr>
              <w:spacing w:after="0"/>
              <w:rPr>
                <w:sz w:val="11"/>
                <w:szCs w:val="11"/>
                <w:color w:val="auto"/>
              </w:rPr>
            </w:pPr>
          </w:p>
        </w:tc>
        <w:tc>
          <w:tcPr>
            <w:tcW w:w="3600" w:type="dxa"/>
            <w:vAlign w:val="bottom"/>
            <w:tcBorders>
              <w:right w:val="single" w:sz="8" w:color="343434"/>
            </w:tcBorders>
            <w:vMerge w:val="restart"/>
          </w:tcPr>
          <w:p>
            <w:pPr>
              <w:ind w:left="900"/>
              <w:spacing w:after="0"/>
              <w:rPr>
                <w:sz w:val="20"/>
                <w:szCs w:val="20"/>
                <w:color w:val="auto"/>
              </w:rPr>
            </w:pPr>
            <w:r>
              <w:rPr>
                <w:rFonts w:ascii="Arial" w:cs="Arial" w:eastAsia="Arial" w:hAnsi="Arial"/>
                <w:sz w:val="17"/>
                <w:szCs w:val="17"/>
                <w:b w:val="1"/>
                <w:bCs w:val="1"/>
                <w:color w:val="auto"/>
              </w:rPr>
              <w:t xml:space="preserve">vote </w:t>
            </w:r>
            <w:r>
              <w:rPr>
                <w:rFonts w:ascii="Arial" w:cs="Arial" w:eastAsia="Arial" w:hAnsi="Arial"/>
                <w:sz w:val="21"/>
                <w:szCs w:val="21"/>
                <w:b w:val="1"/>
                <w:bCs w:val="1"/>
                <w:color w:val="EE2724"/>
              </w:rPr>
              <w:t>AGAINST</w:t>
            </w:r>
            <w:r>
              <w:rPr>
                <w:rFonts w:ascii="Arial" w:cs="Arial" w:eastAsia="Arial" w:hAnsi="Arial"/>
                <w:sz w:val="17"/>
                <w:szCs w:val="17"/>
                <w:b w:val="1"/>
                <w:bCs w:val="1"/>
                <w:color w:val="auto"/>
              </w:rPr>
              <w:t xml:space="preserve"> this</w:t>
            </w:r>
          </w:p>
        </w:tc>
        <w:tc>
          <w:tcPr>
            <w:tcW w:w="0" w:type="dxa"/>
            <w:vAlign w:val="bottom"/>
          </w:tcPr>
          <w:p>
            <w:pPr>
              <w:spacing w:after="0"/>
              <w:rPr>
                <w:sz w:val="1"/>
                <w:szCs w:val="1"/>
                <w:color w:val="auto"/>
              </w:rPr>
            </w:pPr>
          </w:p>
        </w:tc>
      </w:tr>
      <w:tr>
        <w:trPr>
          <w:trHeight w:val="122"/>
        </w:trPr>
        <w:tc>
          <w:tcPr>
            <w:tcW w:w="80" w:type="dxa"/>
            <w:vAlign w:val="bottom"/>
            <w:tcBorders>
              <w:left w:val="single" w:sz="8" w:color="343434"/>
            </w:tcBorders>
            <w:shd w:val="clear" w:color="auto" w:fill="BCBEC0"/>
          </w:tcPr>
          <w:p>
            <w:pPr>
              <w:spacing w:after="0"/>
              <w:rPr>
                <w:sz w:val="10"/>
                <w:szCs w:val="10"/>
                <w:color w:val="auto"/>
              </w:rPr>
            </w:pPr>
          </w:p>
        </w:tc>
        <w:tc>
          <w:tcPr>
            <w:tcW w:w="7420" w:type="dxa"/>
            <w:vAlign w:val="bottom"/>
            <w:tcBorders>
              <w:right w:val="single" w:sz="8" w:color="003478"/>
            </w:tcBorders>
            <w:vMerge w:val="restart"/>
            <w:shd w:val="clear" w:color="auto" w:fill="BCBEC0"/>
          </w:tcPr>
          <w:p>
            <w:pPr>
              <w:ind w:left="60"/>
              <w:spacing w:after="0"/>
              <w:rPr>
                <w:sz w:val="20"/>
                <w:szCs w:val="20"/>
                <w:color w:val="auto"/>
              </w:rPr>
            </w:pPr>
            <w:r>
              <w:rPr>
                <w:rFonts w:ascii="Arial" w:cs="Arial" w:eastAsia="Arial" w:hAnsi="Arial"/>
                <w:sz w:val="25"/>
                <w:szCs w:val="25"/>
                <w:color w:val="343434"/>
              </w:rPr>
              <w:t>Special Stockholder Meetings</w:t>
            </w:r>
          </w:p>
        </w:tc>
        <w:tc>
          <w:tcPr>
            <w:tcW w:w="3600" w:type="dxa"/>
            <w:vAlign w:val="bottom"/>
            <w:tcBorders>
              <w:right w:val="single" w:sz="8" w:color="343434"/>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80" w:type="dxa"/>
            <w:vAlign w:val="bottom"/>
            <w:tcBorders>
              <w:left w:val="single" w:sz="8" w:color="343434"/>
            </w:tcBorders>
            <w:shd w:val="clear" w:color="auto" w:fill="BCBEC0"/>
          </w:tcPr>
          <w:p>
            <w:pPr>
              <w:spacing w:after="0"/>
              <w:rPr>
                <w:sz w:val="20"/>
                <w:szCs w:val="20"/>
                <w:color w:val="auto"/>
              </w:rPr>
            </w:pPr>
          </w:p>
        </w:tc>
        <w:tc>
          <w:tcPr>
            <w:tcW w:w="7420" w:type="dxa"/>
            <w:vAlign w:val="bottom"/>
            <w:tcBorders>
              <w:right w:val="single" w:sz="8" w:color="003478"/>
            </w:tcBorders>
            <w:vMerge w:val="continue"/>
            <w:shd w:val="clear" w:color="auto" w:fill="BCBEC0"/>
          </w:tcPr>
          <w:p>
            <w:pPr>
              <w:spacing w:after="0"/>
              <w:rPr>
                <w:sz w:val="20"/>
                <w:szCs w:val="20"/>
                <w:color w:val="auto"/>
              </w:rPr>
            </w:pPr>
          </w:p>
        </w:tc>
        <w:tc>
          <w:tcPr>
            <w:tcW w:w="3600" w:type="dxa"/>
            <w:vAlign w:val="bottom"/>
            <w:tcBorders>
              <w:right w:val="single" w:sz="8" w:color="343434"/>
            </w:tcBorders>
          </w:tcPr>
          <w:p>
            <w:pPr>
              <w:ind w:left="900"/>
              <w:spacing w:after="0"/>
              <w:rPr>
                <w:sz w:val="20"/>
                <w:szCs w:val="20"/>
                <w:color w:val="auto"/>
              </w:rPr>
            </w:pPr>
            <w:r>
              <w:rPr>
                <w:rFonts w:ascii="Arial" w:cs="Arial" w:eastAsia="Arial" w:hAnsi="Arial"/>
                <w:sz w:val="17"/>
                <w:szCs w:val="17"/>
                <w:b w:val="1"/>
                <w:bCs w:val="1"/>
                <w:color w:val="auto"/>
              </w:rPr>
              <w:t>proposal</w:t>
            </w:r>
          </w:p>
        </w:tc>
        <w:tc>
          <w:tcPr>
            <w:tcW w:w="0" w:type="dxa"/>
            <w:vAlign w:val="bottom"/>
          </w:tcPr>
          <w:p>
            <w:pPr>
              <w:spacing w:after="0"/>
              <w:rPr>
                <w:sz w:val="1"/>
                <w:szCs w:val="1"/>
                <w:color w:val="auto"/>
              </w:rPr>
            </w:pPr>
          </w:p>
        </w:tc>
      </w:tr>
      <w:tr>
        <w:trPr>
          <w:trHeight w:val="105"/>
        </w:trPr>
        <w:tc>
          <w:tcPr>
            <w:tcW w:w="80" w:type="dxa"/>
            <w:vAlign w:val="bottom"/>
            <w:tcBorders>
              <w:left w:val="single" w:sz="8" w:color="343434"/>
              <w:bottom w:val="single" w:sz="8" w:color="BCBEC0"/>
            </w:tcBorders>
            <w:shd w:val="clear" w:color="auto" w:fill="BCBEC0"/>
          </w:tcPr>
          <w:p>
            <w:pPr>
              <w:spacing w:after="0"/>
              <w:rPr>
                <w:sz w:val="9"/>
                <w:szCs w:val="9"/>
                <w:color w:val="auto"/>
              </w:rPr>
            </w:pPr>
          </w:p>
        </w:tc>
        <w:tc>
          <w:tcPr>
            <w:tcW w:w="7420" w:type="dxa"/>
            <w:vAlign w:val="bottom"/>
            <w:tcBorders>
              <w:bottom w:val="single" w:sz="8" w:color="BCBEC0"/>
              <w:right w:val="single" w:sz="8" w:color="003478"/>
            </w:tcBorders>
            <w:shd w:val="clear" w:color="auto" w:fill="BCBEC0"/>
          </w:tcPr>
          <w:p>
            <w:pPr>
              <w:spacing w:after="0"/>
              <w:rPr>
                <w:sz w:val="9"/>
                <w:szCs w:val="9"/>
                <w:color w:val="auto"/>
              </w:rPr>
            </w:pPr>
          </w:p>
        </w:tc>
        <w:tc>
          <w:tcPr>
            <w:tcW w:w="3600" w:type="dxa"/>
            <w:vAlign w:val="bottom"/>
            <w:tcBorders>
              <w:right w:val="single" w:sz="8" w:color="343434"/>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343434"/>
            </w:tcBorders>
            <w:shd w:val="clear" w:color="auto" w:fill="343434"/>
          </w:tcPr>
          <w:p>
            <w:pPr>
              <w:spacing w:after="0" w:line="20" w:lineRule="exact"/>
              <w:rPr>
                <w:sz w:val="1"/>
                <w:szCs w:val="1"/>
                <w:color w:val="auto"/>
              </w:rPr>
            </w:pPr>
          </w:p>
        </w:tc>
        <w:tc>
          <w:tcPr>
            <w:tcW w:w="7420" w:type="dxa"/>
            <w:vAlign w:val="bottom"/>
            <w:tcBorders>
              <w:right w:val="single" w:sz="8" w:color="343434"/>
            </w:tcBorders>
            <w:shd w:val="clear" w:color="auto" w:fill="343434"/>
          </w:tcPr>
          <w:p>
            <w:pPr>
              <w:spacing w:after="0" w:line="20" w:lineRule="exact"/>
              <w:rPr>
                <w:sz w:val="1"/>
                <w:szCs w:val="1"/>
                <w:color w:val="auto"/>
              </w:rPr>
            </w:pPr>
          </w:p>
        </w:tc>
        <w:tc>
          <w:tcPr>
            <w:tcW w:w="3600" w:type="dxa"/>
            <w:vAlign w:val="bottom"/>
            <w:tcBorders>
              <w:right w:val="single" w:sz="8" w:color="343434"/>
            </w:tcBorders>
            <w:shd w:val="clear" w:color="auto" w:fill="3434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-582295</wp:posOffset>
            </wp:positionV>
            <wp:extent cx="825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-445135</wp:posOffset>
            </wp:positionV>
            <wp:extent cx="24003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Calibri" w:cs="Calibri" w:eastAsia="Calibri" w:hAnsi="Calibri"/>
          <w:sz w:val="17"/>
          <w:szCs w:val="17"/>
          <w:color w:val="auto"/>
        </w:rPr>
        <w:t>Mr. John Chevedden intends to introduce the proposal set forth below at the Annual Meetng.</w:t>
      </w:r>
    </w:p>
    <w:p>
      <w:pPr>
        <w:spacing w:after="0" w:line="12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Beginning of Stockholder Proposal—Text and Graphic are Reprinted from the Stockholder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106680</wp:posOffset>
            </wp:positionV>
            <wp:extent cx="7123430" cy="5186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5186045"/>
                    </a:xfrm>
                    <a:prstGeom prst="rect">
                      <a:avLst/>
                    </a:prstGeom>
                    <a:noFill/>
                  </pic:spPr>
                </pic:pic>
              </a:graphicData>
            </a:graphic>
          </wp:anchor>
        </w:drawing>
      </w:r>
    </w:p>
    <w:p>
      <w:pPr>
        <w:spacing w:after="0" w:line="171" w:lineRule="exact"/>
        <w:rPr>
          <w:sz w:val="20"/>
          <w:szCs w:val="20"/>
          <w:color w:val="auto"/>
        </w:rPr>
      </w:pPr>
    </w:p>
    <w:p>
      <w:pPr>
        <w:jc w:val="center"/>
        <w:ind w:right="-119"/>
        <w:spacing w:after="0"/>
        <w:rPr>
          <w:sz w:val="20"/>
          <w:szCs w:val="20"/>
          <w:color w:val="auto"/>
        </w:rPr>
      </w:pPr>
      <w:r>
        <w:rPr>
          <w:rFonts w:ascii="Calibri" w:cs="Calibri" w:eastAsia="Calibri" w:hAnsi="Calibri"/>
          <w:sz w:val="17"/>
          <w:szCs w:val="17"/>
          <w:b w:val="1"/>
          <w:bCs w:val="1"/>
          <w:color w:val="auto"/>
        </w:rPr>
        <w:t>Proposal 6— Special Shareholder Meetng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0" w:right="520"/>
        <w:spacing w:after="0" w:line="245" w:lineRule="auto"/>
        <w:rPr>
          <w:sz w:val="20"/>
          <w:szCs w:val="20"/>
          <w:color w:val="auto"/>
        </w:rPr>
      </w:pPr>
      <w:r>
        <w:rPr>
          <w:rFonts w:ascii="Calibri" w:cs="Calibri" w:eastAsia="Calibri" w:hAnsi="Calibri"/>
          <w:sz w:val="17"/>
          <w:szCs w:val="17"/>
          <w:color w:val="auto"/>
        </w:rPr>
        <w:t>Shareholders ask our board to take the steps necessary to give the owners of a combined 15% of our outstanding common stock the power to call a special shareholder meetng.</w:t>
      </w:r>
    </w:p>
    <w:p>
      <w:pPr>
        <w:spacing w:after="0" w:line="130" w:lineRule="exact"/>
        <w:rPr>
          <w:sz w:val="20"/>
          <w:szCs w:val="20"/>
          <w:color w:val="auto"/>
        </w:rPr>
      </w:pPr>
    </w:p>
    <w:p>
      <w:pPr>
        <w:ind w:left="140" w:right="80"/>
        <w:spacing w:after="0" w:line="245" w:lineRule="auto"/>
        <w:rPr>
          <w:sz w:val="20"/>
          <w:szCs w:val="20"/>
          <w:color w:val="auto"/>
        </w:rPr>
      </w:pPr>
      <w:r>
        <w:rPr>
          <w:rFonts w:ascii="Calibri" w:cs="Calibri" w:eastAsia="Calibri" w:hAnsi="Calibri"/>
          <w:sz w:val="17"/>
          <w:szCs w:val="17"/>
          <w:color w:val="auto"/>
        </w:rPr>
        <w:t>It seems reasonable for a combined 15% of Lockheed Martn shares to call for a special shareholder meetng since a lone LMT shareholder who owns 10% of LMT shares can now call for a special shareholder meetng.</w:t>
      </w:r>
    </w:p>
    <w:p>
      <w:pPr>
        <w:spacing w:after="0" w:line="130" w:lineRule="exact"/>
        <w:rPr>
          <w:sz w:val="20"/>
          <w:szCs w:val="20"/>
          <w:color w:val="auto"/>
        </w:rPr>
      </w:pPr>
    </w:p>
    <w:p>
      <w:pPr>
        <w:ind w:left="140" w:right="120"/>
        <w:spacing w:after="0" w:line="255" w:lineRule="auto"/>
        <w:rPr>
          <w:sz w:val="20"/>
          <w:szCs w:val="20"/>
          <w:color w:val="auto"/>
        </w:rPr>
      </w:pPr>
      <w:r>
        <w:rPr>
          <w:rFonts w:ascii="Calibri" w:cs="Calibri" w:eastAsia="Calibri" w:hAnsi="Calibri"/>
          <w:sz w:val="17"/>
          <w:szCs w:val="17"/>
          <w:color w:val="auto"/>
        </w:rPr>
        <w:t>LMT shareholders gave 46% support to this proposal topic in 2022 when it called for the lower 10% of shares to have the right to call for a special shareholder meetng. This 46% support likely represented 51% support form the LMT shares that have access to independent proxy votng advice and are not forced to rely on the biased view of management.</w:t>
      </w:r>
    </w:p>
    <w:p>
      <w:pPr>
        <w:spacing w:after="0" w:line="108" w:lineRule="exact"/>
        <w:rPr>
          <w:sz w:val="20"/>
          <w:szCs w:val="20"/>
          <w:color w:val="auto"/>
        </w:rPr>
      </w:pPr>
    </w:p>
    <w:p>
      <w:pPr>
        <w:ind w:left="140" w:right="100"/>
        <w:spacing w:after="0" w:line="261" w:lineRule="auto"/>
        <w:rPr>
          <w:sz w:val="20"/>
          <w:szCs w:val="20"/>
          <w:color w:val="auto"/>
        </w:rPr>
      </w:pPr>
      <w:r>
        <w:rPr>
          <w:rFonts w:ascii="Calibri" w:cs="Calibri" w:eastAsia="Calibri" w:hAnsi="Calibri"/>
          <w:sz w:val="17"/>
          <w:szCs w:val="17"/>
          <w:color w:val="auto"/>
        </w:rPr>
        <w:t>It is important to remember that it took much more LMT shareholder convicton to vote for the 2022 special shareholder meetng improvement proposal, and thereby reject the recommendaton of the Board of Directors, than to simply follow the BOD recommendaton.</w:t>
      </w:r>
    </w:p>
    <w:p>
      <w:pPr>
        <w:spacing w:after="0" w:line="102" w:lineRule="exact"/>
        <w:rPr>
          <w:sz w:val="20"/>
          <w:szCs w:val="20"/>
          <w:color w:val="auto"/>
        </w:rPr>
      </w:pPr>
    </w:p>
    <w:p>
      <w:pPr>
        <w:ind w:left="140" w:right="200"/>
        <w:spacing w:after="0" w:line="255" w:lineRule="auto"/>
        <w:rPr>
          <w:sz w:val="20"/>
          <w:szCs w:val="20"/>
          <w:color w:val="auto"/>
        </w:rPr>
      </w:pPr>
      <w:r>
        <w:rPr>
          <w:rFonts w:ascii="Calibri" w:cs="Calibri" w:eastAsia="Calibri" w:hAnsi="Calibri"/>
          <w:sz w:val="17"/>
          <w:szCs w:val="17"/>
          <w:color w:val="auto"/>
        </w:rPr>
        <w:t>The LMT BOD analysis of this proposal topic in 2022 failed to recognize that it now only theoretcally takes 25% of LMT shares to call for a special shareholder meetng. This theoretcal 25% translates into 33% of LMT shares that cast ballots at our annual meetng. It would be hopeless to expect that shares that do not have the tme to vote would have the tme to go through the special procedural steps to call for a special shareholder meetng.</w:t>
      </w:r>
    </w:p>
    <w:p>
      <w:pPr>
        <w:spacing w:after="0" w:line="108" w:lineRule="exact"/>
        <w:rPr>
          <w:sz w:val="20"/>
          <w:szCs w:val="20"/>
          <w:color w:val="auto"/>
        </w:rPr>
      </w:pPr>
    </w:p>
    <w:p>
      <w:pPr>
        <w:ind w:left="140"/>
        <w:spacing w:after="0" w:line="258" w:lineRule="auto"/>
        <w:rPr>
          <w:sz w:val="20"/>
          <w:szCs w:val="20"/>
          <w:color w:val="auto"/>
        </w:rPr>
      </w:pPr>
      <w:r>
        <w:rPr>
          <w:rFonts w:ascii="Calibri" w:cs="Calibri" w:eastAsia="Calibri" w:hAnsi="Calibri"/>
          <w:sz w:val="17"/>
          <w:szCs w:val="17"/>
          <w:color w:val="auto"/>
        </w:rPr>
        <w:t>It is also important to have a more reasonable stock ownership percentage to call for a special shareholder meetng to help make up for the fact that we do not have a shareholder right to act by writen consent. Many companies provide for both a shareholder right to call a special shareholder meetng and a shareholder right to act by writen consent. Southwest Airlines and Target are companies that do not provide for shareholder writen consent and yet somewhat make up for it by providing for 10% of shares to call for a special shareholder meetng.</w:t>
      </w:r>
    </w:p>
    <w:p>
      <w:pPr>
        <w:spacing w:after="0" w:line="107" w:lineRule="exact"/>
        <w:rPr>
          <w:sz w:val="20"/>
          <w:szCs w:val="20"/>
          <w:color w:val="auto"/>
        </w:rPr>
      </w:pPr>
    </w:p>
    <w:p>
      <w:pPr>
        <w:ind w:left="140" w:right="480"/>
        <w:spacing w:after="0" w:line="261" w:lineRule="auto"/>
        <w:rPr>
          <w:sz w:val="20"/>
          <w:szCs w:val="20"/>
          <w:color w:val="auto"/>
        </w:rPr>
      </w:pPr>
      <w:r>
        <w:rPr>
          <w:rFonts w:ascii="Calibri" w:cs="Calibri" w:eastAsia="Calibri" w:hAnsi="Calibri"/>
          <w:sz w:val="17"/>
          <w:szCs w:val="17"/>
          <w:color w:val="auto"/>
        </w:rPr>
        <w:t>In 2021 LMT shareholders gave 46%-support to a shareholder proposal for a right to act by writen consent in spite of BOD resistance propped up by misleading BOD statements.</w:t>
      </w:r>
    </w:p>
    <w:p>
      <w:pPr>
        <w:spacing w:after="0" w:line="102" w:lineRule="exact"/>
        <w:rPr>
          <w:sz w:val="20"/>
          <w:szCs w:val="20"/>
          <w:color w:val="auto"/>
        </w:rPr>
      </w:pPr>
    </w:p>
    <w:p>
      <w:pPr>
        <w:ind w:left="140"/>
        <w:spacing w:after="0" w:line="255" w:lineRule="auto"/>
        <w:rPr>
          <w:sz w:val="20"/>
          <w:szCs w:val="20"/>
          <w:color w:val="auto"/>
        </w:rPr>
      </w:pPr>
      <w:r>
        <w:rPr>
          <w:rFonts w:ascii="Calibri" w:cs="Calibri" w:eastAsia="Calibri" w:hAnsi="Calibri"/>
          <w:sz w:val="17"/>
          <w:szCs w:val="17"/>
          <w:color w:val="auto"/>
        </w:rPr>
        <w:t>When reading the management statement next to this proposal, or any shareholder proposal, please remember that there is a formal process to root out any supposedly misleading shareholder text in a shareholder proposal but there is no formal process to root out misleading BOD text next to a shareholder proposal.</w:t>
      </w:r>
    </w:p>
    <w:p>
      <w:pPr>
        <w:spacing w:after="0" w:line="105" w:lineRule="exact"/>
        <w:rPr>
          <w:sz w:val="20"/>
          <w:szCs w:val="20"/>
          <w:color w:val="auto"/>
        </w:rPr>
      </w:pPr>
    </w:p>
    <w:p>
      <w:pPr>
        <w:jc w:val="center"/>
        <w:ind w:right="-119"/>
        <w:spacing w:after="0"/>
        <w:rPr>
          <w:sz w:val="20"/>
          <w:szCs w:val="20"/>
          <w:color w:val="auto"/>
        </w:rPr>
      </w:pPr>
      <w:r>
        <w:rPr>
          <w:rFonts w:ascii="Calibri" w:cs="Calibri" w:eastAsia="Calibri" w:hAnsi="Calibri"/>
          <w:sz w:val="17"/>
          <w:szCs w:val="17"/>
          <w:color w:val="auto"/>
        </w:rPr>
        <w:t>Please vote yes:</w:t>
      </w:r>
    </w:p>
    <w:p>
      <w:pPr>
        <w:spacing w:after="0" w:line="184" w:lineRule="exact"/>
        <w:rPr>
          <w:sz w:val="20"/>
          <w:szCs w:val="20"/>
          <w:color w:val="auto"/>
        </w:rPr>
      </w:pPr>
    </w:p>
    <w:p>
      <w:pPr>
        <w:jc w:val="center"/>
        <w:ind w:right="-119"/>
        <w:spacing w:after="0"/>
        <w:rPr>
          <w:sz w:val="20"/>
          <w:szCs w:val="20"/>
          <w:color w:val="auto"/>
        </w:rPr>
      </w:pPr>
      <w:r>
        <w:rPr>
          <w:rFonts w:ascii="Calibri" w:cs="Calibri" w:eastAsia="Calibri" w:hAnsi="Calibri"/>
          <w:sz w:val="17"/>
          <w:szCs w:val="17"/>
          <w:b w:val="1"/>
          <w:bCs w:val="1"/>
          <w:color w:val="auto"/>
        </w:rPr>
        <w:t>Special Shareholder Meetng Improvement — Proposal 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End of Stockholder Proposal—Board Vote Recommendaton on Proposal 6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762635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9" w:right="439" w:bottom="1440" w:gutter="0" w:footer="0" w:header="0"/>
        </w:sectPr>
      </w:pPr>
    </w:p>
    <w:bookmarkStart w:id="8" w:name="page9"/>
    <w:bookmarkEnd w:id="8"/>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6866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86625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003478"/>
        </w:rPr>
        <w:t>The Board of Directors Recommends Voting AGAINST Proposal 6</w:t>
      </w:r>
    </w:p>
    <w:p>
      <w:pPr>
        <w:spacing w:after="0" w:line="132" w:lineRule="exact"/>
        <w:rPr>
          <w:sz w:val="20"/>
          <w:szCs w:val="20"/>
          <w:color w:val="auto"/>
        </w:rPr>
      </w:pPr>
    </w:p>
    <w:p>
      <w:pPr>
        <w:jc w:val="both"/>
        <w:ind w:right="120"/>
        <w:spacing w:after="0" w:line="234" w:lineRule="auto"/>
        <w:rPr>
          <w:sz w:val="20"/>
          <w:szCs w:val="20"/>
          <w:color w:val="auto"/>
        </w:rPr>
      </w:pPr>
      <w:r>
        <w:rPr>
          <w:rFonts w:ascii="Calibri" w:cs="Calibri" w:eastAsia="Calibri" w:hAnsi="Calibri"/>
          <w:sz w:val="17"/>
          <w:szCs w:val="17"/>
          <w:color w:val="auto"/>
        </w:rPr>
        <w:t xml:space="preserve">The Board recommends that stockholders vote </w:t>
      </w:r>
      <w:r>
        <w:rPr>
          <w:rFonts w:ascii="Calibri" w:cs="Calibri" w:eastAsia="Calibri" w:hAnsi="Calibri"/>
          <w:sz w:val="17"/>
          <w:szCs w:val="17"/>
          <w:b w:val="1"/>
          <w:bCs w:val="1"/>
          <w:color w:val="auto"/>
        </w:rPr>
        <w:t>AGAINST</w:t>
      </w:r>
      <w:r>
        <w:rPr>
          <w:rFonts w:ascii="Calibri" w:cs="Calibri" w:eastAsia="Calibri" w:hAnsi="Calibri"/>
          <w:sz w:val="17"/>
          <w:szCs w:val="17"/>
          <w:color w:val="auto"/>
        </w:rPr>
        <w:t xml:space="preserve"> this proposal because stockholders already have a meaningful and balanced right to call special meetngs and the Company has strong corporate governance practces with Board accountability to stockholders. The Board believes that the requested change is unnecessary and is not in the best interests of the stockholders.</w:t>
      </w:r>
    </w:p>
    <w:p>
      <w:pPr>
        <w:spacing w:after="0" w:line="10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Our stockholders already have a meaningful right to call a special meetng at any tme.</w:t>
      </w:r>
    </w:p>
    <w:p>
      <w:pPr>
        <w:spacing w:after="0" w:line="106"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Under our Bylaws, any stockholder owning 10% or a group of stockholders owning 25% of our outstanding common stock may call a special meetng at any tme. The only subject mater restricton is that we are not required to call a special meetng to consider a mater that is substantally the same as voted on at a special meetng within the preceding 12 months unless requested by a majority of stockholders. See “Our stockholders have the right to call a special meetng” on page 17.</w:t>
      </w:r>
    </w:p>
    <w:p>
      <w:pPr>
        <w:spacing w:after="0" w:line="10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Our current ownership thresholds refect strong corporate governance practces.</w:t>
      </w:r>
    </w:p>
    <w:p>
      <w:pPr>
        <w:spacing w:after="0" w:line="52" w:lineRule="exact"/>
        <w:rPr>
          <w:sz w:val="20"/>
          <w:szCs w:val="20"/>
          <w:color w:val="auto"/>
        </w:rPr>
      </w:pPr>
    </w:p>
    <w:p>
      <w:pPr>
        <w:ind w:right="20"/>
        <w:spacing w:after="0" w:line="238" w:lineRule="auto"/>
        <w:rPr>
          <w:sz w:val="20"/>
          <w:szCs w:val="20"/>
          <w:color w:val="auto"/>
        </w:rPr>
      </w:pPr>
      <w:r>
        <w:rPr>
          <w:rFonts w:ascii="Calibri" w:cs="Calibri" w:eastAsia="Calibri" w:hAnsi="Calibri"/>
          <w:sz w:val="17"/>
          <w:szCs w:val="17"/>
          <w:color w:val="auto"/>
        </w:rPr>
        <w:t>Our 25% aggregate ownership threshold to call a special meetng is the most common standard among our compensaton comparator group and S&amp;P 500 companies and is consistent with the default provision under Maryland law. We go further by permitng an individual stockholder owning 10% to call a special meetng, providing an additonal stockholder right that most companies do not ofer. Our threshold also does not include a holding period requirement, unlike many other companies.</w:t>
      </w:r>
    </w:p>
    <w:p>
      <w:pPr>
        <w:spacing w:after="0" w:line="10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Our Board contnues to believe our current ownership thresholds are reasonable and appropriate.</w:t>
      </w:r>
    </w:p>
    <w:p>
      <w:pPr>
        <w:spacing w:after="0" w:line="52" w:lineRule="exact"/>
        <w:rPr>
          <w:sz w:val="20"/>
          <w:szCs w:val="20"/>
          <w:color w:val="auto"/>
        </w:rPr>
      </w:pPr>
    </w:p>
    <w:p>
      <w:pPr>
        <w:ind w:right="40"/>
        <w:spacing w:after="0" w:line="237" w:lineRule="auto"/>
        <w:rPr>
          <w:sz w:val="20"/>
          <w:szCs w:val="20"/>
          <w:color w:val="auto"/>
        </w:rPr>
      </w:pPr>
      <w:r>
        <w:rPr>
          <w:rFonts w:ascii="Calibri" w:cs="Calibri" w:eastAsia="Calibri" w:hAnsi="Calibri"/>
          <w:sz w:val="17"/>
          <w:szCs w:val="17"/>
          <w:color w:val="auto"/>
        </w:rPr>
        <w:t>The Board believes that our current 25% threshold permits a reasonably sized group of stockholders to call for a special meetng on maters that are likely to be of interest to a broad base of stockholders. Our concern with a threshold set too low is that a small group of stockholders could use the mechanism of special meetngs to advance their own narrow interests, without regard to the broader interests of stockholders and may be contrary to the long-term best interests of the Company and its stockholders. For example, event-driven investors could join together to use special meetngs to disrupt our business plans or facilitate self-serving short-term fnancial strategies that may encourage short-term stock ownership manipulaton.</w:t>
      </w:r>
    </w:p>
    <w:p>
      <w:pPr>
        <w:spacing w:after="0" w:line="109" w:lineRule="exact"/>
        <w:rPr>
          <w:sz w:val="20"/>
          <w:szCs w:val="20"/>
          <w:color w:val="auto"/>
        </w:rPr>
      </w:pPr>
    </w:p>
    <w:p>
      <w:pPr>
        <w:spacing w:after="0" w:line="236" w:lineRule="auto"/>
        <w:rPr>
          <w:sz w:val="20"/>
          <w:szCs w:val="20"/>
          <w:color w:val="auto"/>
        </w:rPr>
      </w:pPr>
      <w:r>
        <w:rPr>
          <w:rFonts w:ascii="Calibri" w:cs="Calibri" w:eastAsia="Calibri" w:hAnsi="Calibri"/>
          <w:sz w:val="17"/>
          <w:szCs w:val="17"/>
          <w:color w:val="auto"/>
        </w:rPr>
        <w:t>Special meetngs can be costly, tme-consuming and disruptve to normal business operatons, and may divert Board and management tme and atenton from focusing on strategy and executon giving an advantage to our compettors. Given the considerable investment of tme and resources necessary to hold a special meetng, the Board believes that stockholders generally would be interested in special meetngs only in rare cases when delaying the consideraton of a mater untl the next annual meetng would be detrimental to stockholder value. We believe that our current 25% aggregate ownership threshold (10% for a single stockholder) is consistent with the long-term interests of our stockholders and strikes the appropriate balance between providing stockholders a meaningful mechanism to call a special meetng and protectng the Company and other stockholders from a threshold that is low enough to encourage short-termism in the calling of a special meetng.</w:t>
      </w:r>
    </w:p>
    <w:p>
      <w:pPr>
        <w:spacing w:after="0" w:line="10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Stockholders rejected similar proposals in 2016 and 2022 from the same proponent.</w:t>
      </w:r>
    </w:p>
    <w:p>
      <w:pPr>
        <w:spacing w:after="0" w:line="66" w:lineRule="exact"/>
        <w:rPr>
          <w:sz w:val="20"/>
          <w:szCs w:val="20"/>
          <w:color w:val="auto"/>
        </w:rPr>
      </w:pPr>
    </w:p>
    <w:p>
      <w:pPr>
        <w:spacing w:after="0" w:line="234" w:lineRule="auto"/>
        <w:rPr>
          <w:sz w:val="20"/>
          <w:szCs w:val="20"/>
          <w:color w:val="auto"/>
        </w:rPr>
      </w:pPr>
      <w:r>
        <w:rPr>
          <w:rFonts w:ascii="Calibri" w:cs="Calibri" w:eastAsia="Calibri" w:hAnsi="Calibri"/>
          <w:sz w:val="17"/>
          <w:szCs w:val="17"/>
          <w:color w:val="auto"/>
        </w:rPr>
        <w:t>Just two years ago, in 2022, stockholders rejected a proposal to lower the aggregate ownership threshold for stockholders to call a special meetng to 10% and in 2016 they rejected a proposal to lower the threshold to 15%. The Board does not believe any material developments have occurred since these prior votes that should change stockholders’ views on the request to lower the aggregate ownership threshold. Although the majority of our stockholders voted against lowering the threshold to call a special meetng in 2022, we nevertheless engaged with investors on this issue following the 2022 annual meetng to beter understand their views and considered their feedback in our decision to retain our current practce.</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We are commited to sound corporate governance and an actve investor engagement program to ensure Board accountability.</w:t>
      </w:r>
    </w:p>
    <w:p>
      <w:pPr>
        <w:spacing w:after="0" w:line="52" w:lineRule="exact"/>
        <w:rPr>
          <w:sz w:val="20"/>
          <w:szCs w:val="20"/>
          <w:color w:val="auto"/>
        </w:rPr>
      </w:pPr>
    </w:p>
    <w:p>
      <w:pPr>
        <w:ind w:right="20"/>
        <w:spacing w:after="0"/>
        <w:rPr>
          <w:sz w:val="20"/>
          <w:szCs w:val="20"/>
          <w:color w:val="auto"/>
        </w:rPr>
      </w:pPr>
      <w:r>
        <w:rPr>
          <w:rFonts w:ascii="Calibri" w:cs="Calibri" w:eastAsia="Calibri" w:hAnsi="Calibri"/>
          <w:sz w:val="17"/>
          <w:szCs w:val="17"/>
          <w:color w:val="auto"/>
        </w:rPr>
        <w:t>At the directon of the Board, the Company engages directly with its stockholders throughout the year to seek their views on an array of issues, including corporate governance maters, and reports to the Board on those engagements. In 2023, we engaged with stockholders representng 45% of our outstanding shares and none expressed concern with our existng special meetng right threshold. Furthermore, we believe that governance best practces strengthen our Board and management and we have contnued to evolve our governance practces to reinforce Board accountability and ensure stockholder rights. For example, the Board adopted its current 25% special meetng threshold in 2011, adopted proxy access in 2016 (giving stockholders the right to include director nominatons in the Company’s proxy statement for the annual meetng), and amended the Company’s Bylaws in 2017 to provide stockholders the power to amend the Company’s Bylaws. Our directors also remain accountable to our stockholders through annual electons by our stockholders with a majority votng standard and a resignaton policy for directors who do not receive a majority of votes cast in an uncontested electon, as more thoroughly described in the Board response to Proposal 7. In additon, our Board has demonstrated its commitment to Board refreshment and to the electon of highly qualifed independent directors. Over the past six years, seven new independent directors have been elected to the Board.</w:t>
      </w:r>
    </w:p>
    <w:sectPr>
      <w:pgSz w:w="11900" w:h="16838" w:orient="portrait"/>
      <w:cols w:equalWidth="0" w:num="1">
        <w:col w:w="10940"/>
      </w:cols>
      <w:pgMar w:left="46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2"/>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2024-03-25T16:37:01Z</dcterms:created>
  <dcterms:modified xsi:type="dcterms:W3CDTF">2024-03-25T16:37:01Z</dcterms:modified>
</cp:coreProperties>
</file>