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17145</wp:posOffset>
            </wp:positionV>
            <wp:extent cx="1329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5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30480</wp:posOffset>
            </wp:positionV>
            <wp:extent cx="13290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2" w:lineRule="exact"/>
        <w:rPr>
          <w:sz w:val="24"/>
          <w:szCs w:val="24"/>
          <w:color w:val="auto"/>
        </w:rPr>
      </w:pPr>
    </w:p>
    <w:p>
      <w:pPr>
        <w:ind w:left="480" w:hanging="216"/>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6"/>
          <w:szCs w:val="16"/>
          <w:b w:val="1"/>
          <w:bCs w:val="1"/>
          <w:color w:val="auto"/>
        </w:rPr>
        <w:t>December 31, 2020</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4"/>
          <w:szCs w:val="24"/>
          <w:color w:val="auto"/>
        </w:rPr>
      </w:pPr>
    </w:p>
    <w:p>
      <w:pPr>
        <w:ind w:left="480" w:hanging="216"/>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3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6"/>
          <w:szCs w:val="16"/>
          <w:color w:val="auto"/>
        </w:rPr>
        <w:t>For the transition period from ______ to ______</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1-11437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17780</wp:posOffset>
            </wp:positionV>
            <wp:extent cx="13290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LOCKHEED MARTIN CORPORATION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4" w:lineRule="exact"/>
        <w:rPr>
          <w:sz w:val="24"/>
          <w:szCs w:val="24"/>
          <w:color w:val="auto"/>
        </w:rPr>
      </w:pPr>
    </w:p>
    <w:tbl>
      <w:tblPr>
        <w:tblLayout w:type="fixed"/>
        <w:tblInd w:w="60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160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52-1893632</w:t>
            </w:r>
          </w:p>
        </w:tc>
      </w:tr>
      <w:tr>
        <w:trPr>
          <w:trHeight w:val="145"/>
        </w:trPr>
        <w:tc>
          <w:tcPr>
            <w:tcW w:w="3020" w:type="dxa"/>
            <w:vAlign w:val="bottom"/>
            <w:gridSpan w:val="2"/>
          </w:tcPr>
          <w:p>
            <w:pPr>
              <w:jc w:val="center"/>
              <w:ind w:left="408"/>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9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80" w:type="dxa"/>
            <w:vAlign w:val="bottom"/>
          </w:tcPr>
          <w:p>
            <w:pPr>
              <w:jc w:val="center"/>
              <w:ind w:left="528"/>
              <w:spacing w:after="0" w:line="145"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78"/>
        </w:trPr>
        <w:tc>
          <w:tcPr>
            <w:tcW w:w="302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90"/>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6801 Rockledge Drive,</w:t>
            </w:r>
          </w:p>
        </w:tc>
        <w:tc>
          <w:tcPr>
            <w:tcW w:w="16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Bethesda,</w:t>
            </w: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268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20817</w:t>
            </w:r>
          </w:p>
        </w:tc>
      </w:tr>
      <w:tr>
        <w:trPr>
          <w:trHeight w:val="189"/>
        </w:trPr>
        <w:tc>
          <w:tcPr>
            <w:tcW w:w="302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8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14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0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(301) 897-6000</w:t>
            </w:r>
          </w:p>
        </w:tc>
        <w:tc>
          <w:tcPr>
            <w:tcW w:w="106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188"/>
        </w:trPr>
        <w:tc>
          <w:tcPr>
            <w:tcW w:w="1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680" w:type="dxa"/>
            <w:vAlign w:val="bottom"/>
          </w:tcPr>
          <w:p>
            <w:pPr>
              <w:spacing w:after="0"/>
              <w:rPr>
                <w:sz w:val="16"/>
                <w:szCs w:val="16"/>
                <w:color w:val="auto"/>
              </w:rPr>
            </w:pPr>
          </w:p>
        </w:tc>
      </w:tr>
      <w:tr>
        <w:trPr>
          <w:trHeight w:val="23"/>
        </w:trPr>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2680" w:type="dxa"/>
            <w:vAlign w:val="bottom"/>
          </w:tcPr>
          <w:p>
            <w:pPr>
              <w:spacing w:after="0"/>
              <w:rPr>
                <w:sz w:val="2"/>
                <w:szCs w:val="2"/>
                <w:color w:val="auto"/>
              </w:rPr>
            </w:pPr>
          </w:p>
        </w:tc>
      </w:tr>
    </w:tbl>
    <w:p>
      <w:pPr>
        <w:spacing w:after="0" w:line="351" w:lineRule="exact"/>
        <w:rPr>
          <w:sz w:val="24"/>
          <w:szCs w:val="24"/>
          <w:color w:val="auto"/>
        </w:rPr>
      </w:pPr>
    </w:p>
    <w:tbl>
      <w:tblPr>
        <w:tblLayout w:type="fixed"/>
        <w:tblInd w:w="80" w:type="dxa"/>
        <w:tblCellMar>
          <w:top w:w="0" w:type="dxa"/>
          <w:left w:w="0" w:type="dxa"/>
          <w:bottom w:w="0" w:type="dxa"/>
          <w:right w:w="0" w:type="dxa"/>
        </w:tblCellMar>
      </w:tblPr>
      <w:tr>
        <w:trPr>
          <w:trHeight w:val="210"/>
        </w:trPr>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2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880" w:type="dxa"/>
            <w:vAlign w:val="bottom"/>
          </w:tcPr>
          <w:p>
            <w:pPr>
              <w:spacing w:after="0"/>
              <w:rPr>
                <w:sz w:val="18"/>
                <w:szCs w:val="18"/>
                <w:color w:val="auto"/>
              </w:rPr>
            </w:pPr>
          </w:p>
        </w:tc>
      </w:tr>
      <w:tr>
        <w:trPr>
          <w:trHeight w:val="195"/>
        </w:trPr>
        <w:tc>
          <w:tcPr>
            <w:tcW w:w="14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1580" w:type="dxa"/>
            <w:vAlign w:val="bottom"/>
          </w:tcPr>
          <w:p>
            <w:pPr>
              <w:spacing w:after="0"/>
              <w:rPr>
                <w:sz w:val="16"/>
                <w:szCs w:val="16"/>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0"/>
        </w:trPr>
        <w:tc>
          <w:tcPr>
            <w:tcW w:w="3220" w:type="dxa"/>
            <w:vAlign w:val="bottom"/>
            <w:gridSpan w:val="3"/>
          </w:tcPr>
          <w:p>
            <w:pPr>
              <w:jc w:val="center"/>
              <w:ind w:left="682"/>
              <w:spacing w:after="0"/>
              <w:rPr>
                <w:sz w:val="20"/>
                <w:szCs w:val="20"/>
                <w:color w:val="auto"/>
              </w:rPr>
            </w:pPr>
            <w:r>
              <w:rPr>
                <w:rFonts w:ascii="Times New Roman" w:cs="Times New Roman" w:eastAsia="Times New Roman" w:hAnsi="Times New Roman"/>
                <w:sz w:val="16"/>
                <w:szCs w:val="16"/>
                <w:color w:val="auto"/>
              </w:rPr>
              <w:t>Common Stock, $1 par value</w:t>
            </w:r>
          </w:p>
        </w:tc>
        <w:tc>
          <w:tcPr>
            <w:tcW w:w="1780" w:type="dxa"/>
            <w:vAlign w:val="bottom"/>
          </w:tcPr>
          <w:p>
            <w:pPr>
              <w:spacing w:after="0"/>
              <w:rPr>
                <w:sz w:val="20"/>
                <w:szCs w:val="20"/>
                <w:color w:val="auto"/>
              </w:rPr>
            </w:pPr>
          </w:p>
        </w:tc>
        <w:tc>
          <w:tcPr>
            <w:tcW w:w="2640" w:type="dxa"/>
            <w:vAlign w:val="bottom"/>
            <w:gridSpan w:val="2"/>
          </w:tcPr>
          <w:p>
            <w:pPr>
              <w:jc w:val="center"/>
              <w:ind w:right="1580"/>
              <w:spacing w:after="0"/>
              <w:rPr>
                <w:sz w:val="20"/>
                <w:szCs w:val="20"/>
                <w:color w:val="auto"/>
              </w:rPr>
            </w:pPr>
            <w:r>
              <w:rPr>
                <w:rFonts w:ascii="Times New Roman" w:cs="Times New Roman" w:eastAsia="Times New Roman" w:hAnsi="Times New Roman"/>
                <w:sz w:val="16"/>
                <w:szCs w:val="16"/>
                <w:color w:val="auto"/>
              </w:rPr>
              <w:t>LMT</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310"/>
        </w:trPr>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20" w:type="dxa"/>
            <w:vAlign w:val="bottom"/>
            <w:gridSpan w:val="3"/>
          </w:tcPr>
          <w:p>
            <w:pPr>
              <w:jc w:val="center"/>
              <w:ind w:left="13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2880" w:type="dxa"/>
            <w:vAlign w:val="bottom"/>
          </w:tcPr>
          <w:p>
            <w:pPr>
              <w:spacing w:after="0"/>
              <w:rPr>
                <w:sz w:val="24"/>
                <w:szCs w:val="24"/>
                <w:color w:val="auto"/>
              </w:rPr>
            </w:pPr>
          </w:p>
        </w:tc>
      </w:tr>
      <w:tr>
        <w:trPr>
          <w:trHeight w:val="298"/>
        </w:trPr>
        <w:tc>
          <w:tcPr>
            <w:tcW w:w="7640" w:type="dxa"/>
            <w:vAlign w:val="bottom"/>
            <w:gridSpan w:val="6"/>
          </w:tcPr>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p>
        </w:tc>
        <w:tc>
          <w:tcPr>
            <w:tcW w:w="2880" w:type="dxa"/>
            <w:vAlign w:val="bottom"/>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r>
      <w:tr>
        <w:trPr>
          <w:trHeight w:val="283"/>
        </w:trPr>
        <w:tc>
          <w:tcPr>
            <w:tcW w:w="10520" w:type="dxa"/>
            <w:vAlign w:val="bottom"/>
            <w:gridSpan w:val="7"/>
          </w:tcPr>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5139690</wp:posOffset>
            </wp:positionH>
            <wp:positionV relativeFrom="paragraph">
              <wp:posOffset>-293370</wp:posOffset>
            </wp:positionV>
            <wp:extent cx="73660" cy="74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660" cy="74930"/>
                    </a:xfrm>
                    <a:prstGeom prst="rect">
                      <a:avLst/>
                    </a:prstGeom>
                    <a:noFill/>
                  </pic:spPr>
                </pic:pic>
              </a:graphicData>
            </a:graphic>
          </wp:anchor>
        </w:drawing>
        <w:drawing>
          <wp:anchor simplePos="0" relativeHeight="251657728" behindDoc="1" locked="0" layoutInCell="0" allowOverlap="1">
            <wp:simplePos x="0" y="0"/>
            <wp:positionH relativeFrom="column">
              <wp:posOffset>4901565</wp:posOffset>
            </wp:positionH>
            <wp:positionV relativeFrom="paragraph">
              <wp:posOffset>-113665</wp:posOffset>
            </wp:positionV>
            <wp:extent cx="73660" cy="74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spacing w:after="0" w:line="49" w:lineRule="exact"/>
        <w:rPr>
          <w:sz w:val="24"/>
          <w:szCs w:val="24"/>
          <w:color w:val="auto"/>
        </w:rPr>
      </w:pPr>
    </w:p>
    <w:p>
      <w:pPr>
        <w:ind w:left="8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6783705</wp:posOffset>
            </wp:positionH>
            <wp:positionV relativeFrom="paragraph">
              <wp:posOffset>-113665</wp:posOffset>
            </wp:positionV>
            <wp:extent cx="73660" cy="74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spacing w:after="0" w:line="49" w:lineRule="exact"/>
        <w:rPr>
          <w:sz w:val="24"/>
          <w:szCs w:val="24"/>
          <w:color w:val="auto"/>
        </w:rPr>
      </w:pPr>
    </w:p>
    <w:p>
      <w:pPr>
        <w:ind w:left="80" w:right="2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5432425</wp:posOffset>
            </wp:positionH>
            <wp:positionV relativeFrom="paragraph">
              <wp:posOffset>-113665</wp:posOffset>
            </wp:positionV>
            <wp:extent cx="73660" cy="74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spacing w:after="0" w:line="4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69" w:lineRule="exact"/>
        <w:rPr>
          <w:sz w:val="24"/>
          <w:szCs w:val="24"/>
          <w:color w:val="auto"/>
        </w:rPr>
      </w:pPr>
    </w:p>
    <w:p>
      <w:pPr>
        <w:ind w:left="8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Non–accelerated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Smaller reporting company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Emerging growth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1744980</wp:posOffset>
            </wp:positionH>
            <wp:positionV relativeFrom="paragraph">
              <wp:posOffset>-70485</wp:posOffset>
            </wp:positionV>
            <wp:extent cx="73660" cy="74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660" cy="74930"/>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-70485</wp:posOffset>
            </wp:positionV>
            <wp:extent cx="73660" cy="74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spacing w:after="0" w:line="117" w:lineRule="exact"/>
        <w:rPr>
          <w:sz w:val="24"/>
          <w:szCs w:val="24"/>
          <w:color w:val="auto"/>
        </w:rPr>
      </w:pPr>
    </w:p>
    <w:p>
      <w:pPr>
        <w:ind w:left="80" w:right="2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3122930</wp:posOffset>
            </wp:positionH>
            <wp:positionV relativeFrom="paragraph">
              <wp:posOffset>-113665</wp:posOffset>
            </wp:positionV>
            <wp:extent cx="73660" cy="74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spacing w:after="0" w:line="49" w:lineRule="exact"/>
        <w:rPr>
          <w:sz w:val="24"/>
          <w:szCs w:val="24"/>
          <w:color w:val="auto"/>
        </w:rPr>
      </w:pPr>
    </w:p>
    <w:p>
      <w:pPr>
        <w:ind w:left="80" w:right="16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4" w:lineRule="exact"/>
        <w:rPr>
          <w:sz w:val="24"/>
          <w:szCs w:val="24"/>
          <w:color w:val="auto"/>
        </w:rPr>
      </w:pPr>
    </w:p>
    <w:p>
      <w:pPr>
        <w:ind w:left="80"/>
        <w:spacing w:after="0" w:line="173" w:lineRule="exact"/>
        <w:tabs>
          <w:tab w:leader="none" w:pos="760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37" w:lineRule="exact"/>
        <w:rPr>
          <w:sz w:val="24"/>
          <w:szCs w:val="24"/>
          <w:color w:val="auto"/>
        </w:rPr>
      </w:pPr>
    </w:p>
    <w:p>
      <w:pPr>
        <w:ind w:left="80" w:right="20"/>
        <w:spacing w:after="0" w:line="280" w:lineRule="auto"/>
        <w:rPr>
          <w:sz w:val="20"/>
          <w:szCs w:val="20"/>
          <w:color w:val="auto"/>
        </w:rPr>
      </w:pPr>
      <w:r>
        <w:rPr>
          <w:rFonts w:ascii="Times New Roman" w:cs="Times New Roman" w:eastAsia="Times New Roman" w:hAnsi="Times New Roman"/>
          <w:sz w:val="15"/>
          <w:szCs w:val="15"/>
          <w:color w:val="auto"/>
        </w:rPr>
        <w:t>The aggregate market value of voting and non-voting common stock held by non-affiliates of the registrant computed by reference to the last sales price of such stock, as of the last business day of the registrant’s most recently completed second fiscal quarter, which was June 26, 2020, was approximately $99.3 billion.</w:t>
      </w:r>
    </w:p>
    <w:p>
      <w:pPr>
        <w:spacing w:after="0" w:line="57"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5"/>
          <w:szCs w:val="15"/>
          <w:color w:val="auto"/>
        </w:rPr>
        <w:t>There were 280,103,431 shares of our common stock, $1 par value per share, outstanding as of January 22, 2021.</w:t>
      </w:r>
    </w:p>
    <w:p>
      <w:pPr>
        <w:spacing w:after="0" w:line="10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89" w:lineRule="exact"/>
        <w:rPr>
          <w:sz w:val="24"/>
          <w:szCs w:val="24"/>
          <w:color w:val="auto"/>
        </w:rPr>
      </w:pPr>
    </w:p>
    <w:p>
      <w:pPr>
        <w:ind w:left="80"/>
        <w:spacing w:after="0" w:line="200" w:lineRule="exact"/>
        <w:rPr>
          <w:sz w:val="20"/>
          <w:szCs w:val="20"/>
          <w:color w:val="auto"/>
        </w:rPr>
      </w:pPr>
      <w:r>
        <w:rPr>
          <w:rFonts w:ascii="Times New Roman" w:cs="Times New Roman" w:eastAsia="Times New Roman" w:hAnsi="Times New Roman"/>
          <w:sz w:val="15"/>
          <w:szCs w:val="15"/>
          <w:color w:val="auto"/>
        </w:rPr>
        <w:t>Portions of Lockheed Martin Corporation’s 2021 Definitive Proxy Statement are incorporated by reference into Part III of this Form 10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 The 2021 Definitive Proxy Statement will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91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6"/>
        </w:trPr>
        <w:tc>
          <w:tcPr>
            <w:tcW w:w="1420" w:type="dxa"/>
            <w:vAlign w:val="bottom"/>
          </w:tcPr>
          <w:p>
            <w:pPr>
              <w:spacing w:after="0"/>
              <w:rPr>
                <w:sz w:val="24"/>
                <w:szCs w:val="24"/>
                <w:color w:val="auto"/>
              </w:rPr>
            </w:pPr>
          </w:p>
        </w:tc>
        <w:tc>
          <w:tcPr>
            <w:tcW w:w="91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1420" w:type="dxa"/>
            <w:vAlign w:val="bottom"/>
          </w:tcPr>
          <w:p>
            <w:pPr>
              <w:spacing w:after="0"/>
              <w:rPr>
                <w:sz w:val="20"/>
                <w:szCs w:val="20"/>
                <w:color w:val="auto"/>
              </w:rPr>
            </w:pPr>
          </w:p>
        </w:tc>
        <w:tc>
          <w:tcPr>
            <w:tcW w:w="91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2020</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1420" w:type="dxa"/>
            <w:vAlign w:val="bottom"/>
          </w:tcPr>
          <w:p>
            <w:pPr>
              <w:spacing w:after="0"/>
              <w:rPr>
                <w:sz w:val="24"/>
                <w:szCs w:val="24"/>
                <w:color w:val="auto"/>
              </w:rPr>
            </w:pPr>
          </w:p>
        </w:tc>
        <w:tc>
          <w:tcPr>
            <w:tcW w:w="91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75"/>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Business</w:t>
              </w:r>
            </w:hyperlink>
          </w:p>
        </w:tc>
        <w:tc>
          <w:tcPr>
            <w:tcW w:w="660" w:type="dxa"/>
            <w:vAlign w:val="bottom"/>
            <w:tcBorders>
              <w:top w:val="single" w:sz="8" w:color="auto"/>
            </w:tcBorders>
          </w:tcPr>
          <w:p>
            <w:pPr>
              <w:jc w:val="right"/>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c>
          <w:tcPr>
            <w:tcW w:w="40" w:type="dxa"/>
            <w:vAlign w:val="bottom"/>
          </w:tcPr>
          <w:p>
            <w:pPr>
              <w:spacing w:after="0"/>
              <w:rPr>
                <w:sz w:val="24"/>
                <w:szCs w:val="24"/>
                <w:color w:val="auto"/>
              </w:rPr>
            </w:pPr>
          </w:p>
        </w:tc>
      </w:tr>
      <w:tr>
        <w:trPr>
          <w:trHeight w:val="230"/>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Risk Factors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10">
              <w:r>
                <w:rPr>
                  <w:rFonts w:ascii="Times New Roman" w:cs="Times New Roman" w:eastAsia="Times New Roman" w:hAnsi="Times New Roman"/>
                  <w:sz w:val="18"/>
                  <w:szCs w:val="18"/>
                  <w:color w:val="0000FF"/>
                </w:rPr>
                <w:t>10</w:t>
              </w:r>
            </w:hyperlink>
          </w:p>
        </w:tc>
        <w:tc>
          <w:tcPr>
            <w:tcW w:w="40" w:type="dxa"/>
            <w:vAlign w:val="bottom"/>
          </w:tcPr>
          <w:p>
            <w:pPr>
              <w:spacing w:after="0"/>
              <w:rPr>
                <w:sz w:val="19"/>
                <w:szCs w:val="19"/>
                <w:color w:val="auto"/>
              </w:rPr>
            </w:pPr>
          </w:p>
        </w:tc>
      </w:tr>
      <w:tr>
        <w:trPr>
          <w:trHeight w:val="229"/>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1B.</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Unresolved Staff Comments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24</w:t>
              </w:r>
            </w:hyperlink>
          </w:p>
        </w:tc>
        <w:tc>
          <w:tcPr>
            <w:tcW w:w="40" w:type="dxa"/>
            <w:vAlign w:val="bottom"/>
          </w:tcPr>
          <w:p>
            <w:pPr>
              <w:spacing w:after="0"/>
              <w:rPr>
                <w:sz w:val="19"/>
                <w:szCs w:val="19"/>
                <w:color w:val="auto"/>
              </w:rPr>
            </w:pPr>
          </w:p>
        </w:tc>
      </w:tr>
      <w:tr>
        <w:trPr>
          <w:trHeight w:val="230"/>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Properties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24</w:t>
              </w:r>
            </w:hyperlink>
          </w:p>
        </w:tc>
        <w:tc>
          <w:tcPr>
            <w:tcW w:w="40" w:type="dxa"/>
            <w:vAlign w:val="bottom"/>
          </w:tcPr>
          <w:p>
            <w:pPr>
              <w:spacing w:after="0"/>
              <w:rPr>
                <w:sz w:val="19"/>
                <w:szCs w:val="19"/>
                <w:color w:val="auto"/>
              </w:rPr>
            </w:pPr>
          </w:p>
        </w:tc>
      </w:tr>
      <w:tr>
        <w:trPr>
          <w:trHeight w:val="229"/>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Legal Proceedings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25</w:t>
              </w:r>
            </w:hyperlink>
          </w:p>
        </w:tc>
        <w:tc>
          <w:tcPr>
            <w:tcW w:w="40" w:type="dxa"/>
            <w:vAlign w:val="bottom"/>
          </w:tcPr>
          <w:p>
            <w:pPr>
              <w:spacing w:after="0"/>
              <w:rPr>
                <w:sz w:val="19"/>
                <w:szCs w:val="19"/>
                <w:color w:val="auto"/>
              </w:rPr>
            </w:pPr>
          </w:p>
        </w:tc>
      </w:tr>
      <w:tr>
        <w:trPr>
          <w:trHeight w:val="229"/>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Mine Safety Disclosures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25</w:t>
              </w:r>
            </w:hyperlink>
          </w:p>
        </w:tc>
        <w:tc>
          <w:tcPr>
            <w:tcW w:w="40" w:type="dxa"/>
            <w:vAlign w:val="bottom"/>
          </w:tcPr>
          <w:p>
            <w:pPr>
              <w:spacing w:after="0"/>
              <w:rPr>
                <w:sz w:val="19"/>
                <w:szCs w:val="19"/>
                <w:color w:val="auto"/>
              </w:rPr>
            </w:pPr>
          </w:p>
        </w:tc>
      </w:tr>
      <w:tr>
        <w:trPr>
          <w:trHeight w:val="234"/>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4(a).</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Information about our Executive Officers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26</w:t>
              </w:r>
            </w:hyperlink>
          </w:p>
        </w:tc>
        <w:tc>
          <w:tcPr>
            <w:tcW w:w="40" w:type="dxa"/>
            <w:vAlign w:val="bottom"/>
          </w:tcPr>
          <w:p>
            <w:pPr>
              <w:spacing w:after="0"/>
              <w:rPr>
                <w:sz w:val="20"/>
                <w:szCs w:val="20"/>
                <w:color w:val="auto"/>
              </w:rPr>
            </w:pPr>
          </w:p>
        </w:tc>
      </w:tr>
      <w:tr>
        <w:trPr>
          <w:trHeight w:val="499"/>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5"/>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28</w:t>
              </w:r>
            </w:hyperlink>
          </w:p>
        </w:tc>
        <w:tc>
          <w:tcPr>
            <w:tcW w:w="40" w:type="dxa"/>
            <w:vAlign w:val="bottom"/>
          </w:tcPr>
          <w:p>
            <w:pPr>
              <w:spacing w:after="0"/>
              <w:rPr>
                <w:sz w:val="24"/>
                <w:szCs w:val="24"/>
                <w:color w:val="auto"/>
              </w:rPr>
            </w:pPr>
          </w:p>
        </w:tc>
      </w:tr>
      <w:tr>
        <w:trPr>
          <w:trHeight w:val="230"/>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Selected Financial Data</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30</w:t>
              </w:r>
            </w:hyperlink>
          </w:p>
        </w:tc>
        <w:tc>
          <w:tcPr>
            <w:tcW w:w="40" w:type="dxa"/>
            <w:vAlign w:val="bottom"/>
          </w:tcPr>
          <w:p>
            <w:pPr>
              <w:spacing w:after="0"/>
              <w:rPr>
                <w:sz w:val="19"/>
                <w:szCs w:val="19"/>
                <w:color w:val="auto"/>
              </w:rPr>
            </w:pPr>
          </w:p>
        </w:tc>
      </w:tr>
      <w:tr>
        <w:trPr>
          <w:trHeight w:val="229"/>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7.</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32</w:t>
              </w:r>
            </w:hyperlink>
          </w:p>
        </w:tc>
        <w:tc>
          <w:tcPr>
            <w:tcW w:w="40" w:type="dxa"/>
            <w:vAlign w:val="bottom"/>
          </w:tcPr>
          <w:p>
            <w:pPr>
              <w:spacing w:after="0"/>
              <w:rPr>
                <w:sz w:val="19"/>
                <w:szCs w:val="19"/>
                <w:color w:val="auto"/>
              </w:rPr>
            </w:pPr>
          </w:p>
        </w:tc>
      </w:tr>
      <w:tr>
        <w:trPr>
          <w:trHeight w:val="230"/>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7A.</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Quantitative and Qualitative Disclosures About Market Risk</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63</w:t>
              </w:r>
            </w:hyperlink>
          </w:p>
        </w:tc>
        <w:tc>
          <w:tcPr>
            <w:tcW w:w="40" w:type="dxa"/>
            <w:vAlign w:val="bottom"/>
          </w:tcPr>
          <w:p>
            <w:pPr>
              <w:spacing w:after="0"/>
              <w:rPr>
                <w:sz w:val="19"/>
                <w:szCs w:val="19"/>
                <w:color w:val="auto"/>
              </w:rPr>
            </w:pPr>
          </w:p>
        </w:tc>
      </w:tr>
      <w:tr>
        <w:trPr>
          <w:trHeight w:val="229"/>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8.</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Financial Statements and Supplementary Data</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color w:val="0000FF"/>
                </w:rPr>
                <w:t>64</w:t>
              </w:r>
            </w:hyperlink>
          </w:p>
        </w:tc>
        <w:tc>
          <w:tcPr>
            <w:tcW w:w="40" w:type="dxa"/>
            <w:vAlign w:val="bottom"/>
          </w:tcPr>
          <w:p>
            <w:pPr>
              <w:spacing w:after="0"/>
              <w:rPr>
                <w:sz w:val="19"/>
                <w:szCs w:val="19"/>
                <w:color w:val="auto"/>
              </w:rPr>
            </w:pPr>
          </w:p>
        </w:tc>
      </w:tr>
      <w:tr>
        <w:trPr>
          <w:trHeight w:val="230"/>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107</w:t>
              </w:r>
            </w:hyperlink>
          </w:p>
        </w:tc>
        <w:tc>
          <w:tcPr>
            <w:tcW w:w="40" w:type="dxa"/>
            <w:vAlign w:val="bottom"/>
          </w:tcPr>
          <w:p>
            <w:pPr>
              <w:spacing w:after="0"/>
              <w:rPr>
                <w:sz w:val="19"/>
                <w:szCs w:val="19"/>
                <w:color w:val="auto"/>
              </w:rPr>
            </w:pPr>
          </w:p>
        </w:tc>
      </w:tr>
      <w:tr>
        <w:trPr>
          <w:trHeight w:val="229"/>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9A.</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Controls and Procedures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color w:val="0000FF"/>
                </w:rPr>
                <w:t>107</w:t>
              </w:r>
            </w:hyperlink>
          </w:p>
        </w:tc>
        <w:tc>
          <w:tcPr>
            <w:tcW w:w="40" w:type="dxa"/>
            <w:vAlign w:val="bottom"/>
          </w:tcPr>
          <w:p>
            <w:pPr>
              <w:spacing w:after="0"/>
              <w:rPr>
                <w:sz w:val="19"/>
                <w:szCs w:val="19"/>
                <w:color w:val="auto"/>
              </w:rPr>
            </w:pPr>
          </w:p>
        </w:tc>
      </w:tr>
      <w:tr>
        <w:trPr>
          <w:trHeight w:val="234"/>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9B.</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108">
              <w:r>
                <w:rPr>
                  <w:rFonts w:ascii="Times New Roman" w:cs="Times New Roman" w:eastAsia="Times New Roman" w:hAnsi="Times New Roman"/>
                  <w:sz w:val="18"/>
                  <w:szCs w:val="18"/>
                  <w:u w:val="single" w:color="auto"/>
                  <w:color w:val="0000FF"/>
                </w:rPr>
                <w:t>Other Information</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108">
              <w:r>
                <w:rPr>
                  <w:rFonts w:ascii="Times New Roman" w:cs="Times New Roman" w:eastAsia="Times New Roman" w:hAnsi="Times New Roman"/>
                  <w:sz w:val="18"/>
                  <w:szCs w:val="18"/>
                  <w:color w:val="0000FF"/>
                </w:rPr>
                <w:t>109</w:t>
              </w:r>
            </w:hyperlink>
          </w:p>
        </w:tc>
        <w:tc>
          <w:tcPr>
            <w:tcW w:w="40" w:type="dxa"/>
            <w:vAlign w:val="bottom"/>
          </w:tcPr>
          <w:p>
            <w:pPr>
              <w:spacing w:after="0"/>
              <w:rPr>
                <w:sz w:val="20"/>
                <w:szCs w:val="20"/>
                <w:color w:val="auto"/>
              </w:rPr>
            </w:pPr>
          </w:p>
        </w:tc>
      </w:tr>
      <w:tr>
        <w:trPr>
          <w:trHeight w:val="500"/>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5"/>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10.</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Directors, Executive Officers and Corporate Governance</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109</w:t>
              </w:r>
            </w:hyperlink>
          </w:p>
        </w:tc>
        <w:tc>
          <w:tcPr>
            <w:tcW w:w="40" w:type="dxa"/>
            <w:vAlign w:val="bottom"/>
          </w:tcPr>
          <w:p>
            <w:pPr>
              <w:spacing w:after="0"/>
              <w:rPr>
                <w:sz w:val="24"/>
                <w:szCs w:val="24"/>
                <w:color w:val="auto"/>
              </w:rPr>
            </w:pPr>
          </w:p>
        </w:tc>
      </w:tr>
      <w:tr>
        <w:trPr>
          <w:trHeight w:val="229"/>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11.</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Executive Compensation</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109</w:t>
              </w:r>
            </w:hyperlink>
          </w:p>
        </w:tc>
        <w:tc>
          <w:tcPr>
            <w:tcW w:w="40" w:type="dxa"/>
            <w:vAlign w:val="bottom"/>
          </w:tcPr>
          <w:p>
            <w:pPr>
              <w:spacing w:after="0"/>
              <w:rPr>
                <w:sz w:val="19"/>
                <w:szCs w:val="19"/>
                <w:color w:val="auto"/>
              </w:rPr>
            </w:pPr>
          </w:p>
        </w:tc>
      </w:tr>
      <w:tr>
        <w:trPr>
          <w:trHeight w:val="230"/>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12.</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110</w:t>
              </w:r>
            </w:hyperlink>
          </w:p>
        </w:tc>
        <w:tc>
          <w:tcPr>
            <w:tcW w:w="40" w:type="dxa"/>
            <w:vAlign w:val="bottom"/>
          </w:tcPr>
          <w:p>
            <w:pPr>
              <w:spacing w:after="0"/>
              <w:rPr>
                <w:sz w:val="19"/>
                <w:szCs w:val="19"/>
                <w:color w:val="auto"/>
              </w:rPr>
            </w:pPr>
          </w:p>
        </w:tc>
      </w:tr>
      <w:tr>
        <w:trPr>
          <w:trHeight w:val="230"/>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13.</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110">
              <w:r>
                <w:rPr>
                  <w:rFonts w:ascii="Times New Roman" w:cs="Times New Roman" w:eastAsia="Times New Roman" w:hAnsi="Times New Roman"/>
                  <w:sz w:val="18"/>
                  <w:szCs w:val="18"/>
                  <w:color w:val="0000FF"/>
                </w:rPr>
                <w:t>110</w:t>
              </w:r>
            </w:hyperlink>
          </w:p>
        </w:tc>
        <w:tc>
          <w:tcPr>
            <w:tcW w:w="40" w:type="dxa"/>
            <w:vAlign w:val="bottom"/>
          </w:tcPr>
          <w:p>
            <w:pPr>
              <w:spacing w:after="0"/>
              <w:rPr>
                <w:sz w:val="19"/>
                <w:szCs w:val="19"/>
                <w:color w:val="auto"/>
              </w:rPr>
            </w:pPr>
          </w:p>
        </w:tc>
      </w:tr>
      <w:tr>
        <w:trPr>
          <w:trHeight w:val="234"/>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14.</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Principal Accounting Fees and Services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110">
              <w:r>
                <w:rPr>
                  <w:rFonts w:ascii="Times New Roman" w:cs="Times New Roman" w:eastAsia="Times New Roman" w:hAnsi="Times New Roman"/>
                  <w:sz w:val="18"/>
                  <w:szCs w:val="18"/>
                  <w:color w:val="0000FF"/>
                </w:rPr>
                <w:t>110</w:t>
              </w:r>
            </w:hyperlink>
          </w:p>
        </w:tc>
        <w:tc>
          <w:tcPr>
            <w:tcW w:w="40" w:type="dxa"/>
            <w:vAlign w:val="bottom"/>
          </w:tcPr>
          <w:p>
            <w:pPr>
              <w:spacing w:after="0"/>
              <w:rPr>
                <w:sz w:val="20"/>
                <w:szCs w:val="20"/>
                <w:color w:val="auto"/>
              </w:rPr>
            </w:pPr>
          </w:p>
        </w:tc>
      </w:tr>
      <w:tr>
        <w:trPr>
          <w:trHeight w:val="499"/>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5"/>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15.</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111">
              <w:r>
                <w:rPr>
                  <w:rFonts w:ascii="Times New Roman" w:cs="Times New Roman" w:eastAsia="Times New Roman" w:hAnsi="Times New Roman"/>
                  <w:sz w:val="18"/>
                  <w:szCs w:val="18"/>
                  <w:u w:val="single" w:color="auto"/>
                  <w:color w:val="0000FF"/>
                </w:rPr>
                <w:t>Exhibits and Financial Statement Schedules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111">
              <w:r>
                <w:rPr>
                  <w:rFonts w:ascii="Times New Roman" w:cs="Times New Roman" w:eastAsia="Times New Roman" w:hAnsi="Times New Roman"/>
                  <w:sz w:val="18"/>
                  <w:szCs w:val="18"/>
                  <w:color w:val="0000FF"/>
                </w:rPr>
                <w:t>111</w:t>
              </w:r>
            </w:hyperlink>
          </w:p>
        </w:tc>
        <w:tc>
          <w:tcPr>
            <w:tcW w:w="40" w:type="dxa"/>
            <w:vAlign w:val="bottom"/>
          </w:tcPr>
          <w:p>
            <w:pPr>
              <w:spacing w:after="0"/>
              <w:rPr>
                <w:sz w:val="24"/>
                <w:szCs w:val="24"/>
                <w:color w:val="auto"/>
              </w:rPr>
            </w:pPr>
          </w:p>
        </w:tc>
      </w:tr>
      <w:tr>
        <w:trPr>
          <w:trHeight w:val="234"/>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16.</w:t>
            </w:r>
          </w:p>
        </w:tc>
        <w:tc>
          <w:tcPr>
            <w:tcW w:w="9120" w:type="dxa"/>
            <w:vAlign w:val="bottom"/>
          </w:tcPr>
          <w:p>
            <w:pPr>
              <w:ind w:left="260"/>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Form 10-K Summary</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114">
              <w:r>
                <w:rPr>
                  <w:rFonts w:ascii="Times New Roman" w:cs="Times New Roman" w:eastAsia="Times New Roman" w:hAnsi="Times New Roman"/>
                  <w:sz w:val="18"/>
                  <w:szCs w:val="18"/>
                  <w:color w:val="0000FF"/>
                </w:rPr>
                <w:t>114</w:t>
              </w:r>
            </w:hyperlink>
          </w:p>
        </w:tc>
        <w:tc>
          <w:tcPr>
            <w:tcW w:w="40" w:type="dxa"/>
            <w:vAlign w:val="bottom"/>
          </w:tcPr>
          <w:p>
            <w:pPr>
              <w:spacing w:after="0"/>
              <w:rPr>
                <w:sz w:val="20"/>
                <w:szCs w:val="20"/>
                <w:color w:val="auto"/>
              </w:rPr>
            </w:pPr>
          </w:p>
        </w:tc>
      </w:tr>
      <w:tr>
        <w:trPr>
          <w:trHeight w:val="500"/>
        </w:trPr>
        <w:tc>
          <w:tcPr>
            <w:tcW w:w="142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114">
              <w:r>
                <w:rPr>
                  <w:rFonts w:ascii="Times New Roman" w:cs="Times New Roman" w:eastAsia="Times New Roman" w:hAnsi="Times New Roman"/>
                  <w:sz w:val="18"/>
                  <w:szCs w:val="18"/>
                  <w:b w:val="1"/>
                  <w:bCs w:val="1"/>
                  <w:u w:val="single" w:color="auto"/>
                  <w:color w:val="0000FF"/>
                </w:rPr>
                <w:t>SIGNATURES</w:t>
              </w:r>
            </w:hyperlink>
          </w:p>
        </w:tc>
        <w:tc>
          <w:tcPr>
            <w:tcW w:w="9120" w:type="dxa"/>
            <w:vAlign w:val="bottom"/>
          </w:tcPr>
          <w:p>
            <w:pPr>
              <w:spacing w:after="0"/>
              <w:rPr>
                <w:sz w:val="24"/>
                <w:szCs w:val="24"/>
                <w:color w:val="auto"/>
              </w:rPr>
            </w:pPr>
          </w:p>
        </w:tc>
        <w:tc>
          <w:tcPr>
            <w:tcW w:w="660" w:type="dxa"/>
            <w:vAlign w:val="bottom"/>
          </w:tcPr>
          <w:p>
            <w:pPr>
              <w:jc w:val="right"/>
              <w:spacing w:after="0"/>
              <w:rPr>
                <w:rFonts w:ascii="Times New Roman" w:cs="Times New Roman" w:eastAsia="Times New Roman" w:hAnsi="Times New Roman"/>
                <w:sz w:val="18"/>
                <w:szCs w:val="18"/>
                <w:color w:val="0000FF"/>
              </w:rPr>
            </w:pPr>
            <w:hyperlink w:anchor="page114">
              <w:r>
                <w:rPr>
                  <w:rFonts w:ascii="Times New Roman" w:cs="Times New Roman" w:eastAsia="Times New Roman" w:hAnsi="Times New Roman"/>
                  <w:sz w:val="18"/>
                  <w:szCs w:val="18"/>
                  <w:color w:val="0000FF"/>
                </w:rPr>
                <w:t>115</w:t>
              </w:r>
            </w:hyperlink>
          </w:p>
        </w:tc>
        <w:tc>
          <w:tcPr>
            <w:tcW w:w="40" w:type="dxa"/>
            <w:vAlign w:val="bottom"/>
          </w:tcPr>
          <w:p>
            <w:pPr>
              <w:spacing w:after="0"/>
              <w:rPr>
                <w:sz w:val="24"/>
                <w:szCs w:val="24"/>
                <w:color w:val="auto"/>
              </w:rPr>
            </w:pPr>
          </w:p>
        </w:tc>
      </w:tr>
      <w:tr>
        <w:trPr>
          <w:trHeight w:val="337"/>
        </w:trPr>
        <w:tc>
          <w:tcPr>
            <w:tcW w:w="14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29"/>
        </w:trPr>
        <w:tc>
          <w:tcPr>
            <w:tcW w:w="142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global security and aerospace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We serve both U.S. and international customers with products and services that have defense, civil and commercial applications, with our principal customers being agencies of the U.S. Government. In 2020, 74% of our $65.4 billion in net sales were from the U.S. Government, either as a prime contractor or as a subcontractor (including 64% from the Department of Defense (DoD)), 25% were from international customers (including foreign military sales (FMS) contracted through the U.S. Government) and 1% were from U.S. commercial and other customers. Our main areas of focus are in defense, space, intelligence, homeland security and information technology, including cybersecurity.</w:t>
      </w:r>
    </w:p>
    <w:p>
      <w:pPr>
        <w:spacing w:after="0" w:line="1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operate in an environment characterized by both complexity in global security and continuing economic pressures in the U.S. and globally. A significant component of our strategy in this environment is to focus on program execution, improving the quality and predictability of the delivery of our products and services, and placing security capability quickly into the hands of our U.S. and international customers at affordable prices. Recognizing that our customers are resource constrained, we are endeavoring to develop and extend our portfolio domestically in a disciplined manner with a focus on adjacent markets close to our core capabilities, as well as growing our international sales. We continue to focus on affordability initiatives. We also expect to continue to innovate and invest in technologies to fulfill new mission requirements for our customers, including through acquisitions, and invest in our people so that we have the technical skills necessary to succeed.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operate in four business segments: Aeronautics, Missiles and Fire Control (MFC), Rotary and Mission Systems (RMS) and Space. We organize our business segments based on the nature of the products and services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Action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20, 2020, we entered into an agreement to acquire Aerojet Rocketdyne Holdings, Inc. (Aerojet Rocketdyne). We currently expect the transaction to close in the second half of 2021, subject to the satisfaction of customary closing conditions, including regulatory approvals and approval by Aerojet Rocketdyne’s stockholders. For more information regarding the proposed transaction, see Management’s Discussion and Analysis of Financial Condition and Results of Operations, Note 2 – Strategic Action included in our Consolidated Financial Statements and Item 1A - Risk Factors.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Aeronautics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2020, our Aeronautics business segment generated net sales of $26.3 billion, which represented 40% of our total consolidated net sales. Aeronautics’ customers include the military services, principally the U.S. Air Force and U.S. Navy, and various other government agencies of the U.S. and other countries, as well as commercial and other customers. In 2020, U.S. Government customers accounted for 69% and international customers accounted for 31% of Aeronautics’ net sales. Net sales from Aeronautics’ combat aircraft products and services represented 33% of our total consolidated net sales in 2020 and 32% in both 2019 and 2018.</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Aeronautics is engaged in the research, design, development, manufacture, integration, sustainment, support and upgrade of advanced military aircraft, including combat and air mobility aircraft, unmanned air vehicles and related technologies. Aeronautics’ major programs include:</w:t>
      </w:r>
    </w:p>
    <w:p>
      <w:pPr>
        <w:spacing w:after="0" w:line="135"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F-35 Lightning II Joint Strike Fighter - international multi-role, multi-variant, fifth generation stealth fighter;</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C-130 Hercules - international tactical airlifter;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F-16 Fighting Falcon - low-cost, combat-proven, international multi-role fighter;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F-22 Raptor - air dominance and multi-role fifth generation stealth fighter.</w:t>
      </w:r>
    </w:p>
    <w:p>
      <w:pPr>
        <w:spacing w:after="0" w:line="1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F-35 program is our largest program, generating 28% of our total consolidated net sales, as well as 69% of Aeronautics’ net sales in 2020. The F-35 program consists of multiple development, production and sustainment contracts. Development is focused on modernization of F-35’s capability and addressing emerging threats. Sustainment provides logistics and training support for the aircraft delivered to F-35 customers.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Production of the aircraft is expected to continue for many years given the U.S. Government’s current inventory objective of 2,456 aircraft for the U.S. Air Force, U.S. Marine Corps and U.S. Navy; commitments from our seven international partner countries and six international customers; as well as expressions of interest from other countries. In 2020, we delivered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120 aircraft, including 46 to international customers, resulting in total deliveries of 611 production aircraft since program inception. This was a decrease from 134 aircraft delivered in the year ended December 31, 2019 due to the impacts of coronavirus disease 2019 (COVID-19) on the F-35 production rate in 2020 and we expect the production rate in 2021 to continue to be impacted by COVID-19. We have 356 production aircraft in backlog as of December 31, 2020, including orders from our international partner countries. For additional information on the F-35 program, see “Status of the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35 Program” in Management’s Discussion and Analysis of Financial Condition and Results of Operations. See also Item 1A - Risk Factors for a discussion of risks related to the F-35 program.</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Aeronautics produces and provides support and sustainment services for the C-130J Super Hercules, as well as upgrades and support services for the legacy C-130 Hercules worldwide fleet. We delivered 22 C-130J aircraft in 2020. We have 87 aircraft in our backlog as of December 31, 2020. Our C-130J backlog extends into 2025.</w:t>
      </w:r>
    </w:p>
    <w:p>
      <w:pPr>
        <w:spacing w:after="0" w:line="14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Aeronautics produces F-16 aircraft for international customers and continues to provide service-life extension, modernization and other upgrade programs for our customers’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 aircraft, with existing contracts continuing for several years. In 2020, the U.S. Government awarded contracts for new production F-16 Block 70/72 aircraft for Taiwan (66 aircraft) and Bulgaria (8 aircraft). As of December 31, 2020, we have 128 F-16 aircraft in backlog. We continue to seek international opportunities to deliver additional aircraft.</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Aeronautics continues to provide modernization and sustainment activities for the U.S. Air Force’s F-22 aircraft fleet. The modernization program comprises upgrading existing systems requirements, developing new systems requirements, adding capabilities and enhancing the performance of the weapon systems. The sustainment program consists of sustaining the weapon systems of the F-22 fleet, providing training systems, customer support, integrated support planning, supply chain management, aircraft modifications and heavy maintenance, systems engineering and support products.</w:t>
      </w:r>
    </w:p>
    <w:p>
      <w:pPr>
        <w:spacing w:after="0" w:line="139"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In addition to the aircraft programs discussed above, Aeronautics is involved in advanced development programs incorporating innovative design and rapid prototype applications. Our Advanced Development Programs (ADP) organization, also known as Skunk Works</w:t>
      </w:r>
      <w:r>
        <w:rPr>
          <w:rFonts w:ascii="Arial" w:cs="Arial" w:eastAsia="Arial" w:hAnsi="Arial"/>
          <w:sz w:val="23"/>
          <w:szCs w:val="23"/>
          <w:color w:val="auto"/>
          <w:vertAlign w:val="superscript"/>
        </w:rPr>
        <w:t>®</w:t>
      </w:r>
      <w:r>
        <w:rPr>
          <w:rFonts w:ascii="Times New Roman" w:cs="Times New Roman" w:eastAsia="Times New Roman" w:hAnsi="Times New Roman"/>
          <w:sz w:val="18"/>
          <w:szCs w:val="18"/>
          <w:color w:val="auto"/>
        </w:rPr>
        <w:t>, is focused on future systems, including unmanned and manned aerial systems and next generation capabilities for hypersonics, intelligence, surveillance, reconnaissance, situational awareness and air mobility. We continue to explore technology advancement and insertion into our existing aircraft. We also are involved in numerous network-enabled activities that allow separate systems to work together to increase effectiveness and we continue to invest in new technologies to maintain and enhance competitiveness in military aircraft design, development and production.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Missiles and Fire Control</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2020, our MFC business segment generated net sales of $11.3 billion, which represented 17% of our total consolidated net sales. MFC’s customers include the military services, principally the U.S. Army, and various government agencies of the U.S. and other countries, as well as commercial and other customers. In 2020, U.S. Government customers accounted for 75% and international customers accounted for 25% of MFC’s net sales.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MFC provides air and missile defense systems; tactical missiles and air-to-ground precision strike weapon systems; logistics; fire control systems; mission operations support, readiness, engineering support and integration services; manned and unmanned ground vehicles; and energy management solutions. MFC also has contracts with the U.S. Government for various classified programs. MFC’s major programs include:</w:t>
      </w:r>
    </w:p>
    <w:p>
      <w:pPr>
        <w:spacing w:after="0" w:line="149" w:lineRule="exact"/>
        <w:rPr>
          <w:sz w:val="20"/>
          <w:szCs w:val="20"/>
          <w:color w:val="auto"/>
        </w:rPr>
      </w:pPr>
    </w:p>
    <w:p>
      <w:pPr>
        <w:jc w:val="both"/>
        <w:ind w:left="340" w:hanging="332"/>
        <w:spacing w:after="0" w:line="255"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Patriot Advanced Capability-3 (PAC-3) and Terminal High Altitude Area Defense (THAAD) air and missile defense programs. PAC-3 is an advanced defensive missile for the U.S. Army and international customers designed to intercept and eliminate incoming airborne threats using kinetic energy. THAAD is a transportable defensive missile system for the U.S. Government and international customers designed to engage targets both within and outside of the Earth’s atmosphere.</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Launch Rocket System (MLRS), Hellfire, Joint Air-to-Surface Standoff Missile (JASSM) and Javelin tactical missile programs. MLRS is a highly mobile, automatic system that fires surface-to-surface rockets and missiles from the M270 and High Mobility Artillery Rocket System platforms produced for the U.S. Army and international customers. Hellfire is an air-to-ground missile used on rotary and fixed-wing aircraft, which is produced for the U.S. Army, Navy, Marine Corps and international customers. JASSM is an air-to-ground missile launched from fixed-wing aircraft, which is produced for the U.S. Air Force and international customers. Javelin is a shoulder-fired anti-armor rocket system, which is produced for the U.S. Army, Marine Corps and international customers.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34"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Apache, Sniper Advanced Targeting Pod (SNIPER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Infrared Search and Track (IRST21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fire control systems programs. The Apache fire control system provides weapons targeting capability for the Apache helicopter for the U.S. Army and international customers. SNIPER is a targeting system for several fixed-wing aircraft and is produced for the U.S. Air Force and international customers. IRST21 provides long-range infrared detection and tracking of airborne threats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is used on several fixed-wing aircraft. IRST21 is produced for the U.S. Air Force, the U.S. Navy, the National Guard and international customers.</w:t>
      </w:r>
    </w:p>
    <w:p>
      <w:pPr>
        <w:spacing w:after="0" w:line="27" w:lineRule="exact"/>
        <w:rPr>
          <w:sz w:val="20"/>
          <w:szCs w:val="20"/>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Operations Forces Global Logistics Support Services (SOF GLSS) program, which provides logistics support services to the special operations forces of the U.S. military.</w:t>
      </w:r>
    </w:p>
    <w:p>
      <w:pPr>
        <w:ind w:left="340" w:hanging="332"/>
        <w:spacing w:after="0" w:line="26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Hypersonics programs, which include several programs with the U.S. Air Force and U.S. Army to design, develop and build hypersonic strike weapons.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Rotary and Mission Systems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2020, our RMS business segment generated net sales of $16.0 billion, which represented 25% of our total consolidated net sales. RMS’ customers include the military services, principally the U.S. Navy and Army, and various government agencies of the U.S. and other countries, as well as commercial and other customers. In 2020, U.S. Government customers accounted for 72%, international customers accounted for 25% and U.S. commercial and other customers accounted for 3% of RMS’ net sales. Net sales from RMS’ Sikorsky helicopter programs represented 9% of our consolidated net sales in 2020 and 2019, and 10% in 2018.</w:t>
      </w:r>
    </w:p>
    <w:p>
      <w:pPr>
        <w:spacing w:after="0" w:line="1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RMS designs, manufactures, services and supports various military and commercial helicopters, surface ships, sea and land-based missile defense systems, radar systems, sea and air-based mission and combat systems, command and control mission solutions, cyber solutions, and simulation and training solutions. RMS’ major programs include:</w:t>
      </w:r>
    </w:p>
    <w:p>
      <w:pPr>
        <w:spacing w:after="0" w:line="135" w:lineRule="exact"/>
        <w:rPr>
          <w:sz w:val="20"/>
          <w:szCs w:val="20"/>
          <w:color w:val="auto"/>
        </w:rPr>
      </w:pPr>
    </w:p>
    <w:p>
      <w:pPr>
        <w:jc w:val="both"/>
        <w:ind w:left="340" w:hanging="332"/>
        <w:spacing w:after="0" w:line="255"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warfare systems and sensors (IWSS) programs such as Aegis Combat System (Aegis) programs that serve as an air and missile defense system for the U.S. Navy and international customers and is also a sea and land-based element of the U.S. missile defense system, and the Littoral Combat Ship (LCS) and Multi-Mission Surface Combatant (MMSC) programs to provide surface combatant ships for the U.S. Navy and international customers that are designed to operate in shallow waters and the open ocean.</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29"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Sikorsky programs such as those related to the Black 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Seahawk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helicopters which are in service with U.S. and foreign governments, the CH-53K King Stallion heavy lift helicopter serving the U.S. Marine Corps, the Combat Rescue Helicopter (CRH) utilized by the U.S. Air Force, and the VH-92A helicopter for the U.S. Marine One transport mission.</w:t>
      </w: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Command, control, communications, computers, cyber, combat systems, intelligence, surveillance, and reconnaissance (C6ISR) programs such as the Command, Control, Battle Management and Communications (C2BMC) program to provide an air operations center for the Ballistic Missile Defense System for the U.S. Government, and undersea combat systems programs largely serving the U.S. Navy.</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and logistics solutions (TLS) programs such as those providing sustainment services and programs that provide simulators and associated training to U.S. military and foreign government customers.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2020, our Space business segment generated net sales of $11.9 billion, which represented 18% of our total consolidated net sales. Space’s customers include the U.S. Air Force, U.S. Navy and various government agencies of the U.S. and other countries along with commercial customers. In 2020, U.S. Government customers accounted for 87% and international customers accounted for 13% of Space’s net sales. Net sales from Space’s satellite products and services represented 11% of our total consolidated net sales in 2020, 2019 and 2018.</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Space is engaged in the research, design, development, engineering and production of satellites, space transportation systems, and strategic, 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Space’s major programs include:</w:t>
      </w:r>
    </w:p>
    <w:p>
      <w:pPr>
        <w:spacing w:after="0" w:line="139" w:lineRule="exact"/>
        <w:rPr>
          <w:sz w:val="20"/>
          <w:szCs w:val="20"/>
          <w:color w:val="auto"/>
        </w:rPr>
      </w:pPr>
    </w:p>
    <w:p>
      <w:pPr>
        <w:ind w:left="340" w:hanging="29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Trident II D5 Fleet Ballistic Missile (FBM), a program with the U.S. Navy for the only submarine-launched intercontinental ballistic missile currently in production in the U.S.</w:t>
      </w:r>
    </w:p>
    <w:p>
      <w:pPr>
        <w:ind w:left="340" w:hanging="29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Space Based Infrared System (SBIRS) and Next Generation Overhead Persistent Infrared (Next Gen OPIR) system programs, which provide the U.S. Air Force with enhanced worldwide missile warning capabilities.</w:t>
      </w:r>
    </w:p>
    <w:p>
      <w:pPr>
        <w:ind w:left="340" w:hanging="29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Orion Multi-Purpose Crew Vehicle (Orion), a spacecraft for the National Aeronautics and Space Administration (NASA) utilizing new technology for human exploration missions beyond low earth orbit.</w:t>
      </w:r>
    </w:p>
    <w:p>
      <w:pPr>
        <w:ind w:left="320" w:hanging="27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Positioning System (GPS) III, a program to modernize the GPS satellite system for the U.S. Air Force.</w:t>
      </w:r>
    </w:p>
    <w:p>
      <w:pPr>
        <w:spacing w:after="0" w:line="9" w:lineRule="exact"/>
        <w:rPr>
          <w:rFonts w:ascii="Times New Roman" w:cs="Times New Roman" w:eastAsia="Times New Roman" w:hAnsi="Times New Roman"/>
          <w:sz w:val="18"/>
          <w:szCs w:val="18"/>
          <w:color w:val="auto"/>
        </w:rPr>
      </w:pPr>
    </w:p>
    <w:p>
      <w:pPr>
        <w:ind w:left="320" w:hanging="27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Hypersonics programs, which include several programs with the U.S. Army and U.S. Navy to design, develop and build hypersonic strike weapons.</w:t>
      </w:r>
    </w:p>
    <w:p>
      <w:pPr>
        <w:spacing w:after="0" w:line="9" w:lineRule="exact"/>
        <w:rPr>
          <w:rFonts w:ascii="Times New Roman" w:cs="Times New Roman" w:eastAsia="Times New Roman" w:hAnsi="Times New Roman"/>
          <w:sz w:val="18"/>
          <w:szCs w:val="18"/>
          <w:color w:val="auto"/>
        </w:rPr>
      </w:pPr>
    </w:p>
    <w:p>
      <w:pPr>
        <w:ind w:left="320" w:hanging="27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Advanced Extremely High Frequency (AEHF) system, the next generation of highly secure communications satellites for the U.S. Air Force.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hanging="292"/>
        <w:spacing w:after="0" w:line="28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Kingdom’s (UK) nuclear deterrent program operated by the AWE Management Limited (AWE) joint venture. On November 2, 2020, the UK Ministry of Defense (MOD) announced its intention to re-nationalize the program on June 30,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broad portfolio of products and services competes both domestically and internationally against products and services of other large aerospace and defense companies, numerous smaller competitors and, increasingly, non-traditional defense contractors. Changes within the industry we operate in, such as vertical integration by our peers, could negatively impact us. We often form teams with our competitors in efforts to provide our customers with the best mix of capabilities to address specific requirements. In some areas of our business, customer requirements are changing to encourage expanded competition. Principal factors of competition include the value of our products and services to the customer; technical and management capability; the ability to develop and implement complex, integrated system architectures; total cost of ownership; our demonstrated ability to execute and perform against contract requirements; and our ability to provide timely and cost effective solutions. Technological advances in such areas as additive manufacturing, data analytics, digital engineering, artificial intelligence, advanced materials, autonomy and robotics, and new business models such as commercial access to space are enabling new factors of competition for both traditional and non-traditional competitors.</w:t>
      </w:r>
    </w:p>
    <w:p>
      <w:pPr>
        <w:spacing w:after="0" w:line="16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competition for international sales is generally subject to U.S. Government stipulations (e.g., export restrictions, market access, technology transfer, industrial cooperation and contracting practices). We may compete against U.S. and non-U.S. companies (or teams) for contract awards by international governments. International competitions also may be subject to different laws or contracting practices of international governments that may affect how we structure our bid for the procurement. In many international procurements, the purchasing government’s relationship with the U.S. and its industrial cooperation programs are important factors in determining the outcome of a competition. It is common for international customers to require contractors to comply with their industrial cooperation regulations, sometimes referred to as offset requirements, and we have entered into foreign offset agreements as part of securing some international business. For more information concerning offset agreements, see “Contractual Commitments and Off-Balance Sheet Arrangements” in Management’s Discussion and Analysis of Financial Condition and Results of Operations and Item 1A - Risk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routinely apply for and own a substantial number of U.S. and foreign patents and trademarks related to the products and services we provide. In addition to owning a large portfolio of patents and trademarks, we develop and own other intellectual property, including copyrights, trade secrets and research, development and engineering know-how, which contribute significantly to our business. We also license intellectual property to and from third parties. The Federal Acquisition Regulation (FAR) and Defense Federal Acquisition Regulation Supplement (DFARS) provide that the U.S. Government obtains certain rights in intellectual property, including patents, developed by us and our subcontractors and suppliers in performance of government contracts or with government funding. The U.S. Government may use or authorize others, including competitors, to use such intellectual property. See the discussion of matters related to our intellectual property within Item 1A - Risk Factors. Non-U.S. governments may also have certain rights in patents and other intellectual property developed in performance of our contracts for them. Although our intellectual property rights in the aggregate are important to the operation of our business, we do not believe that any existing patent, license or other intellectual property right is of such importance that its loss or termination would have a material adverse effect on our business taken as a whole.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Suppliers and Seasonality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Some of our products require relatively scarce raw materials. Historically, we have been successful in obtaining the raw materials and other supplies needed in our manufacturing processes. We seek to manage raw materials supply risk through long-term contracts and by maintaining an acceptable level of the key materials in inventories.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Aluminum and titanium are important raw materials used in certain of our Aeronautics and Space programs. Long-term agreements have helped enable a continued supply of aluminum and titanium. Carbon fiber is an important ingredient in composite materials used in our Aeronautics programs, such as the F-35 aircraft. We have been advised by some suppliers that pricing and the timing of availability of materials in some commodities markets can fluctuate widely. These fluctuations may negatively affect the price and availability of certain materials. While we do not anticipate material problems regarding the supply of our raw materials and believe that we have taken appropriate measures to mitigate these variations, if key materials become unavailable or if pricing fluctuates widely in the future, it could result in delay of one or more of our programs, increased costs or reduced operating profits or cash flows.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other companies to provide materials, major components and products, and to perform a portion of the services that are provided to our customers under the terms of most of our contracts. A failure by one or more of these suppliers or subcontractors to provide the agreed-upon supplies or perform the agreed-upon services on a timely basis, according to specifications, or at all, may affect our ability to perform our obligations. While we believe we have taken appropriate measures to mitigate these risks, supplier disruptions, including as a result of COVID-19, could result in delays, increased costs, or reduced operating profits or cash flows. For more information on the risks related to our suppliers and raw materials, see Item 1A. Risk Factors.</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material portion of our business is considered to be seasonal. Various factors can affect the distribution of our sales between accounting periods, including the timing of government awards, the availability of government funding, product deliveries and customer acceptance.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 and Regulations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heavily regulated. We contract with numerous U.S. Government agencies and entities, principally all branches of the U.S. military and NASA. We also contract with similar government authorities in other countries and they regulate our non-FMS international sales. Additionally, our commercial aircraft products are required to comply with U.S. and international regulations governing production and quality systems, airworthiness and installation approvals, repair procedures and continuing operational safety.</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must comply with, and are affected by, laws and regulations relating to the formation, administration and performance of U.S. Government and other governments’ contracts, including foreign governments. These laws and regulations, among other things:</w:t>
      </w:r>
    </w:p>
    <w:p>
      <w:pPr>
        <w:spacing w:after="0" w:line="27" w:lineRule="exact"/>
        <w:rPr>
          <w:sz w:val="20"/>
          <w:szCs w:val="20"/>
          <w:color w:val="auto"/>
        </w:rPr>
      </w:pPr>
    </w:p>
    <w:p>
      <w:pPr>
        <w:ind w:left="320" w:hanging="27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certification and disclosure of all cost or pricing data in connection with certain types of contract negotiations;</w:t>
      </w:r>
    </w:p>
    <w:p>
      <w:pPr>
        <w:spacing w:after="0" w:line="27" w:lineRule="exact"/>
        <w:rPr>
          <w:rFonts w:ascii="Times New Roman" w:cs="Times New Roman" w:eastAsia="Times New Roman" w:hAnsi="Times New Roman"/>
          <w:sz w:val="18"/>
          <w:szCs w:val="18"/>
          <w:color w:val="auto"/>
        </w:rPr>
      </w:pPr>
    </w:p>
    <w:p>
      <w:pPr>
        <w:ind w:left="320" w:hanging="27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specific and unique cost accounting practices that may differ from U.S. generally accepted accounting principles (GAAP);</w:t>
      </w:r>
    </w:p>
    <w:p>
      <w:pPr>
        <w:spacing w:after="0" w:line="9" w:lineRule="exact"/>
        <w:rPr>
          <w:rFonts w:ascii="Times New Roman" w:cs="Times New Roman" w:eastAsia="Times New Roman" w:hAnsi="Times New Roman"/>
          <w:sz w:val="18"/>
          <w:szCs w:val="18"/>
          <w:color w:val="auto"/>
        </w:rPr>
      </w:pPr>
    </w:p>
    <w:p>
      <w:pPr>
        <w:ind w:left="340" w:hanging="29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acquisition regulations, which may change or be replaced over time, that define which costs can be charged to the U.S. Government, how and when costs can be charged, and otherwise govern our right to reimbursement under certain U.S. Government and foreign contracts;</w:t>
      </w:r>
    </w:p>
    <w:p>
      <w:pPr>
        <w:jc w:val="both"/>
        <w:ind w:left="340" w:hanging="29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specific security controls to protect U.S. Government controlled unclassified information and restrict the use and dissemination of information classified for national security purposes and the export of certain products, services and technical data; and compliance with cyber security regulations by our supply chain; and</w:t>
      </w:r>
    </w:p>
    <w:p>
      <w:pPr>
        <w:spacing w:after="0" w:line="1" w:lineRule="exact"/>
        <w:rPr>
          <w:rFonts w:ascii="Times New Roman" w:cs="Times New Roman" w:eastAsia="Times New Roman" w:hAnsi="Times New Roman"/>
          <w:sz w:val="18"/>
          <w:szCs w:val="18"/>
          <w:color w:val="auto"/>
        </w:rPr>
      </w:pPr>
    </w:p>
    <w:p>
      <w:pPr>
        <w:jc w:val="both"/>
        <w:ind w:left="340" w:hanging="292"/>
        <w:spacing w:after="0" w:line="253"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review and approval of contractor business systems, defined in the regulations as: (i) Accounting System; (ii) Estimating System; (iii) Earned Value Management System, for managing cost and schedule performance on certain complex programs; (iv) Purchasing System; (v) Material Management and Accounting System, for planning, controlling and accounting for the acquisition, use, issuing and disposition of material; and (vi) Property Management System.</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U.S. Government and other governments may terminate any of our government contracts and subcontracts either at its convenience or for default based on our performance. If a contract is terminated for convenience, we generally are protected by provisions covering reimbursement for costs incurred on the contract and profit on those costs. If a contract is terminated for default, we generally are entitled to payments for our work that has been accepted by the U.S. Government or other governments; however, the U.S. Government and other governments could make claims to reduce the contract value or recover its procurement costs and could assess other special penalties. For more information regarding the U.S. Government’s and other governments’ right to terminate our contracts, see Item 1A - Risk Factors. For more information regarding government contracting laws and regulations, see Item 1A - Risk Factors as well as “Critical Accounting Policies - Contract Accounting / Sales Recognition” in Management’s Discussion and Analysis of Financial Condition and Results of Operations. For more information on the risks of doing work internationally, see Item 1A - Risk Factors.</w:t>
      </w:r>
    </w:p>
    <w:p>
      <w:pPr>
        <w:spacing w:after="0" w:line="16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our programs for the U.S. Government often operate for periods of time under undefinitized contract actions (UCAs), which means that we begin performing our obligations before the terms, specifications or price are finally agreed to between the parties. Although in most cases we historically have reached mutual agreement to definitize our UCAs, the U.S. Government has the ability to unilaterally definitize contracts and has done so in the past. Absent a successful appeal of such action, the unilateral definitization of the contract obligates us to perform under terms and conditions imposed by the U.S. Government. The U.S. Government’s power to unilaterally definitize a contract can affect our ability to negotiate mutually agreeable contract terms and, if a contract is unilaterally imposed upon us, it may negatively affect our expected profit and cash flows on a program or impose burdensome terms.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portion of our business is classified by the U.S. Government and cannot be specifically described. The operating results of these classified contracts are included in our consolidated financial statements. The business risks and capital requirements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associated with classified contracts historically have not differed materially from those of our other U.S. Government contracts. Our internal controls addressing the financial reporting of classified contracts are consistent with our internal controls for our non-classified contracts.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operations are subject to and affected by various federal, state, local and foreign environmental protection laws and regulations regarding the discharge of materials into the environment or otherwise regulating the protection of the environment. While the extent of our financial exposure cannot in all cases be reasonably estimated, the costs of environmental compliance have not had, and we do not expect that these costs will have, a material adverse effect on our earnings, financial position and cash flow, primarily because substantially all of our environmental costs are allowable in establishing the price of our products and services under our contracts with the U.S. Government. For information regarding these matters, including current estimates of the amounts that we believe are required for remediation or cleanup to the extent that they are probable and estimable, see “Critical Accounting Policies - Environmental Matters” in Management’s Discussion and Analysis of Financial Condition and Results of Operations and “Note 15 – Legal Proceedings, Commitments and Contingencies” included in our Notes to Consolidated Financial Statements. See also the discussion of environmental matters within Item 1A - Risk Factors.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See “Note 1 – Significant Accounting Policies” (under the caption “Research and development and similar costs”) included in our Notes to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Due to the specialized nature of our business, our performance depends on identifying, attracting, developing, motivating, and retaining a highly skilled workforce in multiple areas, including engineering, science, manufacturing, information technology, cybersecurity, business development and strategy and management. Our human capital management strategy, which we refer to as our people strategy, is tightly aligned with our business needs and technology strategy. During 2020, our human capital efforts were focused on accelerating the transformation of our technology for workforce management through investments in upgraded systems and processes, and continuing to increase our agility to meet the quickly changing needs of the business, considering the challenges of the global pandemic and social and political unrest. We use a variety of human capital measures in managing our business, including: workforce demographics; diversity metrics with respect to representation, attrition, hiring, promotions and leadership; and talent management metrics including retention rates of top talent and hiring metrics.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Demographics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2020, we had a highly skilled workforce made up of approximately 114,000 employees, including approximately 60,000 engineers, scientists and information technology professionals. As of December 31, 2020, approximately 93% of our workforce was located in the U.S. and approximately 20% of our employees are covered by collective bargaining agreements with various unions. A number of our existing collective bargaining agreements expire in any given year. Historically, we have been successful in negotiating renewals to expiring agreements without any material disruption of operating activities, and management considers employee relations to be good.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Diversity and inclusion is a business imperative for us, as we believe that it is key to our future success. We have focused our diversity and inclusion initiatives on employee recruitment, including investments in minority-serving institutions and outreach, employee training and development, such as efforts focused on expanding the diverse talent pipeline, and employee engagement, including through participation in our employee Business Resource Groups. Our Business Resource Groups are voluntary, employee-led groups that foster a diverse and inclusive workplace aligned with our organizational mission, values, goals and business practices. Through these and other focused efforts, we have improved the diversity of our overall U.S. workforce and within leadership positions, specifically in the representation of women, People of Color and People with Disabilities.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20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76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Employee Profile (as of </w:t>
            </w:r>
            <w:r>
              <w:rPr>
                <w:rFonts w:ascii="Times New Roman" w:cs="Times New Roman" w:eastAsia="Times New Roman" w:hAnsi="Times New Roman"/>
                <w:sz w:val="16"/>
                <w:szCs w:val="16"/>
                <w:color w:val="auto"/>
              </w:rPr>
              <w:t>December 31, 2020</w:t>
            </w:r>
            <w:r>
              <w:rPr>
                <w:rFonts w:ascii="Times New Roman" w:cs="Times New Roman" w:eastAsia="Times New Roman" w:hAnsi="Times New Roman"/>
                <w:sz w:val="18"/>
                <w:szCs w:val="18"/>
                <w:color w:val="auto"/>
              </w:rPr>
              <w:t>):</w:t>
            </w:r>
          </w:p>
        </w:tc>
        <w:tc>
          <w:tcPr>
            <w:tcW w:w="2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32"/>
        </w:trPr>
        <w:tc>
          <w:tcPr>
            <w:tcW w:w="20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2"/>
              </w:rPr>
              <w:t>Women</w:t>
            </w:r>
            <w:r>
              <w:rPr>
                <w:rFonts w:ascii="Times New Roman" w:cs="Times New Roman" w:eastAsia="Times New Roman" w:hAnsi="Times New Roman"/>
                <w:sz w:val="23"/>
                <w:szCs w:val="23"/>
                <w:b w:val="1"/>
                <w:bCs w:val="1"/>
                <w:color w:val="auto"/>
                <w:w w:val="92"/>
                <w:vertAlign w:val="superscript"/>
              </w:rPr>
              <w:t>(a)</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People of Color</w:t>
            </w:r>
            <w:r>
              <w:rPr>
                <w:rFonts w:ascii="Times New Roman" w:cs="Times New Roman" w:eastAsia="Times New Roman" w:hAnsi="Times New Roman"/>
                <w:sz w:val="23"/>
                <w:szCs w:val="23"/>
                <w:b w:val="1"/>
                <w:bCs w:val="1"/>
                <w:color w:val="auto"/>
                <w:w w:val="96"/>
                <w:vertAlign w:val="superscript"/>
              </w:rPr>
              <w:t>(a)</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Veterans</w:t>
            </w:r>
            <w:r>
              <w:rPr>
                <w:rFonts w:ascii="Times New Roman" w:cs="Times New Roman" w:eastAsia="Times New Roman" w:hAnsi="Times New Roman"/>
                <w:sz w:val="23"/>
                <w:szCs w:val="23"/>
                <w:b w:val="1"/>
                <w:bCs w:val="1"/>
                <w:color w:val="auto"/>
                <w:w w:val="92"/>
                <w:vertAlign w:val="superscript"/>
              </w:rPr>
              <w:t>(a)</w:t>
            </w:r>
          </w:p>
        </w:tc>
        <w:tc>
          <w:tcPr>
            <w:tcW w:w="27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People with Disabilities</w:t>
            </w:r>
            <w:r>
              <w:rPr>
                <w:rFonts w:ascii="Times New Roman" w:cs="Times New Roman" w:eastAsia="Times New Roman" w:hAnsi="Times New Roman"/>
                <w:sz w:val="23"/>
                <w:szCs w:val="23"/>
                <w:b w:val="1"/>
                <w:bCs w:val="1"/>
                <w:color w:val="auto"/>
                <w:w w:val="98"/>
                <w:vertAlign w:val="superscript"/>
              </w:rPr>
              <w:t>(a)</w:t>
            </w: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Overall</w:t>
            </w:r>
          </w:p>
        </w:tc>
        <w:tc>
          <w:tcPr>
            <w:tcW w:w="20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23%</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27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9%</w:t>
            </w:r>
          </w:p>
        </w:tc>
      </w:tr>
      <w:tr>
        <w:trPr>
          <w:trHeight w:val="229"/>
        </w:trPr>
        <w:tc>
          <w:tcPr>
            <w:tcW w:w="20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Executives</w:t>
            </w:r>
            <w:r>
              <w:rPr>
                <w:rFonts w:ascii="Times New Roman" w:cs="Times New Roman" w:eastAsia="Times New Roman" w:hAnsi="Times New Roman"/>
                <w:sz w:val="23"/>
                <w:szCs w:val="23"/>
                <w:color w:val="auto"/>
                <w:vertAlign w:val="superscript"/>
              </w:rPr>
              <w:t>(b)</w:t>
            </w:r>
          </w:p>
        </w:tc>
        <w:tc>
          <w:tcPr>
            <w:tcW w:w="2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22%</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27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9%</w:t>
            </w:r>
          </w:p>
        </w:tc>
      </w:tr>
    </w:tbl>
    <w:p>
      <w:pPr>
        <w:spacing w:after="0" w:line="175" w:lineRule="exact"/>
        <w:rPr>
          <w:sz w:val="20"/>
          <w:szCs w:val="20"/>
          <w:color w:val="auto"/>
        </w:rPr>
      </w:pPr>
    </w:p>
    <w:p>
      <w:pPr>
        <w:ind w:left="340" w:hanging="332"/>
        <w:spacing w:after="0" w:line="225" w:lineRule="auto"/>
        <w:tabs>
          <w:tab w:leader="none" w:pos="335"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employees who self-identify. Includes only U.S. employees and expatriates except for Women, which also includes local country nationals. Excludes casual workers, interns/co-ops and employees of certain subsidiaries and joint ventures.</w:t>
      </w:r>
    </w:p>
    <w:p>
      <w:pPr>
        <w:spacing w:after="0" w:line="46"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Executive is defined as director-level (one level below vice president) or higher.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Retention and Development</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strive to hire, develop and retain the top talent in the industry. During 2020, we hired more than 11,000 employees, despite the challenges presented by the COVID-19 pandemic. An integral part of our people strategy is early career hiring through college and intern pipelines, particularly in technical fields. In addition to efforts focused on recruitment, we also monitor employee attrition across a broad array of categories and segments of the population, including with respect to diversity and top talent. Critical to attracting and retaining top talent is employee satisfaction, and we regularly conduct employee engagement surveys to gauge employee satisfaction and to understand the effectiveness of our employee and compensation programs. We attract and reward our employees by providing market competitive compensation and benefit practices, including incentives and recognition plans that extend to all levels in our organization. In addition, we invest in the development of our employees through trainings, apprenticeship programs, leadership development plans and offering tuition assistance programs for continuing education or industry certifications. This employee development helps to make us more competitive and also assists with leadership succession planning throughout the corporation.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Safety and Health</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safety and health program seeks to optimize our operations through targeted safety, health and wellness opportunities designed to ensure safe work conditions, a healthy work environment, promote workforce resiliency and enhance business value. As part of this program, we track employee health and safety measures, including quarterly and yearly targets related to the number of injury and illness incidents that occur, those incidents that result in days lost, and the number of days lost due to workplace injuries. During 2020, these metrics were negatively impacted by the absence from work and delays in the return to work related to the COVID-19 pandemic. In response to COVID-19, we took action to protect our employees’ safety and health, including by equipping employees with personal protective equipment, establishing minimum staffing and social distancing policies, sanitizing workspaces more frequently, adopting alternate work schedules and instituting other measures aimed at minimizing the transmission of COVID-19 while sustaining production and related services. In addition, we have implemented a flexible teleworking policy for employees who can meet our customer commitments remotely, and a significant portion of our workforce began teleworking in mid-March 2020 and were continuing to telework as of December 31, 2020. For more information on our response to COVID-19, see Management’s Discussion and Analysis of Financial Condition and Results of Operations.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information on the risks related to our human capital resources, see Item 1A -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Maryland corporation formed in 1995 by combining the businesses of Lockheed Corporation and Martin Marietta Corporation. Our principal executive offices are located at 6801 Rockledge Drive, Bethesda, Maryland 20817. Our telephone number is (301) 897-6000 and our website address is </w:t>
      </w:r>
      <w:r>
        <w:rPr>
          <w:rFonts w:ascii="Times New Roman" w:cs="Times New Roman" w:eastAsia="Times New Roman" w:hAnsi="Times New Roman"/>
          <w:sz w:val="18"/>
          <w:szCs w:val="18"/>
          <w:u w:val="single" w:color="auto"/>
          <w:color w:val="auto"/>
        </w:rPr>
        <w:t>www.lockheedmartin.com</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make our website content available for information purposes only. It should not be relied upon for investment purposes, nor is it incorporated by reference into this Annual Report on Form 10-K (Form 10-K).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Throughout this Form 10-K, we incorporate by reference information from parts of other documents filed with the U.S. Securities and Exchange Commission (SEC). The SEC allows us to disclose important information by referring to it in this manner.</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proxy statements for our annual stockholders’ meetings and amendments to those reports are available free of charge on our website, </w:t>
      </w:r>
      <w:r>
        <w:rPr>
          <w:rFonts w:ascii="Times New Roman" w:cs="Times New Roman" w:eastAsia="Times New Roman" w:hAnsi="Times New Roman"/>
          <w:sz w:val="18"/>
          <w:szCs w:val="18"/>
          <w:u w:val="single" w:color="auto"/>
          <w:color w:val="auto"/>
        </w:rPr>
        <w:t>www.lockheedmartin.com/investor</w:t>
      </w:r>
      <w:r>
        <w:rPr>
          <w:rFonts w:ascii="Times New Roman" w:cs="Times New Roman" w:eastAsia="Times New Roman" w:hAnsi="Times New Roman"/>
          <w:sz w:val="18"/>
          <w:szCs w:val="18"/>
          <w:color w:val="auto"/>
        </w:rPr>
        <w:t>, as soon as reasonably practical after we electronically file the material with, or furnish it to, the SEC. In addition, copies of our annual report will be made available, free of charge, upon written request. The SEC also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statements and other information regarding SEC registrants, including Lockheed Martin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Form 10-K contains statements that, to the extent they are not recitations of historical fact, constitute forward-looking statements within the meaning of the federal securities laws and are based on our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Statements and assumptions with respect to future sales, income and cash flows, program performance, the outcome of litigation, anticipated pension cost and funding, environmental remediation cost estimates, planned acquisitions or dispositions of assets, or the anticipated consequences are examples of forward-looking statements. Numerous factors, including the risk factors described in the following section, could cause our actual results to differ materially from those expressed in our forward-looking statements.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actual financial results likely will be different from those projected due to the inherent nature of projections. Given these uncertainties, forward-looking statements should not be relied on in making investment decisions. The forward-looking statements contained in this Form 10-K speak only as of the date of its filing. Except where required by applicable law, we expressly disclaim a duty to provide updates to forward-looking statements after the date of this Form 10-K to reflect subsequent events, changed circumstances, changes in expectations, or the estimates and assumptions associated with them. The forward-looking statements in this Form 10-K are intended to be subject to the safe harbor protection provided by the federal securities laws.</w:t>
      </w:r>
    </w:p>
    <w:p>
      <w:pPr>
        <w:spacing w:after="0" w:line="200" w:lineRule="exact"/>
        <w:rPr>
          <w:sz w:val="20"/>
          <w:szCs w:val="20"/>
          <w:color w:val="auto"/>
        </w:rPr>
      </w:pPr>
    </w:p>
    <w:p>
      <w:pPr>
        <w:spacing w:after="0" w:line="31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or debt securities involves risks and uncertainties. We seek to identify, manage and mitigate risks to our business, but risk and uncertainty cannot be eliminated or necessarily predicted. The outcome of one or more of these risks could have a material effect on our operating results, financial position, or cash flows. You should carefully consider the following factors, in addition to the other information contained in this Annual Report on Form 10-K, before deciding to purchase our common stock or debt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Government Contracts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heavily on contracts with the U.S. Government, including contracts related to the F-35 program, for a substantial portion of our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U.S. Government’s priorities and delays or reductions in spending could have a material adverse effect on our business.</w:t>
      </w:r>
    </w:p>
    <w:p>
      <w:pPr>
        <w:spacing w:after="0" w:line="2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derived 74% of our total net sales from the U.S. Government in 2020, including 64% from the DoD. We expect to continue to derive most of our sales from work performed under U.S. Government contracts. Those contracts are conditioned upon the continuing availability of Congressional appropriations. Congress usually appropriates funds on a fiscal year (FY) basis even though contract performance may extend over many years. Consequently, contracts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w:t>
      </w:r>
    </w:p>
    <w:p>
      <w:pPr>
        <w:spacing w:after="0" w:line="1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F-35 program, which consists of multiple development, production and sustainment contracts, is our largest program. It represented 28% of our total net sales in 2020. A decision by the U.S. Government or other governments to cut spending on this program or reduce or delay planned orders would have an adverse impact on our business and results of operations. Given the size and complexity of the F-35 program, we anticipate that there will be continual reviews related to aircraft performance, program schedule, cost, and requirements as part of the DoD, Congressional, and international partners’ oversight and budgeting processes. Current program challenges include, but are not limited to, supplier and partner performance (including COVID-19 related challenges), software development, the availability and receipt of funding for contracts on a timely basis, execution of future flight tests and findings resulting from testing and operating the aircraft, the level of cost associated with life-cycle operations and sustainment and warranties, continuing to reduce the unit production costs, and achieving cost targets.</w:t>
      </w:r>
    </w:p>
    <w:p>
      <w:pPr>
        <w:spacing w:after="0" w:line="15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Budget uncertainty, the risk of future budget cuts, the potential for U.S. government shutdowns, the use of continuing resolutions, and the federal debt ceiling can adversely affect our industry and the funding for our programs. If a government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shutdown were to occur and were to continue for an extended period of time, we could be at risk of program cancellations and other disruptions and nonpayment. If the U.S. Government operates under a continuing resolution, new contract and program starts are restricted and funding for our programs may be unavailable, reduced or delayed. Shifting funding priorities, including COVID-19 related spending, or federal budget compromises, could also result in reductions in overall defense spending which could adversely impact our business. Our business could also be adversely impacted by reductions or delays in spending by non-U.S. government customers who are facing budget pressures.</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our diverse range of products and services generally make it less likely that cuts in any specific contract or program will affect our business on a long-term basis. However, termination of multiple or large programs or contracts could adversely affect our business and future financial performance. Changes in funding priorities may afford new or additional opportunities for our businesses in terms of existing, follow-on or replacement programs, but could also reduce opportunities in existing programs and in planned programs where we intend to compete. While we would expect to compete and be well positioned as the incumbent on existing programs, we may not be successful or, even if successful, the replacement programs may be funded at lower levels.</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number of procurement laws and regulations, including the U.S. Government’s ability to terminate contracts for convenience. Our business and reputation could be adversely affected if we or those we do business with fail to comply with these laws.</w:t>
      </w:r>
    </w:p>
    <w:p>
      <w:pPr>
        <w:spacing w:after="0" w:line="11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impose certain risks and costs on our business. A violation of these laws and regulations by us, our employees, others working on our behalf, a supplier or a joint venture partner could harm our reputation and result in the imposition of fines and penalties, the termination of our contracts, suspension or debarment from bidding on or being awarded contracts, loss of our ability to export products or perform services and civil or criminal investigations or proceedings. In addition, costs to comply with new government regulations can increase our costs, reduce our margins and affect our competitiveness.</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some instances, these laws and regulations impose terms or obligations that are different than those typically found in commercial transactions. For example, the U.S. Government may terminate any of our government contracts and subcontracts not only for default based on our performance but also at its convenience. Upon termination for convenience of a fixed-price type contract, typically we are entitled to receive the purchase price for delivered items, reimbursement for allowable costs for work-in-process and an allowance for profit on the contract or adjustment for loss if completion of performance would have resulted in a loss.</w:t>
      </w:r>
    </w:p>
    <w:p>
      <w:pPr>
        <w:spacing w:after="0" w:line="1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termination for convenience of a cost-reimbursable contract, we normally are entitled to reimbursement of allowable costs plus a portion of the fee, and allowable costs include our cost to terminate agreements with our suppliers and subcontractors. The amount of the fee recovered, if any, is related to the portion of the work accomplished prior to termination and is determined by negotiation. We attempt to ensure that adequate funds are available by notifying the customer when its estimated costs, including those associated with a possible termination for convenience, approach levels specified as being allotted to its programs. As funds are typically appropriated on a fiscal year basis, and because the costs of a termination for convenience may exceed the costs of continuing a program in a given fiscal year, programs occasionally do not have sufficient funds appropriated to cover the termination costs if the government were to terminate them for convenience. Under such circumstances, the U.S. Government could assert that it is not required to appropriate additional funding.</w:t>
      </w:r>
    </w:p>
    <w:p>
      <w:pPr>
        <w:spacing w:after="0" w:line="1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termination arising out of our default may expose us to liability and have a material adverse effect on our ability to compete for future contracts and orders. In addition, on those contracts for which we are teamed with others and are not the prime contractor, the U.S. Government could terminate a prime contract under which we are a subcontractor, notwithstanding the fact that our performance and the quality of the products or services we delivered were consistent with our contractual obligations as a subcontractor. In the case of termination for default, the U.S. Government could make claims to reduce the contract value or recover its procurement costs and could assess other special penalties. Under such circumstances we may have rights and there may be remedial actions available to us under applicable laws and the FAR.</w:t>
      </w:r>
    </w:p>
    <w:p>
      <w:pPr>
        <w:spacing w:after="0" w:line="14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our programs for the U.S. Government often operate for periods of time under Undefinitized Contract Actions (UCAs), which means that we begin performing our obligations before the terms, specifications or price are finally agreed to between the parties. The U.S. Government has the ability to unilaterally definitize contracts, which, absent a successful appeal, obligates us to perform under terms and conditions imposed by the U.S. Government. The U.S. Government has unilaterally definitized contracts with us in the past, most notably the F-35 LRIP 9 contract in 2016 and more recently two FMS F-16 upgrade proposals in 2020, and may do so in the future. The U.S. Government’s power to unilaterally definitize a contract can affect our ability to negotiate mutually agreeable contract terms and, if a contract is unilaterally imposed upon us, it may negatively affect our expected profit and cash flows on a program or impose burdensome terms.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U.S. Government contracts span one or more base years and include multiple option years. The U.S. Government generally has the right not to exercise option periods and may decide not to exercise an option period for various reasons. The U.S. Government also may decide to exercise option periods for contracts under which it is expected that our costs may exceed the contract price or ceiling, which could result in losses or unreimbursed costs.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U.S. Government procurement policies and increased emphasis on cost over performance and rapid acquisition could adversely affect our business.</w:t>
      </w:r>
    </w:p>
    <w:p>
      <w:pPr>
        <w:spacing w:after="0" w:line="13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 Government could implement procurement policies that negatively impact our profitability or the ability to win new business. Changes in procurement policy favoring more incentive-based fee arrangements, different award fee criteria or government contract negotiation offers based upon the customer’s view of what our costs should be (as compared to our actual costs) may affect the predictability of our profit rates or make it more difficult to compete on certain types of programs. Our customers also may pursue non-traditional contract provisions or contract types in negotiation of contracts. The U.S. Government’s preference for fixed-price contracting has resulted in what we believe to be the inappropriate application of fixed-priced contracting methods to development programs. By their nature, the technical challenges, costs and timing of development programs are difficult to estimate and the use of fixed-price instead of cost-reimbursable contracts for such programs increases the financial risk to the contractor. This increased risk may lead to losses on fixed price development programs or may cause us not to bid on future fixed-price development programs, which could adversely affect our future growth prospects and financial performance. In addition, given the customer’s emphasis on cost, even if we effectively manage program life-cycle and sustainment costs and meet customer affordability targets, the customer may elect to recompete programs at the end of existing contracts, which may result in a lost business opportunity. From time to time, the U.S. Government also has proposed contract terms or taken positions that represent fundamental changes from historical practices or that we believe are inconsistent with the FAR or other laws and regulations and which could adversely affect our business.</w:t>
      </w:r>
    </w:p>
    <w:p>
      <w:pPr>
        <w:spacing w:after="0" w:line="14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DoD also is increasingly pursuing rapid development and acquisition of new technologies through rapid acquisition pathways and procedures, including through other transaction authority agreements (OTAs). While OTAs do not currently represent a significant portion of our overall contracts (less than 2% of total backlog), in recent years the DoD has increased the frequency of use and size of OTAs and we expect this trend to continue in the future. OTAs are exempt from many traditional procurement laws, including the FAR, and may be used, subject to certain conditions, for research, prototype development and follow on production for a successful prototype. The conditions to award OTAs include, in certain instances, that a significant portion of the work under the OTA is performed by a non-traditional defense contractor or that a portion of the cost of the protype project is funded by non-governmental sources. If we cannot successfully adapt to the DoD’s rapid acquisition processes or if the DoD significantly increases the use of OTAs with non-traditional defense contractors or increasingly mandates cost sharing, then we may lose strategic new business opportunities in high-growth areas and our future performance and results could be adversely affected. Shorter life-cycle technologies rather than large platforms could also make our existing portfolio less competitive in the future.</w:t>
      </w:r>
    </w:p>
    <w:p>
      <w:pPr>
        <w:spacing w:after="0" w:line="1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recommended by a June 2019 U.S. Government Accountability Office (GAO) Report on contract financing, the DoD has stated that it will conduct a comprehensive assessment of the effect that DoD contract financing and profit policies have on the defense industry. We have no assurance regarding the full scope and recurrence of any study and what changes will be proposed, if any, and their impact on our working capital, cash flow, profit or results of operation. Earlier changes proposed by the DoD in 2018 and later withdrawn would have had a negative effect on the timing of our cash flows.</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routinely subject to audit by our customers on government contracts and the results of those audits could have an adverse effect on our business, reputation and results of operations.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U.S. Government agencies, including the Defense Contract Audit Agency, the Defense Contract Management Agency and various agency Inspectors General, routinely audit and investigate government contractors. These agencies review a contractor’s performance under its contracts, its cost structure, its business systems and compliance with applicable laws, regulations and standards. The U.S. Government has the ability to decrease or withhold certain payments when it deems systems subject to its review to be inadequate. Additionally, any costs found to be misclassified may be subject to repayment and from time to time we have had substantial disagreements with government auditors regarding the allowability of costs incurred by us under government contracts, which further delays payments even if we are correct in our positions. We have unaudited or unsettled incurred cost claims related to past years, which limits our ability to issue final billings on contracts for which authorized and appropriated funds may be expiring or can result in substantial delays in final billings and our ability to close out a contract.</w:t>
      </w:r>
    </w:p>
    <w:p>
      <w:pPr>
        <w:spacing w:after="0" w:line="1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audit or investigation uncovers improper or illegal activities, we may be subject to civil or criminal penalties and administrative sanctions, including reductions of the value of contracts, contract modifications or terminations, forfeiture of profits, suspension of payments, penalties, fines, suspension, or prohibition from doing business with the U.S. Government. In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 we could suffer serious reputational harm if allegations of impropriety were made against us. Similar government oversight exists in most other countries where we conduct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 may vary based on the mix of our contracts and programs, our performance, and our ability to control costs.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profitability and cash flow may vary materially depending on the types of government contracts undertaken, the nature of products produced or services performed under those contracts, the costs incurred in performing the work, the achievement of other performance objectives and the stage of performance at which the right to receive fees is determined, particularly under award and incentive-fee contracts. Failure to perform to customer expectations and contract requirements may result in reduced fees or losses and may adversely affect our financial performance. Our backlog includes a variety of contract types and represents the sales we expect to recognize for our products and services in the future.</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types primarily include fixed-price and cost-reimbursable contracts. Under each type of contract, if we are unable to control costs, our operating results could be adversely affected, particularly if we are unable to justify an increase in contract value to our customers. Cost overruns or the failure to perform on existing programs also may adversely affect our ability to retain existing programs and win future contract awards.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fixed-price contracts, we agree to perform specified work for a pre-determined price. To the extent our actual costs vary from the estimates upon which the price was negotiated, we will generate more or less profit or could incur a loss. Some fixed-price contracts have a performance-based component under which we may earn incentive payments or incur financial penalties based on our performance.</w:t>
      </w:r>
    </w:p>
    <w:p>
      <w:pPr>
        <w:spacing w:after="0" w:line="1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Cost-reimbursable contracts provide for the payment of allowable costs incurred during performance of the contract plus a fee up to a ceiling based on the amount that has been funded. Typically, we enter into three types of cost-reimbursable contracts: cost-plus-award-fee, cost-plus-incentive-fee, and cost-plus-fixed-fee. Cost-plus-award-fee contracts provide for an award fee that varies within specified limits based on the customer’s assessment of our performance against a predetermined set of criteria, such as targets based on cost, quality, technical and schedule criteria. Cost-plus-incentive-fee contracts provide for reimbursement of costs plus a fee that is adjusted by a formula based on the relationship of total allowable costs to total target costs (i.e., incentive based on cost) or reimbursement of costs plus an incentive to exceed stated performance targets (i.e., incentive based on performance). The fixed-fee in a cost-plus-fixed-fee contract is negotiated at the inception of the contract and that fixed-fee does not vary with actual costs.</w:t>
      </w:r>
    </w:p>
    <w:p>
      <w:pPr>
        <w:spacing w:after="0" w:line="1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Contracts for development programs with complex design and technical challenges are often cost-reimbursable. In these cases, the associated financial risks primarily relate to a reduction in fees and the program could be canceled if cost, schedule or technical performance issues arise. Other contracts included in our backlog are for the transition from development to production (e.g., LRIP contracts), which includes the challenge of starting and stabilizing a manufacturing production and test line while the final design is being validated and managing change in requirements or capabilities. These contracts frequently are cost-reimbursable or fixed-price incentive-fee contracts. Generally, if our costs exceed the contract target cost or are not allowable under the applicable regulations, we may not be able to obtain reimbursement for all costs and may have our fees reduced or eliminated. There are also contracts for production, as well as operations and maintenance of the delivered products, that have the challenge of achieving a stable production and delivery rate, while maintaining operability of the product after delivery. These contracts are primarily fixed-price. In addition, certain contracts associated with our Space business segment contain provisions that require us to forfeit fees, pay penalties, or provide replacement systems in the event of performance failure, which could negatively affect our earnings and cash flows.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competition and bid protests in a budget-constrained environment may make it more difficult to maintain our financial performance and customer relationships.</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substantial portion of our business is awarded through competitive bidding. The U.S. Government increasingly has relied on competitive contract award types, including indefinite-delivery, indefinite-quantity and other multi-award contracts, which have the potential to create pricing pressure and to increase our costs by requiring us to submit multiple bids and proposals. Multi-award contracts require us to make sustained efforts to obtain task orders under the contract. Additionally, competitive bids that do not contain cost-realism evaluation criteria can lead to competitors taking aggressive pricing positions. The competitive bidding process entails substantial costs and managerial time to prepare bids and proposals for contracts that may not be awarded to us or may be split among competitors. The U.S. Government also may not award us large competitive contracts that we otherwise might have won in an effort to maintain a broader industrial base.</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Even if we are successful in obtaining an award, we may encounter bid protests from unsuccessful bidders on new program awards. Unsuccessful bidders may protest in the hope of being awarded a subcontract for a portion of the work in return for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withdrawing the protest. Bid protests could result in significant expenses to us, contract modifications or even loss of the contract award. Even where a bid protest does not result in the loss of a contract award, the resolution can extend the time until contract activity can begin and, as a result, delay the recognition of sales. We also may not be successful in our efforts to protest or challenge any bids for contracts that were not awarded to us and we could incur significant time and expense in such efforts.</w:t>
      </w:r>
    </w:p>
    <w:p>
      <w:pPr>
        <w:spacing w:after="0" w:line="13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experiencing increased competition, including from emerging non-traditional competitors, while, at the same time, many of our customers are facing significant budget pressures, trying to do more with less by cutting costs, using fixed price contracts, deferring large procurements, identifying more affordable solutions, performing certain work internally rather than hiring contractors, and reducing product development cycles. If emerging competitors can offer faster or lower cost services and products at equivalent or even reduced capabilities, then we may lose new business opportunities or contract recompetes, which could adversely affect our future results. Our success in competing and remaining cost-competitive may depend on our ability to adopt and integrate new digital manufacturing and operating technologies and tools into our product lifecycles and processes. Furthermore, acquisitions in our industry, particularly vertical integration by tier-1 prime contractors, could also result in increased competition or limit our access to certain suppliers. To remain competitive, we must maintain consistently strong customer relationships, seek to understand customer priorities and provide superior performance, advanced technology solutions and services at an affordable cost with the agility that our customers require to satisfy their mission objectives in an increasingly price competitive environment.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Operations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COVID-19 and other potential future public health crises, epidemics, pandemics or similar events on our business, operating results and cash flows are uncertain.</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global outbreak of the coronavirus disease 2019 (COVID-19) has negatively affected the U.S. and global economies, disrupted global supply chains, resulted in significant travel and transport restrictions, including mandated closures and orders to “shelter-in-place” and quarantine restrictions. The pandemic has presented unprecedented business challenges, and we have experienced impacts in each of our business areas related to COVID-19, primarily in increased coronavirus-related costs, delays in supplier deliveries, impacts of travel restrictions, site access and quarantine requirements, and the impacts of remote work and adjusted work schedules. The extent of the impact of the COVID-19 pandemic on our operational and financial performance, including our ability to execute our programs in the expected timeframe, remains uncertain and will depend on future pandemic related developments, including the duration of the pandemic, any potential subsequent waves of COVID-19 infection, the effectiveness, distribution and acceptance of COVID-19 vaccines, and related government actions to prevent and manage disease spread, all of which are uncertain and cannot be predicted. The long-term impacts of COVID-19 on government budgets and other funding priorities, including international priorities, that impact demand for our products and services and our business are also difficult to predict.</w:t>
      </w:r>
    </w:p>
    <w:p>
      <w:pPr>
        <w:spacing w:after="0" w:line="1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Department of Homeland Security’s identification of the Defense Industrial Base as a critical infrastructure sector in March 2020, our U.S. production facilities have continued to operate during the pandemic, however, our operations have been adjusted in response to the pandemic, including, most significantly, a reduction in the F-35 production rate primarily due to supplier delays. Staffing levels at our facilities, our customer facilities, and our supplier facilities have and could continue to fluctuate as a result of COVID-19, which could negatively impact our business. In addition, countries other than the U.S. have different responses to the pandemic that can affect our international operations and the operations of our suppliers and customers. Base closures, travel restrictions, and quarantine requirements both within and outside the U.S. have affected our normal operations and resulted in some schedule delays and future or prolonged occurrences of these could adversely affect our ability to achieve future contract milestones and our results of operations.</w:t>
      </w:r>
    </w:p>
    <w:p>
      <w:pPr>
        <w:spacing w:after="0" w:line="1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described in the risk factor below, we rely on other companies and the U.S. Government to provide materials, major components and products, and to perform a portion of the services that are provided to our customers under the terms of most of our contracts. Many of these suppliers also supply parts for commercial aviation businesses which have been more significantly impacted by the pandemic due to the impacts on these markets. Global supply chain disruption caused by the response to COVID-19 has impacted some of our programs and could impact our ability to perform on our contracts, in particular in instances where there is not a qualified second source of supply. We have identified a number of suppliers that have experienced delivery impacts due to COVID-19 and have been working to manage those impacts. However, if alternatives or other mitigations are not effective, deliveries and other milestones on affected programs could be adversely impacted.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Delays in inspection, acceptance and payment by our customers, many of whom are teleworking, could also affect our sales and cash flows. This is particularly an issue with respect to classified work that is unable to be done remotely. Limitations on government operations can also impact regulatory approvals such as export licenses that are needed for international sales and deliveries. In addition, we could experience delays in new program starts or awards of future work as well as the uncertain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impact of contract modifications to respond to the pandemic. Limitations on travel to customers could impact international orders. We have been granted some travel exemptions to allow us to continue certain activities but we have no assurance that they will continue or additional restrictions will not be imposed. If significant portions of our workforce are unable to work effectively, including because of illness, quarantines, absenteeism, government actions, facility closures, travel restrictions or other restrictions due to COVID-19, our operations will be impacted and this could create risks to the effectiveness of our internal controls. Additionally, we have not previously experienced such a significant portion of our workforce working remotely for a prolonged period, so its effects on our long-term operations are unknown. The impact of COVID-19 could worsen depending on the duration and spread of the COVID-19 pandemic or potential subsequent waves of COVID-19 infection in affected regions after they have begun to experience improvement.</w:t>
      </w:r>
    </w:p>
    <w:p>
      <w:pPr>
        <w:spacing w:after="0" w:line="1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Coronavirus-related costs for us and our suppliers are significant and we are seeking reimbursement of coronavirus-related costs under our U.S. Government contracts through a combination of equitable adjustments to the contract price and reimbursement of the costs under Section 3610 of the Coronavirus Aid, Relief and Economic Security Act (CARES Act), which allows federal agencies to reimburse contractors for certain COVID-19 related costs from March 27, 2020 through March 31, 2021. These cost increases, including costs for employees whose jobs cannot be performed remotely and for certain costs incurred prior to March 27, 2020, may not be fully recoverable under our contracts, particularly fixed-price contracts, or adequately covered by insurance. We also have no assurance that Congress will appropriate funds to cover the reimbursement of defense contractors authorized by the CARES Act, which could reduce funds available for other U.S. Government defense priorities.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continued spread of COVID-19 has also led to disruption and volatility in the global capital markets, which depending on future developments could impact our capital resources and liquidity in the future and the investment returns on our pension assets. We are also monitoring the impacts of COVID-19 on the fair value of our assets. While we do not currently anticipate any material impairments on our assets as a result of COVID-19, future changes in expectations for sales, earnings and cash flows related to intangible assets and goodwill below our current projections could cause these assets to be impaired.</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the effect of COVID-19 on our operations and our response to COVID-19, see Management’s Discussion and Analysis of Financial Condition and Results of Operations.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the prime contractor on most of our contracts and if our subcontractors, suppliers or teaming agreement or joint venture partners fail to perform their obligations, our performance and our ability to win future business could be harmed.</w:t>
      </w:r>
    </w:p>
    <w:p>
      <w:pPr>
        <w:spacing w:after="0" w:line="1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on other companies to provide materials, major components and products, and to perform a portion of the services that are provided to our customers under the terms of most of our contracts. These arrangements may involve subcontracts, teaming arrangements, joint ventures or supply agreements with other companies upon which we rely (contracting parties). There is a risk that the contracting party does not perform at all or to our expectations or meet affordability targets and we may have disputes with our contracting parties, including disputes regarding the quality and timeliness of work performed, the workshare provided to that party, customer concerns about the other party’s performance, our failure to extend existing task orders or issue new task orders, or our hiring the personnel of a subcontractor, teammate or joint venture partner or vice versa. We could also be adversely affected by actions by or issues experienced by our contracting parties that are outside of our control, such as misconduct and reputational issues involving our contracting parties, which could subject us to liability or adversely affect our ability to compete for contract awards.</w:t>
      </w:r>
    </w:p>
    <w:p>
      <w:pPr>
        <w:spacing w:after="0" w:line="1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in the economic environment, including the COVID-19 pandemic, geopolitical events, defense budgets, trade sanctions and constraints on available financing, and the highly competitive and budget constrained environment in which we operate, may adversely affect the financial stability and viability of our contracting parties or their ability to meet their performance requirements or to provide needed supplies or services on a timely basis. Some scarce raw materials required for our products are largely controlled by a single country, including rare earth minerals that are largely controlled by China, and therefore can be adversely impacted by potential trade actions involving that country. Additionally, our efforts to increase the efficiency of our operations and improve the affordability of our products and services could negatively impact our ability to attract and retain suppliers. We must comply with specific procurement requirements which can limit the available suppliers and we do not have secondary suppliers for some supplies and the qualification of new or additional suppliers can under some circumstances take an extended period of time.</w:t>
      </w:r>
    </w:p>
    <w:p>
      <w:pPr>
        <w:spacing w:after="0" w:line="1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failure, for whatever reason, by one or more of our contracting parties to provide the agreed-upon supplies or perform the agreed-upon services on a timely basis, according to specifications, or at all, may affect our ability to perform our obligations and require that we transition the work to other companies. Contracting party performance deficiencies may result in additional costs or delays in product deliveries and affect our operating results and could result in a customer terminating our contract for default or convenience. A default termination could expose us to liability and affect our ability to compete for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contracts and orders. A failure by our contracting parties to meet affordability targets could negatively affect our profitability, result in contract losses and affect our ability to win new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develop new technologies, products and services and efficiently produce and deliver existing products.</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of the products and services we provide are highly engineered and involve sophisticated technologies with related complex manufacturing and system integration processes. Our customers’ requirements change and evolve regularly. Accordingly, our future performance depends, in part, on our ability to adapt to changing customer needs rapidly, identify emerging technological trends, develop and manufacture innovative products and services efficiently and bring those offerings to market quickly at cost-effective prices. This includes efforts to implement emerging digital and network technologies and capabilities. To advance our innovation, we may seek to collaborate with commercial entities that are not accustomed to government contracting and these entities may be unwilling to agree to the government’s customary terms, including those governing intellectual property. Due to the complex and often experimental nature of the products and services we offer, we may experience technical difficulties during the development of new products or technologies. These technical difficulties could result in delays and higher costs, which may negatively impact our financial results, and could divert resources from other projects, until such products or technologies are fully developed. See “Note 1 – Significant Accounting Policies” included in our Notes to Consolidated Financial Statements for further details about losses incurred on certain development programs. Additionally, there can be no assurance that our development projects will be successful or meet the needs of our customers.</w:t>
      </w:r>
    </w:p>
    <w:p>
      <w:pPr>
        <w:spacing w:after="0" w:line="1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competitors may also develop new technology, or offerings, or more efficient ways to produce existing products that could cause our existing offerings to become obsolete or that could gain market acceptance before our own competitive offerings. If we fail in our development projects or if our new products or technologies fail to achieve customer acceptance, we may be unsuccessful in procuring new contracts or winning all or a portion of next generation programs, and this could adversely affect our future performance and financial results. We also may not be successful in our efforts to grow in key areas such as hypersonics and mission systems, which could adversely affect our future performance.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sales may pose different political, economic, regulatory, competition and other risks.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2020, 25% of our total net sales were from international customers. We have a strategy to continue to grow international sales, inclusive of sales of F-35 aircraft to our international partner countries and other countries. International sales are subject to numerous political and economic factors, budget uncertainty, regulatory requirements, significant competition, taxation, and other risks associated with doing business in foreign countries.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international sales, we face substantial competition from both U.S. manufacturers and international manufacturers whose governments sometimes provide research and development assistance, marketing subsidies and other assistance for their products and services. Additionally, many of our competitors are also focusing on increasing their international sales.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international business is conducted through foreign military sales (FMS) contracted through the U.S. Government to international customers through which the U.S. Government purchases products or services from us on behalf of the foreign customer and by direct commercial sales (DCS) to such customers. In 2020, approximately 67% of our sales to international customers were FMS and about 33% were DCS. FMS contracts with the U.S. Government are subject to the FAR and the DFARS. In contrast, DCS transactions represent sales by us directly to international customers and are not subject to the FAR or the DFARS.</w:t>
      </w:r>
    </w:p>
    <w:p>
      <w:pPr>
        <w:spacing w:after="0" w:line="1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sales to international customers are subject to U.S. and foreign laws and regulations, including import-export control, technology transfer restrictions, investments, taxation, repatriation of earnings, exchange controls, the Foreign Corrupt Practices Act and other anti-corruption laws and regulations, and the anti-boycott provisions of the U.S. Export Control Reform Act of 2018. While we have extensive policies in place to comply with such laws and regulations, failure by us, our employees or others working on our behalf to comply with these laws and regulations could result in administrative, civil, or criminal liabilities, including suspension, debarment from bidding for or performing government contracts, or suspension of our export privileges, which could have a material adverse effect on us. We frequently team with international subcontractors and suppliers who also are exposed to similar risks.</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International sales present risks that are different and potentially greater than those encountered in our U.S. business; and we believe DCS presents the greatest potential risks. DCS transactions involve direct commercial relationships with parties with whom we have less familiarity and where there may be significant cultural differences. Additionally, international procurement and local country rules and regulations, contract laws, and judicial systems differ from those in the U.S. and, in some cases, may be less developed than in the U.S., which could impair our ability to enforce contracts and increase the risk of adverse or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unpredictable outcomes, including the possibility that certain matters that would be considered civil matters in the U.S. are treated as criminal matters.</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conjunction with defense procurements, some international customers require contractors to comply with industrial cooperation regulations, including entering into industrial participation or industrial development agreements, sometimes referred to as offset agreements, as a condition to obtaining orders for our products and services. Industrial development agreements generally extend over several years and obligate the contractor to perform certain commitments, which may include in-country purchases, technology transfers, local manufacturing support, consulting support to in-country projects, investments in joint ventures and financial support projects. Expectations as to offset commitments can be substantial, including high-value content, and may exceed existing local technical capability. Failure to meet these commitments, which can be subjective and outside of our control, may result in significant penalties, and could lead to a reduction in sales to a country. Furthermore, certain of our existing industrial development agreements are dependent upon the successful operation of joint ventures that we do not control and involve products and services that are outside of our core business, which may increase the risk that we fail to meet our industrial cooperation agreements, expose us to compliance risks of the joint venture and impair our ability to recover our investment. For more information on our industrial development obligations, including the notional value of our remaining industrial development obligations and potential penalties for non-compliance, see “Contractual Commitments and Off-Balance Sheet Arrangements” in Management’s Discussion and Analysis of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issues and considerations, both in the U.S. and internationally, could have a significant effect on our business.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international business is highly sensitive to changes in regulations (including tariffs, sanctions, embargoes, export and import controls and other trade restrictions), political environments or security risks that may affect our ability to conduct business outside of the U.S., including those regarding investment, procurement, taxation and repatriation of earnings.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14, 2020 and again on October 26, 2020, the People’s Republic of China (China) announced it may impose sanctions against Lockheed Martin in response to Congressional Notifications of potential Foreign Military Sales to Taiwan. Foreign Military Sales are government-to-government transactions, and we work closely with the U.S. Government on any military sales to international customers. We will continue to follow official U.S. Government guidance as it relates to sales to Taiwan and do not see a material impact on our sales at this time. China has not specified the nature of any such sanctions, but could seek to restrict our commercial sales or supply chain, including our supply of rare earth or other raw materials, and could also impose sanctions on our suppliers, teammates or partners. The nature, timing and potential impact of any sanctions that may be imposed by China or any other related actions that may be taken are uncertain.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monitor the effect of the United Kingdom’s (UK) departure from the European Union (EU) (commonly referred to as Brexit) on our business operations and financial results. We anticipate that the most probable near-term effects are likely to reflect the pressure Brexit has placed on the UK government, which may influence the government’s ability to make decisions on large complex programs of the type we perform. The post-Brexit border controls between the UK and EU also may have adverse implications on the movement of products or sustainment activities between the UK and EU or may increase costs. Additionally, longer term effects of Brexit may impact the value of the pound sterling. If the pound sterling were to remain depressed against the U.S. dollar, this could negatively impact the ability of the UK government to afford our products and services. While we have operations in the UK and these operations have activity between the UK and the EU (e.g., sales, supply chain, or reliance on personnel), we currently do not anticipate that Brexit will have a material impact on our operations or our financial results. Additionally, our practice is to substantially hedge our transactional currency exposure and therefore, we do not have material currency transaction exposure to the pound sterling or the euro.</w:t>
      </w:r>
    </w:p>
    <w:p>
      <w:pPr>
        <w:spacing w:after="0" w:line="1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International sales also may be adversely affected by actions taken by the U.S. Government in the exercise of foreign policy, Congressional oversight or the financing of particular programs, including the prevention or imposition of conditions upon the sale and delivery of our products, the imposition of sanctions, or Congressional action to block sales of our products. For example, the U.S. Government has imposed certain sanctions on Turkish entities and persons as described in the risk factor below, and could act in the future to prevent or restrict sales to other customers, including the Kingdom of Saudi Arabia and the United Arab Emirates. U.S. Government officials have indicated that the Biden administration is temporarily pausing the implementation of some pending U.S. defense transfers and sales to various countries to allow incoming leadership an opportunity to review. The officials also state that the review is typical with any new administration, but the duration and results of the review are unknown, and if current sales are delayed or canceled or future sales prohibited or restricted, our results from operations, backlog and future performance could be adversely affected. Our international business also may be impacted by changes in foreign national priorities, foreign government budgets, global economic conditions, and fluctuations in foreign currency exchange rates. Sales of military products and any associated industrial cooperation agreements are also affected by defense budgets and U.S. foreign policy, including trade restrictions and disputes, and there could be significant delays or other issues in reaching definitive agreements for announced programs and international customer priorities could change.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timing of orders from our international customers can be less predictable than for our U.S. customers and may lead to fluctuations in the amount reported each year for our international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sanctions on Turkey and Turkey’s removal from the F-35 program could adversely impact our results of operations and cash flows.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Turkey accepting delivery of the Russian S-400 air and missile defense system, the U.S. Government removed Turkey from the F-35 program in 2019 and in December 2020 imposed sanctions on Turkey’s defense procurement agency (SSB) and certain of the agency’s officers under the Countering America’s Adversaries Through Sanctions Act (CAATSA). The primary sanction imposed was a restriction on all new U.S. export licenses and authorizations for any goods or technology transferred to the SSB, but does not apply to current, valid export licenses and authorizations. Lockheed Martin expects the U.S. Government to continue to engage Turkey on these issues, but we have no indication that the sanctions will be removed, that additional sanctions will not be imposed or that Turkey will not issue reciprocal sanctions. While we do not expect the current sanctions to have a material effect on our current programs, additional sanctions, reciprocal sanctions or other actions, could be material to our operations, operating results, financial position or cash flows.</w:t>
      </w:r>
    </w:p>
    <w:p>
      <w:pPr>
        <w:spacing w:after="0" w:line="1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having committed to purchase up to 100 F-35 aircraft, six of which had completed production at the time of removal, Turkish suppliers continue to produce component parts for the F-35 program, some of which are single-sourced. To minimize the risks of disruption of our supply chain and ensure continuity of F-35 production, we have been working closely with the DoD and supporting activities to identify and engage alternate suppliers for the component parts produced by Turkish suppliers. We have made significant progress transitioning to non-Turkish suppliers, but due to the procedure to qualify new parts and suppliers, this collaborative process between DoD and Lockheed Martin is ongoing. During 2020, the DoD publicly confirmed that Turkish suppliers would be permitted to provide certain components for the F-35 through 2022. While the transition timeline is an important first step, it is equally important that our replacement capacity is re-established so that production is not impacted. Efforts to date have significantly reduced our risk, but final resolution on a limited number of remaining components could affect F-35 deliveries, and any accelerated work stoppage would impact cost. We will continue to follow official U.S. Government guidance as it relates to completed Turkish aircraft and the export and import of component parts from the Turkish supply chain.</w:t>
      </w:r>
    </w:p>
    <w:p>
      <w:pPr>
        <w:spacing w:after="0" w:line="1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effects on the F-35 program of the U.S. Government sanctions on the SSB and Turkey’s removal from the F-35 program do not appear to be significant at this time. However, unforeseen actions could impact the timing of orders, disrupt the production of aircraft, delay delivery of aircraft, disrupt delivery of sustainment components produced in Turkey and impact funding on the F-35 program to include the result of any reprogramming of funds that may be necessary to mitigate the impact of alternate sources for component parts made in Turkey. While, in the case of the F-35 program, we expect that these costs ultimately would be recovered from the U.S. Government, the availability or timing of any recovery could adversely affect our cash flows and results of operations.</w:t>
      </w:r>
    </w:p>
    <w:p>
      <w:pPr>
        <w:spacing w:after="0" w:line="16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currently have programs directly with SSB that include delivery and support of helicopters for Turkish end users. We also have contracts with Turkish industry for the Turkish Utility Helicopter Program (TUHP), which is overseen by SSB, in support of Turkish industry’s production of helicopters for Turkish end users. Each program has current, valid export licenses that should not be subject to the current sanctions. We expect pending and future export licensing applications and any required modifications, extensions or changes in scope to the existing licenses, where SSB is a party to the transaction, would be denied, adversely affecting our ability to perform the program contracts. In addition, we have other programs where we work with Turkish industry, including for domestic U.S. Black Hawk helicopter production, that rely on components from Turkish suppliers. While these commercial relationships are not affected by the current sanctions, they could be adversely affected by the imposition of additional sanctions.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the current sanctions are not expected to have a material effect on our current programs, they may result in the loss of future sales, and any future sanctions or reciprocal actions by Turkey could result in further restrictions on exports or imports, losses of future sales, reductions in backlog, return of advance payments, costs to develop alternate supply sources, restrictions on payments, force majeure events or contract terminations. Such activity also could result in claims from our suppliers, which may include both the amount established in any settlement agreements, the costs of evaluating supplier settlement proposals and the costs of negotiating settlement agreements. These effects could have a material impact on our operating results, financial position and cash flows.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benefit fully from or adequately protect our intellectual property rights or use third-party intellectual property, which could negatively affect our business.</w:t>
      </w:r>
    </w:p>
    <w:p>
      <w:pPr>
        <w:spacing w:after="0" w:line="11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routinely apply for and own a substantial number of U.S. and foreign patents and trademarks related to the products and services we provide. In addition to owning a large portfolio of patents and trademarks, we develop and own other intellectual property, including copyrights, trade secrets and research, development and engineering know-how, which contribute significantly to our business. We also license intellectual property to and from third parties. The FAR and DFARS provide that the U.S. government obtains certain rights in intellectual property, including patents, developed by us and our subcontractors and suppliers in performance of government contracts or with government funding. The U.S. government may use or authorize others, including competitors, to use such intellectual property. Non-U.S. governments may also have certain rights in patents and other intellectual property developed in performance of our contracts with these entities. The U.S. government is pursuing aggressive positions regarding the types of intellectual property to which government use rights apply and when it is appropriate for the government to insist on broad use rights. The DoD is also implementing an overarching intellectual property acquisition policy that will require a greater focus and planning as to intellectual property rights for its programs, and we have no assurance as to the potential impacts of this policy or any associated regulatory changes on future acquisitions. The DoD’s efforts could affect our ability to protect and exploit our intellectual property and to leverage supplier intellectual property, for example, if we are unable to obtain necessary licenses from our suppliers to meet government requirements. Additionally, while we take measures to protect and enforce our intellectual property rights and to respect the intellectual property rights of others, our intellectual property and intellectual property licensed or obtained from third parties is subject to challenges (such as infringement and misappropriation claims) by third parties, which could adversely affect our ability to compete and perform on contracts.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financial performance depends, in part, on our ability to identify, attract and retain a highly skilled workforce.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the specialized nature of our business, our performance is dependent upon our ability to identify, attract and retain a workforce with the requisite skills in multiple areas including: engineering, science, manufacturing, information technology, cybersecurity, business development and strategy and management. Our operating performance is also dependent upon personnel who hold security clearances and receive substantial training in order to work on certain programs or tasks. Additionally, as we expand our operations internationally, it is increasingly important to hire and retain personnel with relevant experience in local laws, regulations, customs, traditions and business practices.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face a number of challenges that may affect personnel retention such as our endeavors to increase the efficiency of our operations and improve the affordability of our products and services such as workforce reductions and consolidating and relocating certain operations. Additionally, a substantial portion of our workforce (including personnel in leadership positions) are retirement-eligible or nearing retirement.</w:t>
      </w:r>
    </w:p>
    <w:p>
      <w:pPr>
        <w:spacing w:after="0" w:line="1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the extent that we lose experienced personnel, it is critical that we develop other employees, hire new qualified personnel, and successfully manage the short and long-term transfer of critical knowledge and skills. Competition for personnel is intense, and we may not be successful in attracting or retaining personnel with the requisite skills or clearances. We increasingly compete with commercial technology companies outside of the aerospace and defense industry for qualified technical, cyber and scientific positions as the number of qualified domestic engineers is decreasing and the number of cyber professionals is not keeping up with demand. To the extent that these companies grow at a faster rate or face fewer cost and product pricing constraints, they may be able to offer more attractive compensation and other benefits to candidates or our existing employees. If the demand for skilled personnel exceeds supply, we could experience higher labor, recruiting or training costs in order to attract and retain such employees. We could experience difficulty in performing our contracts and executing on new or growing programs if we have a shortage of skilled employees or if our recruiting is delayed. We also must manage leadership development and succession planning throughout our business. While we have processes in place for management transition and the transfer of knowledge and skills, the loss of key personnel, coupled with an inability to adequately train other personnel, hire new personnel or transfer knowledge and skills, could significantly impact our ability to perform under our contracts and execute on new or growing programs.</w:t>
      </w:r>
    </w:p>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Approximately 20% of our employees are covered by collective bargaining agreements with various unions. If we encounter difficulties with renegotiations or renewals of collective bargaining arrangements or are unsuccessful in those efforts, we could incur additional costs and experience work stoppages. Union actions at suppliers can also affect us. Any delays or work stoppages could adversely affect our ability to perform under our contracts, which could negatively impact our results of operations, cash flows, and financial condition.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minimize the likelihood and impact of adverse cybersecurity incidents and to protect data and intellectual property may not be successful and our business could be negatively affected by cyber or other security threats or other disruptions.</w:t>
      </w:r>
    </w:p>
    <w:p>
      <w:pPr>
        <w:spacing w:after="0" w:line="1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routinely experience various cybersecurity threats, threats to our information technology infrastructure, unauthorized attempts to gain access to our company, employee- and customer-sensitive information, insider threats and denial-of-service attacks as do our customers, suppliers, subcontractors and joint venture partners. We experience similar security threats at customer sites that we operate and manage.</w:t>
      </w:r>
    </w:p>
    <w:p>
      <w:pPr>
        <w:spacing w:after="0" w:line="1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threats we face vary from attacks common to most industries, to more advanced and persistent, highly organized adversaries, including nation states. These nation state actors target us and other defense contractors for several reasons, including because we protect national security information and develop advanced technology systems. If we are unable to protect sensitive information, including complying with evolving information security and data protection/privacy regulations, our customers or governmental authorities could question the adequacy of our threat mitigation and detection processes and procedures. Moreover, depending on the severity of an incident, our customers’ data, our employees’ data, our intellectual property (including trade secrets and research, development and engineering know-how), and other third-party data (such as teammates, joint venture partners, subcontractors, suppliers and vendors) could be compromised. Products and services we provide to customers also carry cybersecurity risks, including risks that they could be breached or fail to detect, prevent or combat attacks, which could result in losses to our customers and claims against us, and could harm our relationships with our customers.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take a variety of precautions to protect our systems and data, including a Computer Incident Response Team (CIRT) to defend against cyber attacks and regular periodic training of our employees on protection of sensitive information, including training intended to prevent the success of “phishing” attacks. However, as a consequence of the persistence, sophistication and volume of cyber attacks, we may not be successful in defending against all such attacks. We also have a corporate-wide counterintelligence and insider threat detection program to proactively identify external and internal threats, and mitigate those threats in a timely manner. Nevertheless, due to the evolving nature of these security threats and the national security aspects of much of the data we protect, the impact of any future incident cannot be predicted.</w:t>
      </w:r>
    </w:p>
    <w:p>
      <w:pPr>
        <w:spacing w:after="0" w:line="14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cyber threats, we experience threats to the security of our facilities and employees and threats from terrorist acts. We also typically work cooperatively with our customers, suppliers, subcontractors, joint venture partners and entities we acquire, whom are subject to similar threats, to seek to minimize the impact of cyber threats, other security threats or business disruptions. However, we must rely on the safeguards put in place by these entities, and other entities, none of which we control, who have access to our information, and thus may affect the security of our information or the information we are obligated to protect. These entities have varying levels of cybersecurity expertise and safeguards, and their relationships with government contractors, including us, may increase the likelihood that they are targeted by the same cyber threats we face. We have thousands of direct suppliers and even more indirect suppliers with a wide variety of systems and cybersecurity capabilities and adversaries actively seek to exploit security and cybersecurity weaknesses in our supply chain. A breach in our multi-tiered supply chain could impact our data or customer deliverables. We also must rely on this supply chain for detecting and reporting cyber incidents, which could affect our ability to report or respond to cybersecurity incidents effectively or in a timely manner.</w:t>
      </w:r>
    </w:p>
    <w:p>
      <w:pPr>
        <w:spacing w:after="0" w:line="1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costs related to cyber or other security threats or disruptions may not be fully insured or indemnified by other means. Additionally, some cyber technologies we develop under contract for our customers, particularly those related to homeland security, may raise potential liabilities related to intellectual property and civil liberties, including privacy concerns, which may not be fully insured or indemnified by other means or involve reputational risk. Our enterprise risk management program includes threat detection and cybersecurity mitigation plans, and our disclosure controls and procedures address cybersecurity and include elements intended to ensure that there is an analysis of potential disclosure obligations arising from security breaches. We also maintain compliance programs to address the potential applicability of restrictions on trading while in possession of material, nonpublic information generally and in connection with a cybersecurity breach.</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acquisitions, divestitures, equity investments and other transactions, including our proposed acquisition of Aerojet Rocketdyne, successfully or if acquired entities or equity investments fail to perform as expected, our financial results, business and future prospects could be harmed.</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pursuing our business strategy, we routinely conduct discussions, evaluate companies, and enter into agreements regarding possible acquisitions, joint ventures, other investments and divestitures. We seek to identify acquisition or investment opportunities that will expand or complement our existing products and services or customer base, at attractive valuations. We often compete with other companies for the same opportunities. To be successful, we must conduct due diligence to identify valuation issues and potential loss contingencies; negotiate transaction terms; complete and close complex transactions;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integrate acquired companies and employees; and realize anticipated operating synergies efficiently and effectively. Acquisition, divestiture, joint venture and investment transactions often require substantial management resources and have the potential to divert our attention from our existing business. Unidentified or identified but un-indemnified pre-closing liabilities could affect our future financial results, particularly through successor liability under procurement laws and regulations such as the False Claims Act or Truth in Negotiations Act, anti-corruption, environmental, tax, import-export and technology transfer laws, which provide for civil and criminal penalties and the potential for debarment. We also may incur unanticipated costs or expenses, including post-closing asset impairment charges, expenses associated with eliminating duplicate facilities, employee retention, transaction-related or other litigation, and other liabilities. Any of the foregoing could adversely affect our business and results of operations.</w:t>
      </w:r>
    </w:p>
    <w:p>
      <w:pPr>
        <w:spacing w:after="0" w:line="14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December 20, 2020, we entered into an agreement to acquire Aerojet Rocketdyne Holdings, Inc. (Aerojet Rocketdyne). The transaction is expected to close in the second half of 2021 and is subject to the satisfaction of customary closing conditions, including regulatory approvals and approval by Aerojet Rocketdyne’s stockholders. We may be unable to achieve the expected benefits of this transaction as a result of, among other things, the failure to obtain, delays in obtaining, or adverse conditions contained in any required regulatory or other approvals for consummation of the acquisition; the possibility that Aerojet Rocketdyne stockholders may not approve the proposed acquisition; the failure to consummate or a delay in consummating the proposed acquisition for other reasons; the failure by us to obtain any necessary financing on favorable terms or at all; Aerojet Rocketdyne’s or our business being disrupted due to transaction-related uncertainty; the failure to successfully and timely integrate Aerojet Rocketdyne and realize the expected synergies, cost savings and other benefits of the acquisition; the risk of litigation relating to the proposed acquisition; competitive responses to the proposed acquisition; unexpected liabilities, costs, charges or expenses resulting from the acquisition; and potential adverse reactions or changes to business relationships from the announcement or completion of the acquisition. The expected cash cost of the acquisition of approximately $4.4 billion also assumes the assumption of net cash on the balance sheet of Aerojet Rocketdyne at closing after payment of outstanding debt, which is subject to uncertainty related to Aerojet Rocketdyne’s earnings and costs through the date of closing. The total equity value of approximately $4.6 billion to be paid by Lockheed Martin for Aerojet Rocketdyne, including Aerojet Rocketdyne’s convertible notes on an as-converted basis, assumes the payment by Aerojet Rocketdyne of its announced special cash dividend, which is revocable through the payment date at the election of the Aerojet Rocketdyne board of directors.</w:t>
      </w:r>
    </w:p>
    <w:p>
      <w:pPr>
        <w:spacing w:after="0" w:line="17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Joint ventures and other noncontrolling investments operate under shared control with other parties. These investments typically face many of the same risks and uncertainties as we do, but in addition may expose us to additional risks not present if we retained full control. A joint venture partner may have economic or other business interests that are inconsistent with ours and we may be unable to prevent strategic decisions that may adversely affect our business, financial condition and results of operations. We also could be adversely affected by, or liable for, actions taken by these joint ventures that we do not control, including violations of anti-corruption, import and export, taxation and anti-boycott laws.</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Depending on our rights and percentage of ownership, we may consolidate the financial results of such entities or account for our interests under the equity method. Under the equity method of accounting for nonconsolidated ventures and investments, we recognize our share of the operating profit or loss of these joint ventures in our results of operations. Our operating results are affected by the conduct and performance of businesses over which we do not exercise control and, as a result, we may not be successful in achieving the growth or other intended benefits of strategic investments. Of our business segments, our equity investments had the greatest impact on our Space business segment where approximately 12% of its 2020 operating profit was derived from its share of earnings from equity method investees, primarily that in United Launch Alliance (ULA). We also have our 51% ownership interest in AWE Management Limited (AWE), which operates the United Kingdom’s nuclear deterrent program. This venture generated sales of about $1.4 billion and net earnings of about $29 million in 2020. On November 2, 2020, the UK Ministry of Defense announced its intention to re-nationalize the program on June 30, 2021, which is expected to result in the loss of future sales and operating profit attributable to AWE.</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Through our Lockheed Martin Ventures Fund, we make investments in companies (both within the U.S. and in other countries) that we believe are developing disruptive technologies applicable to our core businesses and new initiatives important to Lockheed Martin. These investments may be in the forms of common or preferred stock, convertible debt securities or investments in funds. Typically, we hold a non-controlling interest and, therefore, are unable to influence strategic decisions by these companies and may have limited visibility into their activities, which may result in our not realizing the intended benefits of the investments. We have also begun investing in funds that invest in other companies. We have less influence and visibility as a non-controlling investor in a fund.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Significant Contingencies, Uncertainties and Estimates, including Pension, Environmental and Litigation Costs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Pension funding and costs are dependent on several economic assumptions which if changed may cause our future earnings and cash flow to fluctuate significantly as well as affect the affordability of our products and services.</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of our employees and retirees participate in defined benefit pension plans, retiree medical and life insurance plans, and other postemployment plans (collectively, postretirement benefit plans). The impact of these plans on our earnings may be volatile in that the amount of expense we record for our postretirement benefit plans may materially change from year to year because the calculations are sensitive to changes in several key economic assumptions including interest rates and rates of return on plan assets, other actuarial assumptions including participant longevity (also known as mortality) and employee turnover, as well as the timing of cash funding. Changes in these factors, including actual returns on plan assets, may also affect our plan funding, cash flow and stockholders’ equity. In addition, the funding of our plans and recovery of costs on our contracts, as described below, may also be subject to changes caused by legislative or regulatory actions.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regard to cash flow, we make substantial cash contributions to our plans as required by the Employee Retirement Income Security Act of 1974 (ERISA), as amended by the Pension Protection Act of 2006 (PPA). We generally are able to recover these contributions related to our plans as allowable costs on our U.S. Government contracts, including FMS. However, there is a lag between the time when we contribute cash to our plans under pension funding rules and when we recover pension costs under U.S. Government Cost Accounting Standards (CAS). We also may not be successful in our efforts to reduce the volatility of our outstanding pension obligations and to accelerate CAS recovery and recover associated costs from the U.S. Government.</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how these factors could impact earnings, financial position, cash flow and stockholders’ equity, see “Critical Accounting Policies - Postretirement Benefit Plans” in Management’s Discussion and Analysis of Financial Condition and Results of Operations and “Note 12 – Postretirement Benefit Plans” included in our Notes to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estimates and projections may prove to be inaccurate and certain of our assets may be at risk of future impairment.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accounting for some of our most significant activities is based on judgments and estimates, which are complex and subject to many variables. For example, accounting for sales using the percentage-of-completion method requires that we assess risks and make assumptions regarding schedule, cost, technical and performance issues for thousands of contracts, many of which are long-term in nature. Additionally, we initially allocate the purchase price of acquired businesses based on a preliminary assessment of the fair value of identifiable assets acquired and liabilities assumed. For significant acquisitions we may use a one-year measurement period to analyze and assess a number of factors used in establishing the asset and liability fair values as of the acquisition date which could result in adjustments to asset and liability balances.</w:t>
      </w:r>
    </w:p>
    <w:p>
      <w:pPr>
        <w:spacing w:after="0" w:line="1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$10.8 billion of goodwill assets recorded on our consolidated balance sheet as of December 31, 2020 from previous acquisitions, which represents approximately 21% of our total assets. These goodwill assets are subject to annual impairment testing and more frequent testing upon the occurrence of certain events or significant changes in circumstances that indicate goodwill may be impaired. If we experience changes or factors arise that negatively affect the expected cash flows of a reporting unit, we may be required to write off all or a portion of the reporting unit’s related goodwill assets. The carrying value and fair value of our Sikorsky reporting unit are closely aligned. Therefore, any business deterioration, contract cancellations or terminations, or market pressures could cause our sales, earnings and cash flows to decline below current projections and could cause goodwill and intangible assets to be impaired. Additionally, Sikorsky may not perform as expected, or demand for its products may be adversely affected by global economic conditions, including oil and gas trends that are outside of our control.</w:t>
      </w:r>
    </w:p>
    <w:p>
      <w:pPr>
        <w:spacing w:after="0" w:line="16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Changes in U.S. (federal or state) or foreign tax laws and regulations, or their interpretation and application, including those with retroactive effect, including the amortization for research or experimental expenditures, could result in increases in our tax expense and affect profitability and cash flows. Beginning in 2022, the Tax Cuts and Jobs Act of 2017 eliminates the option to deduct research and development expenditures currently and requires taxpayers to amortize them over five years. While it is possible that Congress may modify or repeal this provision before it takes effect and we continue to have ongoing discussions with members of Congress, both on our own and with other industries through coalitions, we have no assurance that these provisions will be modified or repealed. Furthermore, we are continuing to work with our advisors to refine our legal interpretation of this provision prior to implementation in 2022. If these provisions are not repealed and based on current interpretations of the law, initially this would materially decrease our cash from operations based on current assumptions beginning in 2022 by approximately $2.0 billion; and increase our net deferred tax assets by a similar amount. The largest impact would be on 2022 cash from operations, which would depend on the amount of research and development expenses paid or incurred in 2022 and other factors. The impact, however, would continue over the five year amortization period but would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decrease over the period and be immaterial in year six. The amount of net deferred tax assets will change periodically based on several factors, including the measurement of our postretirement benefit plan obligations, actual cash contributions to our postretirement benefit plans, and future changes in tax laws. In addition, we are regularly under audit or examination by tax authorities, including foreign tax authorities. The final determination of tax audits and any related litigation could similarly result in unanticipated increases in our tax expense and affect profitability and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significant risks and uncertainties that may not be covered by indemnity or insurance.</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significant portion of our business relates to designing, developing and manufacturing advanced defense and technology products and systems. New technologies may be untested or unproven. Failure of some of these products and services could result in extensive loss of life or property damage. Accordingly, we may incur liabilities that are unique to our products and services. In some but not all circumstances, we may be entitled to certain legal protections or indemnifications from our customers, either through U.S. Government indemnifications under Public Law 85-804 or the Price-Anderson Act, qualification of our products and services by the Department of Homeland Security under the SAFETY Act provisions of the Homeland Security Act of 2002, contractual provisions or otherwise. We endeavor to obtain insurance coverage from established insurance carriers to cover these risks and liabilities. The amount of insurance coverage that we maintain may not be adequate to cover all claims or liabilities. Existing coverage may be canceled while we remain exposed to the risk and it is not possible to obtain insurance to protect against all operational risks, natural hazards and liabilities. For example, we are limited in the amount of insurance we can obtain to cover certain natural hazards such as earthquakes, fires or extreme weather conditions. We have significant operations in geographic areas prone to these risks, such as in California, Florida and Texas. Even if insurance coverage is available, we may not be able to obtain it in an amount, at a price or on terms acceptable to us. Some insurance providers may be unable or unwilling to provide us insurance given the nature of our business or products. Additionally, disputes with insurance carriers over coverage terms or the insolvency of one or more of our insurance carriers may significantly affect the amount or timing of our cash flows.</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Substantial costs resulting from an accident; failure of or defect in our products or services; natural catastrophe or other incident; or liability arising from our products and services in excess of any legal protection, indemnity, and our insurance coverage (or for which indemnity or insurance is not available or not obtained) could adversely impact our financial condition, cash flows, and operating results. Any accident, failure of, or defect in our products or services, even if fully indemnified or insured, could negatively affect our reputation among our customers and the public and make it more difficult for us to compete effectively. It also could affect the cost and availability of adequate insurance in the future.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costs could adversely affect our future earnings as well as the affordability of our products and services.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operations are subject to and affected by a variety of federal, state, local and foreign environmental protection laws and regulations. We are involved in environmental remediation at some of our current and former facilities and at third-party-owned sites where we have been designated a potentially responsible party as a result of our prior activities and those of our predecessor companies. In addition, we could be affected by future regulations imposed or claims asserted in response to concerns over climate change, other aspects of the environment or natural resources. We have an ongoing, comprehensive sustainability program to reduce the effects of our operations on the environment.</w:t>
      </w:r>
    </w:p>
    <w:p>
      <w:pPr>
        <w:spacing w:after="0" w:line="14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manage and have managed various U.S. Government-owned facilities on behalf of the U.S. Government. At such facilities, environmental compliance and remediation costs historically have been the responsibility of the U.S. Government. We have relied, and continue to rely with respect to past practices, on U.S. Government funding to pay such costs, notwithstanding efforts by some U.S. Government representatives to limit this responsibility. Although the U.S. Government remains responsible for capital and operating costs associated with environmental compliance, responsibility for fines and penalties associated with environmental noncompliance typically is borne by either the U.S. Government or the contractor, depending on the contract and the relevant facts. Some environmental laws include criminal provisions. A conviction under environmental law could affect our ability to be awarded future or perform under existing U.S. Government contracts.</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incurred and will continue to incur liabilities under various federal, state, local and foreign statutes for environmental protection and remediation. The extent of our financial exposure cannot in all cases be reasonably estimated at this time. Among the variables management must assess in evaluating costs associated with these cases and remediation sites generally are the status of site assessment, extent of the contamination, impacts on natural resources, changing cost estimates, evolution of technologies used to remediate the site, continually evolving environmental standards and cost allowability issues, including varying efforts by the U.S. Government to limit allowability of our costs in resolving liability at third-party-owned sites. For information regarding these matters, including current estimates of the amounts that we believe are required for environmental remediation to the extent probable and estimable, see “Critical Accounting Policies - Environmental Matters” in Management’s Discussion and Analysis of Financial Condition and Results of Operations and “Note 15 – Legal Proceedings, Commitments and Contingencies” included in our Notes to Consolidated Financial Statements.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a number of legal proceedings. We cannot predict the outcome of litigation and other contingencies with certainty.</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may be adversely affected by the outcome of legal proceedings and other contingencies that cannot be predicted with certainty. As required by U.S. GAAP, we estimate loss contingencies and establish reserves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For a description of our current legal proceedings, see Item 3 - Legal Proceedings along with “Note 15 – Legal Proceedings, Commitments and Contingencies” included in our 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increase our dividend or to repurchase shares of our common stock at current levels.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Cash dividend payments and share repurchases are subject to limitations under applicable laws and the discretion of our Board of Directors and are determined after considering then-existing conditions, including earnings, other operating results and capital requirements and cash deployment alternatives. Our payment of dividends and share repurchases could vary from historical practices or our stated expectations. Decreases in asset values or increases in liabilities, including liabilities associated with benefit plans and assets and liabilities associated with taxes, can reduce net earnings and stockholders’ equity. A deficit in stockholders’ equity could limit our ability to pay dividends and make share repurchases under Maryland state law in the future. In addition, the timing and amount of share repurchases under board approved share repurchase plans is within the discretion of management and will depend on many factors, including results of operations, capital requirements and applicable law.</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Actual financial results could differ from our judgments and estimates. See “Critical Accounting Policies” in Management’s Discussion and Analysis of Financial Condition and Results of Operations and “Note 1 – Significant Accounting Policies” included in our Notes to Consolidated Financial Statements for a complete discussion of our significant accounting policies and use of estimates.</w:t>
      </w:r>
    </w:p>
    <w:p>
      <w:pPr>
        <w:spacing w:after="0" w:line="200" w:lineRule="exact"/>
        <w:rPr>
          <w:sz w:val="20"/>
          <w:szCs w:val="20"/>
          <w:color w:val="auto"/>
        </w:rPr>
      </w:pPr>
    </w:p>
    <w:p>
      <w:pPr>
        <w:spacing w:after="0" w:line="29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2020, we owned or leased building space (including offices, manufacturing plants, warehouses, service centers, laboratories and other facilities) at approximately 385 locations primarily in the U.S. Additionally, we manage or occupy approximately 15 government-owned facilities under lease and other arrangements. At December 31, 2020, we had significant operations in the following locations:</w:t>
      </w:r>
    </w:p>
    <w:p>
      <w:pPr>
        <w:spacing w:after="0" w:line="131"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Aeronautics </w:t>
      </w:r>
      <w:r>
        <w:rPr>
          <w:rFonts w:ascii="Times New Roman" w:cs="Times New Roman" w:eastAsia="Times New Roman" w:hAnsi="Times New Roman"/>
          <w:sz w:val="18"/>
          <w:szCs w:val="18"/>
          <w:color w:val="auto"/>
        </w:rPr>
        <w:t>- Palmdale, California; Marietta, Georgia; Greenville, South Carolina; and Fort Worth, Texas.</w:t>
      </w:r>
    </w:p>
    <w:p>
      <w:pPr>
        <w:spacing w:after="0" w:line="31"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Missiles and Fire Control </w:t>
      </w:r>
      <w:r>
        <w:rPr>
          <w:rFonts w:ascii="Times New Roman" w:cs="Times New Roman" w:eastAsia="Times New Roman" w:hAnsi="Times New Roman"/>
          <w:sz w:val="18"/>
          <w:szCs w:val="18"/>
          <w:color w:val="auto"/>
        </w:rPr>
        <w:t>- Camden, Arkansas; Ocala and Orlando, Florida; Lexington, Kentucky; and Grand Prairie, Texas.</w:t>
      </w:r>
    </w:p>
    <w:p>
      <w:pPr>
        <w:spacing w:after="0" w:line="9" w:lineRule="exact"/>
        <w:rPr>
          <w:rFonts w:ascii="Times New Roman" w:cs="Times New Roman" w:eastAsia="Times New Roman" w:hAnsi="Times New Roman"/>
          <w:sz w:val="18"/>
          <w:szCs w:val="18"/>
          <w:b w:val="1"/>
          <w:bCs w:val="1"/>
          <w:color w:val="auto"/>
        </w:rPr>
      </w:pPr>
    </w:p>
    <w:p>
      <w:pPr>
        <w:ind w:left="340" w:hanging="332"/>
        <w:spacing w:after="0" w:line="250" w:lineRule="auto"/>
        <w:tabs>
          <w:tab w:leader="none" w:pos="33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Rotary and Mission Systems </w:t>
      </w:r>
      <w:r>
        <w:rPr>
          <w:rFonts w:ascii="Times New Roman" w:cs="Times New Roman" w:eastAsia="Times New Roman" w:hAnsi="Times New Roman"/>
          <w:sz w:val="18"/>
          <w:szCs w:val="18"/>
          <w:color w:val="auto"/>
        </w:rPr>
        <w:t>- Shelton and Stratford, Connecticut; Orlando, Florida; Moorestown/Mt. Laurel, New Jersey; Owego and Syracuse,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Manassas, Virginia; and Mielec, Poland.</w:t>
      </w: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Space </w:t>
      </w:r>
      <w:r>
        <w:rPr>
          <w:rFonts w:ascii="Times New Roman" w:cs="Times New Roman" w:eastAsia="Times New Roman" w:hAnsi="Times New Roman"/>
          <w:sz w:val="18"/>
          <w:szCs w:val="18"/>
          <w:color w:val="auto"/>
        </w:rPr>
        <w:t>- Huntsville, Alabama; Sunnyvale, California; Denver, Colorado; Cape Canaveral, Florida; Valley Forge, Pennsylvania; and Reading, England.</w:t>
      </w:r>
    </w:p>
    <w:p>
      <w:pPr>
        <w:spacing w:after="0" w:line="9"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activities </w:t>
      </w:r>
      <w:r>
        <w:rPr>
          <w:rFonts w:ascii="Times New Roman" w:cs="Times New Roman" w:eastAsia="Times New Roman" w:hAnsi="Times New Roman"/>
          <w:sz w:val="18"/>
          <w:szCs w:val="18"/>
          <w:color w:val="auto"/>
        </w:rPr>
        <w:t>- Bethesda, Maryland.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square feet of floor space owned, leased, or utilized by business segment at December 31, 2020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8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3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13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8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w:t>
            </w:r>
          </w:p>
        </w:tc>
        <w:tc>
          <w:tcPr>
            <w:tcW w:w="28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5.1</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c>
          <w:tcPr>
            <w:tcW w:w="18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14.5</w:t>
            </w: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2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7.0</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c>
          <w:tcPr>
            <w:tcW w:w="18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28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11.3</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c>
          <w:tcPr>
            <w:tcW w:w="18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0.6</w:t>
            </w: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w:t>
            </w:r>
          </w:p>
        </w:tc>
        <w:tc>
          <w:tcPr>
            <w:tcW w:w="2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8.9</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c>
          <w:tcPr>
            <w:tcW w:w="18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5.4</w:t>
            </w: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activities</w:t>
            </w:r>
          </w:p>
        </w:tc>
        <w:tc>
          <w:tcPr>
            <w:tcW w:w="28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0.9</w:t>
            </w:r>
          </w:p>
        </w:tc>
        <w:tc>
          <w:tcPr>
            <w:tcW w:w="180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34.8</w:t>
            </w: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15.5</w:t>
            </w:r>
          </w:p>
        </w:tc>
        <w:tc>
          <w:tcPr>
            <w:tcW w:w="18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22.2</w:t>
            </w: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our facilities are in good condition and adequate for their current use. We may improve, replace or reduce facilities as considered appropriate to meet the needs of our operations.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party to or have property subject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will have a material adverse effect on the corporation as a whole, notwithstanding that the unfavorable resolution of any matter may have a material effect on our net earnings in any particular interim reporting period. We cannot predict the outcome of legal or other proceedings with certainty.</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federal, state, local and foreign requirements for the protection of the environment, including those for discharge of hazardous materials and remediation of contaminated sites. Due in part to the complexity and pervasiveness of these requirements, we are a party to or have property subject to various lawsuits, proceedings and remediation obligations. The extent of our financial exposure cannot in all cases be reasonably estimated at this time.</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information regarding the matters discussed above, including current estimates of the amounts that we believe are required for remediation or clean-up to the extent estimable, see “Critical Accounting Policies - Environmental Matters” in Management’s Discussion and Analysis of Financial Condition and Results of Operations and “Note 15 – Legal Proceedings, Commitments and Contingencies” included in our Notes to Consolidated Financial Statements.</w:t>
      </w:r>
    </w:p>
    <w:p>
      <w:pPr>
        <w:spacing w:after="0" w:line="13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U.S. Government contractor, we are subject to various audits and investigations by the U.S. Government to determine whether our operations are being conducted in accordance with applicable regulatory requirements. U.S. Government investigations of us,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U.S., which are subject to U.S. and foreign laws and regulations and foreign procurement policies and practices. Our compliance with local regulations or applicable U.S. Government regulations also may be audited or investigated.</w:t>
      </w:r>
    </w:p>
    <w:p>
      <w:pPr>
        <w:spacing w:after="0" w:line="200" w:lineRule="exact"/>
        <w:rPr>
          <w:sz w:val="20"/>
          <w:szCs w:val="20"/>
          <w:color w:val="auto"/>
        </w:rPr>
      </w:pPr>
    </w:p>
    <w:p>
      <w:pPr>
        <w:spacing w:after="0" w:line="2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Information about our Executive Officers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executive officers as of January 28, 2021 are listed below, with their ages on that date, positions and offices currently held, and principal occupation and business experience during at least the last five years. There were no family relationships among any of our executive officers and directors. All officers serve at the discretion of the Board of 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F. Ambrose (age 62), Executive Vice President - Space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Ambrose has served as Executive Vice President of Space since April 2013.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P. Colan (age 60), Vice President, Controller, and Chief Accounting Officer</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Colan has served as Vice President, Controller, and Chief Accounting Officer since August 2014.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 T. Greene (age 62), Executive Vice President - Missiles and Fire Control</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Greene has served as Executive Vice President of Missiles and Fire Control (MFC) since August 2019. He previously served as Vice President, Tactical and Strike Missiles in our MFC segment from August 2017 to August 2019; Vice President, Precision Fires and Combat Maneuver Systems in our MFC segment from January 2016 to August 2017; and Vice President, Program Management in our MFC segment from 2011 to January 2016.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Marillyn A. Hewson (age 67), Executive Chairman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Ms. Hewson has served as Executive Chairman since June 2020. She previously served as Chairman, President and Chief Executive Officer from January 2014 to June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Stephanie C. Hill (age 56), Executive Vice President - Rotary and Mission Systems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Ms. Hill has served as Executive Vice President of Rotary and Mission Systems (RMS) since June 2020. She previously served as Senior Vice President, Enterprise Business Transformation from June 2019 to June 2020. Prior to that, she was Deputy Executive Vice President of RMS from October 2018 to June 2019; Senior Vice President for Corporate Strategy and Business Development from September 2017 to October 2018; and Vice President and General Manager of the former Cyber, Ships and Advanced Technologies line of business for RMS from June 2015 to September 2017.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Maryanne R. Lavan (age 61), Senior Vice President, General Counsel and Corporate Secretary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Ms. Lavan has served as Senior Vice President, General Counsel and Corporate Secretary since September 2010.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W. Mollard (age 63), Vice President and Treasurer</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Mollard has served as Vice President and Treasurer since April 2016. He previously served as Vice President, Corporate Financial Planning and Analysis from 2003 to April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Kenneth R. Possenriede (age 60), Chief Financial Officer</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Possenriede has served as Chief Financial Officer since February 2019. He previously served as Vice President of Finance and Program Management in our Aeronautics segment from April 2016 to February 2019. Prior to that, he served as Vice President and Treasurer from 2011 through April 2016.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Frank A. St. John (age 54), Chief Operating Officer</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St. John has served as Chief Operating Officer since June 2020. He previously served as Executive Vice President of RMS from August 2019 to June 2020. Prior to that, he served as Executive Vice President of MFC from January 2018 to August 2019; Executive Vice President and Deputy, Programs in our MFC segment from June 2017 to January 2018; and Vice President, Orlando Operations and Tactical Missiles/Combat Maneuver Systems business in our MFC segment from 2011 to May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D. Taiclet (age 60), President and Chief Executive Officer</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Taiclet has served as President and Chief Executive Officer of Lockheed Martin since June 2020. He previously was chairman, president and chief executive officer of American Tower Corporation from February 2004 until March 2020 and executive chairman from March 2020 to May 2020.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Gregory M. Ulmer (age 56), Acting Executive Vice President - Aeronautics</w:t>
      </w:r>
    </w:p>
    <w:p>
      <w:pPr>
        <w:spacing w:after="0" w:line="18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Mr. Ulmer has served as Acting Executive Vice President, Aeronautics since December 1, 2020 and as Vice President and General Manager, F-35 Lightning II Program since March 2018. Prior to that he served as Vice President, F-35 Aircraft Production business unit from March 2016 to March 2018. He previously served as Vice President of Operations for Advanced Development Programs, also known as Skunk Works</w:t>
      </w:r>
      <w:r>
        <w:rPr>
          <w:rFonts w:ascii="Arial" w:cs="Arial" w:eastAsia="Arial" w:hAnsi="Arial"/>
          <w:sz w:val="23"/>
          <w:szCs w:val="23"/>
          <w:color w:val="auto"/>
          <w:vertAlign w:val="superscript"/>
        </w:rPr>
        <w:t>®</w:t>
      </w:r>
      <w:r>
        <w:rPr>
          <w:rFonts w:ascii="Times New Roman" w:cs="Times New Roman" w:eastAsia="Times New Roman" w:hAnsi="Times New Roman"/>
          <w:sz w:val="18"/>
          <w:szCs w:val="18"/>
          <w:color w:val="auto"/>
        </w:rPr>
        <w:t>, from January 2014 to March 2016.</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January 22, 2021, we had 24,929 holders of record of our common stock, par value $1 per share. Our common stock is traded on the New York Stock Exchange (NYSE) under the symbol LMT.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Return Performance Graph</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total return on a cumulative basis through December 31, 2020 of $100 invested in Lockheed Martin common stock on December 31, 2015 to the Standard and Poor’s (S&amp;P) 500 Index and the S&amp;P Aerospace &amp;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88265</wp:posOffset>
            </wp:positionV>
            <wp:extent cx="5846445" cy="3549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6445"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S&amp;P Aerospace &amp; Defense Index comprises General Dynamics Corporation, Howmet Aerospace Inc., Huntington Ingalls Industries, L3Harris Technologies, Inc., Lockheed Martin Corporation, Northrop Grumman Corporation, Raytheon Technologies Corporation, Teledyne Technologies Incorporated, Textron Inc., The Boeing Company, and Transdigm Group Inc. The stockholder return performance indicated on the graph is not a guarantee of future performance.</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graph is not deemed to be “filed” with the U.S. Securities and Exchange Commission or subject to the liabilities of Section 18 of the Securities Exchange Act of 1934 (the Exchange Act), and should not be deemed to be incorporated by reference into any of our prior or subsequent filings under the Securities Act of 1933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quarter ended December 31, 2020.</w:t>
      </w:r>
    </w:p>
    <w:p>
      <w:pPr>
        <w:spacing w:after="0" w:line="198"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provides information about our repurchases of our common stock registered pursuant to Section 12 of the Exchange Act of 1934 during the quarter ended December 31, 2020.</w:t>
      </w: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46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2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as Part of Publicly</w:t>
            </w:r>
          </w:p>
        </w:tc>
        <w:tc>
          <w:tcPr>
            <w:tcW w:w="280" w:type="dxa"/>
            <w:vAlign w:val="bottom"/>
          </w:tcPr>
          <w:p>
            <w:pPr>
              <w:spacing w:after="0"/>
              <w:rPr>
                <w:sz w:val="15"/>
                <w:szCs w:val="15"/>
                <w:color w:val="auto"/>
              </w:rPr>
            </w:pPr>
          </w:p>
        </w:tc>
        <w:tc>
          <w:tcPr>
            <w:tcW w:w="2180" w:type="dxa"/>
            <w:vAlign w:val="bottom"/>
          </w:tcPr>
          <w:p>
            <w:pPr>
              <w:jc w:val="center"/>
              <w:ind w:right="92"/>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75"/>
        </w:trPr>
        <w:tc>
          <w:tcPr>
            <w:tcW w:w="4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Period </w:t>
            </w:r>
            <w:r>
              <w:rPr>
                <w:rFonts w:ascii="Times New Roman" w:cs="Times New Roman" w:eastAsia="Times New Roman" w:hAnsi="Times New Roman"/>
                <w:sz w:val="21"/>
                <w:szCs w:val="21"/>
                <w:color w:val="auto"/>
                <w:vertAlign w:val="superscript"/>
              </w:rPr>
              <w:t>(a)</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5"/>
                <w:szCs w:val="15"/>
                <w:color w:val="auto"/>
              </w:rPr>
            </w:pPr>
          </w:p>
        </w:tc>
        <w:tc>
          <w:tcPr>
            <w:tcW w:w="110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246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Plans or</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92"/>
              <w:spacing w:after="0" w:line="230" w:lineRule="exact"/>
              <w:rPr>
                <w:sz w:val="20"/>
                <w:szCs w:val="20"/>
                <w:color w:val="auto"/>
              </w:rPr>
            </w:pPr>
            <w:r>
              <w:rPr>
                <w:rFonts w:ascii="Times New Roman" w:cs="Times New Roman" w:eastAsia="Times New Roman" w:hAnsi="Times New Roman"/>
                <w:sz w:val="18"/>
                <w:szCs w:val="18"/>
                <w:b w:val="1"/>
                <w:bCs w:val="1"/>
                <w:color w:val="auto"/>
                <w:w w:val="94"/>
              </w:rPr>
              <w:t xml:space="preserve">Programs </w:t>
            </w:r>
            <w:r>
              <w:rPr>
                <w:rFonts w:ascii="Times New Roman" w:cs="Times New Roman" w:eastAsia="Times New Roman" w:hAnsi="Times New Roman"/>
                <w:sz w:val="21"/>
                <w:szCs w:val="21"/>
                <w:color w:val="auto"/>
                <w:w w:val="94"/>
                <w:vertAlign w:val="superscript"/>
              </w:rPr>
              <w:t>(b)</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28, 2020 – October 25, 2020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26, 2020 – November 29, 2020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350.79</w:t>
            </w:r>
          </w:p>
        </w:tc>
        <w:tc>
          <w:tcPr>
            <w:tcW w:w="19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November 30, 2020 – December 31, 2020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366.61</w:t>
            </w:r>
          </w:p>
        </w:tc>
        <w:tc>
          <w:tcPr>
            <w:tcW w:w="19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68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1"/>
                <w:szCs w:val="21"/>
                <w:color w:val="auto"/>
                <w:vertAlign w:val="superscript"/>
              </w:rPr>
              <w:t>(c)</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366.47</w:t>
            </w:r>
          </w:p>
        </w:tc>
        <w:tc>
          <w:tcPr>
            <w:tcW w:w="1900" w:type="dxa"/>
            <w:vAlign w:val="bottom"/>
            <w:tcBorders>
              <w:bottom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2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30" w:lineRule="auto"/>
        <w:tabs>
          <w:tab w:leader="none" w:pos="335"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close our books and records on the last Sunday of each month to align our financial closing with our business processes, except for the month of December, as our fiscal year ends on December 31. As a result, our fiscal months often differ from the calendar months. For example, October 26, 2020 was the first day of our November 2020 fiscal month.</w:t>
      </w:r>
    </w:p>
    <w:p>
      <w:pPr>
        <w:jc w:val="both"/>
        <w:ind w:left="340" w:hanging="332"/>
        <w:spacing w:after="0" w:line="234"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October 2010, our Board of Directors approved a share repurchase program pursuant to which we are authorized to repurchase our common stock in privately negotiated transactions or in the open market at prices per share not exceeding the then-current market prices. From time to time, our Board of Directors authorizes increases to our share repurchase program. The total remaining authorization for future common share repurchases under our share repurchase program was $3.0 billion as of December 31, 2020. Under the program, management has discretion to determine the dollar amount of shares to be repurchased and the timing of any repurchases in compliance with applicable law and regulation. This includes purchases pursuant to Rule 10b5-1 plans, including accelerated share repurchases. The program does not have an expiration date.</w:t>
      </w:r>
    </w:p>
    <w:p>
      <w:pPr>
        <w:spacing w:after="0" w:line="1" w:lineRule="exact"/>
        <w:rPr>
          <w:rFonts w:ascii="Times New Roman" w:cs="Times New Roman" w:eastAsia="Times New Roman" w:hAnsi="Times New Roman"/>
          <w:sz w:val="21"/>
          <w:szCs w:val="21"/>
          <w:color w:val="auto"/>
          <w:vertAlign w:val="superscript"/>
        </w:rPr>
      </w:pPr>
    </w:p>
    <w:p>
      <w:pPr>
        <w:jc w:val="both"/>
        <w:ind w:left="340" w:hanging="332"/>
        <w:spacing w:after="0" w:line="224" w:lineRule="auto"/>
        <w:tabs>
          <w:tab w:leader="none" w:pos="335"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quarter ended December 31, 2020, the total number of shares purchased included 9,987 shares that were transferred to us by employees in satisfaction of tax withholding obligations associated with the vesting of restricted stock units. These purchases were made pursuant to a separate authorization by our Board of Directors and are not included within the program.</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770"/>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4"/>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65,398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59,812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53,762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49,960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47,290</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Operating profit </w:t>
            </w:r>
            <w:r>
              <w:rPr>
                <w:rFonts w:ascii="Times New Roman" w:cs="Times New Roman" w:eastAsia="Times New Roman" w:hAnsi="Times New Roman"/>
                <w:sz w:val="10"/>
                <w:szCs w:val="10"/>
                <w:color w:val="auto"/>
              </w:rPr>
              <w:t>(a)(b)(c)(d)(e)(f)</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8,644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8,545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6,744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earnings from continuing operations </w:t>
            </w:r>
            <w:r>
              <w:rPr>
                <w:rFonts w:ascii="Times New Roman" w:cs="Times New Roman" w:eastAsia="Times New Roman" w:hAnsi="Times New Roman"/>
                <w:sz w:val="10"/>
                <w:szCs w:val="10"/>
                <w:color w:val="auto"/>
              </w:rPr>
              <w:t>(a)(b)(d)(e)(f)(g)(h)</w:t>
            </w:r>
          </w:p>
        </w:tc>
        <w:tc>
          <w:tcPr>
            <w:tcW w:w="5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6,888</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6,230</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5,046</w:t>
            </w:r>
          </w:p>
        </w:tc>
        <w:tc>
          <w:tcPr>
            <w:tcW w:w="3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(loss) earnings from discontinued operations </w:t>
            </w:r>
            <w:r>
              <w:rPr>
                <w:rFonts w:ascii="Times New Roman" w:cs="Times New Roman" w:eastAsia="Times New Roman" w:hAnsi="Times New Roman"/>
                <w:sz w:val="10"/>
                <w:szCs w:val="10"/>
                <w:color w:val="auto"/>
              </w:rPr>
              <w:t>(i)</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2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Net earnings </w:t>
            </w:r>
            <w:r>
              <w:rPr>
                <w:rFonts w:ascii="Times New Roman" w:cs="Times New Roman" w:eastAsia="Times New Roman" w:hAnsi="Times New Roman"/>
                <w:sz w:val="10"/>
                <w:szCs w:val="10"/>
                <w:color w:val="auto"/>
              </w:rPr>
              <w:t>(b)(c)(d)(e)(f)(g)(h)</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6,230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5,046</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1,963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per common share</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Basic </w:t>
            </w:r>
            <w:r>
              <w:rPr>
                <w:rFonts w:ascii="Times New Roman" w:cs="Times New Roman" w:eastAsia="Times New Roman" w:hAnsi="Times New Roman"/>
                <w:sz w:val="10"/>
                <w:szCs w:val="10"/>
                <w:color w:val="auto"/>
              </w:rPr>
              <w:t>(a)(b)(d)(e)(f)(g)(h)</w:t>
            </w:r>
          </w:p>
        </w:tc>
        <w:tc>
          <w:tcPr>
            <w:tcW w:w="5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24.60</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22.09</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17.74</w:t>
            </w:r>
          </w:p>
        </w:tc>
        <w:tc>
          <w:tcPr>
            <w:tcW w:w="3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3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10"/>
                <w:szCs w:val="10"/>
                <w:color w:val="auto"/>
              </w:rPr>
              <w:t>(a)(b)(d)(e)(f)(g)(h)</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24.50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17.59</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 per common share</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0.26</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Basic </w:t>
            </w:r>
            <w:r>
              <w:rPr>
                <w:rFonts w:ascii="Times New Roman" w:cs="Times New Roman" w:eastAsia="Times New Roman" w:hAnsi="Times New Roman"/>
                <w:sz w:val="10"/>
                <w:szCs w:val="10"/>
                <w:color w:val="auto"/>
              </w:rPr>
              <w:t>(a)(b)(d)(e)(f)(g)(h)</w:t>
            </w:r>
          </w:p>
        </w:tc>
        <w:tc>
          <w:tcPr>
            <w:tcW w:w="5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24.40</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22.09</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17.74</w:t>
            </w:r>
          </w:p>
        </w:tc>
        <w:tc>
          <w:tcPr>
            <w:tcW w:w="3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29"/>
        </w:trPr>
        <w:tc>
          <w:tcPr>
            <w:tcW w:w="49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10"/>
                <w:szCs w:val="10"/>
                <w:color w:val="auto"/>
              </w:rPr>
              <w:t>(a)(b)(d)(e)(f)(g)(h)</w:t>
            </w: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24.30</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21.95</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17.59</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6.75</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23"/>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common share</w:t>
            </w: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9.80</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Cash, cash equivalents and short-term investments </w:t>
            </w:r>
            <w:r>
              <w:rPr>
                <w:rFonts w:ascii="Times New Roman" w:cs="Times New Roman" w:eastAsia="Times New Roman" w:hAnsi="Times New Roman"/>
                <w:sz w:val="10"/>
                <w:szCs w:val="10"/>
                <w:color w:val="auto"/>
              </w:rPr>
              <w:t>(b)</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3,160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2,861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19,378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17,095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16,103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17,505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10,806</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10,604</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10,769</w:t>
            </w:r>
          </w:p>
        </w:tc>
        <w:tc>
          <w:tcPr>
            <w:tcW w:w="3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10,807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10"/>
                <w:szCs w:val="10"/>
                <w:color w:val="auto"/>
              </w:rPr>
              <w:t>(b)</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50,710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47,528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44,876</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46,620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47,560</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13,933</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13,972</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14,398</w:t>
            </w:r>
          </w:p>
        </w:tc>
        <w:tc>
          <w:tcPr>
            <w:tcW w:w="3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12,913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net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12,169</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12,654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14,104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14,263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liabilities </w:t>
            </w:r>
            <w:r>
              <w:rPr>
                <w:rFonts w:ascii="Times New Roman" w:cs="Times New Roman" w:eastAsia="Times New Roman" w:hAnsi="Times New Roman"/>
                <w:sz w:val="10"/>
                <w:szCs w:val="10"/>
                <w:color w:val="auto"/>
              </w:rPr>
              <w:t>(b)(k)</w:t>
            </w:r>
          </w:p>
        </w:tc>
        <w:tc>
          <w:tcPr>
            <w:tcW w:w="5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44,672</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44,357</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43,427</w:t>
            </w:r>
          </w:p>
        </w:tc>
        <w:tc>
          <w:tcPr>
            <w:tcW w:w="3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47,396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46,083</w:t>
            </w:r>
          </w:p>
        </w:tc>
      </w:tr>
      <w:tr>
        <w:trPr>
          <w:trHeight w:val="229"/>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equity (deficit) </w:t>
            </w:r>
            <w:r>
              <w:rPr>
                <w:rFonts w:ascii="Times New Roman" w:cs="Times New Roman" w:eastAsia="Times New Roman" w:hAnsi="Times New Roman"/>
                <w:sz w:val="10"/>
                <w:szCs w:val="10"/>
                <w:color w:val="auto"/>
              </w:rPr>
              <w:t>(b)(g)</w:t>
            </w: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6,038</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3,171</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1,449</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23"/>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 in stockholders’ equity at year-end</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279</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information</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cash provided by operating activities </w:t>
            </w:r>
            <w:r>
              <w:rPr>
                <w:rFonts w:ascii="Times New Roman" w:cs="Times New Roman" w:eastAsia="Times New Roman" w:hAnsi="Times New Roman"/>
                <w:sz w:val="10"/>
                <w:szCs w:val="10"/>
                <w:color w:val="auto"/>
              </w:rPr>
              <w:t>(b)(c)</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8,183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7,311</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6,476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(4,527)</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w:t>
            </w: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Backlog</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147,131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143,981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130,468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105,493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103,458</w:t>
            </w:r>
          </w:p>
        </w:tc>
      </w:tr>
    </w:tbl>
    <w:p>
      <w:pPr>
        <w:spacing w:after="0" w:line="94" w:lineRule="exact"/>
        <w:rPr>
          <w:sz w:val="20"/>
          <w:szCs w:val="20"/>
          <w:color w:val="auto"/>
        </w:rPr>
      </w:pPr>
    </w:p>
    <w:p>
      <w:pPr>
        <w:jc w:val="both"/>
        <w:ind w:left="340" w:hanging="332"/>
        <w:spacing w:after="0" w:line="230" w:lineRule="auto"/>
        <w:tabs>
          <w:tab w:leader="none" w:pos="335"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operating profit and net earnings from continuing operations and earnings per share from continuing operations were affected by severance charges of $27 million ($21 million, or $0.08 per share, after-tax) in 2020 primarily related to corporate functions, severance and restructuring charges of $96 million ($76 million, or $0.26 per share, after-tax) in 2018 and severance charges of $80 million ($52 million, or $0.17 per share, after-tax) in 2016.</w:t>
      </w:r>
    </w:p>
    <w:p>
      <w:pPr>
        <w:jc w:val="both"/>
        <w:ind w:left="340" w:hanging="332"/>
        <w:spacing w:after="0" w:line="232"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impact of our postretirement benefit plans can cause our operating profit, net earnings, cash flows and certain amounts recorded on our consolidated balance sheets to fluctuate. Accordingly, our net earnings were affected by a net FAS/CAS pension adjustment of $2.1 billion in 2020, $1.5 billion in 2019, $1.0 billion in 2018, $876 million in 2017, and $902 million in 2016. We made pension contributions of $1.0 billion in 2020, $1.0 billion in 2019, $5.0 billion in 2018, $46 million in 2017, and $23 million in 2016, and these contributions caused fluctuations in our operating cash flows and cash balance between each of those years. See “Critical Accounting Policies - Postretirement Benefit Plans” in Management’s Discussion and Analysis of Financial Condition and Results of Operations for more information.</w:t>
      </w:r>
    </w:p>
    <w:p>
      <w:pPr>
        <w:jc w:val="both"/>
        <w:ind w:left="340" w:hanging="332"/>
        <w:spacing w:after="0" w:line="228" w:lineRule="auto"/>
        <w:tabs>
          <w:tab w:leader="none" w:pos="335"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generated from operations for the year ended December 31, 2020 reflects the receipt of approximately $1.2 billion of net accelerated progress payments due to the U.S. Government's increase in the progress payment rate from 80 percent to 90 percent and the deferral of $460 million for the employer portion of payroll taxes to 2021 and 2022 pursuant to the CARES Act. We used the accelerated progress payments from the U.S. Government plus cash on hand to accelerate $2.1 billion of payments to our suppliers as of December 31, 2020 that are due by their terms in future periods.</w:t>
      </w:r>
    </w:p>
    <w:p>
      <w:pPr>
        <w:spacing w:after="0" w:line="2" w:lineRule="exact"/>
        <w:rPr>
          <w:rFonts w:ascii="Times New Roman" w:cs="Times New Roman" w:eastAsia="Times New Roman" w:hAnsi="Times New Roman"/>
          <w:sz w:val="21"/>
          <w:szCs w:val="21"/>
          <w:color w:val="auto"/>
          <w:vertAlign w:val="superscript"/>
        </w:rPr>
      </w:pPr>
    </w:p>
    <w:p>
      <w:pPr>
        <w:ind w:left="340" w:hanging="332"/>
        <w:spacing w:after="0" w:line="215"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2019 and 2017, we recorded a previously deferred non-cash gain of $51 million ($38 million, or $0.13 per share, after-tax) and $198 million ($122 million, or $0.42 per share, after-tax) related to properties sold in 2015 as a result of completing our remaining obligations.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340" w:hanging="332"/>
        <w:spacing w:after="0"/>
        <w:tabs>
          <w:tab w:leader="none" w:pos="335"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year ended December 31, 2019, net earnings include a gain of $34 million (approximately $0 after-tax) for the sale of our Distributed Energy Solutions business.</w:t>
      </w:r>
    </w:p>
    <w:p>
      <w:pPr>
        <w:spacing w:after="0" w:line="154" w:lineRule="exact"/>
        <w:rPr>
          <w:rFonts w:ascii="Times New Roman" w:cs="Times New Roman" w:eastAsia="Times New Roman" w:hAnsi="Times New Roman"/>
          <w:sz w:val="21"/>
          <w:szCs w:val="21"/>
          <w:color w:val="auto"/>
          <w:vertAlign w:val="superscript"/>
        </w:rPr>
      </w:pPr>
    </w:p>
    <w:p>
      <w:pPr>
        <w:jc w:val="both"/>
        <w:ind w:left="340" w:hanging="332"/>
        <w:spacing w:after="0" w:line="232" w:lineRule="auto"/>
        <w:tabs>
          <w:tab w:leader="none" w:pos="337"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year ended December 31, 2020 and 2018, operating profit includes a non-cash asset impairment charge of $128 million ($96 million, or $0.34 per share, after-tax) and $110 million ($83 million, or $0.29 per share, after-tax) related to our equity method investee, Advanced Military Maintenance, Repair and Overhaul Center LLC (AMMROC). For the year ended December 31, 2017, operating profit includes a $64 million ($40 million, or $0.14 per share, after-tax) charge, which represents our portion of a non-cash asset impairment charge recorded by AMMROC. See “Note 1 – Significant Accounting Policies” included in our Notes to Consolidated Financial Statements for more information.</w:t>
      </w:r>
    </w:p>
    <w:p>
      <w:pPr>
        <w:jc w:val="both"/>
        <w:ind w:left="340" w:hanging="332"/>
        <w:spacing w:after="0" w:line="223"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2017, we recorded a net one-time tax charge of $2.0 billion ($6.77 per share), substantially all of which was non-cash, primarily related to the estimated impact of the Tax Cuts and Jobs Act of 2017 (see “Note 10 – Income Taxes” included in our Notes to Consolidated Financial Statements). This charge along with our annual re-measurement adjustment related to our postretirement benefit plans of $1.4 billion resulted in a deficit in our total equity as of December 31, 2017.</w:t>
      </w:r>
    </w:p>
    <w:p>
      <w:pPr>
        <w:jc w:val="both"/>
        <w:ind w:left="340" w:hanging="332"/>
        <w:spacing w:after="0" w:line="232"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earnings for the year ended December 31, 2019 include benefits of $127 million ($0.45 per share) for additional tax deductions for the prior year, primarily attributable to foreign derived intangible income treatment based on proposed tax regulations released on March 4, 2019 and a change in our tax accounting method. Net earnings for the year ended December 31, 2018 include benefits of $146 million ($0.51 per share) for additional tax deductions for the prior year, primarily attributable to true-ups to the net one-time charges related to the Tax Cuts and Jobs Act enacted on December 22, 2017 and our change in tax accounting method (see “Note 10 – Income Taxes” included in our Notes to Consolidated Financial Statements).</w:t>
      </w:r>
    </w:p>
    <w:p>
      <w:pPr>
        <w:jc w:val="both"/>
        <w:ind w:left="340" w:hanging="332"/>
        <w:spacing w:after="0" w:line="223" w:lineRule="auto"/>
        <w:tabs>
          <w:tab w:leader="none" w:pos="331"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Discontinued operations for the year ended December 31, 2020 include a $55 million ($0.20 per share) non-cash charge resulting from the resolution of certain tax matters related to the former Information Systems &amp; Global Solutions (IS&amp;GS) business divested in 2016. Discontinued operations for the year ended December 31, 2016 include a $1.2 billion net gain related to the divestiture of our IS&amp;GS business in 2016.</w:t>
      </w:r>
    </w:p>
    <w:p>
      <w:pPr>
        <w:jc w:val="both"/>
        <w:ind w:left="340" w:hanging="332"/>
        <w:spacing w:after="0" w:line="229" w:lineRule="auto"/>
        <w:tabs>
          <w:tab w:leader="none" w:pos="331"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January 1, 2019, we adopted Accounting Standards Update (ASU) 2016-02, Leases (Topic 842). As of December 31, 2019, right-of-use operating lease assets were $1.0 billion and operating lease liabilities were $1.1 billion. Approximately $855 million of operating lease liabilities were classified as noncurrent. There was no impact to our consolidated statements of earnings or cash flows as a result of adopting this standard. Prior periods were not restated for the adoption of ASU 2016-02. See “Note 9 – Leases” included in our Notes to Consolidated Financial Statements.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right="356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ITEM 7.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Business Overview</w:t>
      </w: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help the reader understand our results of operations and financial condition. The MD&amp;A is provided as a supplement to, and should be read in conjunction with, our consolidated financial statements and notes thereto included in Item 8 - Financial Statements and Supplementary Data.</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MD&amp;A generally discusses 2020 and 2019 items and year-to-year comparisons between 2020 and 2019. Discussions of 2018 items and year-to-year comparisons between 2019 and 2018 that are not included in this Form 10-K can be found in “Management’s Discussion and Analysis of Financial Condition and Results or Operations” in the Company’s Annual Report on Form 10-K for the fiscal year ended December 31, 2019 filed with the SEC on February 7, 2020.</w:t>
      </w:r>
    </w:p>
    <w:p>
      <w:pPr>
        <w:spacing w:after="0" w:line="13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global security and aerospace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We serve both U.S. and international customers with products and services that have defense, civil and commercial applications, with our principal customers being agencies of the U.S. Government. In 2020, 74% of our $65.4 billion in net sales were from the U.S. Government, either as a prime contractor or as a subcontractor (including 64% from the Department of Defense (DoD)), 25% were from international customers (including foreign military sales (FMS) contracted through the U.S. Government) and 1% were from U.S. commercial and other customers. Our main areas of focus are in defense, space, intelligence, homeland security and information technology, including cybersecurity.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operate in four business segments: Aeronautics, Missiles and Fire Control (MFC), Rotary and Mission Systems (RMS) and Space. We organize our business segments based on the nature of the products and services offered.</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operate in an environment characterized by both complexity in global security and continuing economic pressures in the U.S. and globally. A significant component of our strategy in this environment is to focus on program execution, improving the quality and predictability of the delivery of our products and services, and placing security capability quickly into the hands of our U.S. and international customers at affordable prices. Recognizing that our customers are resource constrained, we are endeavoring to develop and extend our portfolio domestically in a disciplined manner with a focus on adjacent markets close to our core capabilities, as well as growing our international sales. We continue to focus on affordability initiatives. We also expect to continue to innovate and invest in technologies to fulfill new mission requirements for our customers, including through acquisitions, and invest in our people so that we have the technical skills necessary to succeed.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global outbreak of the coronavirus disease 2019 (COVID-19) was declared a pandemic by the World Health Organization and a national emergency by the U.S. Government in March 2020 and has negatively affected the U.S. and global economies, disrupted global supply chains, resulted in significant travel and transport restrictions, including mandated closures and orders to “shelter-in-place” and quarantine restrictions. We have taken measures to protect the health and safety of our employees, work with our customers and suppliers to minimize disruptions and support our community in addressing the challenges posed by this ongoing global pandemic. The pandemic has presented unprecedented business challenges, and we have experienced impacts in each of our business areas related to COVID-19, primarily in increased coronavirus-related costs, delays in supplier deliveries, impacts of travel restrictions, site access and quarantine requirements, and the impacts of remote work and adjusted work schedules.</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Despite these challenges, Lockheed Martin and the U.S. Government’s pro-active efforts, especially with regard to the supply chain, helped to partially mitigate the disruptions caused by COVID-19 on our operations in 2020. In addition, favorable contract award timing, strong operational performance and lower travel and overhead expenditures due to COVID-19 restrictions partially offset the impacts of COVID-19 on our financial results in 2020. However, the ultimate impact of COVID-19 on our operations and financial performance in future periods, including our ability to execute our programs in the expected timeframe, remains uncertain and will depend on future pandemic related developments, including the duration of the pandemic, any potential subsequent waves of COVID-19 infection, the effectiveness, distribution and acceptance of COVID-19 vaccines, and related government actions to prevent and manage disease spread, all of which are uncertain and cannot be predicted. The long-term impacts of COVID-19 on government budgets and other funding priorities, including international priorities, that impact demand for our products and services and our business are also difficult to predict but could negatively affect our future results of operations. For additional risks to the corporation related to the COVID-19 pandemic, see Item 1A - Risk Factors.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the Department of Homeland Security’s identification of the Defense Industrial Base as a critical infrastructure sector in March 2020, our U.S. production facilities have continued to operate in support of essential products and services required to meet national security commitments to the U.S. Government and the U.S. military. Although we are designated as a critical infrastructure workforce, operations have been adjusted in response to the pandemic, including, most significantly, a reduction in the F-35 production rate primarily due to supplier delays. The reduction delayed 2020 F-35 deliveries by 18 aircraft. Due to the supplier delays, we implemented a temporary schedule adjustment for the F-35 production workforce in Fort Worth, Texas. While the F-35 production workforce resumed their pre-COVID-19 work schedule in the third quarter of 2020, staffing levels at our facilities, our customer facilities, and our supplier facilities have and could continue to fluctuate as a result of COVID-19, which could negatively impact our business. In addition, countries other than the U.S. have different responses to the pandemic that can affect our international operations and the operations of our suppliers and customers. Base closures, travel restrictions, and quarantine requirements both within and outside the U.S. have affected our normal operations and resulted in some schedule delays and future or prolonged occurrences of these could adversely affect our ability to achieve future contract milestones and our results of operations.</w:t>
      </w:r>
    </w:p>
    <w:p>
      <w:pPr>
        <w:spacing w:after="0" w:line="1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 Government has taken actions in response to COVID-19 to increase the progress payment rates in new and existing contracts and accelerate contract awards to provide cash flow and liquidity for companies in the Defense Industrial Base, including large prime contractors like Lockheed Martin and smaller suppliers. We continue to proactively monitor our supply chain and have implemented multiple actions to help mitigate the effects of COVID-19, including accelerating payments to suppliers within our global supply base as a result of the actions taken by the DoD in changing the progress payment policy. We plan to continue to accelerate payments to the supply chain assuming the continuation of the current DoD progress payment policy in order to mitigate COVID-19 risks, prioritizing impacted suppliers and small businesses. As described in Item 1A, Risk Factors of our Annual Report on Form 10-K, we rely on other companies and the U.S. Government to provide materials, major components and products, and to perform a portion of the services that are provided to our customers under the terms of most of our contracts. Many of these suppliers also supply parts for commercial aviation businesses which have been more significantly impacted by the pandemic due to the impacts on these markets. Global supply chain disruption caused by the response to COVID-19 has impacted some of our programs and could impact our ability to perform on our contracts, in particular in instances where there is not a qualified second source of supply. We have identified a number of suppliers that have experienced delivery impacts due to COVID-19 and have been working to manage those impacts. However, if alternatives or other mitigations are not effective, deliveries and other milestones on affected programs could be adversely impacted.</w:t>
      </w:r>
    </w:p>
    <w:p>
      <w:pPr>
        <w:spacing w:after="0" w:line="16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work in production facilities and labs has continued throughout the pandemic, consistent with guidance from federal, state and local officials to minimize the spread of COVID-19. We have taken actions to equip employees with personal protective equipment, establish minimum staffing and social distancing policies, sanitize workspaces more frequently, adopt alternate work schedules and institute other measures aimed to sustain production and related services while minimizing the transmission of COVID-19. In addition, we have implemented a flexible teleworking policy for employees who can meet our customer commitments remotely, and a significant portion of our workforce is currently teleworking. It remains uncertain when and on what scale teleworking employees will return to work in person. We have not previously experienced such a significant portion of our workforce working remotely for a prolonged period, so its effects on our long-term operations are unknown.</w:t>
      </w:r>
    </w:p>
    <w:p>
      <w:pPr>
        <w:spacing w:after="0" w:line="1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Coronavirus-related costs for us and our suppliers are significant and we are seeking reimbursement of coronavirus-related costs under our U.S. Government contracts through a combination of equitable adjustments to the contract price and reimbursement of the costs under Section 3610 of the Coronavirus Aid, Relief and Economic Security Act (CARES Act), which allows federal agencies to reimburse contractors at the minimum applicable contract billing rate for costs arising from certain paid leave, including sick leave a contractor provides to keep its employees or subcontractors in a ready state, as well as to protect the life and safety of government and contractor personnel from March 27, 2020 through March 31, 2021. Reimbursement of any costs under Section 3610 of the CARES Act increases sales, but is not expected to be at a profit or fee and so would have the effect of reducing our margins in future periods. These cost increases, including costs for employees whose jobs cannot be performed remotely and for certain costs incurred prior to March 27, 2020, may not be fully recoverable under our contracts, particularly fixed-price contracts, or adequately covered by insurance. We also have no assurance that Congress will appropriate funds to cover the reimbursement of defense contractors authorized by the CARES Act, which could reduce funds available for other U.S. Government defense priorities. We also deferred certain payroll taxes in 2020 as provided for in the CARES Act, which has the effect of increasing our cash from operations in 2020, but reducing cash from operations in 2021 and 2022.</w:t>
      </w:r>
    </w:p>
    <w:p>
      <w:pPr>
        <w:spacing w:after="0" w:line="1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continue to work with our customers, employees, suppliers and communities to address the impacts of COVID-19 and to take actions in an effort to mitigate adverse consequences.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Financial Trends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our 2021 net sales to increase by approximately 4% from 2020 levels. The projected growth is driven by increases across all four business areas. Specifically, the increased growth is driven by F-35, F-16 and classified programs at Aeronautics, increased volume within integrated air and missile defense at MFC, increased volume on Sikorsky helicopter program and training and logistics solutions programs at RMS, and hypersonics volume (including an acquisition of Integration Innovation Inc.’s (i3) hypersonics portfolio in November 2020) at Space. Total business segment operating margin in 2021 is expected to be approximately 11.0% and cash from operations is expected to be greater than or equal to $8.3 billion, net of $1.0 billion of planned pension contributions. The preliminary outlook for 2021 reflects the UK Ministry of Defense’s intent to re-nationalize the Atomic Weapons Establishment program (AWE program) on June 30, 2021. It does not incorporate the pending acquisition of Aerojet Rocketdyne Holdings, Inc. announced on December 20, 2020. The outlook for 2021 assumes continued support and funding of our programs, known impacts of COVID-19, and a statutory tax rate of 21%. Additionally, it assumes that there will not be significant reductions in customer budgets, changes in funding priorities and that the U.S. Government will not operate under a continuing resolution for an extended period in which new contract and program starts are restricted. Changes in circumstances may require us to revise our assumptions, which could materially change our current estimate of 2021 net sales, operating margin and cash flows.</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a total net FAS/CAS pension benefit of approximately $2.3 billion in 2021 based on a 2.50% discount rate (a 75 basis point decrease from the end of 2019), an approximate 16.5% return on plan assets in 2020, and a 7.00% expected long-term rate of return on plan assets in future years, among other assumptions. We expect to make contributions of approximately $1.0 billion to our qualified defined benefit pension plans in 2021 and anticipate recovering approximately $2.1 billion of CAS pension cost.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Shaping Activities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continuously strive to strengthen our portfolio of products and services to meet the current and future needs of our customers. We accomplish this in part by our independent research and development activities and through acquisition, divestiture and internal realignment activities.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selectively pursue the acquisition of businesses and investments at attractive valuations that will expand or complement our current portfolio and allow access to new customers or technologies. We also may explore the divestiture of businesses that no longer meet our needs or strategy or that could perform better outside of our organization. In pursuing our business strategy, we routinely conduct discussions, evaluate targets and enter into agreements regarding possible acquisitions, divestitures, joint ventures and equity investments.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December 20, 2020 we entered into an agreement to acquire Aerojet Rocketdyne Holdings, Inc. (Aerojet Rocketdyne) for $56 per share in cash, which is expected to be reduced to $51 per share after Aerojet Rocketdyne pays a pre-closing special dividend to its stockholders on March 24, 2021. This represents a post-dividend equity value of approximately $4.6 billion, on a fully diluted as-converted basis, and a transaction value of approximately $4.4 billion after the assumption of Aerojet Rocketdyne’s projected net cash balance. We expect to finance the acquisition through a combination of cash on hand and new debt issuances. The acquisition provides the corporation the opportunity to integrate Aerojet Rocketdyne’s propulsion systems more effectively into its products, generate cost and revenue synergies, and improve efficiencies in Aerojet Rocketdyne's production operations. The transaction will also allow customers incorporating Aerojet Rocketdyne products to offer more timely, innovative and affordable solutions, and reduce the prices paid by the U S. Government for systems it buys. The transaction is expected to close in the second half of 2021 and is subject to the satisfaction of customary closing conditions, including regulatory approvals and approval by Aerojet Rocketdyne’s stockholders. For risks related to the transaction, see Item 1A - Risk Factors. For more information regarding the acquisition terms, see Item 1.01 in our Current Report on Form 8-K filed with the SEC on December 21, 2020 for a description and copy of the merger agreement.</w:t>
      </w:r>
    </w:p>
    <w:p>
      <w:pPr>
        <w:spacing w:after="0" w:line="1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in the fourth quarter of 2020, we paid approximately $282 million for the acquisitions of Integration Innovation Inc.’s (i3) hypersonics portfolio and Allcomp Inc. The purchase price for each was allocated to the estimated fair value of net tangible and intangible assets acquired, with any excess purchase price recorded as goodwill. As a result, we recorded goodwill of $173 million at our Space business segment and $16 million at our Aeronautics business segment. The final determination of the fair values of certain assets and liabilities will be completed within the measurement period of up to one year from the respective acquisition date. The operating results of the businesses acquired have been included within our operating results since their respective acquisition dates.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Considerations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Funding</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27, 2020, the President signed the fiscal year (FY) 2021 Consolidated Appropriations Act, providing annual funding for the DoD, other government agencies, and COVID-19 relief. The appropriations provide $741 billion in discretionary funding for national defense (includes DoD funding and defense-related spending in energy and water development, homeland security, and military construction appropriations), of which $671 billion is in base funding and $69 billion is Overseas Contingency Operations (OCO)/emergency funding (OCO and emergency supplemental funding do not count toward discretionary spending caps). Of the $741 billion, the DoD was allocated $704 billion, composed of $635 billion in base funding and $69 billion in OCO and emergency funding. The appropriations adhere to the Bipartisan Budget Act of 2019 (BBA 2019), which increased the spending limits for both defense and non-defense discretionary funds for the final two years (FY 2020 and FY 2021) of the Budget Control Act of 2011 (BCA).</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Appropriations Act also provides stimulus funds to individuals, businesses, and hospitals in response to the economic distress caused by the coronavirus (COVID-19) pandemic. Additionally, it extends Section 3610 of the CARES Act until March 31, 2021, which gives DoD and federal agencies discretion to reimburse contractors for any paid leave, including sick leave, a contractor provides during the pandemic to keep its employees in a ready state.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Business</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key component of our strategic plan is to grow our international sales. To accomplish this growth, we continue to focus on strengthening our relationships internationally through partnerships and joint technology efforts. We conduct business with international customers through each of our business segments through either FMS or direct sales to international customers. See Item 1A - Risk Factors for a discussion of risks related to international sales.</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International customers accounted for 31% of Aeronautics’ 2020 net sales. There continues to be strong international interest in the F-35 program, which includes commitments from the U.S. Government and seven international partner countries and six international customers, as well as expressions of interest from other countries. The U.S. Government and the partner countries continue to work together on the design, testing, production, and sustainment of the F-35 program. Other areas of international expansion at our Aeronautics business segment include the F-16 and C-130J programs. Aeronautics received contracts in 2020 with Bulgaria and Taiwan for new F-16 aircraft, extending work beyond 2025. The C-130J Super Hercules aircraft continued to draw interest from various international customers, including a contract in 2020 from New Zealand.</w:t>
      </w:r>
    </w:p>
    <w:p>
      <w:pPr>
        <w:spacing w:after="0" w:line="160"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In 2020, international customers accounted for 25% of MFC’s net sales. Our MFC business segment continues to generate significant international interest, most notably in the air and missile defense product line, which produces the Patriot Advanced Capability-3 (PAC-3) and Terminal High Altitude Area Defense (THAAD) systems. The PAC-3 family of missiles are the only combat proven Hit-to-Kill interceptors that defend against incoming threats, including tactical ballistic missiles, cruise missiles and aircraft. Fourteen nations have chosen PAC-3 Cost Reduction Initiative (CRI) and PAC-3 Missile Segment Enhancement (MSE) to provide missile defense capabilities. THAAD is an integrated system designed to protect against high altitude ballistic missile threats. Additionally, we continue to see international demand for our tactical missile and fire control products, where we received orders for precision fires systems from Poland and Romania; and Apache and Low Altitude Navigation and Targeting Infrared for Night (LANTIRN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systems for Qatar.</w:t>
      </w:r>
    </w:p>
    <w:p>
      <w:pPr>
        <w:spacing w:after="0" w:line="154"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In 2020, international customers accounted for 25% of RMS’ net sales. Our RMS business segment continues to experience international interest in the Aegis Ballistic Missile Defense System (Aegis) for which we perform activities in the development, production, modernization, ship integration, test and lifetime support for ships of international customers such as Japan, Spain, Republic of Korea, and Australia. We have ongoing combat systems programs associated with different classes of surface combatant ships for customers in Canada, Chile, and New Zealand. Our Multi-Mission Surface Combatant (MMSC) program provides surface combatant ships for international customers, such as the Kingdom of Saudi Arabia, designed to operate in shallow waters and the open ocean. In our training and logistics solutions portfolio, we have active programs and pursuits in the United Kingdom, the Kingdom of Saudi Arabia, Canada, Singapore, Australia, Germany and France. We have active development, production, and sustainment support of the S-70i Black 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MH-60 Seahawk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aircraft to foreign military customers, including Chile, Australia, Denmark, Taiwan, the Kingdom of Saudi Arabia, Colombia, and Greece. Commercial aircraft are sold to international customers to support search and rescue missions as well as VIP and offshore oil and gas transportation.</w:t>
      </w:r>
    </w:p>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International customers accounted for 13% of Space’s 2020 net sales. The majority of our Space business segment international sales are from our majority share of AWE Management Limited (AWE), which operates the United Kingdom’s nuclear deterrent program. The work at AWE covers the entire life cycle, from initial concept, assessment and design, through</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component manufacture and assembly, in-service support and decommissioning, and disposal. On November 2, 2020, the UK Ministry of Defense (MOD) announced its intention to re-nationalize the program on June 30, 2021. We are working with the MOD to transition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the F-35 Program</w:t>
      </w:r>
    </w:p>
    <w:p>
      <w:pPr>
        <w:spacing w:after="0" w:line="20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F-35 program primarily consists of production contracts, sustainment activities, and new development efforts. Production of the aircraft is expected to continue for many years given the U.S. Government’s current inventory objective of 2,456 aircraft for the U.S. Air Force, U.S. Marine Corps, and U.S. Navy; commitments from our seven international partner countries and six international customers; as well as expressions of interest from other countries.</w:t>
      </w:r>
    </w:p>
    <w:p>
      <w:pPr>
        <w:spacing w:after="0" w:line="13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During 2020, the F-35 program completed several milestones both domestically and internationally. The U.S. Government continued testing the aircraft, including ship trials, mission and weapons systems evaluations, and the F-35 fleet recently surpassed 355,000 flight hours. During the second half of 2020, the U.S. Government awarded the production of 18 F-35 Block Buy aircraft in addition to the 448 aircraft previously awarded. Since program inception, we have delivered 611 production F-35 aircraft, demonstrating the F-35 program’s continued progress and longevity. The first 611 F-35 aircraft delivered to U.S. and international customers include 438 F-35A variants, 128 F-35B variants, and 45 F-35C variants.</w:t>
      </w:r>
    </w:p>
    <w:p>
      <w:pPr>
        <w:spacing w:after="0" w:line="14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2020, we delivered 120 production aircraft to our U.S. and international partner countries, and we have 356 production aircraft in backlog, including orders from our international partner countries.</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response to COVID-19 F-35 supplier delays and in conjunction with the F-35 Joint Program Office, we have tapered our production rate, and we anticipate resuming a pre-COVID-19 production rate in 2021. The delays resulted in 18 fewer deliveries than originally planned in 2020. See the discussion in Business Overview - COVID-19 and Item 1A, Risk Factors.</w:t>
      </w:r>
    </w:p>
    <w:p>
      <w:pPr>
        <w:spacing w:after="0" w:line="13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a result of Turkey accepting delivery of the Russian S-400 air and missile defense system, the U.S. Government removed Turkey from the F-35 program in 2019 and in December 2020 imposed sanctions on Turkey’s defense procurement agency (SSB) and certain of the agency’s officers under the Countering America’s Adversaries Through Sanctions Act (CAATSA). The primary sanction imposed was a restriction on all new U.S. export licenses and authorizations for any goods or technology transferred to the SSB, but does not apply to current, valid export licenses and authorizations. Lockheed Martin expects the U.S. Government to continue to engage Turkey on these issues, but we have no indication that the sanctions will be removed, that additional sanctions will not be imposed or that Turkey will not issue reciprocal sanctions. While we do not expect the current sanctions to have a material effect on our current programs, additional sanctions, reciprocal sanctions or other actions, could be material to our operations, operating results, financial position or cash flows.</w:t>
      </w:r>
    </w:p>
    <w:p>
      <w:pPr>
        <w:spacing w:after="0" w:line="15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addition to having committed to purchase up to 100 F-35 aircraft, six of which had completed production at the time of removal, Turkish suppliers continue to produce component parts for the F-35 program, some of which are single-sourced. To minimize the risks of disruption of our supply chain and ensure continuity of F-35 production, we have been working closely with the DoD and supporting activities to identify and engage alternate suppliers for the component parts produced by Turkish suppliers. We have made significant progress transitioning to non-Turkish suppliers, but due to the procedure to qualify new parts and suppliers, this collaborative process between DoD and Lockheed Martin is ongoing. During 2020, the DoD publicly confirmed that Turkish suppliers would be permitted to provide certain components for the F-35 through 2022. While the transition timeline is an important first step, it is equally important that our replacement capacity is re-established so that production is not impacted. Efforts to date have significantly reduced our risk, but final resolution on a limited number of remaining components could affect F-35 deliveries, and any accelerated work stoppage would impact cost. We will continue to follow official U.S. Government guidance as it relates to completed Turkish aircraft and the export and import of component parts from the Turkish supply chain.</w:t>
      </w:r>
    </w:p>
    <w:p>
      <w:pPr>
        <w:spacing w:after="0" w:line="16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effects on the F-35 program of the U.S. Government sanctions on the SSB and Turkey’s removal from the F-35 program do not appear to be significant at this time. However, unforeseen actions could impact the timing of orders, disrupt the production of aircraft, delay delivery of aircraft, disrupt delivery of sustainment components produced in Turkey and impact funding on the F-35 program to include the result of any reprogramming of funds that may be necessary to mitigate the impact of alternate sources for component parts made in Turkey. While, in the case of the F-35 program, we expect that these costs ultimately would be recovered from the U.S. Government, the availability or timing of any recovery could adversely affect our cash flows and results of operations. For additional discussion, including the risk of sanctions on other programs involving sales to Turkey or work with Turkish industry, see Item 1A - Risk Factors.</w:t>
      </w:r>
    </w:p>
    <w:p>
      <w:pPr>
        <w:spacing w:after="0" w:line="1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Given the size and complexity of the F-35 program, we anticipate that there will be continual reviews related to aircraft performance, program schedule, cost, and requirements as part of the DoD, Congressional, and international partner countries’ oversight and budgeting processes. Current program challenges include, but are not limited to, supplier and partner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performance, software development, level of cost associated with life cycle operations and sustainment and warranties, receiving funding for contracts on a timely basis, executing future flight tests, and findings resulting from testing and operating the aircraft.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2020, our backlog was $147.1 billion compared with $144.0 billion at December 31, 2019. Backlog at December 31, 2020 was reduced by $1.0 billion to reflect the impact of the U.K. Ministry of Defense’s intent to re-nationalize the AWE program on June 30, 2021. Backlog is converted into sales in future periods as work is performed or deliveries are made. We expect to recognize approximately 39% of our backlog over the next 12 months and approximately 61% over the next 24 months as revenue, with the remainder recognized thereafter.</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backlog includes both funded (firm orders for our products and services for which funding has been both authorized and appropriated by the customer) and unfunded (firm orders for which funding has not been appropriated) amounts. We do not include unexercised options or potential orders under indefinite-delivery, indefinite-quantity agreements in our backlog. If any of our contracts with firm orders were to be terminated, our backlog would be reduced by the expected value of the unfilled orders of such contracts. Funded backlog was $102.3 billion at December 31, 2020, as compared to $94.5 billion at December 31, 2019. For backlog related to each of our business segments, see “Business Segment Results of Operations” in Management’s Discussion and Analysis of Financial Condition and Results of Operations.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cycle is primarily long term and involves many types of contracts for the design, development and manufacture of products and related activities with varying delivery schedules. Consequently, the results of operations of a particular year, or year-to-year comparisons of sales and profits, may not be indicative of future operating results. The following discussions of comparative results among years should be reviewed in this context. All per share amounts cited in these discussions are presented on a “per diluted share” basis, unless otherwise noted. Our consolidated results of operations were as follows (in millions, except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65,398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59,812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w:t>
            </w:r>
          </w:p>
        </w:tc>
      </w:tr>
      <w:tr>
        <w:trPr>
          <w:trHeight w:val="229"/>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(56,744)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(51,445)</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(46,488)</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8,654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8,367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r>
      <w:tr>
        <w:trPr>
          <w:trHeight w:val="229"/>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Operating profit </w:t>
            </w:r>
            <w:r>
              <w:rPr>
                <w:rFonts w:ascii="Times New Roman" w:cs="Times New Roman" w:eastAsia="Times New Roman" w:hAnsi="Times New Roman"/>
                <w:sz w:val="10"/>
                <w:szCs w:val="10"/>
                <w:color w:val="auto"/>
              </w:rPr>
              <w:t>(a)(b)(c)(d)</w:t>
            </w:r>
          </w:p>
        </w:tc>
        <w:tc>
          <w:tcPr>
            <w:tcW w:w="20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8,644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8,545</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20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8,235</w:t>
            </w:r>
          </w:p>
        </w:tc>
        <w:tc>
          <w:tcPr>
            <w:tcW w:w="3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7,241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10"/>
                <w:szCs w:val="10"/>
                <w:color w:val="auto"/>
              </w:rPr>
              <w:t>(e)</w:t>
            </w:r>
          </w:p>
        </w:tc>
        <w:tc>
          <w:tcPr>
            <w:tcW w:w="20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20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6,888</w:t>
            </w:r>
          </w:p>
        </w:tc>
        <w:tc>
          <w:tcPr>
            <w:tcW w:w="3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6,230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loss from discontinued operations </w:t>
            </w:r>
            <w:r>
              <w:rPr>
                <w:rFonts w:ascii="Times New Roman" w:cs="Times New Roman" w:eastAsia="Times New Roman" w:hAnsi="Times New Roman"/>
                <w:sz w:val="10"/>
                <w:szCs w:val="10"/>
                <w:color w:val="auto"/>
              </w:rPr>
              <w:t>(f)</w:t>
            </w:r>
          </w:p>
        </w:tc>
        <w:tc>
          <w:tcPr>
            <w:tcW w:w="20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6,833</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6,230</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2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2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24.50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29"/>
        </w:trPr>
        <w:tc>
          <w:tcPr>
            <w:tcW w:w="5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diluted earnings per common share</w:t>
            </w:r>
          </w:p>
        </w:tc>
        <w:tc>
          <w:tcPr>
            <w:tcW w:w="2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24.30</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21.95</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r>
    </w:tbl>
    <w:p>
      <w:pPr>
        <w:spacing w:after="0" w:line="175" w:lineRule="exact"/>
        <w:rPr>
          <w:sz w:val="20"/>
          <w:szCs w:val="20"/>
          <w:color w:val="auto"/>
        </w:rPr>
      </w:pPr>
    </w:p>
    <w:p>
      <w:pPr>
        <w:ind w:left="340" w:hanging="332"/>
        <w:spacing w:after="0" w:line="225" w:lineRule="auto"/>
        <w:tabs>
          <w:tab w:leader="none" w:pos="335"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years ended December 31, 2020 and 2018, operating profit include a non-cash asset impairment charge of $128 million and $110 million related to AMMROC. See “Note 1 – Significant Accounting Policies” included in our Notes to Consolidated Financial Statements for more information.</w:t>
      </w:r>
    </w:p>
    <w:p>
      <w:pPr>
        <w:spacing w:after="0" w:line="33"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year ended December 31 , 2020, operating profit includes $27 million of severance charges primarily related to corporate functions. For the year ended December 31, 2018, operating profit includes $96 million of severance and restructuring charges.</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year ended December 31, 2019, operating profit includes a previously deferred non-cash gain of approximately $51 million related to properties sold in 2015.</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year ended December 31, 2019, operating profit includes a gain of $34 million for the sale of our Distributed Energy Solutions business.</w:t>
      </w:r>
    </w:p>
    <w:p>
      <w:pPr>
        <w:spacing w:after="0" w:line="50" w:lineRule="exact"/>
        <w:rPr>
          <w:rFonts w:ascii="Times New Roman" w:cs="Times New Roman" w:eastAsia="Times New Roman" w:hAnsi="Times New Roman"/>
          <w:sz w:val="21"/>
          <w:szCs w:val="21"/>
          <w:color w:val="auto"/>
          <w:vertAlign w:val="superscript"/>
        </w:rPr>
      </w:pPr>
    </w:p>
    <w:p>
      <w:pPr>
        <w:jc w:val="both"/>
        <w:ind w:left="340" w:hanging="332"/>
        <w:spacing w:after="0" w:line="232" w:lineRule="auto"/>
        <w:tabs>
          <w:tab w:leader="none" w:pos="335"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earnings for the year ended December 31, 2019 include benefits of $127 million ($0.45 per share) for additional tax deductions for the prior year, primarily attributable to foreign derived intangible income treatment based on proposed tax regulations released on March 4, 2019 and our change in tax accounting method. Net earnings for the year ended December 31, 2018 include benefits of $146 million ($0.51 per share) for additional tax deductions for the prior year, primarily attributable to true-ups to the net one-time charges related to the Tax Cuts and Jobs Act enacted on December 22, 2017 and our change in tax accounting method. See “Income Tax Expense” section below and “Note 10 – Income Taxes” included in our Notes to Consolidated Financial Statements for additional information.</w:t>
      </w:r>
    </w:p>
    <w:p>
      <w:pPr>
        <w:spacing w:after="0" w:line="36"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37"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Discontinued operations for the year ended December 31, 2020 includes a $55 million ($0.20 per share) non-cash charge resulting from the resolution of certain tax matters related to the former Information Systems &amp; Global Solutions business divested in 2016.</w:t>
      </w:r>
    </w:p>
    <w:p>
      <w:pPr>
        <w:spacing w:after="0" w:line="13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amounts reported in other income, net, primarily our share of earnings or losses from equity method investees, are included in the operating profit of our business segments. Accordingly, such amounts are included in our discussion of our business segment results of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sales from the delivery of products and services to our customers. Our consolidated net sales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54,928</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50,053</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45,005</w:t>
            </w:r>
          </w:p>
        </w:tc>
        <w:tc>
          <w:tcPr>
            <w:tcW w:w="32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of total net sales</w:t>
            </w:r>
          </w:p>
        </w:tc>
        <w:tc>
          <w:tcPr>
            <w:tcW w:w="30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10,470</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320" w:type="dxa"/>
            <w:vAlign w:val="bottom"/>
            <w:shd w:val="clear" w:color="auto" w:fill="CCEEFF"/>
          </w:tcPr>
          <w:p>
            <w:pPr>
              <w:spacing w:after="0"/>
              <w:rPr>
                <w:sz w:val="19"/>
                <w:szCs w:val="19"/>
                <w:color w:val="auto"/>
              </w:rPr>
            </w:pP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of total net sales</w:t>
            </w:r>
          </w:p>
        </w:tc>
        <w:tc>
          <w:tcPr>
            <w:tcW w:w="30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42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3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65,398</w:t>
            </w:r>
          </w:p>
        </w:tc>
        <w:tc>
          <w:tcPr>
            <w:tcW w:w="3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59,812</w:t>
            </w:r>
          </w:p>
        </w:tc>
        <w:tc>
          <w:tcPr>
            <w:tcW w:w="3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w:t>
            </w:r>
          </w:p>
        </w:tc>
        <w:tc>
          <w:tcPr>
            <w:tcW w:w="320" w:type="dxa"/>
            <w:vAlign w:val="bottom"/>
            <w:tcBorders>
              <w:bottom w:val="single" w:sz="8" w:color="auto"/>
            </w:tcBorders>
            <w:shd w:val="clear" w:color="auto" w:fill="CCEEFF"/>
          </w:tcPr>
          <w:p>
            <w:pPr>
              <w:spacing w:after="0"/>
              <w:rPr>
                <w:sz w:val="20"/>
                <w:szCs w:val="20"/>
                <w:color w:val="auto"/>
              </w:rPr>
            </w:pPr>
          </w:p>
        </w:tc>
      </w:tr>
    </w:tbl>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Substantially all of our contracts are accounted for using the percentage-of-completion cost-to-cost method. Under the percentage-of-completion cost-to-cost method, we record net sales on contracts over time based upon our progress towards completion on a particular contract, as well as our estimate of the profit to be earned at completion. The following discussion of material changes in our consolidated net sales should be read in tandem with the subsequent discussion of changes in our consolidated cost of sales and our business segment results of operations because changes in our sales are typically accompanied by a corresponding change in our cost of sales due to the nature of the percentage-of-completion cost-to-cost method.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Product sales increased $4.9 billion, or 10%, in 2020 as compared to 2019, primarily due to higher product sales of $2.0 billion at Aeronautics, $1.4 billion at MFC, $945 million at Space and $540 million at RMS. The increase in product sales at Aeronautics was primarily due to higher production volume for the F-35 program and classified development contracts. The increase in product sales at MFC was primarily due to increased volume for integrated air and missile defense programs (primarily PAC-3 and THAAD) and tactical and strike missile programs (primarily Guided Multiple Launch Rocket Systems (GMLRS) and High Mobility Artillery Rocket System (HIMARS)). The increase in product sales at Space was primarily due to higher volume for government satellite programs (primarily Next Gen OPIR) and strategic and missile defense programs (primarily hypersonic development programs). The increase in product sales at RMS was primarily due to higher volume for Sikorsky helicopter programs (primarily Seahawk, VH-92A, and Combat Rescue Helicopter (CRH) production contracts), C6ISR programs (primarily on undersea combat systems programs), and integrated warfare systems and sensors (IWSS) programs (primarily Aegis), partially offset by lower volume on various TLS programs.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Sales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Service sales increased $711 million, or 7%, in 2020 as compared to 2019. The increase in service sales was primarily due to higher sales of approximately $565 million at Aeronautics and $325 million at RMS, partially offset by lower sales of $255 million at MFC. The increase in service sales at Aeronautics was primarily due to higher sustainment volume for the F-35 and F-16 programs. The increase in service sales at RMS was primarily due to higher volume for Sikorsky helicopter programs (primarily a Seahawk sustainment program) and IWSS programs (primarily radar surveillance systems programs). The decrease in service sales at MFC was primarily due to lower volume on energy programs due to the divestiture of the Distributed Energy Solutions business, sensors and global sustainment programs (primarily Apache sensors program), and integrated air and missile defense development programs (primarily PAC-3).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sales, for both products and services, consist of materials, labor, subcontracting costs, an allocation of indirect costs (overhead and general and administrative), as well as the costs to fulfill our industrial cooperation agreements, sometimes referred to as offset agreements, required under certain contracts with international customers. For each of our contracts, we monitor the nature and amount of costs at the contract level, which form the basis for estimating our total costs to complete the contract. Our consolidated cost of sales were as follows (in millions):</w:t>
      </w:r>
    </w:p>
    <w:tbl>
      <w:tblPr>
        <w:tblLayout w:type="fixed"/>
        <w:tblInd w:w="0" w:type="dxa"/>
        <w:tblCellMar>
          <w:top w:w="0" w:type="dxa"/>
          <w:left w:w="0" w:type="dxa"/>
          <w:bottom w:w="0" w:type="dxa"/>
          <w:right w:w="0" w:type="dxa"/>
        </w:tblCellMar>
      </w:tblPr>
      <w:tr>
        <w:trPr>
          <w:trHeight w:val="238"/>
        </w:trPr>
        <w:tc>
          <w:tcPr>
            <w:tcW w:w="44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 products</w:t>
            </w:r>
          </w:p>
        </w:tc>
        <w:tc>
          <w:tcPr>
            <w:tcW w:w="2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(48,996)</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(44,589)</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(40,293)</w:t>
            </w: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of product sales</w:t>
            </w:r>
          </w:p>
        </w:tc>
        <w:tc>
          <w:tcPr>
            <w:tcW w:w="28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89.2 %</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89.5 %</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 services</w:t>
            </w:r>
          </w:p>
        </w:tc>
        <w:tc>
          <w:tcPr>
            <w:tcW w:w="28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(9,371)</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(7,738)</w:t>
            </w: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of service sales</w:t>
            </w:r>
          </w:p>
        </w:tc>
        <w:tc>
          <w:tcPr>
            <w:tcW w:w="28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89.5 %</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88.4 %</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28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unallocated, net</w:t>
            </w:r>
          </w:p>
        </w:tc>
        <w:tc>
          <w:tcPr>
            <w:tcW w:w="28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1,650</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1,639</w:t>
            </w:r>
          </w:p>
        </w:tc>
      </w:tr>
      <w:tr>
        <w:trPr>
          <w:trHeight w:val="230"/>
        </w:trPr>
        <w:tc>
          <w:tcPr>
            <w:tcW w:w="4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sales</w:t>
            </w:r>
          </w:p>
        </w:tc>
        <w:tc>
          <w:tcPr>
            <w:tcW w:w="2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(56,744)</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(51,445)</w:t>
            </w:r>
          </w:p>
        </w:tc>
        <w:tc>
          <w:tcPr>
            <w:tcW w:w="3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(46,488)</w:t>
            </w:r>
          </w:p>
        </w:tc>
      </w:tr>
    </w:tbl>
    <w:p>
      <w:pPr>
        <w:spacing w:after="0" w:line="14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of material changes in our consolidated cost of sales for products and services should be read in tandem with the preceding discussion of changes in our consolidated net sales and our business segment results of operations. We have not identified any developing trends in cost of sales for products and services that would have a material impact on our future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Costs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Product costs increased approximately $4.4 billion, or 10%, in 2020 as compared to 2019. The increase in product costs was primarily due to higher product costs of approximately $1.8 billion at Aeronautics, $1.2 billion at MFC, $1.0 billion at Space and $430 million at RMS. The increase in product costs at Aeronautics was primarily due to higher production volume for the F-35 program and classified contracts. The increase in product costs at MFC was primarily due to increased volume for integrated air and missile defense programs (primarily PAC-3 and THAAD) and tactical and strike missile programs (primarily GMLRS and HIMARS). The increase in product costs at Space was primarily due to increased volume for government satellite programs (primarily Next Gen OPIR) and strategic and missile defense programs (primarily hypersonic development programs). The increase in product costs at RMS was primarily due to higher volume for Sikorsky helicopter programs (primarily Seahawk, VH-92A, and CRH production contracts), C6ISR programs (primarily on undersea combat systems programs), and IWSS programs (primarily Aegis), partially offset by lower volume on various TLS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Costs</w:t>
      </w:r>
    </w:p>
    <w:p>
      <w:pPr>
        <w:spacing w:after="0" w:line="20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Service costs increased approximately $640 million, or 7%, in 2020 compared to 2019. The increase in service costs was primarily due to higher service costs of approximately $485 million at Aeronautics and $245 million at RMS, partially offset by lower service costs of approximately $180 million at MFC. The increase in service costs at Aeronautics was primarily due to higher sustainment volume for the F-35 and F-16 programs. The increase in service costs at RMS was primarily due to higher volume for Sikorsky helicopter programs (primarily a Seahawk sustainment program) and IWSS programs (primarily radar surveillance systems programs), partially offset by charges for an army sustainment program in 2019 not repeated in 2020. The decrease in service costs at MFC was primarily due to lower volume on energy programs due to the divestiture of the Distributed Energy Solutions business, sensors and global sustainment programs (primarily Apache sensors program), and integrated air and missile defense development programs (primarily PAC-3).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Charges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2020, we recorded severance charges totaling $27 million ($21 million, or $0.08 per share, after-tax) related to the planned elimination of certain positions primarily at our corporate functions. Upon separation, terminated employees receive lump-sum severance payments primarily based on years of service, the majority of which are expected to be paid over the next several quarters.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Unallocated, Net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unallocated, net primarily includes the FAS/CAS operating adjustment as described in the “Business Segment Results of Operations” section below, stock-based compensation expense and other corporate costs. These items are not allocated to the business segments and, therefore, are not allocated to cost of sales for products or services. Other unallocated, net reduced cost of sales by $1.7 billion in 2020, compared to $1.9 billion in 2019.</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net reduction in expense from 2019 to 2020 was primarily attributable to a decrease in our FAS/CAS operating adjustment and fluctuations in other costs associated with various corporate items, none of which were individually significant. See “Business Segment Results of Operations” and “Critical Accounting Policies - Postretirement Benefit Plans” discussion below for more information on our pension cost.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Other (expense) income, net primarily includes our share of earnings or losses from equity method investees and gains or losses for acquisitions and divestitures. Other expense, net in 2020 was $10 million, compared to other income, net of $178 million in 2019. Other expense, net in 2020 included a non-cash asset impairment charge of $128 million ($96 million, or $0.34 per share, after-tax) for our international equity method investee, AMMROC. Other income, net in 2019 included the recognition of a previously deferred non-cash gain of approximately $51 million ($38 million, or $0.13 per share, after-tax) related to properties sold in 2015 as a result of completing our remaining obligations and a $34 million gain (approximately $0 after-tax) for the sale of our Distributed Energy Solutions business.</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2020, we entered into an agreement to sell our ownership interest in AMMROC to our joint venture partner for $307 million, subject to certain closing conditions. Accordingly, we adjusted the carrying value of our investment to the selling price of $307 million, which resulted in the recognition of a noncash impairment charge of $128 million ($96 million, or $0.34 per share, after-tax) in our results of operations. The sale was completed on November 25, 2020. The purchase price is required to be paid in cash installments in 2021 and is guaranteed by an irrevocable letter of credit issued by a third-party financial institution.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Interest expense in 2020 was $591 million, compared to $653 million in 2019. The decrease in interest expense in 2020 resulted primarily from our scheduled repayment of $900 million of debt during 2019. See “Capital Structure, Resources and Other” included within “Liquidity and Cash Flows” discussion below and “Note 11 – Debt” included in our Notes to Consolidated Financial Statements for a discussion of our debt.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Income (Expense), Net</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Other non-operating income (expense), net primarily includes the non-service cost components of FAS pension and other postretirement benefit plan income (expense) (i.e., interest cost, expected return on plan assets, net actuarial gains or losses, and amortization of prior service cost or credits). Other non-operating income, net in 2020 was $182 million, compared to other non-operating expense, net of $651 million in 2019. The increase in 2020 was primarily due to a reduction in non-service FAS pension expense for our qualified defined benefit pension plans. The increase was primarily due to FAS pension income in 2020, compared to FAS pension expense in 2019, as a result of completing the planned freeze of our salaried pension plans effective January 1, 2020 that was previously announced on July 1, 2014.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effective income tax rate from continuing operations was 16.4% for 2020 and 14.0% for 2019. The rate for 2019 was lower than the rate for 2020 primarily due to $98 million additional tax deductions for 2018 attributable to foreign derived intangible income treatment, which lowered the rate 1.4%, and $51 million additional research and development credits, which reduced our effective tax rate by 0.8%.</w:t>
      </w:r>
    </w:p>
    <w:p>
      <w:pPr>
        <w:spacing w:after="0" w:line="2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rates for both 2020 and 2019 benefited from additional tax deductions based on proposed tax regulations released on March 4, 2019, which clarified that foreign military sales qualify for foreign derived intangible income treatment. On July 9, 2020, the U.S. Treasury Department issued final tax regulations related to foreign derived intangible income. The final tax regulations confirm foreign military sales qualify for foreign derived intangible income treatment.</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rates for 2020 and 2019 also benefited from the research and development tax credit, dividends paid to the corporation’s defined contribution plans with an employee stock ownership plan feature, and tax deductions for employee equity awards.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27, 2020, President Trump signed into law the CARES Act, which, along with earlier issued IRS guidance, provides for deferral of certain taxes. The CARES Act, among other things, also contains numerous other provisions which impact Lockheed Martin. The CARES Act and the projected annual financial impact of COVID-19 did not have a material impact on our effective tax rate for the year ended December 31, 2020.</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Changes in U.S. (federal or state) or foreign tax laws and regulations, or their interpretation and application, including those with retroactive effect, including the amortization for research or experimental expenditures, could significantly impact our provision for income taxes, the amount of taxes payable, our deferred tax asset and liability balances, and stockholders’ equity. Beginning in 2022, the Tax Cuts and Jobs Act of 2017 eliminates the option to deduct research and development expenditures currently and requires taxpayers to amortize them over five years. While it is possible that Congress may modify or repeal this provision before it takes effect and we continue to have ongoing discussions with members of Congress, both on our own and with other industries through coalitions, we have no assurance that these provisions will be modified or repealed. Furthermore, we are continuing to work with our advisors to refine our legal interpretation of this provision prior to implementation in 2022. If these provisions are not repealed and based on current interpretations of the law, initially this would materially decrease our cash from operations based on current assumptions beginning in 2022 by approximately $2.0 billion; and increase our net deferred tax assets by a similar amount. The largest impact would be on 2022 cash from operations, which would depend on the amount of research and development expenses paid or incurred in 2022 and other factors. The impact, however, would continue over the five year amortization period but would decrease over the period and be immaterial in year six. The amount of net deferred tax assets will change periodically based on several factors, including the measurement of our postretirement benefit plan obligations, actual cash contributions to our postretirement benefit plans, and future changes in tax laws. In addition, we are regularly under audit or examination by tax authorities, including foreign tax authorities (including in, amongst others, Australia, Canada, India, Italy, Japan, Poland, and the United Kingdom). The final determination of tax audits and any related litigation could similarly result in unanticipated increases in our tax expense and affect profitability and cash flows.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from Continuing Operations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reported net earnings from continuing operations of $6.9 billion ($24.50 per share) in 2020 and $6.2 billion ($21.95 per share) in 2019. Both net earnings and earnings per share were affected by the factors mentioned above. Earnings per share also benefited from a net decrease of approximately 1.2 million common shares outstanding from December 31, 2020 to December 31, 2019 as a result of share repurchases, partially offset by share issuances under our stock-based awards and certain defined contribution plans.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2020, we recognized a $55 million ($0.20 per share) non-cash charge resulting from the resolution of certain tax matters related to the former Information Systems &amp; Global Solutions business divested in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Results of Operations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operate in four business segments: Aeronautics, MFC, RMS and Space. We organize our business segments based on the nature of products and services offered.</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and operating profit of our business segments exclude intersegment sales, cost of sales, and profit as these activities are eliminated in consolidation. Business segment operating profit includes our share of earnings or losses from equity method investees as the operating activities of the equity method investees are closely aligned with the operations of our business segments. United Launch Alliance (ULA), results of which are included in our Space business segment, is one of our largest equity method investees.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Business segment operating profit also excludes the FAS/CAS operating adjustment described below,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such as a portion of management and administration costs, legal fees and settlements, environmental costs, stock-based compensation expense, retiree benefits, significant severance actions, significant asset impairments, gains or losses from significant divestitures, and other miscellaneous corporate activities.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Excluded items are included in the reconciling item “Unallocated items” between operating profit from our business segments and our consolidated operating profit. See “Note 1 – Significant Accounting Policies” included in our Notes to Consolidated Financial Statements for a discussion related to certain factors that may impact the comparability of net sales and operating profit of our business segments.</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segments’ results of operations include pension expense only as calculated under CAS pension cost. We recover CAS pension and other postretirement benefit plan cost through the pricing of our products and services on U.S. Government contracts and, therefore, recognize CAS cost in each of our business segment’s net sales and cost of sales. Our consolidated financial statements must present FAS pension and other postretirement benefit plan expense calculated in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accordance with FAS requirements under U.S. GAAP. The operating portion of the net FAS/CAS pension adjustment represents the difference between the service cost component of FAS pension expense and total CAS pension cost. The non-service FAS pension cost component is included in other non-operating expense, net in our consolidated statements of earnings. As a result, to the extent that CAS pension cost exceeds the service cost component of FAS pension expense we have a favorable FAS/CAS operating adjustment.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Summary operating results for each of our business segments were as follows (in millions):</w:t>
            </w: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7"/>
        </w:trPr>
        <w:tc>
          <w:tcPr>
            <w:tcW w:w="7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26,266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23,693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21,242</w:t>
            </w:r>
          </w:p>
        </w:tc>
      </w:tr>
      <w:tr>
        <w:trPr>
          <w:trHeight w:val="22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11,257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10,131</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r>
      <w:tr>
        <w:trPr>
          <w:trHeight w:val="230"/>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7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15,995</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15,128</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w:t>
            </w:r>
          </w:p>
        </w:tc>
      </w:tr>
      <w:tr>
        <w:trPr>
          <w:trHeight w:val="229"/>
        </w:trPr>
        <w:tc>
          <w:tcPr>
            <w:tcW w:w="7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11,880</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10,860</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w:t>
            </w:r>
          </w:p>
        </w:tc>
      </w:tr>
      <w:tr>
        <w:trPr>
          <w:trHeight w:val="223"/>
        </w:trPr>
        <w:tc>
          <w:tcPr>
            <w:tcW w:w="7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65,398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59,812</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53,762</w:t>
            </w: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2,843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2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1,441</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9"/>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7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1,615</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30"/>
        </w:trPr>
        <w:tc>
          <w:tcPr>
            <w:tcW w:w="7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1,149</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1,191</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3"/>
        </w:trPr>
        <w:tc>
          <w:tcPr>
            <w:tcW w:w="7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business segment operating profit</w:t>
            </w: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7,152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6,574</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w:t>
            </w:r>
          </w:p>
        </w:tc>
      </w:tr>
      <w:tr>
        <w:trPr>
          <w:trHeight w:val="223"/>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items</w:t>
            </w: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30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FAS/CAS operating adjustment </w:t>
            </w:r>
            <w:r>
              <w:rPr>
                <w:rFonts w:ascii="Times New Roman" w:cs="Times New Roman" w:eastAsia="Times New Roman" w:hAnsi="Times New Roman"/>
                <w:sz w:val="23"/>
                <w:szCs w:val="23"/>
                <w:color w:val="auto"/>
                <w:vertAlign w:val="superscript"/>
              </w:rPr>
              <w:t>(a)</w:t>
            </w:r>
          </w:p>
        </w:tc>
        <w:tc>
          <w:tcPr>
            <w:tcW w:w="7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1,876</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2,049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230"/>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730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Severance and restructuring charges </w:t>
            </w:r>
            <w:r>
              <w:rPr>
                <w:rFonts w:ascii="Times New Roman" w:cs="Times New Roman" w:eastAsia="Times New Roman" w:hAnsi="Times New Roman"/>
                <w:sz w:val="23"/>
                <w:szCs w:val="23"/>
                <w:color w:val="auto"/>
                <w:vertAlign w:val="superscript"/>
              </w:rPr>
              <w:t>(b)</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730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3"/>
                <w:szCs w:val="23"/>
                <w:color w:val="auto"/>
                <w:vertAlign w:val="superscript"/>
              </w:rPr>
              <w:t>(c)</w:t>
            </w: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7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unallocated, net</w:t>
            </w: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1,492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1,971</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30"/>
        </w:trPr>
        <w:tc>
          <w:tcPr>
            <w:tcW w:w="73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consolidated operating profit</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8,644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8,545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r>
    </w:tbl>
    <w:p>
      <w:pPr>
        <w:spacing w:after="0" w:line="94" w:lineRule="exact"/>
        <w:rPr>
          <w:sz w:val="20"/>
          <w:szCs w:val="20"/>
          <w:color w:val="auto"/>
        </w:rPr>
      </w:pPr>
    </w:p>
    <w:p>
      <w:pPr>
        <w:jc w:val="both"/>
        <w:ind w:left="340" w:hanging="332"/>
        <w:spacing w:after="0" w:line="254" w:lineRule="auto"/>
        <w:tabs>
          <w:tab w:leader="none" w:pos="3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FAS/CAS operating adjustment represents the difference between the service cost component of FAS pension income (expense) and total pension costs recoverable on U.S. Government contracts as determined in accordance with CAS. For a detail of the FAS/CAS operating adjustment and the total net FAS/CAS pension adjustment, see the table below.</w:t>
      </w:r>
    </w:p>
    <w:p>
      <w:pPr>
        <w:ind w:left="340" w:hanging="332"/>
        <w:spacing w:after="0" w:line="246"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“Consolidated Results of Operations – Severance Charges” discussion above for information on charges related to certain severance actions across our organization.</w:t>
      </w:r>
    </w:p>
    <w:p>
      <w:pPr>
        <w:spacing w:after="0" w:line="189" w:lineRule="exact"/>
        <w:rPr>
          <w:rFonts w:ascii="Times New Roman" w:cs="Times New Roman" w:eastAsia="Times New Roman" w:hAnsi="Times New Roman"/>
          <w:sz w:val="16"/>
          <w:szCs w:val="16"/>
          <w:color w:val="auto"/>
        </w:rPr>
      </w:pPr>
    </w:p>
    <w:p>
      <w:pPr>
        <w:jc w:val="both"/>
        <w:ind w:left="340" w:hanging="332"/>
        <w:spacing w:after="0" w:line="261" w:lineRule="auto"/>
        <w:tabs>
          <w:tab w:leader="none" w:pos="3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net in 2020 includes a non-cash impairment charge of $128 million recognized on our investment in the international equity method investee, AMMROC. Other, net in 2019 includes a previously deferred non-cash gain of $51 million related to properties sold in 2015 as a result of completing our remaining obligations and a gain of $34 million for the sale of our Distributed Energy Solutions business. Other, net in 2018 includes a non-cash asset impairment charge of $110 million related to our equity method investee, AMMROC (see “Note 1 – Significant Accounting Policies” included in our Notes to Consolidated Financial Statements for more information).</w:t>
      </w:r>
    </w:p>
    <w:p>
      <w:pPr>
        <w:spacing w:after="0" w:line="1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Total net FAS/CAS pension adjustments, including the service and non-service cost components of FAS pension income (expense), were as follows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FAS income (expense) and CAS costs</w:t>
            </w:r>
          </w:p>
        </w:tc>
        <w:tc>
          <w:tcPr>
            <w:tcW w:w="3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FAS pension income (expense)</w:t>
            </w:r>
          </w:p>
        </w:tc>
        <w:tc>
          <w:tcPr>
            <w:tcW w:w="3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CAS pension cost</w:t>
            </w:r>
          </w:p>
        </w:tc>
        <w:tc>
          <w:tcPr>
            <w:tcW w:w="38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1,977</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2,565</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5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Net FAS/CAS pension adjustment</w:t>
            </w:r>
          </w:p>
        </w:tc>
        <w:tc>
          <w:tcPr>
            <w:tcW w:w="3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2,095</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and non-service cost reconciliation</w:t>
            </w:r>
          </w:p>
        </w:tc>
        <w:tc>
          <w:tcPr>
            <w:tcW w:w="3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FAS pension service cost</w:t>
            </w:r>
          </w:p>
        </w:tc>
        <w:tc>
          <w:tcPr>
            <w:tcW w:w="3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Less: CAS pension cost</w:t>
            </w:r>
          </w:p>
        </w:tc>
        <w:tc>
          <w:tcPr>
            <w:tcW w:w="3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1,977</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2,565</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8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1,876</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2,049</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Non-operating FAS pension income (expense)</w:t>
            </w:r>
          </w:p>
        </w:tc>
        <w:tc>
          <w:tcPr>
            <w:tcW w:w="3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5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FAS/CAS pension adjustment</w:t>
            </w:r>
          </w:p>
        </w:tc>
        <w:tc>
          <w:tcPr>
            <w:tcW w:w="3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 w:type="dxa"/>
            <w:vAlign w:val="bottom"/>
          </w:tcPr>
          <w:p>
            <w:pPr>
              <w:spacing w:after="0"/>
              <w:rPr>
                <w:sz w:val="20"/>
                <w:szCs w:val="20"/>
                <w:color w:val="auto"/>
              </w:rPr>
            </w:pPr>
          </w:p>
        </w:tc>
      </w:tr>
      <w:tr>
        <w:trPr>
          <w:trHeight w:val="634"/>
        </w:trPr>
        <w:tc>
          <w:tcPr>
            <w:tcW w:w="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80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recover CAS pension and other postretirement benefit plan cost through the pricing of our products and services on U.S. Government contracts and, therefore, recognize CAS cost in each of our business segment’s net sales and cost of sales. Our consolidated financial statements must present FAS pension and other postretirement benefit plan expense calculated in accordance with FAS requirements under U.S. GAAP. The operating portion of the net FAS/CAS pension adjustment represents the difference between the service cost component of FAS pension income (expense) and total CAS pension cost. The non-service FAS pension income (expense) component is included in other non-operating income (expense), net in our consolidated statements of earnings. As a result, to the extent that CAS pension cost exceeds the service cost component of FAS pension income (expense), we have a favorable FAS/CAS operating adjustment.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segment discussions also include information relating to backlog for each segment. Backlog was approximately $147.1 billion and $144.0 billion at December 31, 2020 and 2019. These amounts included both funded backlog (firm orders for which funding has been both authorized and appropriated by the customer) and unfunded backlog (firm orders for which funding has not yet been appropriated). Backlog does not include unexercised options or task orders to be issued under indefinite-delivery, indefinite-quantity contracts. Funded backlog was approximately $102.3 billion at December 31, 2020, as compared to $94.5 billion at December 31, 2019. If any of our contracts with firm orders were to be terminated, our backlog would be reduced by the expected value of the unfilled orders of such contracts.</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evaluates performance on our contracts by focusing on net sales and operating profit and not by type or amount of operating expense. Consequently, our discussion of business segment performance focuses on net sales and operating profit, consistent with our approach for managing the business. This approach is consistent throughout the life cycle of our contracts, as management assesses the bidding of each contract by focusing on net sales and operating profit and monitors performance on our contracts in a similar manner through their completion.</w:t>
      </w:r>
    </w:p>
    <w:p>
      <w:pPr>
        <w:spacing w:after="0" w:line="13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regularly provide customers with reports of our costs as the contract progresses. The cost information in the reports is accumulated in a manner specified by the requirements of each contract. For example, cost data provided to a customer for a product would typically align to the subcomponents of that product (such as a wing-box on an aircraft) and for services would align to the type of work being performed (such as aircraft sustainment). Our contracts generally allow for the recovery of costs in the pricing of our products and services. Most of our contracts are bid and negotiated with our customers under circumstances in which we are required to disclose our estimated total costs to provide the product or service. This approach for negotiating contracts with our U.S. Government customers generally allows for recovery of our actual costs plus a reasonable profit margin. We also may enter into long-term supply contracts for certain materials or components to coincide with the production schedule of certain products and to ensure their availability at known unit prices.</w:t>
      </w:r>
    </w:p>
    <w:p>
      <w:pPr>
        <w:spacing w:after="0" w:line="16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of our contracts span several years and include highly complex technical requirements. At the outset of a contract, we identify and monitor risks to the achievement of the technical, schedule and cost aspects of the contract and assess the effects of those risks on our estimates of total costs to complete the contract. The estimates consider the technical requirements (e.g., a newly-developed product versus a mature product), the schedule and associated tasks (e.g., the number and type of milestone events) and costs (e.g., material, labor, subcontractor, overhead and the estimated costs to fulfill our industrial cooperation agreements, sometimes referred to as offset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surrounding the technical, schedule and cost aspects of the contract, which decreases the estimated total costs to complete the contract. Conversely, our profit booking rates may decrease if the estimated total costs to complete the contract increase. All of the estimates are subject to change during the performance of the contract and may affect the profit booking rate.</w:t>
      </w:r>
    </w:p>
    <w:p>
      <w:pPr>
        <w:spacing w:after="0" w:line="1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number of programs that are designated as classified by the U.S. Government which cannot be specifically described. The operating results of these classified programs are included in our consolidated and business segment results and are subjected to the same oversight and internal controls as our other programs.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net sales are primarily derived from long-term contracts for products and services provided to the U.S. Government as well as FMS contracted through the U.S. Government. We recognize revenue as performance obligations are satisfied and the customer obtains control of the products and services. 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For performance obligations in which control does not continuously transfer to the customer, we recognize revenue at the point in time in which each performance obligation is fully satisfied.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Changes in net sales and operating profit generally are expressed in terms of volume. Changes in volume refer to increases or decreases in sales or operating profit resulting from varying production activity levels, deliveries or service levels on individual contracts. Volume changes in segment operating profit are typically based on the current profit booking rate for a particular contract.</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comparability of our segment sales, operating profit and operating margin may be impacted favorably or unfavorably by changes in profit booking rates on our contracts for which we recognize revenue over time using the percentage-of-completion cost-to-cost method to measure progress towards completion. Increases in the profit booking rates, typically referred to as risk retirements,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Increases or decreases in profit booking rates are recognized in the current period and reflect the inception-to-date effect of such changes. Segment operating profit and margin may also be impacted favorably or unfavorably by other items, which may or may not impact sales. Favorable items may include the positive resolution of contractual matters, cost recoveries on severance and restructuring charges, insurance recoveries and gains on sales of assets. Unfavorable items may include the adverse resolution of contractual matters; restructuring charges, except for significant severance actions, which are excluded from segment operating results; reserves for disputes; certain asset impairments; and losses on sales of certain assets.</w:t>
      </w:r>
    </w:p>
    <w:p>
      <w:pPr>
        <w:spacing w:after="0" w:line="1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previously disclosed, we are responsible for a program to design, develop and construct a ground-based radar at our RMS business segment. The program has experienced performance issues for which we have periodically accrued reserves. In 2020, we revised our estimated costs to complete the program and recorded charges of approximately $45 million ($34 million, or $0.12 per share, after-tax) at our RMS business segment, which resulted in cumulative losses of approximately $250 million on this program as of December 31, 2020. We may continue to experience issues related to customer requirements and our performance under this contract and have to record additional charges. However, based on the losses previously recorded and our current estimate of the sales and costs to complete the program, at this time we do not anticipate that additional losses, if any, would be material to our operating results or financial condition.</w:t>
      </w:r>
    </w:p>
    <w:p>
      <w:pPr>
        <w:spacing w:after="0" w:line="14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previously disclosed, we have a program, EADGE-T, to design, integrate, and install an air missile defense command, control, communications, computers – intelligence (C4I) system for an international customer that has experienced performance issues and for which we have periodically accrued reserves at our RMS business segment. As of December 31, 2020, cumulative losses remained at approximately $260 million. We continue to monitor program requirements and our performance. At this time, we do not anticipate additional charges that would be material to our operating results or financial condition.</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we are responsible for designing, developing and installing an upgraded turret for the Warrior Capability Sustainment Program. As of December 31, 2020, cumulative losses remained at approximately $140 million on this program. We may continue to experience issues related to customer requirements and our performance under this contract and may have to record additional reserves. However, based on the losses already recorded and our current estimate of the sales and costs to complete the program, at this time we do not anticipate that additional losses, if any, would be material to our operating results or financial condition.</w:t>
      </w:r>
    </w:p>
    <w:p>
      <w:pPr>
        <w:spacing w:after="0" w:line="1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consolidated net adjustments not related to volume, including net profit booking rate adjustments and other matters, increased segment operating profit by approximately $1.8 billion in 2020 and $1.9 billion in 2019. The consolidated net adjustments in 2020 compared to 2019 decreased primarily due to decreases in profit booking rate adjustments at Space and MFC offset by an increase in Aeronautics and RMS. The consolidated net adjustments for 2020 are inclusive of approximately $745 million in unfavorable items, which include reserves for various programs at RMS, government satellite programs at Space and performance matters on a sensors and global sustainment international military program at MFC. The consolidated net adjustments for 2019 are inclusive of approximately $930 million in unfavorable items, which include reserves for various programs at RMS, the F-16 program at Aeronautics, performance matters on a sensors and global sustainment international military program at MFC and government satellite programs at Space.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w:t>
      </w:r>
    </w:p>
    <w:p>
      <w:pPr>
        <w:spacing w:after="0" w:line="18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Our Aeronautics business segment is engaged in the research, design, development, manufacture, integration, sustainment, support and upgrade of advanced military aircraft, including combat and air mobility aircraft, unmanned air vehicles and related technologies. Aeronautics’ major programs include the F-35 Lightning II Joint Strike Fighter, 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130 Hercules, F-16 Fighting Falcon and F-22 Raptor. Aeronautics’ operating results included the following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26,266</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23,693</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w:t>
            </w:r>
          </w:p>
        </w:tc>
        <w:tc>
          <w:tcPr>
            <w:tcW w:w="320" w:type="dxa"/>
            <w:vAlign w:val="bottom"/>
            <w:shd w:val="clear" w:color="auto" w:fill="CCEEFF"/>
          </w:tcPr>
          <w:p>
            <w:pPr>
              <w:spacing w:after="0"/>
              <w:rPr>
                <w:sz w:val="19"/>
                <w:szCs w:val="19"/>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32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Backlog at year-end</w:t>
            </w:r>
          </w:p>
        </w:tc>
        <w:tc>
          <w:tcPr>
            <w:tcW w:w="3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56,551</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55,636</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55,601</w:t>
            </w:r>
          </w:p>
        </w:tc>
        <w:tc>
          <w:tcPr>
            <w:tcW w:w="320" w:type="dxa"/>
            <w:vAlign w:val="bottom"/>
            <w:tcBorders>
              <w:bottom w:val="single" w:sz="8" w:color="auto"/>
            </w:tcBorders>
          </w:tcPr>
          <w:p>
            <w:pPr>
              <w:spacing w:after="0"/>
              <w:rPr>
                <w:sz w:val="20"/>
                <w:szCs w:val="20"/>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Aeronautics’ net sales in 2020 increased $2.6 billion, or 11% compared to 2019. The increase was primarily attributable to higher net sales of approximately $1.8 billion for the F-35 program due to increased volume on sustainment, production, and development contracts; about $450 million for higher volume on classified development contracts; and about $300 million for the F-16 program due to increased volume on international production and sustainment contracts.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Aeronautics’ operating profit in 2020 increased $322 million, or 13%, compared to 2019. Operating profit increased approximately $240 million for the F-35 program due to higher volume and risk retirements on development and sustainment contracts and higher volume on production contracts; about $70 million for the C-130 program due to higher risk retirements on sustainment contracts; and approximately $20 million for classified development contracts due to higher risk retirements. Operating profit on the F-16 program was comparable as higher volume was offset by lower risk retirements. Adjustments not related to volume, including net profit booking rate adjustments, were $90 million higher in 2020 compared to 2019.</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00" w:lineRule="exact"/>
        <w:rPr>
          <w:sz w:val="20"/>
          <w:szCs w:val="20"/>
          <w:color w:val="auto"/>
        </w:rPr>
      </w:pPr>
    </w:p>
    <w:p>
      <w:pPr>
        <w:ind w:right="1660" w:firstLine="324"/>
        <w:spacing w:after="0" w:line="453" w:lineRule="auto"/>
        <w:rPr>
          <w:sz w:val="20"/>
          <w:szCs w:val="20"/>
          <w:color w:val="auto"/>
        </w:rPr>
      </w:pPr>
      <w:r>
        <w:rPr>
          <w:rFonts w:ascii="Times New Roman" w:cs="Times New Roman" w:eastAsia="Times New Roman" w:hAnsi="Times New Roman"/>
          <w:sz w:val="18"/>
          <w:szCs w:val="18"/>
          <w:color w:val="auto"/>
        </w:rPr>
        <w:t xml:space="preserve">Backlog increased in 2020 compared to 2019 primarily due to higher orders on F-16 production and various classified activities. </w:t>
      </w:r>
      <w:r>
        <w:rPr>
          <w:rFonts w:ascii="Times New Roman" w:cs="Times New Roman" w:eastAsia="Times New Roman" w:hAnsi="Times New Roman"/>
          <w:sz w:val="18"/>
          <w:szCs w:val="18"/>
          <w:i w:val="1"/>
          <w:iCs w:val="1"/>
          <w:color w:val="auto"/>
        </w:rPr>
        <w:t>Trends</w:t>
      </w: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Aeronautics’ 2021 net sales to increase in the mid-single digit percentage range from 2020 levels driven by increased volume on F-35, F-16 and classified programs. Operating profit is expected to increase in the mid-to-high single digit percentage range above 2020 levels. Operating profit margin for 2021 is expected to be slightly higher than 2020 levels.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Missiles and Fire Control</w:t>
      </w:r>
    </w:p>
    <w:p>
      <w:pPr>
        <w:spacing w:after="0" w:line="189" w:lineRule="exact"/>
        <w:rPr>
          <w:sz w:val="20"/>
          <w:szCs w:val="20"/>
          <w:color w:val="auto"/>
        </w:rPr>
      </w:pPr>
    </w:p>
    <w:p>
      <w:pPr>
        <w:jc w:val="both"/>
        <w:ind w:firstLine="324"/>
        <w:spacing w:after="0" w:line="209" w:lineRule="exact"/>
        <w:rPr>
          <w:sz w:val="20"/>
          <w:szCs w:val="20"/>
          <w:color w:val="auto"/>
        </w:rPr>
      </w:pPr>
      <w:r>
        <w:rPr>
          <w:rFonts w:ascii="Times New Roman" w:cs="Times New Roman" w:eastAsia="Times New Roman" w:hAnsi="Times New Roman"/>
          <w:sz w:val="18"/>
          <w:szCs w:val="18"/>
          <w:color w:val="auto"/>
        </w:rPr>
        <w:t>Our MFC business segment provides air and missile defense systems; tactical missiles and air-to-ground precision strike weapon systems; logistics; fire control systems; mission operations support, readiness, engineering support and integration services; manned and unmanned ground vehicles; and energy management solutions. MFC’s major programs include PAC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THAAD, Multiple Launch Rocket System (MLRS), Hellfire, Joint Air-to-Surface Standoff Missile (JASSM), Javelin, Apache, Sniper Advanced Targeting Pod (SNIPER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LANTIRN and Special Operations Forces Global Logistics Support Services (SOF GLSS). MFC’s operating results included the following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11,257</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32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320" w:type="dxa"/>
            <w:vAlign w:val="bottom"/>
          </w:tcPr>
          <w:p>
            <w:pPr>
              <w:spacing w:after="0"/>
              <w:rPr>
                <w:sz w:val="19"/>
                <w:szCs w:val="19"/>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Backlog at year-end</w:t>
            </w:r>
          </w:p>
        </w:tc>
        <w:tc>
          <w:tcPr>
            <w:tcW w:w="3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29,183</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21,363</w:t>
            </w:r>
          </w:p>
        </w:tc>
        <w:tc>
          <w:tcPr>
            <w:tcW w:w="320" w:type="dxa"/>
            <w:vAlign w:val="bottom"/>
            <w:tcBorders>
              <w:bottom w:val="single" w:sz="8" w:color="auto"/>
            </w:tcBorders>
          </w:tcPr>
          <w:p>
            <w:pPr>
              <w:spacing w:after="0"/>
              <w:rPr>
                <w:sz w:val="20"/>
                <w:szCs w:val="20"/>
                <w:color w:val="auto"/>
              </w:rPr>
            </w:pPr>
          </w:p>
        </w:tc>
      </w:tr>
    </w:tbl>
    <w:p>
      <w:pPr>
        <w:spacing w:after="0" w:line="15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MFC’s net sales in 2020 increased $1.1 billion, or 11%, compared to the same period in 2019. The increase was primarily attributable to higher net sales of approximately $725 million for integrated air and missile defense programs due to increased volume (THAAD and PAC-3); and about $605 million for tactical and strike missile programs due to increased volume (primarily GMLRS, HIMARS, JASSM, and hypersonics). These increases were partially offset by a decrease of approximately $80 million for sensors and global sustainment programs due to lower volume on the Apache sensors program; and about $120 million as a result of the divestiture of the Distributed Energy Solutions business.</w:t>
      </w:r>
    </w:p>
    <w:p>
      <w:pPr>
        <w:spacing w:after="0" w:line="1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MFC’s operating profit in 2020 increased $104 million, or 7%, compared to 2019. Operating profit increased approximately $90 million for tactical and strike missile programs due to higher volume (primarily JASSM, hypersonics,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GMLRS, and HIMARS); and approximately $30 million for integrated air and missile defense programs due to increased volume (THAAD and PAC-3), which was partially offset by lower risk retirements (THAAD and PAC-3). These increases were partially offset by a decrease of approximately $40 million for sensors and global sustainment programs primarily due to lower risk retirements and a reduction in the profit booking rate on the Apache sensors program. Adjustments not related to volume, including net profit booking rate adjustments, were $40 million lower in 2020 compared to 2019.</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00" w:lineRule="exact"/>
        <w:rPr>
          <w:sz w:val="20"/>
          <w:szCs w:val="20"/>
          <w:color w:val="auto"/>
        </w:rPr>
      </w:pPr>
    </w:p>
    <w:p>
      <w:pPr>
        <w:ind w:right="1680" w:firstLine="324"/>
        <w:spacing w:after="0" w:line="453" w:lineRule="auto"/>
        <w:rPr>
          <w:sz w:val="20"/>
          <w:szCs w:val="20"/>
          <w:color w:val="auto"/>
        </w:rPr>
      </w:pPr>
      <w:r>
        <w:rPr>
          <w:rFonts w:ascii="Times New Roman" w:cs="Times New Roman" w:eastAsia="Times New Roman" w:hAnsi="Times New Roman"/>
          <w:sz w:val="18"/>
          <w:szCs w:val="18"/>
          <w:color w:val="auto"/>
        </w:rPr>
        <w:t xml:space="preserve">Backlog increased in 2020 compared to 2019 primarily due to higher orders on PAC-3 and tactical and strike missiles programs. </w:t>
      </w:r>
      <w:r>
        <w:rPr>
          <w:rFonts w:ascii="Times New Roman" w:cs="Times New Roman" w:eastAsia="Times New Roman" w:hAnsi="Times New Roman"/>
          <w:sz w:val="18"/>
          <w:szCs w:val="18"/>
          <w:i w:val="1"/>
          <w:iCs w:val="1"/>
          <w:color w:val="auto"/>
        </w:rPr>
        <w:t>Trends</w:t>
      </w: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MFC’s 2021 net sales to increase in the mid-single digit percentage range from 2020 levels driven by higher volume in the integrated air and missile defense business, primarily PAC-3. Operating profit is also expected to increase in the mid-single digit percentage range above 2020 levels. Operating profit margin for 2021 is expected to be slightly lower than 2020 levels.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Rotary and Mission Systems</w:t>
      </w:r>
    </w:p>
    <w:p>
      <w:pPr>
        <w:spacing w:after="0" w:line="202"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RMS designs, manufactures, services and supports various military and commercial helicopters, surface ships, sea and land-based missile defense systems, radar systems, sea and air-based mission and combat systems, command and control mission solutions, cyber solutions, and simulation and training solutions. RMS’ major programs include Aegis Combat System, Littoral Combat Ship (LCS), Multi-Mission Surface Combatant (MMSC), Black 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Seahawk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helicopters, CH-53K King Stallion helicopter, Combat Rescue helicopter, VH-92A helicopter, and the C2BMC contract. RMS’ operating results included the following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15,995</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320" w:type="dxa"/>
            <w:vAlign w:val="bottom"/>
            <w:shd w:val="clear" w:color="auto" w:fill="CCEEFF"/>
          </w:tcPr>
          <w:p>
            <w:pPr>
              <w:spacing w:after="0"/>
              <w:rPr>
                <w:sz w:val="19"/>
                <w:szCs w:val="19"/>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320" w:type="dxa"/>
            <w:vAlign w:val="bottom"/>
          </w:tcPr>
          <w:p>
            <w:pPr>
              <w:spacing w:after="0"/>
              <w:rPr>
                <w:sz w:val="19"/>
                <w:szCs w:val="19"/>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Backlog at year-end</w:t>
            </w:r>
          </w:p>
        </w:tc>
        <w:tc>
          <w:tcPr>
            <w:tcW w:w="3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36,249</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34,296</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31,320</w:t>
            </w:r>
          </w:p>
        </w:tc>
        <w:tc>
          <w:tcPr>
            <w:tcW w:w="320" w:type="dxa"/>
            <w:vAlign w:val="bottom"/>
            <w:tcBorders>
              <w:bottom w:val="single" w:sz="8" w:color="auto"/>
            </w:tcBorders>
          </w:tcPr>
          <w:p>
            <w:pPr>
              <w:spacing w:after="0"/>
              <w:rPr>
                <w:sz w:val="20"/>
                <w:szCs w:val="20"/>
                <w:color w:val="auto"/>
              </w:rPr>
            </w:pPr>
          </w:p>
        </w:tc>
      </w:tr>
    </w:tbl>
    <w:p>
      <w:pPr>
        <w:spacing w:after="0" w:line="15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RMS’ net sales in 2020 increased $867 million, or 6%, compared to 2019. The increase was primarily attributable to higher net sales of approximately $570 million for Sikorsky helicopter programs due to higher volume on production contracts (primarily Seahawk, VH-92A, CRH, and CH-53K), which was partially offset by lower volume on Black Hawk production programs; about $175 million for IWSS programs due to higher volume (primarily Aegis); and approximately $165 million for C6ISR programs due to higher volume (primarily undersea combat systems). These increases were partially offset by a $55 million decrease for various TLS programs due to lower volume.</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RMS’ operating profit in 2020 increased $194 million, or 14%, compared to 2019. Operating profit increased approximately $90 million for TLS programs due to $80 million in charges for an army sustainment program in 2019 not repeated in 2020; about $70 million for Sikorsky helicopter programs primarily due to higher volume on production contracts (primarily VH-92A, Seahawk, CRH, and CH-53K); and about $35 million for IWSS programs primarily due to higher volume and higher risk retirements on TPQ-53 and Advanced Hawkeye and lower charges on a ground-based radar program. Operating profit on C6ISR programs was comparable as higher volume was offset by lower risk retirements. Adjustments not related to volume, including net profit booking rate adjustments, were $15 million higher in 2020 compared to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Backlog increased in 2020 compared to 2019 primarily due to higher orders on Sikorsky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Trends</w:t>
      </w:r>
    </w:p>
    <w:p>
      <w:pPr>
        <w:spacing w:after="0" w:line="20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expect RMS’ 2021 net sales to increase in the low-single digit percentage range from 2020 levels driven by higher volume on Sikorsky helicopter programs and TLS programs. Operating profit is also expected to increase in the low-single digit percentage range above 2020 levels. Operating profit margin for 2021 is expected to be in line with 2020 levels.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Space business segment is engaged in the research and development, design, engineering and production of satellites, strategic and defensive missile systems and space transportation systems. Space provides network-enabled situational awareness and integrates complex space and ground-based global systems to help our customers gather, analyze, and securely distribute critical intelligence data. Space is also responsible for various classified systems and services in support of vital national security systems. Space’s major programs include the Trident II D5 Fleet Ballistic Missile (FBM), AWE program, Orion Multi-Purpose Crew Vehicle (Orion), Space Based Infrared System (SBIRS) and Next Generation Overhead Persistent Infrared (Next Gen OPIR) system, Global Positioning System (GPS) III, Advanced Extremely High Frequency (AEHF), and hypersonics programs. Operating profit for our Space business segment includes our share of earnings for our investment in ULA, which provides expendable launch services to the U.S. Government. Space’s operating results included the following (in millions):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11,880</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32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32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Backlog at year-end</w:t>
            </w:r>
          </w:p>
        </w:tc>
        <w:tc>
          <w:tcPr>
            <w:tcW w:w="3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25,148</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28,253</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320" w:type="dxa"/>
            <w:vAlign w:val="bottom"/>
            <w:tcBorders>
              <w:bottom w:val="single" w:sz="8" w:color="auto"/>
            </w:tcBorders>
          </w:tcPr>
          <w:p>
            <w:pPr>
              <w:spacing w:after="0"/>
              <w:rPr>
                <w:sz w:val="20"/>
                <w:szCs w:val="20"/>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Space’s net sales in 2020 increased $1.0 billion, or 9%, compared to 2019. The increase was primarily attributable to higher net sales of approximately $525 million for government satellite programs due to higher volume (primarily Next Gen OPIR); and about $430 million for strategic and missile defense programs due to higher volume (primarily hypersonic development programs, inclusive of impacts due to the acquisition of i3's hypersonics portfolio in November 2020).</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Space’s operating profit in 2020 decreased $42 million, or 4%, compared to 2019. Operating profit decreased approximately $90 million for government satellite programs due to lower risk retirements on the various programs (primarily AEHF) that were partially offset by higher risk retirements and volume on the Next Gen OPIR program. This decrease was partially offset by increases of $40 million for commercial satellite programs due to charges recorded for performance matters in 2019 not repeated in 2020. Operating profit for strategic and missile defense programs was comparable as higher risk retirements and volume on hypersonic development programs were offset by lower risk retirements and volume on fleet ballistic missile programs. Adjustments not related to volume, including net profit booking rate adjustments, were $100 million lower in 2020 compared to 2019.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earnings</w:t>
      </w:r>
    </w:p>
    <w:p>
      <w:pPr>
        <w:spacing w:after="0" w:line="20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equity earnings recognized by Space (primarily ULA) represented approximately $135 million and $145 million, or 12% of this business segment’s operating profit during both 2020 and 2019.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Backlog decreased in 2020 compared to 2019 primarily due to higher sales on multi-year contracts awarded in prior years. Additionally, backlog as of December 31, 2020 reflects a decrease due to the UK Ministry of Defense’s intent to assume 100% ownership of the program on June 30,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Trends</w:t>
      </w:r>
    </w:p>
    <w:p>
      <w:pPr>
        <w:spacing w:after="0" w:line="187"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We expect Space’s 2021 net sales to increase in the low-single digit percentage range from 2020 levels driven by higher volume on hypersonics programs and on government satellite programs (primarily Next Gen OPIR), partially offset by lower volume at AWE due to the UK Ministry of Defense’s intent to re-nationalize the program on June 30, 2021. Operating profit is expected to decrease in the low-single digit percentage range from 2020 levels. Operating profit margin for 2021 is expected to be lower than 2020 levels.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2020, we had a cash balance of $3.2 billion and no commercial paper borrowings outstanding under our $2.5 billion revolving credit facility (the credit facility), which is also available for borrowings in the event of a lack of short-term commercial paper availability. To date, the effects of COVID-19 have not had a significant negative impact on our liquidity, cash flows or capital resources. Actions taken by the U.S. Government to increase the rate of progress payments had the effect of increasing our cash from operations, but we used all of this benefit to accelerate payments to our suppliers. The effects of COVID-19 have, at times, led to disruption and volatility in the global capital markets, which, depending on future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developments, could impact our capital resources and liquidity in the future. The economic impacts of COVID-19 have also caused volatility in the equity capital markets and investment return on our pension assets. Changes in returns on plan assets may affect our plan funding, cash flows and stockholders’ equity. Differences between the actual plan asset return and the expected long-term rate of return on plan assets (7.00% as of December 31, 2020) impact the measurement of the following year’s Financial Accounting Standards (FAS) pension expense and pension funding requirements.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received from customers, either from the payment of invoices for work performed or for advances from non-U.S. Government customers in excess of costs incurred, is our primary source of cash. We generally do not begin work on contracts until funding is appropriated by the customer. However, we may determine to fund customer programs ourselves pending government appropriations. If we incur costs in excess of funds obligated on the contract, we may be at risk for reimbursement of the excess costs.</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Billing timetables and payment terms on our contracts vary based on a number of factors, including the contract type. We generally bill and collect cash more frequently under cost-reimbursable contracts, which represented approximately 40% of the sales we recorded in 2020, as we are authorized to bill as the costs are incurred. A number of our fixed-price contracts may provide for performance-based payments, which allow us to bill and collect cash as we perform on the contract. The amount of performance-based payments and the related milestones are encompassed in the negotiation of each contract. The timing of such payments may differ from the timing of the costs incurred related to our contract performance, thereby affecting our cash flows.</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Government has indicated that it would consider progress payments as the baseline for negotiating payment terms on fixed-price contracts, rather than performance-based payments. In contrast to negotiated performance-based payment terms, progress payment provisions correspond to a percentage of the amount of costs incurred during the performance of the contract. Our cash flows may be affected if the U.S. Government decides to withhold payments on our billings. While the impact of withholding payments delays the receipt of cash, the cumulative amount of cash collected during the life of the contract will not vary.</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balanced cash deployment strategy to enhance stockholder value and position ourselves to take advantage of new business opportunities when they arise. Consistent with that strategy, we have continued to invest in our business, including capital expenditures, independent research and development, and selective business acquisitions and investments; returned cash to stockholders through dividends and share repurchases; and actively managed our debt levels and maturities, interest rates, and pension obligations.</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generated strong operating cash flows, which have been the primary source of funding for our operations, capital expenditures, debt service and repayments, dividends, share repurchases and postretirement benefit plan contributions. Our strong operating cash flows enabled our Board of Directors to approve two key cash deployment initiatives in September 2020. First, we increased our dividend rate in the fourth quarter by $0.20 to $2.60 per share. Second, the Board of Directors approved a $1.3 billion increase to our share repurchase program. Inclusive of this increase, the total remaining authorization for future common share repurchases under our program was $3.0 billion as of December 31, 2020.</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our cash from operations will continue to be sufficient to support our operations and anticipated capital expenditures for the foreseeable future. We also have access to credit markets, if needed, for liquidity or general corporate purposes, and letters of credit to support customer advance payments and for other trade finance purposes such as guaranteeing our performance on particular contracts. See our “Capital Structure, Resources and Other” section below for a discussion on financial resources available to us, including the issuance of commercial paper.</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capital expenditures for 2020 and those planned for 2021 are for equipment, facilities infrastructure and information technology. Expenditures for equipment and facilities infrastructure are generally incurred to support new and existing programs across all of our business segments. For example, we have projects underway in our Aeronautics business segment for facilities and equipment to support higher production of the F-35 combat aircraft, and we have projects underway to modernize certain of our facilities. We also incur capital expenditures for information technology to support programs and general enterprise information technology infrastructure, inclusive of costs for the development or purchase of internal-use software.</w:t>
      </w:r>
    </w:p>
    <w:p>
      <w:pPr>
        <w:spacing w:after="0" w:line="1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made discretionary contributions of $1.0 billion to our qualified defined benefit pension plans in both 2020 and 2019 using cash on hand. We expect to make contributions of approximately $1.0 billion to our qualified defined benefit pension plans in 2021.</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CARES Act, provides a deferral of payroll tax payments from which we benefited by deferring cash outlays of $460 million during 2020. This will have the effect of increasing cash outlays for payroll taxes during 2021 and 2022.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CARES Act, among other things, also contains numerous other provisions which may impact Lockheed Martin. We continue to review ongoing government guidance related to COVID-19 that may be issued.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information followed by a discussion of the key elements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6,230</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adjustments</w:t>
            </w:r>
          </w:p>
        </w:tc>
        <w:tc>
          <w:tcPr>
            <w:tcW w:w="2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1,726</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2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29"/>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204</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8,183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7,311</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9"/>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r>
      <w:tr>
        <w:trPr>
          <w:trHeight w:val="223"/>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1,646</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742</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30"/>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3,160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$872 million in 2020 compared to 2019 primarily due to cash generated from working capital in 2020 compared to a use of cash in 2019, and the deferral of tax payments. The $773 million improvement in cash flows related to working capital (defined as receivables, contract assets, and inventories less accounts payable and contract liabilities) was primarily attributable to timing of cash payments for accounts payable (primarily Aeronautics) and liquidation of inventories (primarily classified programs at Aeronautics and Sikorsky helicopter programs at RMS), partially offset by timing of production and billing cycles affecting contract assets and contract liabilities (primarily the F-35 program at Aeronautics). During 2020, we made net cash tax payments of approximately $1.4 billion compared to $940 million in 2019.</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net cash provided by operating activities in 2020 included the receipt of approximately $1.2 billion of net accelerated progress payments due to the U.S. Government's increase in the progress payment rate from 80% to 90%, and the deferral of $460 million for the employer portion of payroll taxes to 2021 and 2022 pursuant to the CARES Act. We used the accelerated progress payments from the U.S. Government plus cash on hand to accelerate $2.1 billion of payments to our suppliers as of December 31, 2020 that are due by their terms in future periods.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increased $769 million in 2020 compared to 2019, primarily due to an increase in capital expenditures and cash payments for various acquisitions, partially offset by net cash proceeds from various divestitures and acquisitions in 2019, and cash received for various other items, none of which were individually significant. Capital expenditures totaled $1.8 billion in 2020 and $1.5 billion in 2019. The majority of our capital expenditures were for equipment and facilities infrastructure that generally are incurred to support new and existing programs across all of our business segments. We also incur capital expenditures for information technology to support programs and general enterprise information technology infrastructure, inclusive of costs for the development or purchase of internal-use software.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decreased $801 million in 2020 compared to 2019, primarily due to net repayments of $600 million for commercial paper in 2019 which did not recur in 2020, decreased repayments of long-term debt in 2020 and decreased repurchases of common stock, partially offset by higher dividend payments.</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October 2020, we repaid $500 million of long-term notes with a fixed interest rate of 2.50% due November 2020. In November 2019, we repaid $900 million of long-term notes with a fixed interest rate of 4.25% according to their scheduled maturities.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20, 2020, we received net cash proceeds of $1.1 billion from the issuance of senior unsecured notes, consisting of $400 million aggregate principal amount of 1.85% Notes due in 2030 and $750 million aggregate principal amount of 2.80%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due in 2050. On June 16, 2020, we used the net proceeds from the offering plus cash on hand to redeem $750 million of the outstanding $1.25 billion in aggregate principal amount of our 2.50% Notes due in 2020 and $400 million of the outstanding $900 million in aggregate principal amount of our 3.35% Notes due in 2021, each at their redemption price.</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debt financing activities see the “Capital Structure, Resources and Other” discussion below and “Note 11 – Debt” included in our Notes to Consolidated Financial Statements.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paid dividends totaling $2.8 billion ($9.80 per share) in 2020 and $2.6 billion ($9.00 per share) in 2019. We paid quarterly dividends of $2.40 per share during each of the first three quarters of 2020 and $2.60 per share during the fourth quarter of 2020. We paid quarterly dividends of $2.20 per share during each of the first three quarters of 2019 and $2.40 per share during the fourth quarter of 2019.</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paid $1.1 billion to repurchase 3.0 million shares of our common stock during 2020, which includes the $500 million paid to repurchase 1.4 million shares pursuant to the accelerated share repurchase (ASR) agreement entered into in 2020. We paid $1.2 billion to repurchase 3.5 million shares of our common stock during 2019. See “Note 13 – Stockholders’ Equity” included in our Notes to Consolidated Financial Statements for additional information about our repurchases of common stock.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 Resources and Other</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2020, we held cash and cash equivalents of $3.2 billion that was generally available to fund ordinary business operations without significant legal, regulatory, or other restrictions.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outstanding debt, net of unamortized discounts and issuance costs, amounted to $12.2 billion at December 31, 2020 and mainly is in the form of publicly-issued notes that bear interest at fixed rates. As of December 31, 2020, we had $500 million of short-term borrowings due within one year, which are scheduled to mature in September 2021. As of December 31, 2019, we had $1.3 billion of short-term borrowings due within one year, which were scheduled to mature in November 2020. As of December 31, 2020, we were in compliance with all covenants contained in our debt and credit agreements.</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actively seek to finance our business in a manner that preserves financial flexibility while minimizing borrowing costs to the extent practicable. We review changes in financial market and economic conditions to manage the types, amounts and maturities of our indebtedness. We may at times refinance existing indebtedness, vary our mix of variable-rate and fixed-rate debt or seek alternative financing sources for our cash and operational needs.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Facilities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2020, we had a $2.5 billion revolving credit facility (the credit facility) with various banks that is available for general corporate purposes. Effective August 24, 2019, we extended the expiration date of the credit facility from August 24, 2023 to August 24, 2024. The undrawn portion of the credit facility also serves as a backup facility for the issuance of commercial paper. The total amount outstanding at any point in time under the combination of our commercial paper program and the credit facility cannot exceed the amount of the credit facility. We may request and the banks may grant, at their discretion, an increase in the borrowing capacity under the credit facility of up to an additional $500 million. There were no borrowings outstanding under the credit facility as of December 31, 2020 and 2019.</w:t>
      </w:r>
    </w:p>
    <w:p>
      <w:pPr>
        <w:spacing w:after="0" w:line="160"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Borrowings under the credit facility are unsecured and bear interest at rates based, at our option, on a Eurodollar Rate or a Base Rate, as defined in the credit facility’s agreement. Each bank’s obligation to make loans under the credit facility is subject to, among other things, our compliance with various representations, warranties and covenants, including covenants limiting our ability and certain of our subsidiaries’ ability to encumber assets and a covenant not to exceed a maximum leverage ratio, as defined in the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credit facility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May 2020, we issued a total of $1.2 billion of senior unsecured notes, consisting of $400 million aggregate principal amount of 1.85% Notes due in 2030 (the “2030 Notes”) and $750 million aggregate principal amount of 2.80% Notes due in 2050 (the “2050 Notes” and, together with the 2030 Notes, the “Notes”). Interest on the Notes is payable semi-annually in arrears on June 15 and December 15 of each year beginning on December 15, 2020. We may, at our option, redeem the Notes of any series in whole or in part at any time and from time to time at a redemption price equal to the greater of 100% of the principal amount of the notes to be redeemed or an applicable “make-whole” amount, plus accrued and unpaid interest to the date of redemption.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June 2020, we used the net proceeds from the offering plus cash on hand to redeem $750 million of the outstanding $1.25 billion in aggregate principal amount of our 2.50% Notes due in 2020, and $400 million of the outstanding $900 million in aggregate principal amount of our 3.35% Notes due in 2021 at their redemption price. We have an effective shelf registration statement on Form S-3 on file with the U.S. Securities and Exchange Commission to provide for the issuance of an indeterminate amount of debt securities.</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2020, we repaid $500 million of long-term notes with a fixed interest rate of 2.50% due November 2020. In November 2019, we repaid $900 million of long-term notes with a fixed interest rate of 4.25% according to their scheduled maturities. In November 2018, we repaid $750 million of long-term notes with a fixed interest rate of 1.85% according to their scheduled maturities.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total equity was $6.0 billion at December 31, 2020, an increase of $2.9 billion from December 31, 2019. The increase was primarily attributable to net earnings of $6.8 billion, recognition of previously deferred postretirement benefit plan amounts of $440 million, and employee stock activity of $479 million (including the impacts of stock option exercises, issuances of shares under the employee stock ownership plan and stock-based compensation), partially offset by the annual December 31 re-measurement adjustment related to our postretirement benefit plans of $1.1 billion, dividends declared of $2.8 billion during the year, and the repurchase of 3.0 million common shares for $1.1 billion.</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we repurchase our common shares, we reduce common stock for the $1 of par value of the shares repurchased, with the excess purchase price over par value recorded as a reduction of additional paid-in capital. If additional paid-in capital is reduced to zero, we record the remainder of the excess purchase price over par value as a reduction of retained earnings. During 2020, we repurchased $3.0 million of our common shares, which were recognized as a reduction to common stock for the par value with the excess purchase price recorded as a reduction of additional paid-in capital of $256 million and $841 million recorded as a reduction of retained earnings.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 and Off-Balance Sheet Arrangements</w:t>
      </w:r>
    </w:p>
    <w:p>
      <w:pPr>
        <w:spacing w:after="0" w:line="189"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At December 31, 2020, we had contractual commitments to repay debt, make payments under operating leases, settle obligations related to agreements to purchase goods and services and settle tax and other liabilities. Financing lease obligations were not material. Payments due under these obligations and commitments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4"/>
                <w:szCs w:val="14"/>
                <w:color w:val="auto"/>
              </w:rPr>
            </w:pPr>
          </w:p>
        </w:tc>
        <w:tc>
          <w:tcPr>
            <w:tcW w:w="118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320" w:type="dxa"/>
            <w:vAlign w:val="bottom"/>
          </w:tcPr>
          <w:p>
            <w:pPr>
              <w:spacing w:after="0"/>
              <w:rPr>
                <w:sz w:val="14"/>
                <w:szCs w:val="14"/>
                <w:color w:val="auto"/>
              </w:rPr>
            </w:pPr>
          </w:p>
        </w:tc>
        <w:tc>
          <w:tcPr>
            <w:tcW w:w="1140" w:type="dxa"/>
            <w:vAlign w:val="bottom"/>
          </w:tcPr>
          <w:p>
            <w:pPr>
              <w:jc w:val="right"/>
              <w:ind w:right="430"/>
              <w:spacing w:after="0" w:line="169" w:lineRule="exact"/>
              <w:rPr>
                <w:sz w:val="20"/>
                <w:szCs w:val="20"/>
                <w:color w:val="auto"/>
              </w:rPr>
            </w:pPr>
            <w:r>
              <w:rPr>
                <w:rFonts w:ascii="Times New Roman" w:cs="Times New Roman" w:eastAsia="Times New Roman" w:hAnsi="Times New Roman"/>
                <w:sz w:val="18"/>
                <w:szCs w:val="18"/>
                <w:b w:val="1"/>
                <w:bCs w:val="1"/>
                <w:color w:val="auto"/>
              </w:rPr>
              <w:t>Years</w:t>
            </w:r>
          </w:p>
        </w:tc>
        <w:tc>
          <w:tcPr>
            <w:tcW w:w="340" w:type="dxa"/>
            <w:vAlign w:val="bottom"/>
          </w:tcPr>
          <w:p>
            <w:pPr>
              <w:spacing w:after="0"/>
              <w:rPr>
                <w:sz w:val="14"/>
                <w:szCs w:val="14"/>
                <w:color w:val="auto"/>
              </w:rPr>
            </w:pPr>
          </w:p>
        </w:tc>
        <w:tc>
          <w:tcPr>
            <w:tcW w:w="1120" w:type="dxa"/>
            <w:vAlign w:val="bottom"/>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Years</w:t>
            </w:r>
          </w:p>
        </w:tc>
        <w:tc>
          <w:tcPr>
            <w:tcW w:w="280" w:type="dxa"/>
            <w:vAlign w:val="bottom"/>
          </w:tcPr>
          <w:p>
            <w:pPr>
              <w:spacing w:after="0"/>
              <w:rPr>
                <w:sz w:val="14"/>
                <w:szCs w:val="14"/>
                <w:color w:val="auto"/>
              </w:rPr>
            </w:pPr>
          </w:p>
        </w:tc>
        <w:tc>
          <w:tcPr>
            <w:tcW w:w="1180" w:type="dxa"/>
            <w:vAlign w:val="bottom"/>
          </w:tcPr>
          <w:p>
            <w:pPr>
              <w:jc w:val="right"/>
              <w:ind w:right="570"/>
              <w:spacing w:after="0" w:line="169" w:lineRule="exact"/>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 and 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 and 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9,382</w:t>
            </w: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w:t>
            </w:r>
          </w:p>
        </w:tc>
        <w:tc>
          <w:tcPr>
            <w:tcW w:w="3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1,067</w:t>
            </w:r>
          </w:p>
        </w:tc>
        <w:tc>
          <w:tcPr>
            <w:tcW w:w="3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3,021</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1,275</w:t>
            </w: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3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3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50,728</w:t>
            </w: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26,852</w:t>
            </w:r>
          </w:p>
        </w:tc>
        <w:tc>
          <w:tcPr>
            <w:tcW w:w="3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19,735</w:t>
            </w:r>
          </w:p>
        </w:tc>
        <w:tc>
          <w:tcPr>
            <w:tcW w:w="3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3,930</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78,523</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29,049</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22,389</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6,596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table above excludes estimated minimum funding requirements for our qualified defined benefit pension plans. For additional information about our future minimum contributions for these plans, see “Note 12 – Postretirement Benefit Plans” included in our Notes to Consolidated Financial Statements. Amounts related to other liabilities represent the contractual obligations for certain long-term liabilities recorded as of December 31, 2020. Such amounts mainly include expected payments under non-qualified pension plans, environmental liabilities and deferred compensation plans.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Purchase obligations related to operating activities include agreements and contracts that give the supplier recourse to us for cancellation or nonperformance under the contract or contain terms that would subject us to liquidated damages. Such agreements and contracts may, for example, be related to direct materials, obligations to subcontractors and outsourcing arrangements. Total purchase obligations for operating activities in the preceding table include approximately $46.4 billion related to contractual commitments entered into as a result of contracts we have with our U.S. Government customers. The U.S. Government generally would be required to pay us for any costs we incur relative to these commitments if they were to terminate the related contracts “for convenience” under the FAR, subject to available funding. This also would be true in cases where we perform subcontract work for a prime contractor under a U.S. Government contract. The termination for convenience language also may be included in contracts with foreign, state and local governments. We also have contracts with customers that do not include termination for convenience provisions, including contracts with commercial customers.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Purchase obligations in the preceding table for capital expenditures generally include facilities infrastructure, equipment and information technology.</w:t>
      </w:r>
    </w:p>
    <w:p>
      <w:pPr>
        <w:spacing w:after="0" w:line="18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also may enter into industrial cooperation agreements, sometimes referred to as offset agreements, as a condition to obtaining orders for our products and services from certain customers in foreign countries. These agreements are designed to enhance the social and economic environment of the foreign country by requiring the contractor to promote investment in the country. Offset agreements may be satisfied through activities that do not require us to use cash, including transferring technology, providing manufacturing and other consulting support to in-country projects and the purchase by third parties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vendors) of supplies from in-country vendors. These agreements also may be satisfied through our use of cash for such activities as purchasing supplies from in-country vendors, providing financial support for in-country projects, establishment of joint ventures with local companies and building or leasing facilities for in-country operations. We typically do not commit to offset agreements until orders for our products or services are definitive. The amounts ultimately applied against our offset agreements are based on negotiations with the customer and typically require cash outlays that represent only a fraction of the original amount in the offset agreement. Satisfaction of our offset obligations are included in the estimates of our total costs to complete the contract and may impact our sales, profitability and cash flows. Our ability to recover investments on our consolidated balance sheet that we make to satisfy offset obligations is generally dependent upon the successful operation of ventures that we do not control and may involve products and services that are dissimilar to our business activities. At December 31, 2020, the notional value of remaining obligations under our outstanding offset agreements totaled approximately $17.5 billion, which primarily relate to our Aeronautics, MFC and RMS business segments, most of which extend through 2049. To the extent we have entered into purchase or other obligations at December 31, 2020 that also satisfy offset agreements, those amounts are included in the preceding table. Offset programs usually extend over several years and may provide for penalties, estimated at approximately $1.8 billion at December 31, 2020, in the event we fail to perform in accordance with offset requirements. While historically we have not been required to pay material penalties, resolution of offset requirements are often the result of negotiations and subjective judgments.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In some cases, we may guarantee the contractual performance of third parties such as joint venture partners. At December 31, 2020, we had the following outstanding letters of credit, surety bonds and third-party guarantees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Commitment Expiration By Period</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69"/>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590"/>
              <w:spacing w:after="0" w:line="169" w:lineRule="exact"/>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100" w:type="dxa"/>
            <w:vAlign w:val="bottom"/>
          </w:tcPr>
          <w:p>
            <w:pPr>
              <w:jc w:val="center"/>
              <w:ind w:left="3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Years</w:t>
            </w:r>
          </w:p>
        </w:tc>
        <w:tc>
          <w:tcPr>
            <w:tcW w:w="420" w:type="dxa"/>
            <w:vAlign w:val="bottom"/>
          </w:tcPr>
          <w:p>
            <w:pPr>
              <w:spacing w:after="0"/>
              <w:rPr>
                <w:sz w:val="14"/>
                <w:szCs w:val="14"/>
                <w:color w:val="auto"/>
              </w:rPr>
            </w:pPr>
          </w:p>
        </w:tc>
        <w:tc>
          <w:tcPr>
            <w:tcW w:w="110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Years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590"/>
              <w:spacing w:after="0" w:line="169" w:lineRule="exact"/>
              <w:rPr>
                <w:sz w:val="20"/>
                <w:szCs w:val="20"/>
                <w:color w:val="auto"/>
              </w:rPr>
            </w:pPr>
            <w:r>
              <w:rPr>
                <w:rFonts w:ascii="Times New Roman" w:cs="Times New Roman" w:eastAsia="Times New Roman" w:hAnsi="Times New Roman"/>
                <w:sz w:val="18"/>
                <w:szCs w:val="18"/>
                <w:b w:val="1"/>
                <w:bCs w:val="1"/>
                <w:color w:val="auto"/>
              </w:rPr>
              <w:t>After</w:t>
            </w:r>
          </w:p>
        </w:tc>
      </w:tr>
      <w:tr>
        <w:trPr>
          <w:trHeight w:val="230"/>
        </w:trPr>
        <w:tc>
          <w:tcPr>
            <w:tcW w:w="3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1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2 and 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 and 5</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Standby letters of credit </w:t>
            </w:r>
            <w:r>
              <w:rPr>
                <w:rFonts w:ascii="Times New Roman" w:cs="Times New Roman" w:eastAsia="Times New Roman" w:hAnsi="Times New Roman"/>
                <w:sz w:val="10"/>
                <w:szCs w:val="10"/>
                <w:color w:val="auto"/>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2,136</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w:t>
            </w:r>
          </w:p>
        </w:tc>
        <w:tc>
          <w:tcPr>
            <w:tcW w:w="11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c>
          <w:tcPr>
            <w:tcW w:w="11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Surety bonds</w:t>
            </w:r>
          </w:p>
        </w:tc>
        <w:tc>
          <w:tcPr>
            <w:tcW w:w="1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3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110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Guarantees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commitments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3,364</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2,052</w:t>
            </w:r>
          </w:p>
        </w:tc>
        <w:tc>
          <w:tcPr>
            <w:tcW w:w="1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1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94" w:lineRule="exact"/>
        <w:rPr>
          <w:sz w:val="20"/>
          <w:szCs w:val="20"/>
          <w:color w:val="auto"/>
        </w:rPr>
      </w:pPr>
    </w:p>
    <w:p>
      <w:pPr>
        <w:ind w:left="340" w:hanging="332"/>
        <w:spacing w:after="0" w:line="225" w:lineRule="auto"/>
        <w:tabs>
          <w:tab w:leader="none" w:pos="335"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Approximately $859 million of standby letters of credit in the “Less Than 1 Year” category, $219 million in the “Years 2 and 3” category and $264 million in the “Years 4 and 5” category are expected to renew for additional periods until completion of the contractual obligation.</w:t>
      </w:r>
    </w:p>
    <w:p>
      <w:pPr>
        <w:spacing w:after="0" w:line="1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2020, third-party guarantees totaled $871 million, of which approximately 71% related to guarantees of contractual performance of joint ventures to which we currently are or previously were a party. These amounts represent our estimate of the maximum amounts we would expect to incur upon the contractual non-performance of the joint venture, joint venture partners or divested businesses. Generally, we also have cross-indemnities in place that may enable us to recover amounts that may be paid on behalf of a joint venture partner.</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determining our exposures, we evaluate the reputation, performance on contractual obligations, technical capabilities and credit quality of our current and former joint venture partners and the transferee under novation agreements all of which include a guarantee as required by the FAR. At December 31, 2020 and 2019, there were no material amounts recorded in our financial statements related to third-party guarantees or novation agreements.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Accounting / Sales Recognition</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majority of our net sales are generated from long-term contracts with the U.S. Government and international customers (including FMS contracted through the U.S. Government) for the research, design, development, manufacture, integration and sustainment of advanced technology systems, products and services. 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international direct commercial sale contracts, we are required to obtain certain regulatory approvals. In these cases, we recognize revenue when it is probable that we will receive regulatory approvals based upon all known facts and circumstances. We provide our products and services under fixed-price and cost-reimbursable contracts.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Under fixed-price contracts, we agree to perform the specified work for a pre-determined price. To the extent our actual costs vary from the estimates upon which the price was negotiated, we will generate more or less profit or could incur a loss. Some fixed-price contracts have a performance-based component under which we may earn incentive payments or incur financial penalties based on our performance.</w:t>
      </w:r>
    </w:p>
    <w:p>
      <w:pPr>
        <w:spacing w:after="0" w:line="14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Cost-reimbursable contracts provide for the payment of allowable costs incurred during performance of the contract plus a fee up to a ceiling based on the amount that has been funded. Typically, we enter into three types of cost-reimbursable contracts: cost-plus-award-fee, cost-plus-incentive-fee, and cost-plus-fixed-fee. Cost-plus-award-fee contracts provide for an award fee that varies within specified limits based on the customer’s assessment of our performance against a predetermined set of criteria, such as targets based on cost, quality, technical and schedule criteria. Cost-plus-incentive-fee contracts provide for reimbursement of costs plus a fee, which is adjusted by a formula based on the relationship of total allowable costs to total target costs (i.e., incentive based on cost) or reimbursement of costs plus an incentive to exceed stated performance targets (i.e., incentive based on performance). The fixed-fee in a cost-plus-fixed-fee contract is negotiated at the inception of the contract and that fixed-fee does not vary with actual costs.</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assess each contract at its inception to determine whether it should be combined with other contracts. When making this determination, we consider factors such as whether two or more contracts were negotiated and executed at or near the same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or were negotiated with an overall profit objective. If combined, we treat the combined contracts as a single contract for revenue recognition purposes.</w:t>
      </w:r>
    </w:p>
    <w:p>
      <w:pPr>
        <w:spacing w:after="0" w:line="19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evaluate the products or services promised in each contract at inception to determine whether the contract should be accounted for as having one or more performance obligations. The products and services in our contracts are typically not distinct from one another due to their complex relationships and the significant contract management functions required to perform under the contract. Accordingly, our contracts are typically accounted for as one performance obligation. In limited cases, our contracts have more than one distinct performance obligation, which occurs when we perform activities that are not highly complex or interrelated or involve different product lifecycles. Significant judgment is required in determining performance obligations, and these decisions could change the amount of revenue and profit recorded in a given period. We classify net sales as products or services on our consolidated statements of earnings based on the predominant attributes of the performance obligations.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determine the transaction price for each contract based on the consideration we expect to receive for the products or services being provided under the contract. For contracts where a portion of the price may vary, we estimate variable consideration at the most likely amount,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spacing w:after="0" w:line="13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At the inception of a contract we estimate the transaction price based on our current rights and do not contemplate future modifications (including unexercised options) or follow-on contracts until they become legally enforceable. Contracts are often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modifications to our contracts are not distinct from the existing contract due to the significant integration and interrelated tasks provided in the context of the contract. Therefore, such modifications are accounted for as if they were part of the existing contract and recognized as a cumulative adjustment to revenue.</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contracts with multiple performance obligations, we allocate the transaction price to each performance obligation based on the estimated standalone selling price of the product or service underlying each performance obligation. The standalone selling price represents the amount we would sell the product or service to a customer on a standalone basis (i.e., not bundled with any other products or services). Our contracts with the U.S. Government, including FMS contracts, are subject to FAR and the price is typically based on estimated or actual costs plus a reasonable profit margin. As a result of these regulations, the standalone selling price of products or services in our contracts with the U.S. Government and FMS contracts are typically equal to the selling price stated in the contract.</w:t>
      </w:r>
    </w:p>
    <w:p>
      <w:pPr>
        <w:spacing w:after="0" w:line="14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non-U.S. Government contracts with multiple performance obligations, we evaluate whether the stated selling prices for the products or services represent their standalone selling prices. We primarily sell customized solutions unique to a customer’s specifications. When it is necessary to allocate the transaction price to multiple performance obligations, we typically use the expected cost plus a reasonable profit margin to estimate the standalone selling price of each product or service. We occasionally sell standard products or services with observable standalone sales transactions. In these situations, the observable standalone sales transactions are used to determine the standalone selling price.</w:t>
      </w:r>
    </w:p>
    <w:p>
      <w:pPr>
        <w:spacing w:after="0" w:line="14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recognize revenue as performance obligations are satisfied and the customer obtains control of the products and services. In determining when performance obligations are satisfied, we consider factors such as contract terms, payment terms and whether there is an alternative future use of the product or service. Substantially all of our revenue is recognized over time as we perform under the contract because control of the work in process transfers continuously to the customer. For most contracts with the U.S. Government and FMS contracts, this continuous transfer of control of the work in process to the customer is supported by clauses in the contract that give the customer ownership of work in process and allow the customer to unilaterally terminate the contract for convenience and pay us for costs incurred plus a reasonable profit. For most non-U.S. Government contracts, primarily international direct commercial contracts, continuous transfer of control to our customer is supported because we deliver products that do not have an alternative use to us and if our customer were to terminate the contract for reasons other than our non-performance we would have the right to recover damages which would include, among other potential damages, the right to payment for our work performed to date plus a reasonable profit.</w:t>
      </w:r>
    </w:p>
    <w:p>
      <w:pPr>
        <w:spacing w:after="0" w:line="16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Under the percentage-of-completion cost-to-cost measure of progress, the extent of progress towards completion is measured based on the ratio of costs incurred to date to the total estimated costs to complete the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performance obligation(s). For performance obligations to provide services to the customer, revenue is recognized over time based on costs incurred or the right to invoice method (in situations where the value transferred matches our billing rights) as our customer receives and consumes the benefits.</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w:t>
      </w:r>
    </w:p>
    <w:p>
      <w:pPr>
        <w:spacing w:after="0" w:line="13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Significant estimates and assumptions are made in estimating contract sales and costs, including the profit booking rate. At the outset of a long-term contract, we identify and monitor risks to the achievement of the technical, schedule and cost aspects of the contract, as well as variable consideration, and assess the effects of those risks on our estimates of sales and total costs to complete the contract. The estimates consider the technical requirements (e.g., a newly-developed product versus a mature product), the schedule and associated tasks (e.g., the number and type of milestone events) and costs (e.g., material, labor, subcontractor, overhead, general and administrative and the estimated costs to fulfill our industrial cooperation agreements, sometimes referred to as offset or localization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surrounding the technical, schedule and cost aspects of the contract, which decreases the estimated total costs to complete the contract or may increase the variable consideration we expect to receive on the contract. Conversely, our profit booking rates may decrease if the estimated total costs to complete the contract increase or our estimates of variable consideration we expect to receive decrease. All of the estimates are subject to change during the performance of the contract and may affect the profit booking rate. When estimates of total costs to be incurred on a contract exceed total estimates of the transaction price, a provision for the entire loss is determined at the contract level and is recorded in the period in which the loss is determined.</w:t>
      </w:r>
    </w:p>
    <w:p>
      <w:pPr>
        <w:spacing w:after="0" w:line="14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Comparability of our segment sales, operating profit and operating margin may be impacted favorably or unfavorably by changes in profit booking rates on our contracts for which we recognize revenue over time using the percentage-of-completion cost-to-cost method to measure progress towards completion. Increases in the profit booking rates, typically referred to as risk retirements,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Increases or decreases in profit booking rates are recognized in the current period and reflect the inception-to-date effect of such changes. Segment operating profit and margin may also be impacted favorably or unfavorably by other items, which may or may not impact sales. Favorable items may include the positive resolution of contractual matters, cost recoveries on severance and restructuring charges, insurance recoveries and gains on sales of assets. Unfavorable items may include the adverse resolution of contractual matters; restructuring charges, except for significant severance actions, which are excluded from segment operating results; reserves for disputes; certain asset impairments; and losses on sales of certain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 Accounting Considerations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majority of our sales are driven by pricing based on costs incurred to produce products or perform services under contracts with the U.S. Government. Cost-based pricing is determined under the FAR. The FAR provides guidance on the types of costs that are allowable in establishing prices for goods and services under U.S. Government contracts. For example, costs such as those related to charitable contributions, interest expense and certain advertising and public relations activities are unallowable and, therefore, not recoverable through sales. In addition, we may enter into advance agreements with the U.S. Government that address the subjects of allowability and allocability of costs to contracts for specific matters. For example, most of the environmental costs we incur for environmental remediation related to sites operated in prior years are allocated to our current operations as general and administrative costs under FAR provisions and supporting advance agreements reached with the U.S. Government.</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closely monitor compliance with and the consistent application of our critical accounting policies related to contract accounting. Costs incurred and allocated to contracts are reviewed for compliance with U.S. Government regulations by our personnel and are subject to audit by the Defense Contract Audit Agency.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of our employees and retirees participate in qualified and nonqualified defined benefit pension plans, retiree medical and life insurance plans and other postemployment plans (collectively, postretirement benefit plans - see “Note 12 – Postretirement Benefit Plans” included in our Notes to Consolidated Financial Statements). The majority of our accrued benefit obligations relate to our qualified defined benefit pension plans and retiree medical and life insurance plans. We recognize on a plan-by-plan basis the net funded status of these postretirement benefit plans under GAAP as either an asset or a liability on our consolidated balance sheets. The GAAP funded status represents the difference between the fair value of each plan’s assets and the benefit obligation of the plan. The GAAP benefit obligation represents the present value of the estimated future benefits we currently expect to pay to plan participants based on past service.</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completed the final step of the previously announced planned freeze of our qualified and nonqualified defined benefit pension plans for salaried employees effective January 1, 2020. The freeze took effect in two stages. Effective January 1, 2016, the pay-based component of the formula used to determine retirement benefits was frozen. Effective January 1, 2020, the service-based component of the formula was frozen. As a result of these changes, the qualified defined benefit pension plans for salaried employees are fully frozen effective January 1, 2020. With the freeze complete, the majority of our salaried employees participate in an enhanced defined contribution retirement savings plan.</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Similar to recent years, we continue to take actions to mitigate the effect of our defined benefit pension plans on our financial results by reducing the volatility of our pension obligations, including entering into additional transactions involving the purchase of group annuity contracts for portions of our outstanding defined benefit pension obligations using assets from the pension trust. During December 2020, Lockheed Martin, through its master retirement trust, purchased an irrevocable group annuity contract from an insurance company (referred to as a buy-out contract) for $1.4 billion to transfer the related, outstanding defined benefit pension obligations. As a result of this transaction, we were relieved of all responsibility for these pension obligations and the insurance company is now required to pay and administer the retirement benefits owed to approximately 13,500 U.S. retirees and beneficiaries, with no change to the amount, timing or form of monthly retirement benefit payments. Although the transaction was treated as a settlement for accounting purposes, we did not recognize a loss on the settlement in earnings associated with the transaction because total settlements during 2020 for the affected pension plans were less than the plans’ service and interest cost in 2020.</w:t>
      </w:r>
    </w:p>
    <w:p>
      <w:pPr>
        <w:spacing w:after="0" w:line="16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second contract was also purchased from an insurance company for $793 million that will reimburse the plan for all future benefit payments related to approximately 2,500 U.S. retirees and beneficiaries (referred to as a buy-in contract). The covered retirees and beneficiaries and buy-in contract were spun-off to the plan established in December 2018 for the contract purchased at that time similarly structured as a buy-in; the buy-in contracts are the sole assets of that plan. Under the arrangement, the plan remains responsible for paying the benefits for the covered retirees and beneficiaries and the insurance company will reimburse the plan as those benefits are paid. As a result, there is no net ongoing cash flow to the plan for the covered retirees and beneficiaries as the cost of providing the benefits is funded by the buy-in contract; effectively locking in the cost of the benefits and eliminating future volatility of the benefit obligation, while also providing the option to convert to a buy-out. The buy-in contract was purchased using assets from the pension trust and is accounted for at fair value as an investment of the trust. These transactions had no impact on our 2020 FAS pension expense or CAS pension cost.</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December 2018, Lockheed Martin, through its master retirement trust, has purchased total contracts (both buy-in and buy-out) for approximately $6.7 billion related to our outstanding defined benefit pension obligations eliminating pension plan volatility for approximately 77,000 retirees and beneficiaries and annually required Pension Benefit Guarantee Corporation (PBGC) premiums of approximately $55 million per year.</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to continue to look for opportunities to manage our pension liabilities through additional buy-out (and buy-in) contracts in future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transactions could result in a non-cash settlement charge to earnings, which could be material to a reporting period.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these actions, the impact of our postretirement benefit plans on our earnings may be volatile in that the amount of expense we record and the funded status for our postretirement benefit plans may materially change from year to year because the calculations are sensitive to funding levels as well as changes in several key economic assumptions, including interest rates, actual rates of return on plan assets and other actuarial assumptions including participant longevity and employee turnover, as well as the timing of cash funding.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Actuarial Assumptions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plan assets and benefit obligations are measured at the end of each year or more frequently, upon the occurrence of certain events such as a significant plan amendment, settlement or curtailment. The amounts we record are measured using actuarial valuations, which are dependent upon key assumptions such as discount rates, the expected long-term rate of return on plan assets, participant longevity, employee turnover and the health care cost trend rates for our retiree medical plans. The assumptions we make affect both the calculation of the benefit obligations as of the measurement date and the calculation of net periodic benefit cost in subsequent periods. When reassessing these assumptions, we consider past and current market conditions and make judgments about future market trends. We also consider factors such as the timing and amounts of expected contributions to the plans and benefit payments to plan participants.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use a single weighted average discount rate approach when calculating our consolidated benefit obligations related to our defined benefit pension plans resulting in 2.50% at December 31, 2020, compared to 3.25% at December 31, 2019. We utilized a single weighted average discount rate of 2.375% when calculating our benefit obligations related to our retiree medical and life insurance plans at December 31, 2020, compared to 3.25% at December 31, 2019. We evaluate several data points in order to arrive at an appropriate single weighted average discount rate, including results from cash flow models, quoted rates from long-term bond indices and changes in long-term bond rates over the past year. As part of our evaluation, we calculate the approximate average yields on corporate bonds rated AA or better selected to match our projected postretirement benefit plan cash flows. The decrease in the discount rate from December 31, 2019 to December 31, 2020 resulted in an increase in the projected benefit obligations of our qualified defined benefit pension plans of approximately $4.9 billion at December 31, 2020.</w:t>
      </w:r>
    </w:p>
    <w:p>
      <w:pPr>
        <w:spacing w:after="0" w:line="1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utilized an expected long-term rate of return on plan assets of 7.00% at both December 31, 2020 and December 31, 2019. The long-term rate of return assumption represents the expected long-term rate of return on the funds invested or to be invested, to provide for the benefits included in the benefit obligations. This assumption is based on several factors including historical market index returns, the anticipated long-term allocation of plan assets, the historical return data for the trust funds, plan expenses and the potential to outperform market index returns. The difference between the long-term rate of return on plan assets assumption we select and the actual return on plan assets in any given year affects both the funded status of our benefit plans and the calculation of FAS pension expense in subsequent periods. Although the actual return in any specific year likely will differ from the assumption, the average expected return over a long-term future horizon should be approximately equal to the assumption. Any variance each year should not, by itself, suggest that the assumption should be changed. Patterns of variances are reviewed over time, and then combined with expectations for the future. As a result, changes in this assumption are less frequent than changes in the discount rate. The actual investment return for our qualified defined benefit plans during 2020 of $5.6 billion based on an actual rate of approximately 16.5% improved plan assets more than the $2.3 billion expected return based on our 7.00% long-term rate of return assumption.</w:t>
      </w:r>
    </w:p>
    <w:p>
      <w:pPr>
        <w:spacing w:after="0" w:line="1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2020, the Society of Actuaries published revised longevity assumptions that refined its prior studies. We used the revised assumptions in our December 31, 2020 re-measurement of benefit obligation resulting in an approximate $426 million decrease in the projected benefit obligations of our qualified defined benefit pension plans.</w:t>
      </w:r>
    </w:p>
    <w:p>
      <w:pPr>
        <w:spacing w:after="0" w:line="1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stockholders’ equity has been reduced cumulatively by $16.2 billion from the annual year-end measurements of the funded status of postretirement benefit plans. The cumulative non-cash, after-tax reduction primarily represents net actuarial losses resulting from declines in discount rates, investment losses and updated longevity. A market-related value of our plan assets, determined using actual asset gains or losses over the prior three-year period, is used to calculate the amount of deferred asset gains or losses to be amortized. These cumulative actuarial losses will be amortized to expense using the corridor method, where gains and losses are recognized to the extent they exceed 10% of the greater of plan assets or benefit obligations, over an average period of approximately twenty years as of December 31, 2020. This amortization period extended in 2020 due to the freeze of our salaried pension plans to use the average remaining life expectancy of the participants instead of average future service. During 2020, $440 million of these amounts were recognized as a component of postretirement benefit plans expense.</w:t>
      </w:r>
    </w:p>
    <w:p>
      <w:pPr>
        <w:spacing w:after="0" w:line="1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discount rate and long-term rate of return on plan assets assumptions we select at the end of each year are based on our best estimates and judgment. A change of plus or minus 25 basis points in the 2.50% discount rate assumption at December 31, 2020, with all other assumptions held constant, would have decreased or increased the amount of the qualified pension benefit obligation we recorded at the end of 2020 by approximately $1.6 billion, which would result in an after-tax increase or decrease in stockholders’ equity at the end of the year of approximately $1.3 billion. If the 2.50% discount rate at December 31, 2020 that was used to compute the expected 2021 FAS pension expense for our qualified defined benefit pension plans had been 25 basis points higher or lower, with all other assumptions held constant, the amount of FAS pension expense projected for 2021 would be lower or higher by approximately $15 million. The impact of changes in the discount rate on FAS pension expense is significantly less than in years prior to the freeze of our salaried pension plans effective January 1, 2020 due to the resulting service cost reduction and extended loss amortization period discussed above. If the 7.00% expected long-term rate of</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return on plan assets assumption at December 31, 2020 that was used to compute the expected 2021 FAS pension expense for our qualified defined benefit pension plans had been 25 basis points higher or lower, with all other assumptions held constant, the amount of FAS pension expense projected for 2021 would be lower or higher by approximately $80 million. Each year, differences between the actual plan asset return and the expected long-term rate of return on plan assets impacts the measurement of the following year’s FAS expense. Every 100 basis points difference in return during 2020 between our actual rate of return of approximately 16.5% and our expected long-term rate of return of 7.00% impacted 2021 expected FAS pension expense by approximately $15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Considerations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made contributions of $1.0 billion in both 2020 and 2019 to our qualified defined benefit pension plans. Funding of our qualified defined benefit pension plans is determined in a manner consistent with CAS and in accordance with the Employee Retirement Income Security Act of 1974 (ERISA), as amended by the Pension Protection Act of 2006 (PPA). Our goal has been to fund the pension plans to a level of at least 80%, as determined under the PPA. The ERISA funded status of our qualified defined benefit pension plans was approximately 86% and 83% as of December 31, 2020 and 2019; which is calculated on a different basis than under GAAP.</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Contributions to our defined benefit pension plans are recovered over time through the pricing of our products and services on U.S. Government contracts, including FMS, and are recognized in our cost of sales and net sales. CAS govern the extent to which our pension costs are allocable to and recoverable under contracts with the U.S. Government, including FMS. Pension cost recoveries under CAS occur in different periods from when pension contributions are made under the PPA. The CAS rules fully transitioned in 2017 to better align the recovery of pension costs with the minimum funding requirements of the PPA (referred to as CAS Harmonization).</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recovered $2.0 billion in 2020 and $2.6 billion in 2019 as CAS pension costs. Amounts contributed in excess of the CAS pension costs recovered under U.S. Government contracts are considered to be prepayment credits under the CAS rules. Our prepayment credits were approximately $8.3 billion and $8.5 billion at December 31, 2020 and 2019, respectively. The prepayment credit balance will increase or decrease based on our actual investment return on plan assets.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plan to make discretionary contributions of approximately $1.0 billion to our qualified defined benefit pension plans in 2021. We anticipate recovering approximately $2.1 billion of CAS pension cost in 2021 allowing us to recoup a portion of our CAS prepayment credits.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project FAS pension income of $265 million in 2021, compared to FAS pension income of $118 million in 2020, and a net 2021 FAS/CAS pension benefit of $2.3 billion compared to $2.1 billion in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party to various agreements, proceedings and potential proceedings for environmental remediation issues, including matters at various sites where we have been designated a potentially responsible party (PRP). At December 31, 2020 and 2019, the total amount of liabilities recorded on our consolidated balance sheet for environmental matters was $789 million and $810 million. We have recorded assets totaling $685 million and $703 million at December 31, 2020 and 2019 for the portion of environmental costs that are probable of future recovery in pricing of our products and services for agencies of the U.S. Government, as discussed below. The amount that is expected to be allocated to our non-U.S. Government contracts or that is determined to not be recoverable under U.S. Government contracts is expensed through cost of sales. We project costs and recovery of costs over approximately 20 years.</w:t>
      </w:r>
    </w:p>
    <w:p>
      <w:pPr>
        <w:spacing w:after="0" w:line="14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 into agreements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administrative consent orders, consent decrees) that document the extent and timing of some of our environmental remediation obligations. We also are involved in environmental remediation activities at sites where formal agreements either do not exist or do not quantify the extent and timing of our obligations. Environmental remediation activities usually span many years, which makes estimating the costs more judgmental due to, for example, changing remediation technologies. To determine the costs related to clean up sites, we have to assess the extent of contamination, effects on natural resources, the appropriate technology to be used to accomplish the remediation, and evolving environmental standards.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perform quarterly reviews of environmental remediation sites and record liabilities and receivables in the period it becomes probable that the liabilities have been incurred and the amounts can be reasonably estimated (see the discussion under “Environmental Matters” in “Note 1 – Significant Accounting Policies” and “Note 15 – Legal Proceedings, Commitments and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Contingencies” included in our Notes to Consolidated Financial Statements). We consider the above factors in our quarterly estimates of the timing and amount of any future costs that may be required for environmental remediation activities, which result in the calculation of a range of estimates for each particular environmental remediation site. We do not discount the recorded liabilities, as the amount and timing of future cash payments are not fixed or cannot be reliably determined. Given the required level of judgment and estimation, it is likely that materially different amounts could be recorded if different assumptions were used or if circumstances were to change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change in environmental standards or a change in our estimate of the extent of contamination).</w:t>
      </w:r>
    </w:p>
    <w:p>
      <w:pPr>
        <w:spacing w:after="0" w:line="14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agreements reached with the U.S. Government, most of the amounts we spend for environmental remediation are allocated to our operations as general and administrative costs. Under existing U.S. Government regulations, these and other environmental expenditures relating to our U.S. Government business, after deducting any recoveries received from insurance or other PRPs, are allowable in establishing prices of our products and services. As a result, most of the expenditures we incur are included in our net sales and cost of sales according to U.S. Government agreement or regulation,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our history of receiving reimbursement of such costs, and efforts by some U.S. Government representatives to limit such reimbursement.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proceedings and potential proceedings discussed above, the California State Water Resources Control Board, a branch of the California Environmental Protection Agency, has indicated it will work to re-establish a maximum level of the contaminant hexavalent chromium in drinking water after a prior standard of 10 parts per billion (ppb) was challenged and withdrawn, and is also reevaluating its existing drinking water standard of 6 ppb for perchlorate. The U.S. Environmental Protection Agency decided in June 2020 not to regulate perchlorate in drinking water at the federal level, although this decision has been challenged, and is considering whether to regulate hexavalent chromium.</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substantially lower standards are adopted for perchlorate (in California) or for hexavalent chromium (in California or at the federal level), we expect a material increase in our estimates for environmental liabilities and the related assets for the portion of the increased costs that are probable of future recovery in the pricing of our products and services for the U.S. Government. The amount that would be allocable to our non-U.S. Government contracts or that is determined not to be recoverable under U.S. Government contracts would be expensed, which may have a material effect on our earnings in any particular interim reporting period.</w:t>
      </w:r>
    </w:p>
    <w:p>
      <w:pPr>
        <w:spacing w:after="0" w:line="14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are evaluating the potential impact of existing and contemplated legal requirements addressing a class of compounds known generally as per-and polyfluoroalkyl compounds (PFAS). PFAS compounds have been used ubiquitously, such as in fire-fighting foams, manufacturing processes, and stain-and stick-resistant products (e.g., Teflon, stain-resistant fabrics). Because we have used products and processes over the years containing some of those compounds, they likely exist as contaminants at many of our environmental remediation sites. Governmental authorities have announced plans, and in some instances have begun, to regulate certain of these compounds at extremely low concentrations in drinking water, which could lead to increased cleanup costs at many of our environmental remediation sites.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disclosed above, we may record changes in the amount of environmental remediation liabilities as a result of our quarterly reviews of the status of our environmental remediation sites, which would result in a change to the corresponding amount that is probable of future recovery and a charge to earnings. For example, if we were to determine that the liabilities should be increased by $100 million, the corresponding amount that is probable of future recovery would be increased by approximately $87 million, with the remainder recorded as a charge to earnings. This allocation is determined annually, based upon our existing and projected business activities with the U.S. Government.</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cannot reasonably determine the extent of our financial exposure at all environmental remediation sites with which we are involved. There are a number of former operating facilities we are monitoring or investigating for potential future environmental remediation. In some cases, although a loss may be probable, it is not possible at this time to reasonably estimate the amount of any obligation for remediation activities because of uncertainties (e.g., assessing the extent of the contamination). During any particular quarter, such uncertainties may be resolved, allowing us to estimate and recognize the initial liability to remediate a particular former operating site. The amount of the liability could be material. Upon recognition of the liability, a portion will be recognized as a receivable with the remainder charged to earnings, which may have a material effect in any particular interim reporting period.</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ultimately found to have liability at those sites where we have been designated a PRP, we expect that the actual costs of environmental remediation will be shared with other liable PRPs. Generally, PRPs that are ultimately determined to be responsible parties are strictly liable for site remediation and usually agree among themselves to share, on an allocated basis, the costs and expenses for environmental investigation and remediation. Under existing environmental laws, responsible parties are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jointly and severally liable and, therefore, we are potentially liable for the full cost of funding such remediation. In the unlikely event that we were required to fund the entire cost of such remediation, the statutory framework provides that we may pursue rights of cost recovery or contribution from the other PRPs. The amounts we record do not reflect the fact that we may recover some of the environmental costs we have incurred through insurance or from other PRPs, which we are required to pursue by agreement and U.S. Government regulation.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assets and liabilities of acquired businesses are recorded under the acquisition method of accounting at their estimated fair values at the date of acquisition. Goodwill represents costs in excess of fair values assigned to the underlying identifiable net assets of acquired businesses. Intangible assets from acquired businesses are recognized at fair value on the acquisition date and consist of customer programs, trademarks, customer relationships, technology and other intangible assets. Customer programs include values assigned to major programs of acquired businesses and represent the aggregate value associated with the customer relationships, contracts, technology and trademarks underlying the associated program and are amortized on a straight-line basis over a period of expected cash flows used to measure fair value, which ranges from nine to 20 years.</w:t>
      </w:r>
    </w:p>
    <w:p>
      <w:pPr>
        <w:spacing w:after="0" w:line="1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goodwill balance was $10.8 billion at December 31, 2020 and $10.6 billion at December 31, 2019. We perform an impairment test of our goodwill at least annually in the fourth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a decline in our market capitalization, operating performance indicators, competition, reorganizations of our business, U.S. Government budget restrictions or the disposal of all or a portion of a reporting unit. Our goodwill has been allocated to and is tested for impairment at a level referred to as the reporting unit, which is our business segment level or a level below the business segment. The level at which we test goodwill for impairment requires us to determine whether the operations below the business segment constitute a self-sustaining business for which discrete financial information is available and segment management regularly reviews the operating results.</w:t>
      </w:r>
    </w:p>
    <w:p>
      <w:pPr>
        <w:spacing w:after="0" w:line="1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use both qualitative and quantitative approaches when testing goodwill for impairment. For selected reporting units where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We perform quantitative tests for most reporting units at least once every three years. However, for certain reporting units we may perform a quantitative impairment test every year.</w:t>
      </w:r>
    </w:p>
    <w:p>
      <w:pPr>
        <w:spacing w:after="0" w:line="1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 We generally estimate the fair value of each reporting unit using a combination of a discounted cash flow (DCF) analysis and market-based valuation methodologies such as comparable public company trading values and values observed in recent business acquisitions. Determining fair value requires the exercise of significant judgments, including the amount and timing of expected future cash flows, long-term growth rates, discount rates and relevant comparable public company earnings multiples and relevant transaction multiples. The cash flows employed in the DCF analysis are based on our best estimate of future sales, earnings and cash flows after considering factors such as general market conditions, U.S. Government budgets, existing firm orders, expected future orders, contracts with suppliers, labor agreements, changes in working capital, long term business plans and recent operating performance. The discount rates utilized in the DCF analysis are based on the respective reporting unit’s weighted average cost of capital, which takes into account the relative weights of each component of capital structure (equity and debt) and represents the expected cost of new capital, adjusted as appropriate to consider the risk inherent in future cash flows of the respective reporting unit. The carrying value of each reporting unit includes the assets and liabilities employed in its operations, goodwill and allocations of amounts held at the business segment and corporate levels.</w:t>
      </w:r>
    </w:p>
    <w:p>
      <w:pPr>
        <w:spacing w:after="0" w:line="14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fourth quarter of 2020, we performed our annual goodwill impairment test for each of our reporting units. The results of that test indicated that for each of our reporting units no impairment existed. As of the date of our annual impairment test, the fair value of our Sikorsky reporting unit exceeded its carrying value, which included goodwill of $2.7 billion, by a margin of approximately 30%. The fair value of our Sikorsky reporting unit can be significantly impacted by changes in expected future orders, general market pressures, including U.S. Government budgetary constraints, discount rates, long term growth rates, and changes in U.S. (federal or state) or foreign tax laws and regulations, or their interpretation and application, including those with retroactive effect, along with other significant judgments. Based on our assessment of these circumstances, we have determined that goodwill at our Sikorsky reporting unit is at risk for impairment should there be a deterioration of projected cash flows of the reporting unit.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Impairment assessments inherently involve management judgments regarding a number of assumptions such as those described above. Due to the many variables inherent in the estimation of a reporting unit’s fair value and the relative size of our recorded goodwill, differences in assumptions could have a material effect on the estimated fair value of one or more of our reporting units and could result in a goodwill impairment charge in a future period.</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Acquired intangible assets deemed to have indefinite lives are not amortized, but are subject to annual impairment testing. This testing compares carrying value to fair value and, when appropriate, the carrying value of these assets is reduced to fair value. In the fourth quarter of 2020, we performed our annual impairment test, and the results of that test indicated no impairment existed. Finite-lived intangibles are amortized to expense over the applicable useful lives, ranging from three to 20 years, based on the nature of the asset and the underlying pattern of economic benefit as reflected by future net cash inflows. We perform an impairment test of finite-lived intangibles whenever events or changes in circumstances indicate their carrying value may be impaired. If events or changes in circumstances indicate the carrying value of a finite-lived intangible may be impaired, the sum of the undiscounted future cash flows expected to result from the use of the asset group would be compared to the asset group’s carrying value. If the asset group’s carrying amount exceed the sum of the undiscounted future cash flows, we would determine the fair value of the asset group and record an impairment loss in net earnings.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 – Significant Accounting Policies” included in our Notes to Consolidated Financial Statements (under the caption “Recent Accounting Pronouncements”).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active relationships with a broad and diverse group of U.S. and international financial institutions. We believe that they provide us with sufficient access to the general and trade credit we require to conduct our business. We continue to closely monitor the financial market environment and actively manage counterparty exposure to minimize the potential impact from adverse developments with any single credit provider while ensuring availability of, and access to, sufficient credit resources.</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main exposure to market risk relates to interest rates, foreign currency exchange rates and market prices on certain equity securities. Our financial instruments that are subject to interest rate risk principally include fixed-rate long-term debt and commercial paper, if issued. The estimated fair value of our outstanding debt was $16.9 billion at December 31, 2020 and the outstanding principal amount was $13.3 billion, excluding unamortized discounts and issuance costs of $1.1 billion. A 10% change in the level of interest rates would not have a material impact on the fair value of our outstanding debt at December 31, 2020.</w:t>
      </w:r>
    </w:p>
    <w:p>
      <w:pPr>
        <w:spacing w:after="0" w:line="14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derivative instruments principally to reduce our exposure to market risks from changes in foreign currency exchange rates and interest rates. We do not enter into or hold derivative instruments for speculative trading purposes. We transact business globally and are subject to risks associated with changing foreign currency exchange rates. We enter into foreign currency hedges such as forward and option contracts that change in value as foreign currency exchange rates change. Our most significant foreign currency exposures relate to the British pound sterling, the euro, the Canadian dollar and the Australian dollar. These contracts hedge forecasted foreign currency transactions in order to mitigate fluctuations in our earnings and cash flows associated with changes in foreign currency exchange rates. As a result, we do not have material foreign currency transaction exposure, including exposure to the pound sterling or euro should there be material foreign currency fluctuations due to the United Kingdom departing from the European Union (commonly referred to as Brexit). We designate foreign currency hedges as cash flow hedges.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mitigate the impact of interest rate changes on earnings. These swaps are designated as cash flow hedges. We also may enter into derivative instruments that are not designated as hedges and do not qualify for hedge accounting, which are intended to mitigate certain economic exposures.</w:t>
      </w:r>
    </w:p>
    <w:p>
      <w:pPr>
        <w:spacing w:after="0" w:line="14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classification of gains and losses resulting from changes in the fair values of derivatives is dependent on our intended use of the derivative and its resulting designation. Adjustments to reflect changes in fair values of derivatives attributable to highly effective hedges are either reflected in earnings and largely offset by corresponding adjustments to the hedged items or reflected net of income taxes in accumulated other comprehensive loss until the hedged transaction is recognized in earnings. Changes in the fair value of the derivatives that are not highly effective, if any, are immediately recognized in earnings. The aggregate notional amount of our outstanding interest rate swaps at December 31, 2020 and 2019 was $572 million and $750 million. The aggregate notional amount of our outstanding foreign currency hedges at December 31, 2020 and 2019 was $3.4 billion and $3.8 billion. At December 31, 2020 and 2019, the net fair value of our derivative instruments was not material (see “Note 17 – Fair Value Measurements” included in our Notes to Consolidated Financial Statements). A 10% unfavorable exchange rate movement of our foreign currency contracts would not have a material impact on the aggregate net fair value of such contracts or our consolidated financial statements. Additionally, as we enter into foreign currency contracts to hedge foreign currency exposure on underlying transactions we believe that any movement on our foreign currency contracts would be offset by movement on the underlying transactions and, therefore, when taken together do not create material risk.</w:t>
      </w:r>
    </w:p>
    <w:p>
      <w:pPr>
        <w:spacing w:after="0" w:line="1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evaluate the credit quality of potential counterparties to derivative transactions and only enter into agreements with those deemed to have acceptable credit risk at the time the agreements are executed. Our foreign currency exchange hedge portfolio is diversified across several banks. We periodically monitor changes to counterparty credit quality as well as our concentration of credit exposure to individual counterparties. We do not hold or issue derivative financial instruments for trading or speculative purposes.</w:t>
      </w:r>
    </w:p>
    <w:p>
      <w:pPr>
        <w:spacing w:after="0" w:line="13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maintain a separate trust that includes investments to fund certain of our non-qualified deferred compensation plans. As of December 31, 2020, investments in the trust totaled $2.0 billion and are reflected at fair value on our consolidated balance sheet in other noncurrent assets. The trust holds investments in marketable equity securities and fixed-income securities that are exposed to price changes and changes in interest rates. A portion of the liabilities associated with the deferred compensation plans supported by the trust is also impacted by changes in the market price of our common stock and certain market indices. Changes in the value of the liabilities have the effect of partially offsetting the impact of changes in the value of the trust. Both the change in the fair value of the trust and the change in the value of the liabilities are recognized on our consolidated statements of earnings in other unallocated, net and were not material for the year ended December 31, 2020.</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on the Audited Consolidated Financial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Lockheed Martin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Lockheed Martin Corporation (the Corporation) as of December 31, 2020 and 2019, the related consolidated statements of earnings, comprehensive income, equity and cash flows for each of the three years in the period ended December 31, 2020, and the related notes (collectively referred to as the “consolidated financial statements”). In our opinion, the consolidated financial statements present fairly, in all material respects, the consolidated financial position of the Corporation at December 31, 2020 and 2019, and the consolidated results of its operations and its cash flows for each of the three years in the period ended December 31, 2020, in conformity with U.S. generally accepted accounting principles.</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Corporation’s internal control over financial reporting as of December 31, 2020, based on criteria established in Internal Control-Integrated Framework issued by the Committee of Sponsoring Organizations of the Treadway Commission (2013 framework) and our report dated January 28, 2021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Corporation’s management. Our responsibility is to express an opinion on the Corporation’s financial statements based on our audits.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right="8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right="8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based on the percentage of completion method</w:t>
      </w:r>
    </w:p>
    <w:p>
      <w:pPr>
        <w:spacing w:after="0" w:line="14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For the year ended December 31, 2020, the Corporation recorded net sales of $65.4 billion. As more fully described in Note 1 to the consolidated financial statements, the Corporation generates the majority of its net sales from long-term contracts with its customers whereby substantially all of the Corporation’s revenue is recognized over time using the percentage-of-completion cost-to-cost measure of progress. Under the percentage-of-completion cost-to-cost measure of progress, the Corporation measures progress towards completion based on the ratio of costs incurred to date to the estimated total costs to complete the performance obligation(s) (referred to as the estimate-at-completion analysis). The Corporation estimates profit on these contracts as the difference between total estimated revenues and total estimated cost at completion.</w:t>
      </w:r>
    </w:p>
    <w:p>
      <w:pPr>
        <w:spacing w:after="0" w:line="20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percentage-of-completion cost-to-cost method requires management to make significant estimates and assumptions to estimate contract sales and costs associated with its contracts with customers. At the outset of a long-term contract, the Corporation identifies risks to the achievement of the technical, schedule and cost aspects of the contract. Throughout the contract life cycle, the Corporation monitors and assesses the effects of those risks on its estimates of sales and total costs to complete the contract. Profit booking rates may increase during the performance of the contract if the Corporation successfully retires risks surrounding the technical, schedule and cost aspects of the contract, which would decrease the estimated total costs to complete the contract. Conversely, the profit booking rates may decrease if the estimated total costs to complete the contract increase. Changes to the profit booking rates resulting from changes in estimates could have a material effect on the Corporation’s results of operations.</w:t>
      </w:r>
    </w:p>
    <w:p>
      <w:pPr>
        <w:spacing w:after="0" w:line="20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Auditing the Corporation’s estimate-at-completion analyses used in its revenue recognition process was complex due to the judgment involved in evaluating the significant estimates and assumptions made by management in the creation and subsequent updates to the Corporation’s estimate-at-completion analyses. The estimate-at-completion analyses of each contract consider risks surrounding the Corporation’s ability to achieve the technical, schedule, and cost aspects of the contract.</w:t>
      </w:r>
    </w:p>
    <w:p>
      <w:pPr>
        <w:spacing w:after="0" w:line="11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relevant internal controls over the Corporation’s revenue recognition process. For example, we tested internal controls over management’s review of the estimate-at-completion analyses and the significant assumptions underlying the estimated contract value and estimated total costs to complete. We also tested internal controls that management executes to validate the data used in the estimate-at-completion analyses was complete and accurate.</w:t>
      </w:r>
    </w:p>
    <w:p>
      <w:pPr>
        <w:spacing w:after="0" w:line="20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To test the accuracy of the Corporation’s estimate-at-completion analyses, our audit procedures included, among others, comparing estimates of labor costs, subcontractor costs, and materials to historical results of similar contracts, and agreeing the key terms to contract documentation and management’s estimates. We also performed sensitivity analyses over the significant assumptions to evaluate the change in the profit booking rates resulting from changes in the assumptions.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 – Sikorsky Reporting Unit</w:t>
      </w:r>
    </w:p>
    <w:p>
      <w:pPr>
        <w:spacing w:after="0" w:line="2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At December 31, 2020, the Corporation’s Sikorsky reporting unit had a goodwill balance of $2.7 billion which represented approximately 5.2% of total assets. As discussed in Note 1 and Note 4 to the consolidated financial statements, goodwill is tested for impairment at least annually at the reporting unit level using either a qualitative or quantitative approach. Under the quantitative approach to test for goodwill impairment, the Corporation compares the fair value of a reporting unit to its carrying amount, including goodwill. Generally, the Corporation estimates the fair value of its reporting units using a combination of a discounted cash flows analysis and market-based valuation methodologies.</w:t>
      </w:r>
    </w:p>
    <w:p>
      <w:pPr>
        <w:spacing w:after="0" w:line="1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Auditing management’s annual impairment test over the Sikorsky reporting unit goodwill was complex and highly judgmental due to the significant estimation required in determining the fair value. In particular, the fair value estimate was sensitive to significant assumptions, such as revenue growth rates, operating margins, cash flows, terminal value, and weighted average cost of capital, which are affected by expectations about future market or economic conditions and expected future operating results of the Sikorsky business.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240030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420" w:space="460"/>
            <w:col w:w="9320"/>
          </w:cols>
          <w:pgMar w:left="320" w:top="121" w:right="37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right="8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relevant internal controls over the Corporation’s goodwill impairment review, including controls over management’s review of the valuation model and significant assumptions described above. We also tested the internal controls management executes to validate the data used in the valuation model was complete and accurate.</w:t>
      </w:r>
    </w:p>
    <w:p>
      <w:pPr>
        <w:spacing w:after="0" w:line="19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test the estimated fair value of the Sikorsky reporting unit, we performed audit procedures that included, among others, assessing the valuation methodology used by the Corporation, involving our valuation specialists to assist in testing the significant assumptions described above that are used in the valuation, and testing the completeness and accuracy of the underlying data the Corporation used in its analysis. For example, we compared the significant assumptions to current industry, market and economic trends, historical results of the Sikorsky business, and other relevant factors. We also performed a sensitivity analysis over the significant assumptions to evaluate the impact that changes in significant assumptions would have on the fair value of the reporting unit.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 Obligation</w:t>
      </w:r>
    </w:p>
    <w:p>
      <w:pPr>
        <w:spacing w:after="0" w:line="13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At December 31, 2020, the Corporation’s aggregate obligation for its qualified defined benefit pension plans was $51.3 billion and exceeded the gross fair value of the related plan assets of $38.4 billion, resulting in a net unfunded qualified defined benefit pension obligation of $12.9 billion. As explained in Note 12 of the consolidated financial statements, the Corporation remeasures the qualified defined benefit pension assets and obligations at the end of each year or more frequently upon the occurrence of certain events. The amounts are measured using actuarial valuations, which depend on key assumptions such as the discount rate, the expected long-term rate of return on plan assets, and participant longevity.</w:t>
      </w:r>
    </w:p>
    <w:p>
      <w:pPr>
        <w:spacing w:after="0" w:line="20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Auditing the defined benefit pension obligation was complex and required the involvement of specialists as a result of the judgmental nature of the actuarial assumptions such as discount rate, expected long-term rate of return on plan assets, and participant longevity, used in the measurement process. These assumptions have a significant effect on the projected benefit obligation, with the discount rate being the most sensitive of those assumptions.</w:t>
      </w:r>
    </w:p>
    <w:p>
      <w:pPr>
        <w:spacing w:after="0" w:line="1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relevant internal controls over management’s measurement and valuation of the defined benefit pension obligation calculations. For example, we tested the internal controls over management’s review of the defined benefit pension obligation calculations, the significant actuarial assumptions and the data inputs provided to the actuaries.</w:t>
      </w:r>
    </w:p>
    <w:p>
      <w:pPr>
        <w:spacing w:after="0" w:line="19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To test the defined benefit pension obligation, our audit procedures included, among others, evaluating the methodology used, the significant actuarial assumptions described above and the underlying data used by the Corporation. We compared the actuarial assumptions used by management to historical trends and evaluated the change in the defined benefit pension obligation from prior year due to the change in service cost, interest cost, benefit payments, actuarial gains and losses, contributions, new longevity assumptions and plan amendments. In addition, we involved our actuarial specialists to assist in evaluating management’s methodology for determining the discount rate that reflects the maturity and duration of the benefit payments and is used to measure the defined benefit pension obligation. As part of this assessment, we compared the projected cash flows to prior year and compared the current year benefits paid to the prior year projected cash flows.</w:t>
      </w:r>
    </w:p>
    <w:p>
      <w:pPr>
        <w:spacing w:after="0" w:line="20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To evaluate the mortality rate and the longevity, we evaluated management’s selection of mortality base tables and improvement scales, adjusted for entity-specific factors. We also tested the completeness and accuracy of the underlying data, including the participant data provided to the Corporation’s actuarial specialists. Lastly, to evaluate the expected return on plan assets, we assessed whether management’s assumption was consistent with a range of returns for a portfolio of comparative investments.</w:t>
      </w:r>
    </w:p>
    <w:p>
      <w:pPr>
        <w:spacing w:after="0" w:line="200" w:lineRule="exact"/>
        <w:rPr>
          <w:sz w:val="20"/>
          <w:szCs w:val="20"/>
          <w:color w:val="auto"/>
        </w:rPr>
      </w:pPr>
    </w:p>
    <w:p>
      <w:pPr>
        <w:sectPr>
          <w:pgSz w:w="11900" w:h="16838" w:orient="portrait"/>
          <w:cols w:equalWidth="0" w:num="2">
            <w:col w:w="1420" w:space="460"/>
            <w:col w:w="9320"/>
          </w:cols>
          <w:pgMar w:left="320" w:top="121" w:right="37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Corporation’s auditor since 1994.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3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747"/>
        </w:trPr>
        <w:tc>
          <w:tcPr>
            <w:tcW w:w="4180" w:type="dxa"/>
            <w:vAlign w:val="bottom"/>
          </w:tcPr>
          <w:p>
            <w:pPr>
              <w:spacing w:after="0"/>
              <w:rPr>
                <w:sz w:val="24"/>
                <w:szCs w:val="24"/>
                <w:color w:val="auto"/>
              </w:rPr>
            </w:pPr>
          </w:p>
        </w:tc>
        <w:tc>
          <w:tcPr>
            <w:tcW w:w="378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378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Earnings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8"/>
        </w:trPr>
        <w:tc>
          <w:tcPr>
            <w:tcW w:w="4180" w:type="dxa"/>
            <w:vAlign w:val="bottom"/>
          </w:tcPr>
          <w:p>
            <w:pPr>
              <w:spacing w:after="0"/>
              <w:rPr>
                <w:sz w:val="20"/>
                <w:szCs w:val="20"/>
                <w:color w:val="auto"/>
              </w:rPr>
            </w:pPr>
          </w:p>
        </w:tc>
        <w:tc>
          <w:tcPr>
            <w:tcW w:w="37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513"/>
        </w:trPr>
        <w:tc>
          <w:tcPr>
            <w:tcW w:w="41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700" w:type="dxa"/>
            <w:vAlign w:val="bottom"/>
            <w:tcBorders>
              <w:bottom w:val="single" w:sz="8" w:color="auto"/>
            </w:tcBorders>
          </w:tcPr>
          <w:p>
            <w:pPr>
              <w:spacing w:after="0"/>
              <w:rPr>
                <w:sz w:val="24"/>
                <w:szCs w:val="24"/>
                <w:color w:val="auto"/>
              </w:rPr>
            </w:pPr>
          </w:p>
        </w:tc>
      </w:tr>
      <w:tr>
        <w:trPr>
          <w:trHeight w:val="223"/>
        </w:trPr>
        <w:tc>
          <w:tcPr>
            <w:tcW w:w="418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3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54,928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50,053</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45,005</w:t>
            </w:r>
          </w:p>
        </w:tc>
      </w:tr>
      <w:tr>
        <w:trPr>
          <w:trHeight w:val="229"/>
        </w:trPr>
        <w:tc>
          <w:tcPr>
            <w:tcW w:w="4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35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10,470</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9,759</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r>
      <w:tr>
        <w:trPr>
          <w:trHeight w:val="223"/>
        </w:trPr>
        <w:tc>
          <w:tcPr>
            <w:tcW w:w="4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3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65,398</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59,812</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53,762</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3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(48,996)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(44,589)</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(40,293)</w:t>
            </w: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3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Severance charges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3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4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unallocated, net</w:t>
            </w:r>
          </w:p>
        </w:tc>
        <w:tc>
          <w:tcPr>
            <w:tcW w:w="35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1,650</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1,875</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23"/>
        </w:trPr>
        <w:tc>
          <w:tcPr>
            <w:tcW w:w="4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cost of sales</w:t>
            </w:r>
          </w:p>
        </w:tc>
        <w:tc>
          <w:tcPr>
            <w:tcW w:w="3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(56,744)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(51,445)</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(46,488)</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8,654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8,367</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r>
      <w:tr>
        <w:trPr>
          <w:trHeight w:val="230"/>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8,644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8,545</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9"/>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5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8,235</w:t>
            </w:r>
          </w:p>
        </w:tc>
        <w:tc>
          <w:tcPr>
            <w:tcW w:w="3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7,241</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r>
      <w:tr>
        <w:trPr>
          <w:trHeight w:val="229"/>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5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6,888</w:t>
            </w:r>
          </w:p>
        </w:tc>
        <w:tc>
          <w:tcPr>
            <w:tcW w:w="3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6,230</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r>
      <w:tr>
        <w:trPr>
          <w:trHeight w:val="230"/>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5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6,833</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6,230</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r>
      <w:tr>
        <w:trPr>
          <w:trHeight w:val="223"/>
        </w:trPr>
        <w:tc>
          <w:tcPr>
            <w:tcW w:w="41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3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24.60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22.09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30"/>
        </w:trPr>
        <w:tc>
          <w:tcPr>
            <w:tcW w:w="4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22.09</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24.50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21.95</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30"/>
        </w:trPr>
        <w:tc>
          <w:tcPr>
            <w:tcW w:w="4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24.30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21.95</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768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8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8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7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6,230</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other comprehensive loss recognized during the period, net of tax benefit of $292 million in</w:t>
            </w: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(1,067)</w:t>
            </w: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5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9"/>
        </w:trPr>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2020, $586 million in 2019 and $136 million in 2018</w:t>
            </w: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 net of tax expense of $119 million</w:t>
            </w: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440</w:t>
            </w:r>
          </w:p>
        </w:tc>
        <w:tc>
          <w:tcPr>
            <w:tcW w:w="3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908</w:t>
            </w:r>
          </w:p>
        </w:tc>
        <w:tc>
          <w:tcPr>
            <w:tcW w:w="5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 2020, $247 million in 2019 and $327 million in 2018</w:t>
            </w: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5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6,266</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4,997</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747"/>
        </w:trPr>
        <w:tc>
          <w:tcPr>
            <w:tcW w:w="3720" w:type="dxa"/>
            <w:vAlign w:val="bottom"/>
          </w:tcPr>
          <w:p>
            <w:pPr>
              <w:spacing w:after="0"/>
              <w:rPr>
                <w:sz w:val="24"/>
                <w:szCs w:val="24"/>
                <w:color w:val="auto"/>
              </w:rPr>
            </w:pPr>
          </w:p>
        </w:tc>
        <w:tc>
          <w:tcPr>
            <w:tcW w:w="546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546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3720" w:type="dxa"/>
            <w:vAlign w:val="bottom"/>
          </w:tcPr>
          <w:p>
            <w:pPr>
              <w:spacing w:after="0"/>
              <w:rPr>
                <w:sz w:val="20"/>
                <w:szCs w:val="20"/>
                <w:color w:val="auto"/>
              </w:rPr>
            </w:pPr>
          </w:p>
        </w:tc>
        <w:tc>
          <w:tcPr>
            <w:tcW w:w="546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13"/>
        </w:trPr>
        <w:tc>
          <w:tcPr>
            <w:tcW w:w="37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3720" w:type="dxa"/>
            <w:vAlign w:val="bottom"/>
            <w:tcBorders>
              <w:bottom w:val="single" w:sz="8" w:color="auto"/>
            </w:tcBorders>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3,160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1,978</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29"/>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5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9,545</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3,545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29"/>
        </w:trPr>
        <w:tc>
          <w:tcPr>
            <w:tcW w:w="3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1,150</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3"/>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19,378</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7,213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10,806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10,604</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3,012</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3,475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29"/>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6,826</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r>
      <w:tr>
        <w:trPr>
          <w:trHeight w:val="223"/>
        </w:trPr>
        <w:tc>
          <w:tcPr>
            <w:tcW w:w="3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4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50,710</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47,528</w:t>
            </w: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7,545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w:t>
            </w:r>
          </w:p>
        </w:tc>
      </w:tr>
      <w:tr>
        <w:trPr>
          <w:trHeight w:val="229"/>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benefits and payroll taxes</w:t>
            </w:r>
          </w:p>
        </w:tc>
        <w:tc>
          <w:tcPr>
            <w:tcW w:w="5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3,163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3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1,845</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23"/>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13,933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5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11,669</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pension liabilities</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12,874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w:t>
            </w:r>
          </w:p>
        </w:tc>
      </w:tr>
      <w:tr>
        <w:trPr>
          <w:trHeight w:val="230"/>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6,196</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r>
      <w:tr>
        <w:trPr>
          <w:trHeight w:val="223"/>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44,672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44,357</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5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$1 par value per share</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221</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21,636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18,401</w:t>
            </w:r>
          </w:p>
        </w:tc>
      </w:tr>
      <w:tr>
        <w:trPr>
          <w:trHeight w:val="230"/>
        </w:trPr>
        <w:tc>
          <w:tcPr>
            <w:tcW w:w="3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(16,121)</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(15,554)</w:t>
            </w:r>
          </w:p>
        </w:tc>
      </w:tr>
      <w:tr>
        <w:trPr>
          <w:trHeight w:val="223"/>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6,015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r>
      <w:tr>
        <w:trPr>
          <w:trHeight w:val="230"/>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 in subsidiary</w:t>
            </w:r>
          </w:p>
        </w:tc>
        <w:tc>
          <w:tcPr>
            <w:tcW w:w="5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3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5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6,038</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30"/>
        </w:trPr>
        <w:tc>
          <w:tcPr>
            <w:tcW w:w="3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4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50,710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47,528</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747"/>
        </w:trPr>
        <w:tc>
          <w:tcPr>
            <w:tcW w:w="768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768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8"/>
        </w:trPr>
        <w:tc>
          <w:tcPr>
            <w:tcW w:w="768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513"/>
        </w:trPr>
        <w:tc>
          <w:tcPr>
            <w:tcW w:w="7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4"/>
                <w:szCs w:val="24"/>
                <w:color w:val="auto"/>
              </w:rPr>
            </w:pPr>
          </w:p>
        </w:tc>
      </w:tr>
      <w:tr>
        <w:trPr>
          <w:trHeight w:val="223"/>
        </w:trPr>
        <w:tc>
          <w:tcPr>
            <w:tcW w:w="7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6,230</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1,290</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1,189</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method investment impairment</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resolution related to former IS&amp;GS business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 charges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property sale</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359</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378</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30"/>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29"/>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491</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563</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r>
      <w:tr>
        <w:trPr>
          <w:trHeight w:val="229"/>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30"/>
        </w:trPr>
        <w:tc>
          <w:tcPr>
            <w:tcW w:w="7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739</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274</w:t>
            </w:r>
          </w:p>
        </w:tc>
        <w:tc>
          <w:tcPr>
            <w:tcW w:w="5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3"/>
        </w:trPr>
        <w:tc>
          <w:tcPr>
            <w:tcW w:w="7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8,183</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7,311</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businesses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243</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76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(2,010)</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5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commercial paper, net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commercial paper, net</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current and long-term debt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long-term debt, net of related costs</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1,131</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7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(4,527)</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1,646</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742</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29"/>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772</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r>
      <w:tr>
        <w:trPr>
          <w:trHeight w:val="230"/>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3,160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1,514</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8"/>
        </w:trPr>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5"/>
          </w:tcPr>
          <w:p>
            <w:pPr>
              <w:jc w:val="right"/>
              <w:ind w:right="378"/>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gridSpan w:val="5"/>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5"/>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60" w:type="dxa"/>
            <w:vAlign w:val="bottom"/>
          </w:tcPr>
          <w:p>
            <w:pPr>
              <w:spacing w:after="0"/>
              <w:rPr>
                <w:sz w:val="24"/>
                <w:szCs w:val="2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w w:val="95"/>
              </w:rPr>
              <w:t>Common</w:t>
            </w: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97"/>
              <w:spacing w:after="0" w:line="176" w:lineRule="exact"/>
              <w:rPr>
                <w:sz w:val="20"/>
                <w:szCs w:val="20"/>
                <w:color w:val="auto"/>
              </w:rPr>
            </w:pPr>
            <w:r>
              <w:rPr>
                <w:rFonts w:ascii="Times New Roman" w:cs="Times New Roman" w:eastAsia="Times New Roman" w:hAnsi="Times New Roman"/>
                <w:sz w:val="18"/>
                <w:szCs w:val="18"/>
                <w:b w:val="1"/>
                <w:bCs w:val="1"/>
                <w:color w:val="auto"/>
              </w:rPr>
              <w:t>In</w:t>
            </w: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6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22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Interests in</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(12,539)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(850)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ind w:left="478"/>
              <w:spacing w:after="0"/>
              <w:rPr>
                <w:sz w:val="20"/>
                <w:szCs w:val="20"/>
                <w:color w:val="auto"/>
              </w:rPr>
            </w:pPr>
            <w:r>
              <w:rPr>
                <w:rFonts w:ascii="Times New Roman" w:cs="Times New Roman" w:eastAsia="Times New Roman" w:hAnsi="Times New Roman"/>
                <w:sz w:val="16"/>
                <w:szCs w:val="16"/>
                <w:color w:val="auto"/>
              </w:rPr>
              <w:t>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40" w:type="dxa"/>
            <w:vAlign w:val="bottom"/>
          </w:tcPr>
          <w:p>
            <w:pPr>
              <w:spacing w:after="0"/>
              <w:rPr>
                <w:sz w:val="18"/>
                <w:szCs w:val="18"/>
                <w:color w:val="auto"/>
              </w:rPr>
            </w:pPr>
          </w:p>
        </w:tc>
        <w:tc>
          <w:tcPr>
            <w:tcW w:w="136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5,046</w:t>
            </w:r>
          </w:p>
        </w:tc>
        <w:tc>
          <w:tcPr>
            <w:tcW w:w="220" w:type="dxa"/>
            <w:vAlign w:val="bottom"/>
          </w:tcPr>
          <w:p>
            <w:pPr>
              <w:spacing w:after="0"/>
              <w:rPr>
                <w:sz w:val="18"/>
                <w:szCs w:val="18"/>
                <w:color w:val="auto"/>
              </w:rPr>
            </w:pPr>
          </w:p>
        </w:tc>
        <w:tc>
          <w:tcPr>
            <w:tcW w:w="1300" w:type="dxa"/>
            <w:vAlign w:val="bottom"/>
          </w:tcPr>
          <w:p>
            <w:pPr>
              <w:jc w:val="center"/>
              <w:ind w:left="4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626</w:t>
            </w:r>
          </w:p>
        </w:tc>
        <w:tc>
          <w:tcPr>
            <w:tcW w:w="2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626</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ind w:left="4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spacing w:after="0"/>
              <w:rPr>
                <w:sz w:val="18"/>
                <w:szCs w:val="18"/>
                <w:color w:val="auto"/>
              </w:rPr>
            </w:pP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6"/>
                <w:szCs w:val="16"/>
                <w:color w:val="auto"/>
              </w:rPr>
              <w:t>(404)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40" w:type="dxa"/>
            <w:vAlign w:val="bottom"/>
          </w:tcPr>
          <w:p>
            <w:pPr>
              <w:spacing w:after="0"/>
              <w:rPr>
                <w:sz w:val="18"/>
                <w:szCs w:val="18"/>
                <w:color w:val="auto"/>
              </w:rPr>
            </w:pPr>
          </w:p>
        </w:tc>
        <w:tc>
          <w:tcPr>
            <w:tcW w:w="136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(1,492)</w:t>
            </w:r>
          </w:p>
        </w:tc>
        <w:tc>
          <w:tcPr>
            <w:tcW w:w="220" w:type="dxa"/>
            <w:vAlign w:val="bottom"/>
          </w:tcPr>
          <w:p>
            <w:pPr>
              <w:spacing w:after="0"/>
              <w:rPr>
                <w:sz w:val="18"/>
                <w:szCs w:val="18"/>
                <w:color w:val="auto"/>
              </w:rPr>
            </w:pPr>
          </w:p>
        </w:tc>
        <w:tc>
          <w:tcPr>
            <w:tcW w:w="1300" w:type="dxa"/>
            <w:vAlign w:val="bottom"/>
          </w:tcPr>
          <w:p>
            <w:pPr>
              <w:jc w:val="center"/>
              <w:ind w:left="4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declared ($8.20 per</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(2,342)</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ind w:left="4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 awards, ESOP activity</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4"/>
                <w:szCs w:val="14"/>
                <w:color w:val="auto"/>
              </w:rPr>
            </w:pPr>
          </w:p>
        </w:tc>
        <w:tc>
          <w:tcPr>
            <w:tcW w:w="1120" w:type="dxa"/>
            <w:vAlign w:val="bottom"/>
            <w:vMerge w:val="restart"/>
          </w:tcPr>
          <w:p>
            <w:pPr>
              <w:jc w:val="right"/>
              <w:ind w:right="137"/>
              <w:spacing w:after="0"/>
              <w:rPr>
                <w:sz w:val="20"/>
                <w:szCs w:val="20"/>
                <w:color w:val="auto"/>
              </w:rPr>
            </w:pPr>
            <w:r>
              <w:rPr>
                <w:rFonts w:ascii="Times New Roman" w:cs="Times New Roman" w:eastAsia="Times New Roman" w:hAnsi="Times New Roman"/>
                <w:sz w:val="16"/>
                <w:szCs w:val="16"/>
                <w:color w:val="auto"/>
              </w:rPr>
              <w:t>404</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vMerge w:val="restart"/>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220" w:type="dxa"/>
            <w:vAlign w:val="bottom"/>
            <w:vMerge w:val="restart"/>
          </w:tcPr>
          <w:p>
            <w:pPr>
              <w:jc w:val="right"/>
              <w:ind w:right="118"/>
              <w:spacing w:after="0"/>
              <w:rPr>
                <w:sz w:val="20"/>
                <w:szCs w:val="20"/>
                <w:color w:val="auto"/>
              </w:rPr>
            </w:pPr>
            <w:r>
              <w:rPr>
                <w:rFonts w:ascii="Times New Roman" w:cs="Times New Roman" w:eastAsia="Times New Roman" w:hAnsi="Times New Roman"/>
                <w:sz w:val="16"/>
                <w:szCs w:val="16"/>
                <w:color w:val="auto"/>
              </w:rPr>
              <w:t>406</w:t>
            </w:r>
          </w:p>
        </w:tc>
        <w:tc>
          <w:tcPr>
            <w:tcW w:w="220" w:type="dxa"/>
            <w:vAlign w:val="bottom"/>
          </w:tcPr>
          <w:p>
            <w:pPr>
              <w:spacing w:after="0"/>
              <w:rPr>
                <w:sz w:val="14"/>
                <w:szCs w:val="14"/>
                <w:color w:val="auto"/>
              </w:rPr>
            </w:pPr>
          </w:p>
        </w:tc>
        <w:tc>
          <w:tcPr>
            <w:tcW w:w="1300" w:type="dxa"/>
            <w:vAlign w:val="bottom"/>
            <w:vMerge w:val="restart"/>
          </w:tcPr>
          <w:p>
            <w:pPr>
              <w:jc w:val="center"/>
              <w:ind w:left="4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13"/>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other</w:t>
            </w: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income tax</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(2,408)</w:t>
            </w:r>
          </w:p>
        </w:tc>
        <w:tc>
          <w:tcPr>
            <w:tcW w:w="2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ind w:left="4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effects from tax reform</w:t>
            </w: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decrease in noncontrolling</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120" w:type="dxa"/>
            <w:vAlign w:val="bottom"/>
            <w:vMerge w:val="restart"/>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vMerge w:val="restart"/>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220" w:type="dxa"/>
            <w:vAlign w:val="bottom"/>
            <w:vMerge w:val="restart"/>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300" w:type="dxa"/>
            <w:vAlign w:val="bottom"/>
            <w:vMerge w:val="restart"/>
          </w:tcPr>
          <w:p>
            <w:pPr>
              <w:jc w:val="center"/>
              <w:ind w:left="458"/>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interests in subsidiary</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(14,321)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1,394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center"/>
              <w:ind w:left="478"/>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0" w:type="dxa"/>
            <w:vAlign w:val="bottom"/>
          </w:tcPr>
          <w:p>
            <w:pPr>
              <w:spacing w:after="0"/>
              <w:rPr>
                <w:sz w:val="1"/>
                <w:szCs w:val="1"/>
                <w:color w:val="auto"/>
              </w:rPr>
            </w:pPr>
          </w:p>
        </w:tc>
      </w:tr>
      <w:tr>
        <w:trPr>
          <w:trHeight w:val="209"/>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w:t>
            </w:r>
          </w:p>
        </w:tc>
        <w:tc>
          <w:tcPr>
            <w:tcW w:w="140" w:type="dxa"/>
            <w:vAlign w:val="bottom"/>
          </w:tcPr>
          <w:p>
            <w:pPr>
              <w:spacing w:after="0"/>
              <w:rPr>
                <w:sz w:val="18"/>
                <w:szCs w:val="18"/>
                <w:color w:val="auto"/>
              </w:rPr>
            </w:pPr>
          </w:p>
        </w:tc>
        <w:tc>
          <w:tcPr>
            <w:tcW w:w="136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6,230</w:t>
            </w:r>
          </w:p>
        </w:tc>
        <w:tc>
          <w:tcPr>
            <w:tcW w:w="220" w:type="dxa"/>
            <w:vAlign w:val="bottom"/>
          </w:tcPr>
          <w:p>
            <w:pPr>
              <w:spacing w:after="0"/>
              <w:rPr>
                <w:sz w:val="18"/>
                <w:szCs w:val="18"/>
                <w:color w:val="auto"/>
              </w:rPr>
            </w:pPr>
          </w:p>
        </w:tc>
        <w:tc>
          <w:tcPr>
            <w:tcW w:w="1300" w:type="dxa"/>
            <w:vAlign w:val="bottom"/>
          </w:tcPr>
          <w:p>
            <w:pPr>
              <w:jc w:val="center"/>
              <w:ind w:left="4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(1,233)</w:t>
            </w:r>
          </w:p>
        </w:tc>
        <w:tc>
          <w:tcPr>
            <w:tcW w:w="2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(1,233)</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ind w:left="4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6"/>
                <w:szCs w:val="16"/>
                <w:color w:val="auto"/>
              </w:rPr>
              <w:t>(483)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40" w:type="dxa"/>
            <w:vAlign w:val="bottom"/>
          </w:tcPr>
          <w:p>
            <w:pPr>
              <w:spacing w:after="0"/>
              <w:rPr>
                <w:sz w:val="18"/>
                <w:szCs w:val="18"/>
                <w:color w:val="auto"/>
              </w:rPr>
            </w:pPr>
          </w:p>
        </w:tc>
        <w:tc>
          <w:tcPr>
            <w:tcW w:w="136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(1,200)</w:t>
            </w:r>
          </w:p>
        </w:tc>
        <w:tc>
          <w:tcPr>
            <w:tcW w:w="220" w:type="dxa"/>
            <w:vAlign w:val="bottom"/>
          </w:tcPr>
          <w:p>
            <w:pPr>
              <w:spacing w:after="0"/>
              <w:rPr>
                <w:sz w:val="18"/>
                <w:szCs w:val="18"/>
                <w:color w:val="auto"/>
              </w:rPr>
            </w:pPr>
          </w:p>
        </w:tc>
        <w:tc>
          <w:tcPr>
            <w:tcW w:w="1300" w:type="dxa"/>
            <w:vAlign w:val="bottom"/>
          </w:tcPr>
          <w:p>
            <w:pPr>
              <w:jc w:val="center"/>
              <w:ind w:left="4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declared ($9.00 per</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(2,550)</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ind w:left="4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 awards, ESOP activity</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4"/>
                <w:szCs w:val="14"/>
                <w:color w:val="auto"/>
              </w:rPr>
            </w:pPr>
          </w:p>
        </w:tc>
        <w:tc>
          <w:tcPr>
            <w:tcW w:w="1120" w:type="dxa"/>
            <w:vAlign w:val="bottom"/>
            <w:vMerge w:val="restart"/>
          </w:tcPr>
          <w:p>
            <w:pPr>
              <w:jc w:val="right"/>
              <w:ind w:right="137"/>
              <w:spacing w:after="0"/>
              <w:rPr>
                <w:sz w:val="20"/>
                <w:szCs w:val="20"/>
                <w:color w:val="auto"/>
              </w:rPr>
            </w:pPr>
            <w:r>
              <w:rPr>
                <w:rFonts w:ascii="Times New Roman" w:cs="Times New Roman" w:eastAsia="Times New Roman" w:hAnsi="Times New Roman"/>
                <w:sz w:val="16"/>
                <w:szCs w:val="16"/>
                <w:color w:val="auto"/>
              </w:rPr>
              <w:t>483</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vMerge w:val="restart"/>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220" w:type="dxa"/>
            <w:vAlign w:val="bottom"/>
            <w:vMerge w:val="restart"/>
          </w:tcPr>
          <w:p>
            <w:pPr>
              <w:jc w:val="right"/>
              <w:ind w:right="118"/>
              <w:spacing w:after="0"/>
              <w:rPr>
                <w:sz w:val="20"/>
                <w:szCs w:val="20"/>
                <w:color w:val="auto"/>
              </w:rPr>
            </w:pPr>
            <w:r>
              <w:rPr>
                <w:rFonts w:ascii="Times New Roman" w:cs="Times New Roman" w:eastAsia="Times New Roman" w:hAnsi="Times New Roman"/>
                <w:sz w:val="16"/>
                <w:szCs w:val="16"/>
                <w:color w:val="auto"/>
              </w:rPr>
              <w:t>486</w:t>
            </w:r>
          </w:p>
        </w:tc>
        <w:tc>
          <w:tcPr>
            <w:tcW w:w="220" w:type="dxa"/>
            <w:vAlign w:val="bottom"/>
          </w:tcPr>
          <w:p>
            <w:pPr>
              <w:spacing w:after="0"/>
              <w:rPr>
                <w:sz w:val="14"/>
                <w:szCs w:val="14"/>
                <w:color w:val="auto"/>
              </w:rPr>
            </w:pPr>
          </w:p>
        </w:tc>
        <w:tc>
          <w:tcPr>
            <w:tcW w:w="1300" w:type="dxa"/>
            <w:vAlign w:val="bottom"/>
            <w:vMerge w:val="restart"/>
          </w:tcPr>
          <w:p>
            <w:pPr>
              <w:jc w:val="center"/>
              <w:ind w:left="4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13"/>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other</w:t>
            </w: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decrease in noncontrolling</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ind w:left="458"/>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in subsidiary</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(15,554)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3,127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center"/>
              <w:ind w:left="478"/>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6,833</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6,833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6,833</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4"/>
                <w:szCs w:val="14"/>
                <w:color w:val="auto"/>
              </w:rPr>
            </w:pPr>
          </w:p>
        </w:tc>
        <w:tc>
          <w:tcPr>
            <w:tcW w:w="1120" w:type="dxa"/>
            <w:vAlign w:val="bottom"/>
            <w:vMerge w:val="restart"/>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1360" w:type="dxa"/>
            <w:vAlign w:val="bottom"/>
            <w:vMerge w:val="restart"/>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(567)</w:t>
            </w:r>
          </w:p>
        </w:tc>
        <w:tc>
          <w:tcPr>
            <w:tcW w:w="260" w:type="dxa"/>
            <w:vAlign w:val="bottom"/>
          </w:tcPr>
          <w:p>
            <w:pPr>
              <w:spacing w:after="0"/>
              <w:rPr>
                <w:sz w:val="14"/>
                <w:szCs w:val="14"/>
                <w:color w:val="auto"/>
              </w:rPr>
            </w:pPr>
          </w:p>
        </w:tc>
        <w:tc>
          <w:tcPr>
            <w:tcW w:w="122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(567)</w:t>
            </w:r>
          </w:p>
        </w:tc>
        <w:tc>
          <w:tcPr>
            <w:tcW w:w="220" w:type="dxa"/>
            <w:vAlign w:val="bottom"/>
          </w:tcPr>
          <w:p>
            <w:pPr>
              <w:spacing w:after="0"/>
              <w:rPr>
                <w:sz w:val="14"/>
                <w:szCs w:val="14"/>
                <w:color w:val="auto"/>
              </w:rPr>
            </w:pPr>
          </w:p>
        </w:tc>
        <w:tc>
          <w:tcPr>
            <w:tcW w:w="1300" w:type="dxa"/>
            <w:vAlign w:val="bottom"/>
            <w:vMerge w:val="restart"/>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(567)</w:t>
            </w:r>
          </w:p>
        </w:tc>
        <w:tc>
          <w:tcPr>
            <w:tcW w:w="0" w:type="dxa"/>
            <w:vAlign w:val="bottom"/>
          </w:tcPr>
          <w:p>
            <w:pPr>
              <w:spacing w:after="0"/>
              <w:rPr>
                <w:sz w:val="1"/>
                <w:szCs w:val="1"/>
                <w:color w:val="auto"/>
              </w:rPr>
            </w:pPr>
          </w:p>
        </w:tc>
      </w:tr>
      <w:tr>
        <w:trPr>
          <w:trHeight w:val="213"/>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(256)</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(841)</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(1,100)</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(1,100)</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declared ($9.80 per</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4"/>
                <w:szCs w:val="14"/>
                <w:color w:val="auto"/>
              </w:rPr>
            </w:pPr>
          </w:p>
        </w:tc>
        <w:tc>
          <w:tcPr>
            <w:tcW w:w="1120" w:type="dxa"/>
            <w:vAlign w:val="bottom"/>
            <w:vMerge w:val="restart"/>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(2,757)</w:t>
            </w:r>
          </w:p>
        </w:tc>
        <w:tc>
          <w:tcPr>
            <w:tcW w:w="140" w:type="dxa"/>
            <w:vAlign w:val="bottom"/>
          </w:tcPr>
          <w:p>
            <w:pPr>
              <w:spacing w:after="0"/>
              <w:rPr>
                <w:sz w:val="14"/>
                <w:szCs w:val="14"/>
                <w:color w:val="auto"/>
              </w:rPr>
            </w:pPr>
          </w:p>
        </w:tc>
        <w:tc>
          <w:tcPr>
            <w:tcW w:w="1360" w:type="dxa"/>
            <w:vAlign w:val="bottom"/>
            <w:vMerge w:val="restart"/>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4"/>
                <w:szCs w:val="14"/>
                <w:color w:val="auto"/>
              </w:rPr>
            </w:pPr>
          </w:p>
        </w:tc>
        <w:tc>
          <w:tcPr>
            <w:tcW w:w="122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(2,757)</w:t>
            </w:r>
          </w:p>
        </w:tc>
        <w:tc>
          <w:tcPr>
            <w:tcW w:w="220" w:type="dxa"/>
            <w:vAlign w:val="bottom"/>
          </w:tcPr>
          <w:p>
            <w:pPr>
              <w:spacing w:after="0"/>
              <w:rPr>
                <w:sz w:val="14"/>
                <w:szCs w:val="14"/>
                <w:color w:val="auto"/>
              </w:rPr>
            </w:pPr>
          </w:p>
        </w:tc>
        <w:tc>
          <w:tcPr>
            <w:tcW w:w="1300" w:type="dxa"/>
            <w:vAlign w:val="bottom"/>
            <w:vMerge w:val="restart"/>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(2,757)</w:t>
            </w:r>
          </w:p>
        </w:tc>
        <w:tc>
          <w:tcPr>
            <w:tcW w:w="0" w:type="dxa"/>
            <w:vAlign w:val="bottom"/>
          </w:tcPr>
          <w:p>
            <w:pPr>
              <w:spacing w:after="0"/>
              <w:rPr>
                <w:sz w:val="1"/>
                <w:szCs w:val="1"/>
                <w:color w:val="auto"/>
              </w:rPr>
            </w:pPr>
          </w:p>
        </w:tc>
      </w:tr>
      <w:tr>
        <w:trPr>
          <w:trHeight w:val="213"/>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Stock-based awards, ESOP activity</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477</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479</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other</w:t>
            </w: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decrease in noncontrolling</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4"/>
                <w:szCs w:val="14"/>
                <w:color w:val="auto"/>
              </w:rPr>
            </w:pPr>
          </w:p>
        </w:tc>
        <w:tc>
          <w:tcPr>
            <w:tcW w:w="1120" w:type="dxa"/>
            <w:vAlign w:val="bottom"/>
            <w:vMerge w:val="restart"/>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1360" w:type="dxa"/>
            <w:vAlign w:val="bottom"/>
            <w:vMerge w:val="restart"/>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4"/>
                <w:szCs w:val="14"/>
                <w:color w:val="auto"/>
              </w:rPr>
            </w:pPr>
          </w:p>
        </w:tc>
        <w:tc>
          <w:tcPr>
            <w:tcW w:w="1220" w:type="dxa"/>
            <w:vAlign w:val="bottom"/>
            <w:vMerge w:val="restart"/>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4"/>
                <w:szCs w:val="14"/>
                <w:color w:val="auto"/>
              </w:rPr>
            </w:pPr>
          </w:p>
        </w:tc>
        <w:tc>
          <w:tcPr>
            <w:tcW w:w="1300" w:type="dxa"/>
            <w:vAlign w:val="bottom"/>
            <w:vMerge w:val="restart"/>
          </w:tcPr>
          <w:p>
            <w:pPr>
              <w:jc w:val="center"/>
              <w:ind w:left="458"/>
              <w:spacing w:after="0"/>
              <w:rPr>
                <w:sz w:val="20"/>
                <w:szCs w:val="20"/>
                <w:color w:val="auto"/>
              </w:rPr>
            </w:pPr>
            <w:r>
              <w:rPr>
                <w:rFonts w:ascii="Times New Roman" w:cs="Times New Roman" w:eastAsia="Times New Roman" w:hAnsi="Times New Roman"/>
                <w:sz w:val="16"/>
                <w:szCs w:val="16"/>
                <w:b w:val="1"/>
                <w:bCs w:val="1"/>
                <w:color w:val="auto"/>
              </w:rPr>
              <w:t>(21)</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interests in subsidiary</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279</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(16,121)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6,015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auto"/>
            </w:tcBorders>
            <w:shd w:val="clear" w:color="auto" w:fill="CCEEFF"/>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rPr>
              <w:t>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6,038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 We are a global security and aerospace company principally engaged in the research, design, development, manufacture, integration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sustainment of advanced technology systems, products and services. We also provide a broad range of management, engineering, technical, scientific, logistics, system integration and cybersecurity services. We serve both U.S. and international customers with products and services that have defense, civil and commercial applications, with our principal customers being agencies of the U.S. Government.</w:t>
      </w:r>
    </w:p>
    <w:p>
      <w:pPr>
        <w:spacing w:after="0" w:line="14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Our consolidated financial statements include the accounts of subsidiaries we control and variable interest entities if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primary beneficiary. We eliminate intercompany balances and transactions in consolidation. Our receivables, inventories, customer advances and amounts in excess of costs incurred and certain amounts in other current liabilities primarily are attributable to long-term contracts or programs in progress for which the related operating cycles are longer than one year. In accordance with industry practice, we include these items in current assets and current liabilities. Unless otherwise noted, we present all per share amounts cited in these consolidated financial statements on a “per diluted share” basis.</w:t>
      </w:r>
    </w:p>
    <w:p>
      <w:pPr>
        <w:spacing w:after="0" w:line="13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We prepare our consolidated financial statements in conformity with U.S. generally accepted accounting principles (GAAP).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doing so, we are required to make estimates and assumptions that affect the amounts reported in the consolidated financial statements and accompanying notes. We base these estimates on historical experience and on various other assumptions that we believe are reasonable under the circumstances, the results of which form the basis for making judgments about the carrying amounts of assets and liabilities that are not readily apparent from other sources. Our actual results may differ materially from these estimates. Significant estimates inherent in the preparation of our consolidated financial statements include, but are not limited to, accounting for sales and cost recognition, postretirement benefit plans, assets for the portion of environmental costs that are probable of future recovery and liabilities, evaluation of goodwill and other assets for impairment, income taxes including deferred income taxes, fair value measurements and contingencies.</w:t>
      </w:r>
    </w:p>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majority of our net sales are generated from long-term contracts with the U.S. Government and international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foreign military sales (FMS) contracted through the U.S. Government) for the research, design, development, manufacture, integration and sustainment of advanced technology systems, products and services. 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international direct commercial sale contracts, we are required to obtain certain regulatory approvals. In these cases, we recognize revenue when it is probable that we will receive regulatory approvals based upon all known facts and circumstances. We provide our products and services under fixed-price and cost-reimbursable contracts.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fixed-price contracts, we agree to perform the specified work for a pre-determined price. To the extent our actual costs vary from the estimates upon which the price was negotiated, we will generate more or less profit or could incur a loss. Some fixed-price contracts have a performance-based component under which we may earn incentive payments or incur financial penalties based on our performance.</w:t>
      </w:r>
    </w:p>
    <w:p>
      <w:pPr>
        <w:spacing w:after="0" w:line="13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Cost-reimbursable contracts provide for the payment of allowable costs incurred during performance of the contract plus a fee up to a ceiling based on the amount that has been funded. Typically, we enter into three types of cost-reimbursable contracts: cost-plus-award-fee, cost-plus-incentive-fee, and cost-plus-fixed-fee. Cost-plus-award-fee contracts provide for an award fee that varies within specified limits based on the customer’s assessment of our performance against a predetermined set of criteria, such as targets based on cost, quality, technical and schedule criteria. Cost-plus-incentive-fee contracts provide for reimbursement of costs plus a fee, which is adjusted by a formula based on the relationship of total allowable costs to total target costs (i.e., incentive based on cost) or reimbursement of costs plus an incentive to exceed stated performance targets (i.e., incentive based on performance). The fixed-fee in a cost-plus-fixed-fee contract is negotiated at the inception of the contract and that fixed-fee does not vary with actual costs.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assess each contract at its inception to determine whether it should be combined with other contracts. When making this determination, we consider factors such as whether two or more contracts were negotiated and executed at or near the same time or were negotiated with an overall profit objective. If combined, we treat the combined contracts as a single contract for revenue recognition purposes.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evaluate the products or services promised in each contract at inception to determine whether the contract should be accounted for as having one or more performance obligations. The products and services in our contracts are typically not distinct from one another due to their complex relationships and the significant contract management functions required to perform under the contract. Accordingly, our contracts are typically accounted for as one performance obligation. In limited cases, our contracts have more than one distinct performance obligation, which occurs when we perform activities that are not highly complex or interrelated or involve different product lifecycles. Significant judgment is required in determining performance obligations, and these decisions could change the amount of revenue and profit recorded in a given period. We classify net sales as products or services on our consolidated statements of earnings based on the predominant attributes of the performance obligations.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determine the transaction price for each contract based on the consideration we expect to receive for the products or services being provided under the contract. For contracts where a portion of the price may vary, we estimate variable consideration at the most likely amount,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spacing w:after="0" w:line="15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At the inception of a contract we estimate the transaction price based on our current rights and do not contemplate future modifications (including unexercised options) or follow-on contracts until they become legally enforceable. Contracts are often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modifications to our contracts are not distinct from the existing contract due to the significant integration and interrelated tasks provided in the context of the contract. Therefore, such modifications are accounted for as if they were part of the existing contract and recognized as a cumulative adjustment to revenue.</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contracts with multiple performance obligations, we allocate the transaction price to each performance obligation based on the estimated standalone selling price of the product or service underlying each performance obligation. The standalone selling price represents the amount we would sell the product or service to a customer on a standalone basis (i.e., not bundled with any other products or services). Our contracts with the U.S. Government, including FMS contracts, are subject to the Federal Acquisition Regulations (FAR) and the price is typically based on estimated or actual costs plus a reasonable profit margin. As a result of these regulations, the standalone selling price of products or services in our contracts with the U.S. Government and FMS contracts are typically equal to the selling price stated in the contract.</w:t>
      </w:r>
    </w:p>
    <w:p>
      <w:pPr>
        <w:spacing w:after="0" w:line="14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non-U.S. Government contracts with multiple performance obligations, we evaluate whether the stated selling prices for the products or services represent their standalone selling prices. We primarily sell customized solutions unique to a customer’s specifications. When it is necessary to allocate the transaction price to multiple performance obligations, we typically use the expected cost plus a reasonable profit margin to estimate the standalone selling price of each product or service. We occasionally sell standard products or services with observable standalone sales transactions. In these situations, the observable standalone sales transactions are used to determine the standalone selling price.</w:t>
      </w:r>
    </w:p>
    <w:p>
      <w:pPr>
        <w:spacing w:after="0" w:line="1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recognize revenue as performance obligations are satisfied and the customer obtains control of the products and services. In determining when performance obligations are satisfied, we consider factors such as contract terms, payment terms and whether there is an alternative future use of the product or service. Substantially all of our revenue is recognized over time as we perform under the contract because control of the work in process transfers continuously to the customer. For most contracts with the U.S. Government and FMS contracts, this continuous transfer of control of the work in process to the customer is supported by clauses in the contract that give the customer ownership of work in process and allow the customer to unilaterally terminate the contract for convenience and pay us for costs incurred plus a reasonable profit. For most non-U.S. Government contracts, primarily international direct commercial contracts, continuous transfer of control to our customer is supported because we deliver products that do not have an alternative use to us and if our customer were to terminate the contract for reasons other than our non-performance we would have the right to recover damages which would include, among other potential damages, the right to payment for our work performed to date plus a reasonable profit.</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Under the percentage-of-completion cost-to-cost measure of progress, the extent of progress towards completion is measured based on the ratio of costs incurred to date to the total estimated costs to complete the performance obligation(s). For performance obligations to provide services to the customer, revenue is recognized over time based on costs incurred or the right to invoice method (in situations where the value transferred matches our billing rights) as our customer receives and consumes the benefits.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w:t>
      </w:r>
    </w:p>
    <w:p>
      <w:pPr>
        <w:spacing w:after="0" w:line="13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It is converted into sales in future periods as work is performed or deliveries are made. For our cost-reimbursable and fixed-priced-incentive contracts, the estimated consideration we expect to receive pursuant to the terms of the contract may exceed the contractual award amount. The estimated consideration is determined at the outset of the contract and is continuously reviewed throughout the contract period. In determining the estimated consideration, we consider the risks related to the technical, schedule and cost impacts to complete the contract and an estimate of any variable consideration. Periodically, we review these risks and may increase or decrease backlog accordingly. As the risks on such contracts are successfully retired, the estimated consideration from customers may be reduced, resulting in a reduction of backlog without a corresponding recognition of sales. As of December 31, 2020, our ending backlog was $147.1 billion. We expect to recognize approximately 39% of our backlog over the next 12 months and approximately 61% over the next 24 months as revenue, with the remainder recognized thereafter.</w:t>
      </w:r>
    </w:p>
    <w:p>
      <w:pPr>
        <w:spacing w:after="0" w:line="16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For arrangements with the U.S. Government and FMS contracts, we generally do not begin work on contracts until funding is appropriated by the customer. Billing timetables and payment terms on our contracts vary based on a number of factors, including the contract type. Typical payment terms under fixed-price contracts with the U.S. Government provide that the customer pays either performance-based payments (PBPs) based on the achievement of contract milestones or progress payments based on a percentage of costs we incur. For the majority of our international direct commercial contracts to deliver complex systems, we typically receive advance payments prior to commencement of work, as well as milestone payments that are paid in accordance with the terms of our contract as we perform. We recognize a liability for payments in excess of revenue recognized, which is presented as a contract liability on the balance sheet. The portion of payments retained by the customer until final contract settlement is not considered a significant financing component because the intent is to protect the customer from our failure to adequately complete some or all of the obligations under the contract. Payments received from customers in advance of revenue recognition are not considered to be significant financing components because they are used to meet working capital demands that can be higher in the early stages of a contract.</w:t>
      </w:r>
    </w:p>
    <w:p>
      <w:pPr>
        <w:spacing w:after="0" w:line="1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fixed-price and cost-reimbursable contracts, we present revenues recognized in excess of billings as contract assets on the balance sheet. Amounts billed and due from our customers under both contract types are classified as receivables on the balance sheet.</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Significant estimates and assumptions are made in estimating contract sales and costs, including the profit booking rate. At the outset of a long-term contract, we identify and monitor risks to the achievement of the technical, schedule and cost aspects of the contract, as well as variable consideration, and assess the effects of those risks on our estimates of sales and total costs to complete the contract. The estimates consider the technical requirements (e.g., a newly-developed product versus a mature product), the schedule and associated tasks (e.g., the number and type of milestone events) and costs (e.g., material, labor, subcontractor, overhead, general and administrative and the estimated costs to fulfill our industrial cooperation agreements, sometimes referred to as offset or localization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surrounding the technical, schedule and cost aspects of the contract, which decreases the estimated total costs to complete the contract or may increase the variable consideration we expect to receive on the contract. Conversely, our profit booking rates may decrease if the estimated total costs to complete the contract increase or our estimates of variable consideration we expect to receive decrease. All of the estimates are subject to change during the performance of the contract and may affect the profit booking rate. When estimates of total costs to be incurred on a contract exceed total estimates of the transaction price, a provision for the entire loss is determined at the contract level and is recorded in the period in which the loss is determined.</w:t>
      </w:r>
    </w:p>
    <w:p>
      <w:pPr>
        <w:spacing w:after="0" w:line="16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Comparability of our segment sales, operating profit and operating margin may be impacted favorably or unfavorably by changes in profit booking rates on our contracts for which we recognize revenue over time using the percentage-of-completion cost-to-cost method to measure progress towards completion. Increases in the profit booking rates, typically referred to as risk retirements,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Increases or decreases in profit booking rates are recognized in the current period and reflect the inception-to-date effect of such changes. Segment operating profit and margin may also be impacted favorably or unfavorably by other items, which may or may not impact sales.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Favorable items may include the positive resolution of contractual matters, cost recoveries on severance and restructuring charges, insurance recoveries and gains on sales of assets. Unfavorable items may include the adverse resolution of contractual matters; restructuring charges, except for significant severance actions, which are excluded from segment operating results; reserves for disputes; certain asset impairments; and losses on sales of certain assets.</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consolidated net adjustments not related to volume, including net profit booking rate adjustments and other items, increased segment operating profit by approximately $1.8 billion in 2020 and $1.9 billion in each of 2019 and 2018. These adjustments increased net earnings by approximately $1.5 billion ($5.33, $5.29 and $5.23 per share) in 2020, 2019 and 2018. We recognized net sales from performance obligations satisfied in prior periods of approximately $2.0 billion, $2.2 billion and $2.0 billion in 2020, 2019 and 2018, which primarily relate to changes in profit booking rates that impacted revenue.</w:t>
      </w:r>
    </w:p>
    <w:p>
      <w:pPr>
        <w:spacing w:after="0" w:line="15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previously disclosed, we are responsible for a program to design, develop and construct a ground-based radar at our RMS business segment. The program has experienced performance issues for which we have periodically accrued reserves. As of December 31, 2020, cumulative losses were approximately $250 million on this program. We may continue to experience issues related to customer requirements and our performance under this contract and have to record additional charges. However, based on the losses previously recorded and our current estimate of the sales and costs to complete the program, at this time we do not anticipate that additional losses, if any, would be material to our operating results or financial condition.</w:t>
      </w:r>
    </w:p>
    <w:p>
      <w:pPr>
        <w:spacing w:after="0" w:line="21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previously disclosed, we have a program, EADGE-T, to design, integrate, and install an air missile defense command, control, communications, computers – intelligence (C4I) system for an international customer that has experienced performance issues and for which we have periodically accrued reserves at our RMS business segment. As of December 31, 2020, cumulative losses remained at approximately $260 million. We continue to monitor program requirements and our performance. At this time, we do not anticipate additional charges that would be material to our operating results or financial condition.</w:t>
      </w:r>
    </w:p>
    <w:p>
      <w:pPr>
        <w:spacing w:after="0" w:line="14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previously disclosed, we are responsible for designing, developing and installing an upgraded turret for the Warrior Capability Sustainment Program. As of December 31, 2020, cumulative losses remained at approximately $140 million on this program. We may continue to experience issues related to customer requirements and our performance under this contract and may have to record additional reserves. However, based on the losses already recorded and our current estimate of the sales and costs to complete the program, at this time we do not anticipate that additional losses, if any, would be material to our operating results or financial condition.</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and similar costs </w:t>
      </w:r>
      <w:r>
        <w:rPr>
          <w:rFonts w:ascii="Times New Roman" w:cs="Times New Roman" w:eastAsia="Times New Roman" w:hAnsi="Times New Roman"/>
          <w:sz w:val="18"/>
          <w:szCs w:val="18"/>
          <w:color w:val="auto"/>
        </w:rPr>
        <w:t>– We conduct research and development (R&amp;D) activities using our own funds (referred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Company-funded 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sales as incurred. Company-funded R&amp;D costs charged to cost of sales totaled $1.3 billion in each of 2020, 2019 and 2018.</w:t>
      </w:r>
    </w:p>
    <w:p>
      <w:pPr>
        <w:spacing w:after="0" w:line="15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Compensation cost related to all share-based payments is measured at the grant date based on the estimated fair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We generally recognize the compensation cost ratably over a three-year vesting period, net of estimated forfeitures. At each reporting date, the number of shares is adjusted to the number ultimately expected to vest.</w:t>
      </w:r>
    </w:p>
    <w:p>
      <w:pPr>
        <w:spacing w:after="0" w:line="13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We calculate our provision for income taxes using the asset and liability method, under which deferred tax assets and liabilities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based on the future tax consequences attributable to temporary differences that exist between the financial statement carrying amount of assets and liabilities and their respective tax bases, as well as from operating loss and tax credit carry-forwards. We measure deferred tax assets and liabilities using enacted tax rates that will apply in the years in which we expect the temporary differences to be recovered or paid.</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periodically assess our tax exposures related to periods that are open to examination. Based on the latest available information, we evaluate our tax positions to determine whether the position will more likely than not be sustained upon examination by the Internal Revenue Service (IRS) or other taxing authorities. If we cannot reach a more-likely-than-not determination, no benefit is recorded. If we determine that the tax position is more likely than not to be sustained, we record the largest amount of benefit that is more likely than not to be realized when the tax position is settled. We record interest and penalties related to income taxes as a component of income tax expense on our consolidated statements of earnings. Interest and penalties were not material.</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Cash equivalents include highly liquid instruments with original maturities of 90 days or less.</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Receivables </w:t>
      </w:r>
      <w:r>
        <w:rPr>
          <w:rFonts w:ascii="Times New Roman" w:cs="Times New Roman" w:eastAsia="Times New Roman" w:hAnsi="Times New Roman"/>
          <w:sz w:val="18"/>
          <w:szCs w:val="18"/>
          <w:color w:val="auto"/>
        </w:rPr>
        <w:t>– Receivables, net represent our unconditional right to consideration under the contract and include amounts billed and currently due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The amounts are stated at their net estimated realizable value. There were no significant impairment losses related to our receivables in 2020, 2019 or 2018.</w:t>
      </w:r>
    </w:p>
    <w:p>
      <w:pPr>
        <w:spacing w:after="0" w:line="14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Contract assets include unbilled amounts typically resulting from sales under contracts when the percentage-of-completion cost-to-cost method of revenue recognition is utilized and revenue recognized exceeds the amount billed to the customer. The amounts may not exceed their estimated net realizable value. Contract assets are classified as current based on our contract operating cycle.</w:t>
      </w:r>
    </w:p>
    <w:p>
      <w:pPr>
        <w:spacing w:after="0" w:line="13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We record inventories at the lower of cost or estimated net realizable value. If events or changes in circumstances indicate that the utility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inventories have diminished through damage, deterioration, obsolescence, changes in price or other causes, a loss is recognized in the period in which it occurs. We capitalize labor, material, subcontractor and overhead costs as work-in-process for contracts where control has not yet passed to the customer. In addition, we capitalize costs incurred to fulfill a contract in advance of contract award in inventories as work-in-process if we determine that contract award is probable. We determine the costs of other product and supply inventories by using the first-in first-out or average cost methods.</w:t>
      </w:r>
    </w:p>
    <w:p>
      <w:pPr>
        <w:spacing w:after="0" w:line="13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Contract liabilities include advance payments and billings in excess of revenue recognized. Contract liabilities are classified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based on our contract operating cycle and reported on a contract-by-contract basis, net of revenue recognized, at the end of each reporting period.</w:t>
      </w:r>
    </w:p>
    <w:p>
      <w:pPr>
        <w:spacing w:after="0" w:line="12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 We record property, plant and equipment at cost. We provide for depreciation and amortization on plant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generally using accelerated methods during the first half of the estimated useful lives of the assets and the straight-line method thereafter. The estimated useful lives of our plant and equipment generally range from 10 to 40 years for buildings and five to 15 years for machinery and equipment. No depreciation expense is recorded on construction in progress until such assets are placed into operation. Depreciation expense related to plant and equipment was $853 million in 2020, $794 million in 2019 and $759 million in 2018.</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review the carrying amounts of long-lived assets for impairment if events or changes in the facts and circumstances indicate that their carrying amounts may not be recoverable. We assess impairment by comparing the estimated undiscounted future cash flows of the related asset grouping to its carrying amount. If an asset is determined to be impaired, we recognize an impairment charge in the current period for the difference between the fair value of the asset and its carrying amount.</w:t>
      </w:r>
    </w:p>
    <w:p>
      <w:pPr>
        <w:spacing w:after="0" w:line="13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Capitalized software </w:t>
      </w:r>
      <w:r>
        <w:rPr>
          <w:rFonts w:ascii="Times New Roman" w:cs="Times New Roman" w:eastAsia="Times New Roman" w:hAnsi="Times New Roman"/>
          <w:sz w:val="18"/>
          <w:szCs w:val="18"/>
          <w:color w:val="auto"/>
        </w:rPr>
        <w:t>– We capitalize certain costs associated with the development or purchase of internal-use software. The amounts capitalized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other noncurrent assets on our consolidated balance sheets and are amortized on a straight-line basis over the estimated useful life of the resulting software, which ranges from two to six years. As of December 31, 2020 and 2019, capitalized software totaled $686 million and $511 million, which were net of accumulated amortization of $2.2 billion for both periods. No amortization expense is recorded until the software is ready for its intended use. Amortization expense related to capitalized software was $166 million in 2020, $111 million in 2019 and $106 million in 2018.</w:t>
      </w:r>
    </w:p>
    <w:p>
      <w:pPr>
        <w:spacing w:after="0" w:line="15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 The assets and liabilities of acquired businesses are recorded under the acquisition method of accounting at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fair values at the date of acquisition. Goodwill represents costs in excess of fair values assigned to the underlying identifiable net assets of acquired businesses. Intangible assets from acquired businesses are recognized at fair value on the acquisition date and consist of customer programs, trademarks, customer relationships, technology and other intangible assets. Customer programs include values assigned to major programs of acquired businesses and represent the aggregate value associated with the customer relationships, contracts, technology and trademarks underlying the associated program and are amortized on a straight-line basis over a period of expected cash flows used to measure fair value, which ranges from nine to 20 years.</w:t>
      </w:r>
    </w:p>
    <w:p>
      <w:pPr>
        <w:spacing w:after="0" w:line="14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goodwill balance was $10.8 billion at December 31, 2020 and $10.6 billion at December 31, 2019. We perform an impairment test of our goodwill at least annually in the fourth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a decline in our market capitalization, operating performance indicators, competition, reorganizations of our business, U.S. Government budget restrictions or the disposal of all or a portion of a reporting unit. Our goodwill has been allocated to and is tested for impairment at a level referred to as the reporting unit, which is our business segment level or a level below the business segment. The level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which we test goodwill for impairment requires us to determine whether the operations below the business segment constitute a self-sustaining business for which discrete financial information is available and segment management regularly reviews the operating results.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For selected reporting units where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We perform quantitative tests for most reporting units at least once every three years. However, for certain reporting units we may perform a quantitative impairment test every year.</w:t>
      </w:r>
    </w:p>
    <w:p>
      <w:pPr>
        <w:spacing w:after="0" w:line="1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 We generally estimate the fair value of each reporting unit using a combination of a discounted cash flow (DCF) analysis and market-based valuation methodologies such as comparable public company trading values and values observed in recent business acquisitions. Determining fair value requires the exercise of significant judgments, including the amount and timing of expected future cash flows, long-term growth rates, discount rates and relevant comparable public company earnings multiples and relevant transaction multiples. The cash flows employed in the DCF analysis are based on our best estimate of future sales, earnings and cash flows after considering factors such as general market conditions, U.S. Government budgets, existing firm orders, expected future orders, contracts with suppliers, labor agreements, changes in working capital, long term business plans and recent operating performance. The discount rates utilized in the DCF analysis are based on the respective reporting unit’s weighted average cost of capital, which takes into account the relative weights of each component of capital structure (equity and debt) and represents the expected cost of new capital, adjusted as appropriate to consider the risk inherent in future cash flows of the respective reporting unit. The carrying value of each reporting unit includes the assets and liabilities employed in its operations, goodwill and allocations of certain assets and liabilities held at the business segment and corporate levels.</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fourth quarters of 2020, 2019 and 2018, we performed our annual goodwill impairment test for each of our reporting units. The results of our annual impairment tests of goodwill indicated that no impairment existed.</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Acquired intangible assets deemed to have indefinite lives are not amortized, but are subject to annual impairment testing. This testing compares carrying value to fair value and, when appropriate, the carrying value of these assets is reduced to fair value. Finite-lived intangibles are amortized to expense over the applicable useful lives, ranging from three to 20 years, based on the nature of the asset and the underlying pattern of economic benefit as reflected by future net cash inflows. We perform an impairment test of finite-lived intangibles whenever events or changes in circumstances indicate their carrying value may be impaired.</w:t>
      </w:r>
    </w:p>
    <w:p>
      <w:pPr>
        <w:spacing w:after="0" w:line="15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Postretirement benefit plans </w:t>
      </w:r>
      <w:r>
        <w:rPr>
          <w:rFonts w:ascii="Times New Roman" w:cs="Times New Roman" w:eastAsia="Times New Roman" w:hAnsi="Times New Roman"/>
          <w:sz w:val="18"/>
          <w:szCs w:val="18"/>
          <w:color w:val="auto"/>
        </w:rPr>
        <w:t>– Many of our employees are covered by defined benefit pension plans and we provide certain health care and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benefits to eligible retirees (collectively, postretirement benefit plans). GAAP requires that the amounts we record related to our postretirement benefit plans be computed, based on service to date, using actuarial valuations that are based in part on certain key economic assumptions we make, including the discount rate, the expected long-term rate of return on plan assets and other actuarial assumptions including participant longevity (also known as mortality), health care cost trend rates and employee turnover, each as appropriate based on the nature of the plans.</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market-related value of our plan assets, determined using actual asset gains or losses over the prior three year period, is used to calculate the amount of deferred asset gains or losses to be amortized. These asset gains or losses, along with those resulting from adjustments to our benefit obligation, will be amortized to expense using the corridor method, where gains and losses are recognized over a period of years to the extent they exceed 10% of the greater of plan assets or benefit obligations. This amortization period extended in 2020 due to the freeze of our salaried pension plans to use the average remaining life expectancy of the participants instead of average future service.</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on a plan-by-plan basis the funded status of our postretirement benefit plans under GAAP as either an asset recorded within other noncurrent assets or a liability recorded within noncurrent liabilities on our consolidated balance sheets. The GAAP funded status is measured as the difference between the fair value of the plan’s assets and the benefit obligation of the plan. The funded status under the Employee Retirement Income Security Act of 1974 (ERISA), as amended by the Pension Protection Act of 2006 (PPA), is calculated on a different basis than under GAAP.</w:t>
      </w:r>
    </w:p>
    <w:p>
      <w:pPr>
        <w:spacing w:after="0" w:line="14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Environmental matters </w:t>
      </w:r>
      <w:r>
        <w:rPr>
          <w:rFonts w:ascii="Times New Roman" w:cs="Times New Roman" w:eastAsia="Times New Roman" w:hAnsi="Times New Roman"/>
          <w:sz w:val="18"/>
          <w:szCs w:val="18"/>
          <w:color w:val="auto"/>
        </w:rPr>
        <w:t>– We record a liability for environmental matters when it is probable that a liability has been incurred and the amount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estimated. The amount of liability recorded is based on our estimate of the costs 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 incurred for remediation at a particular site. We do not discount the recorded liabilities, as the amount and timing of future cash payments are not fixed or cannot be reliably determined. Our environmental liabilities are recorded on our consolidated balance sheets within other liabilities, both current and noncurrent. We expect to include a substantial portion of environmental costs in our net sales and cost of sales in future periods pursuant to U.S. Government agreement or regulation. At the time a liability is recorded for future environmental costs, we record a receivable for estimated future recovery considered probable through the pricing of products and services to agencies of the U.S. Government, regardless of the contract form (e.g., cost-reimbursable, fixed-price). We continuously evaluate the recoverability of our assets for the portion of environmental costs that are probable of future recovery by assessing, among other factors, U.S. Government regulations, our U.S. Government business base and contract mix, our history of receiving reimbursement of such costs, and recent efforts by some U.S. Government representatives to limit such reimbursement. We include the portion of those environmental costs expected to be allocated to our non-U.S. Government contracts, or that is determined to not be recoverable under U.S. Government contracts, in our cost of sales at the time the liability is established. Our assets for the portion of environmental costs that are probable of future recovery are recorded on our consolidated balance sheets within other assets, both current and noncurrent. We project costs and recovery of costs over approximately 20 years.</w:t>
      </w:r>
    </w:p>
    <w:p>
      <w:pPr>
        <w:spacing w:after="0" w:line="14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Investments in marketable securities </w:t>
      </w:r>
      <w:r>
        <w:rPr>
          <w:rFonts w:ascii="Times New Roman" w:cs="Times New Roman" w:eastAsia="Times New Roman" w:hAnsi="Times New Roman"/>
          <w:sz w:val="18"/>
          <w:szCs w:val="18"/>
          <w:color w:val="auto"/>
        </w:rPr>
        <w:t>– Investments in marketable securities consist of debt and equity securities which are recorded at fair value.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December 31, 2020 and 2019, the fair value of our investments totaled $2.0 billion and $1.8 billion and was included in other noncurrent assets on our consolidated balance sheets. Our investments are held in a separate trust, which includes investments to fund our deferred compensation plan liabilities. Net gains on these securities were $231 million and $233 million in 2020 and 2019 compared to net losses on these securities of $67 million in 2018. Gains and losses on these investments are included in other unallocated, net within cost of sales on our consolidated statements of earnings in order to align the classification of changes in the market value of investments held for the plan with changes in the value of the corresponding plan liabilities.</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investments </w:t>
      </w:r>
      <w:r>
        <w:rPr>
          <w:rFonts w:ascii="Times New Roman" w:cs="Times New Roman" w:eastAsia="Times New Roman" w:hAnsi="Times New Roman"/>
          <w:sz w:val="18"/>
          <w:szCs w:val="18"/>
          <w:color w:val="auto"/>
        </w:rPr>
        <w:t>– Investments where we have the ability to exercise significant influence, but do not control, are accounted for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method of accounting and are included in other noncurrent assets on our consolidated balance sheets. Significant influence typically exists if we have a 20% to 50% ownership interest in the investee. Under this method of accounting, our share of the net earnings or losses of the investee is included in operating profit in other income, net on our consolidated statements of earnings since the activities of the investee are closely aligned with the operations of the business segment holding the investment.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recorded in earnings in the current period. As of December 31, 2020, our equity method investments totaled $784 million, which primarily is composed of our investment in the United Launch Alliance (ULA) joint venture. As of December 31, 2019, our equity method investments totaled $1.2 billion, which primarily is composed of our investment in the ULA joint venture and the Advanced Military Maintenance, Repair and Overhaul Center (AMMROC) joint venture. Our share of net earnings related to our equity method investees was $163 million in 2020, $154 million in 2019 and $119 million in 2018, of which approximately $135 million, $145 million and $210 million was included in our Space business segment operating profit.</w:t>
      </w:r>
    </w:p>
    <w:p>
      <w:pPr>
        <w:spacing w:after="0" w:line="14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2020, we entered into an agreement to sell our ownership interest in AMMROC to our joint venture partner for $307 million, subject to certain closing conditions. Accordingly, we adjusted the carrying value of our investment to the selling price of $307 million, which resulted in the recognition of a noncash impairment charge of $128 million ($96 million, or $0.34 per share, after-tax) in our results of operations. The sale was completed on November 25, 2020. The purchase price is required to be paid in cash installments in 2021 and is guaranteed by an irrevocable letter of credit issued by a third-party financial institution.</w:t>
      </w:r>
    </w:p>
    <w:p>
      <w:pPr>
        <w:spacing w:after="0" w:line="13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color w:val="auto"/>
        </w:rPr>
        <w:t>– We use derivative instruments principally to reduce our exposure to market risks from changes in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rates and interest rates. We do not enter into or hold derivative instruments for speculative trading purposes. We transact business globally and are subject to risks associated with changing foreign currency exchange rates. We enter into foreign currency hedges such as forward and option contracts that change in value as foreign currency exchange rates change. Our most significant foreign currency exposures relate to the British pound sterling, the euro, the Canadian dollar and the Australian dollar. These contracts hedge forecasted foreign currency transactions in order to mitigate fluctuations in our earnings and cash flows associated with changes in foreign currency exchange rates. We designate foreign currency hedges as cash flow hedges.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mitigate the impact of interest rate changes on earnings. These swaps are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designated as cash flow hedges. We also may enter into derivative instruments that are not designated as hedges and do not qualify for hedge accounting, which are intended to mitigate certain economic exposures.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record derivatives at their fair value. The classification of gains and losses resulting from changes in the fair values of derivatives is dependent on our intended use of the derivative and its resulting designation. Adjustments to reflect changes in fair values of derivatives attributable to highly effective hedges are either reflected in earnings and largely offset by corresponding adjustments to the hedged items or reflected net of income taxes in accumulated other comprehensive loss until the hedged transaction is recognized in earnings. Changes in the fair value of the derivatives that are not highly effective, if any, are immediately recognized in earnings. The aggregate notional amount of our outstanding interest rate swaps at December 31, 2020 and 2019 was $572 million and $750 million. The aggregate notional amount of our outstanding foreign currency hedges at December 31, 2020 and 2019 was $3.4 billion and $3.8 billion. The fair values of our outstanding interest rate swaps and foreign currency hedges at December 31, 2020 and 2019 were not significant. Derivative instruments did not have a material impact on net earnings and comprehensive income during the years ended December 31, 2020, 2019 and 2018. The impact of derivative instruments on our consolidated statements of cash flows is included in net cash provided by operating activities. Substantially all of our derivatives are designated for hedge accounting. See “Note 17 – Fair Value Measurements” for more information on the fair value measurements related to our derivative instruments.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Compensation—Retirement Benefits—Defined Benefit Plans—General</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Effective January 1, 2020, we adopted Accounting Standards Update (ASU) 2018-14, </w:t>
      </w:r>
      <w:r>
        <w:rPr>
          <w:rFonts w:ascii="Times New Roman" w:cs="Times New Roman" w:eastAsia="Times New Roman" w:hAnsi="Times New Roman"/>
          <w:sz w:val="18"/>
          <w:szCs w:val="18"/>
          <w:i w:val="1"/>
          <w:iCs w:val="1"/>
          <w:color w:val="auto"/>
        </w:rPr>
        <w:t>Compensation—Retirement Benefits—Defined Benefit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(Topic 715-20): Disclosure Framework—Changes to the Disclosure Requirements For Defined Benefit Plans</w:t>
      </w:r>
      <w:r>
        <w:rPr>
          <w:rFonts w:ascii="Times New Roman" w:cs="Times New Roman" w:eastAsia="Times New Roman" w:hAnsi="Times New Roman"/>
          <w:sz w:val="18"/>
          <w:szCs w:val="18"/>
          <w:color w:val="auto"/>
        </w:rPr>
        <w:t>. The new standard modifies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disclosure requirements for employers that sponsor defined benefit pension or other postretirement plans. The guidance requires disclosure changes to be presented on a retrospective basis. As this standard relates only to financial disclosures, its adoption did not have an impact to our results of operations, financial position or cash flows.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Instruments—Credit Losses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Effective January 1, 2020, we adopted ASU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using the modified retrospective approach. The new standard changes how we account for credit losses for financial assets and certain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including trade receivables and contract assets, that are not measured at fair value through net income. Under legacy standards, we recognized an impairment of receivables when it was probable that a loss had been incurred. Under the new standard, we are required to recognize estimated credit losses expected to occur over the estimated life or remaining contractual life of an asset (which includes losses that may be incurred in future periods) using a broader range of information including reasonable and supportable forecasts about future economic conditions. The adoption of the standard did not have a significant impact on our results of operations, financial position or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 (Topic 848): Facilitation of the Effects of Reference Rate Reform on Financial Reporting</w:t>
      </w:r>
    </w:p>
    <w:p>
      <w:pPr>
        <w:spacing w:after="0" w:line="20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2017, the United Kingdom’s Financial Conduct Authority announced that after 2021 it would no longer compel banks to submit the rates required to calculate the London Interbank Offered Rate (LIBOR) and other interbank offered rates, which have been widely used as reference rates for various securities and financial contracts, including loans, debt and derivatives. This announcement indicates that the continuation of LIBOR on the current basis is not guaranteed after 2021. Regulators in the U.S. and other jurisdictions have been working to replace these rates with alternative reference interest rates that are supported by transactions in liquid and observable markets, such as the Secured Overnight Financing Rate (SOFR). Currently, our credit facility and certain of our debt and derivative instruments reference LIBOR-based rates. The discontinuation of LIBOR will require these arrangements to be modified in order to replace LIBOR with an alternative reference interest rate, which could impact our future cost of funds. Our credit facility includes a provision for the determination of a successor LIBOR rate.</w:t>
      </w:r>
    </w:p>
    <w:p>
      <w:pPr>
        <w:spacing w:after="0" w:line="1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temporarily simplifies the accounting for contract modifications, including hedging relationships, due to the transition from LIBOR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interbank offered rates to alternative reference interest rates. For example, entities can elect not to remeasure the contracts at the modification date or reassess a previous accounting determination if certain conditions are met. Additionally, entities can elect to continue applying hedge accounting for hedging relationships affected by reference rate reform if certain conditions are met. The new standard was effective upon issuance and generally can be applied to applicable contract modifications through December 31, 2022. We are currently evaluating the impact of the transition from LIBOR to alternative reference interest rates, but do not expect a significant impact to our operating results, financial position or cash flows.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Strategic Action</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20, 2020, we announced that we entered into an agreement to acquire Aerojet Rocketdyne Holdings, Inc. (Aerojet Rocketdyne) for $56 per share in cash, which is expected to be reduced to $51 per share after Aerojet Rocketdyne pays a pre-closing special dividend to its stockholders on March 24, 2021. This represents a post-dividend equity value of approximately $4.6 billion, on a fully diluted as-converted basis, and a transaction value of approximately $4.4 billion after the assumption of Aerojet Rocketdyne’s projected net cash. We expect to finance the acquisition through a combination of cash on hand and new debt issuances. The transaction is expected to close in the second half of 2021 and is subject to the satisfaction of customary closing conditions, including regulatory approvals and approval by Aerojet Rocketdyne’s stockholders. If the acquisition agreement is terminated under certain circumstances, Aerojet Rocketdyne will be required to pay us a termination fee of $150 million. Our financial results will not include Aerojet Rocketdyne’s results until the acquisition is closed.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Earnings Per Share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number of shares outstanding used to compute earnings per common share were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for basic computations</w:t>
            </w:r>
          </w:p>
        </w:tc>
        <w:tc>
          <w:tcPr>
            <w:tcW w:w="2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280.0</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30"/>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dilutive effect of equity awards</w:t>
            </w:r>
          </w:p>
        </w:tc>
        <w:tc>
          <w:tcPr>
            <w:tcW w:w="2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for diluted computations</w:t>
            </w:r>
          </w:p>
        </w:tc>
        <w:tc>
          <w:tcPr>
            <w:tcW w:w="24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281.2</w:t>
            </w:r>
          </w:p>
        </w:tc>
        <w:tc>
          <w:tcPr>
            <w:tcW w:w="10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283.8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compute basic and diluted earnings per common share by dividing net earnings by the respective weighted average number of common shares outstanding for the periods presented. Our calculation of diluted earnings per common share also includes the dilutive effects for the assumed vesting of outstanding restricted stock units (RSUs), performance stock units (PSUs) and exercise of outstanding stock options based on the treasury stock method. There were no significant anti-dilutive equity awards for the years ended December 31, 2020, 2019 and 2018.</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Goodwill and Acquired Intangibles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by segment were as follows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Aeronautics</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MFC</w:t>
            </w: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RMS</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Space</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2,262</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6,751</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1,585</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w:t>
            </w: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Distributed Energy Solutions divestiture</w:t>
            </w:r>
          </w:p>
        </w:tc>
        <w:tc>
          <w:tcPr>
            <w:tcW w:w="9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5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3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2,089</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6,758</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1,586</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10,604</w:t>
            </w:r>
          </w:p>
        </w:tc>
      </w:tr>
      <w:tr>
        <w:trPr>
          <w:trHeight w:val="22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9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r>
      <w:tr>
        <w:trPr>
          <w:trHeight w:val="229"/>
        </w:trPr>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30"/>
        </w:trPr>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2,091</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6,768</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1,760</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our acquired intangible assets consisted of the following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4"/>
                <w:szCs w:val="14"/>
                <w:color w:val="auto"/>
              </w:rPr>
            </w:pPr>
          </w:p>
        </w:tc>
        <w:tc>
          <w:tcPr>
            <w:tcW w:w="12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4"/>
                <w:szCs w:val="14"/>
                <w:color w:val="auto"/>
              </w:rPr>
            </w:pPr>
          </w:p>
        </w:tc>
        <w:tc>
          <w:tcPr>
            <w:tcW w:w="90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4"/>
                <w:szCs w:val="14"/>
                <w:color w:val="auto"/>
              </w:rPr>
            </w:pPr>
          </w:p>
        </w:tc>
        <w:tc>
          <w:tcPr>
            <w:tcW w:w="13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right w:val="single" w:sz="8" w:color="auto"/>
            </w:tcBorders>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programs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3,184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(1,199)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w:t>
            </w: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(287)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3,635</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(1,510)</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2,125</w:t>
            </w:r>
          </w:p>
        </w:tc>
        <w:tc>
          <w:tcPr>
            <w:tcW w:w="24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3,581</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(1,255)</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887</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w:t>
            </w:r>
          </w:p>
        </w:tc>
        <w:tc>
          <w:tcPr>
            <w:tcW w:w="24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acquired intangibles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4,522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(1,510)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3,012</w:t>
            </w:r>
          </w:p>
        </w:tc>
        <w:tc>
          <w:tcPr>
            <w:tcW w:w="2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(1,255)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Acquired finite-lived intangible assets are amortized to expense primarily on a straight-line basis over the following estimated useful lives: customer programs, from nine to 20 years; customer relationships, from four to 10 years; and other intangibles, from three to 10 years.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for acquired finite-lived intangible assets was $271 million, $284 million and $296 million in 2020, 2019 and 2018. Estimated future amortization expense is as follows: $290 million in 2021; $252 million in 2022; $249 million in 2023; $245 million in 2024; $223 million in 2025 and $866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Information on Business Segments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operate in four business segments: Aeronautics, MFC, RMS and Space. We organize our business segments based on the nature of products and services offered. Following is a brief description of the activities of our business segments:</w:t>
      </w:r>
    </w:p>
    <w:p>
      <w:pPr>
        <w:spacing w:after="0" w:line="131" w:lineRule="exact"/>
        <w:rPr>
          <w:sz w:val="20"/>
          <w:szCs w:val="20"/>
          <w:color w:val="auto"/>
        </w:rPr>
      </w:pPr>
    </w:p>
    <w:p>
      <w:pPr>
        <w:ind w:left="340" w:hanging="332"/>
        <w:spacing w:after="0" w:line="28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Aeronautics </w:t>
      </w:r>
      <w:r>
        <w:rPr>
          <w:rFonts w:ascii="Times New Roman" w:cs="Times New Roman" w:eastAsia="Times New Roman" w:hAnsi="Times New Roman"/>
          <w:sz w:val="18"/>
          <w:szCs w:val="18"/>
          <w:color w:val="auto"/>
        </w:rPr>
        <w:t>– Engaged in the research, design, development, manufacture, integration, sustainment, support and upgrade of advanced military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aircraft, including combat and air mobility aircraft, unmanned air vehicles and related technologies.</w:t>
      </w:r>
    </w:p>
    <w:p>
      <w:pPr>
        <w:spacing w:after="0" w:line="11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Missiles and Fire Control </w:t>
      </w:r>
      <w:r>
        <w:rPr>
          <w:rFonts w:ascii="Times New Roman" w:cs="Times New Roman" w:eastAsia="Times New Roman" w:hAnsi="Times New Roman"/>
          <w:sz w:val="18"/>
          <w:szCs w:val="18"/>
          <w:color w:val="auto"/>
        </w:rPr>
        <w:t>– Provides air and missile defense systems; tactical missiles and air-to-ground precision strike weapon systems; logistics;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fire control systems; mission operations support, readiness, engineering support and integration services; manned and unmanned ground vehicles; and energy management solutions.</w:t>
      </w:r>
    </w:p>
    <w:p>
      <w:pPr>
        <w:spacing w:after="0" w:line="13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Rotary and Mission Systems </w:t>
      </w:r>
      <w:r>
        <w:rPr>
          <w:rFonts w:ascii="Times New Roman" w:cs="Times New Roman" w:eastAsia="Times New Roman" w:hAnsi="Times New Roman"/>
          <w:sz w:val="18"/>
          <w:szCs w:val="18"/>
          <w:color w:val="auto"/>
        </w:rPr>
        <w:t>– Designs, manufactures, services and supports various military and commercial helicopters, surface ships, sea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land-based missile defense systems, radar systems, sea and air-based mission and combat systems, command and control mission solutions, cyber solutions, and simulation and training solutions.</w:t>
      </w:r>
    </w:p>
    <w:p>
      <w:pPr>
        <w:spacing w:after="0" w:line="143"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Space </w:t>
      </w:r>
      <w:r>
        <w:rPr>
          <w:rFonts w:ascii="Times New Roman" w:cs="Times New Roman" w:eastAsia="Times New Roman" w:hAnsi="Times New Roman"/>
          <w:sz w:val="18"/>
          <w:szCs w:val="18"/>
          <w:color w:val="auto"/>
        </w:rPr>
        <w:t>– Engaged in the research and development, design, engineering and production of satellites, space transportation systems, and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Operating profit for our Space business segment also includes our share of earnings for our 50% ownership interest in ULA, which provides expendable launch services to the U.S. Government. Our investment in ULA totaled $691 million and $709 million at December 31, 2020 and 2019.</w:t>
      </w:r>
    </w:p>
    <w:p>
      <w:pPr>
        <w:spacing w:after="0" w:line="14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our business segments in the following tables exclude intersegment sales as these activities are eliminated in consolidation.</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Operating profit of our business segments includes our share of earnings or losses from equity method investees as the operating activities of the equity method investees are closely aligned with the operations of our business segments. ULA, results of which are included in our Space business segment, is our primary equity method investee. Operating profit of our business segments excludes the FAS/CAS operating adjustment for our qualified defined benefit pension plans (described below); the adjustment from CAS to FAS service cost component for all other postretirement benefit plans; expense for stock-based compensation; the effects of items not considered part of management’s evaluation of segment operating performance, such as charges related to significant severance and restructuring actions and goodwill impairments; gains or losses from significant divestitures; the effects of certain legal settlements; corporate costs not allocated to our business segments; and other miscellaneous corporate activities. These items are included in the reconciling item “Unallocated items” between operating profit from our business segments and our consolidated operating profit. See “Note 1 – Significant Accounting Policies” (under the caption “Use of Estimates”) for a discussion related to certain factors that may impact the comparability of net sales and operating profit of our business segments.</w:t>
      </w:r>
    </w:p>
    <w:p>
      <w:pPr>
        <w:spacing w:after="0" w:line="1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segments’ results of operations include pension expense only as calculated under U.S. Government Cost Accounting Standards (CAS), which we refer to as CAS pension cost. We recover CAS pension cost through the pricing of our products and services on U.S. Government contracts and, therefore, the CAS pension cost is recognized in each of our business segments’ net sales and cost of sales. Our consolidated operating profit in our consolidated financial statements must present the service cost component of FAS pension and other postretirement benefit plan expense calculated in accordance with FAS requirements under U.S. GAAP. The operating portion of the net FAS/CAS operating adjustment represents the difference between the service cost component of FAS pension expense and the CAS pension cost recorded in our business segments’ results of operations. The non-service FAS pension and other postretirement benefit plan cost component is included in other non-operating expenses, net on our consolidated statement of earnings.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769"/>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Financial Data by Business Segment</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2"/>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Summary operating results for each of our business segments were as follows (in millions):</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0"/>
        </w:trPr>
        <w:tc>
          <w:tcPr>
            <w:tcW w:w="7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26,266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23,693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21,242</w:t>
            </w: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11,257</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10,131</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8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15,995</w:t>
            </w:r>
          </w:p>
        </w:tc>
        <w:tc>
          <w:tcPr>
            <w:tcW w:w="3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15,128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w:t>
            </w:r>
          </w:p>
        </w:tc>
      </w:tr>
      <w:tr>
        <w:trPr>
          <w:trHeight w:val="230"/>
        </w:trPr>
        <w:tc>
          <w:tcPr>
            <w:tcW w:w="7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8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11,880</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10,860</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w:t>
            </w:r>
          </w:p>
        </w:tc>
      </w:tr>
      <w:tr>
        <w:trPr>
          <w:trHeight w:val="223"/>
        </w:trPr>
        <w:tc>
          <w:tcPr>
            <w:tcW w:w="7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65,398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59,812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53,762</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2,843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1,545</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1,441</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8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1,615</w:t>
            </w:r>
          </w:p>
        </w:tc>
        <w:tc>
          <w:tcPr>
            <w:tcW w:w="3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29"/>
        </w:trPr>
        <w:tc>
          <w:tcPr>
            <w:tcW w:w="7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8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1,149</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1,191</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3"/>
        </w:trPr>
        <w:tc>
          <w:tcPr>
            <w:tcW w:w="7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business segment operating profit</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7,152</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6,574</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w:t>
            </w:r>
          </w:p>
        </w:tc>
      </w:tr>
      <w:tr>
        <w:trPr>
          <w:trHeight w:val="223"/>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items</w:t>
            </w: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48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FAS/CAS operating adjustment </w:t>
            </w:r>
            <w:r>
              <w:rPr>
                <w:rFonts w:ascii="Times New Roman" w:cs="Times New Roman" w:eastAsia="Times New Roman" w:hAnsi="Times New Roman"/>
                <w:sz w:val="23"/>
                <w:szCs w:val="23"/>
                <w:color w:val="auto"/>
                <w:vertAlign w:val="superscript"/>
              </w:rPr>
              <w:t>(a)</w:t>
            </w:r>
          </w:p>
        </w:tc>
        <w:tc>
          <w:tcPr>
            <w:tcW w:w="8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1,876</w:t>
            </w:r>
          </w:p>
        </w:tc>
        <w:tc>
          <w:tcPr>
            <w:tcW w:w="3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2,049</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748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Severance and restructuring charges </w:t>
            </w:r>
            <w:r>
              <w:rPr>
                <w:rFonts w:ascii="Times New Roman" w:cs="Times New Roman" w:eastAsia="Times New Roman" w:hAnsi="Times New Roman"/>
                <w:sz w:val="23"/>
                <w:szCs w:val="23"/>
                <w:color w:val="auto"/>
                <w:vertAlign w:val="superscript"/>
              </w:rPr>
              <w:t>(b)</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3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74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3"/>
                <w:szCs w:val="23"/>
                <w:color w:val="auto"/>
                <w:vertAlign w:val="superscript"/>
              </w:rPr>
              <w:t>(c)</w:t>
            </w:r>
          </w:p>
        </w:tc>
        <w:tc>
          <w:tcPr>
            <w:tcW w:w="8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7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unallocated, net</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1,492</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1,971</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30"/>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consolidated operating profit</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8,644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8,545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r>
    </w:tbl>
    <w:p>
      <w:pPr>
        <w:spacing w:after="0" w:line="94" w:lineRule="exact"/>
        <w:rPr>
          <w:sz w:val="20"/>
          <w:szCs w:val="20"/>
          <w:color w:val="auto"/>
        </w:rPr>
      </w:pPr>
    </w:p>
    <w:p>
      <w:pPr>
        <w:jc w:val="both"/>
        <w:ind w:left="340" w:hanging="332"/>
        <w:spacing w:after="0" w:line="230" w:lineRule="auto"/>
        <w:tabs>
          <w:tab w:leader="none" w:pos="335"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FAS/CAS operating adjustment represents the difference between the service cost component of FAS pension income (expense) and total pension costs recoverable on U.S. Government contracts as determined in accordance with CAS. For a detail of the FAS/CAS operating adjustment and the total net FAS/CAS pension adjustment, see the table below.</w:t>
      </w:r>
    </w:p>
    <w:p>
      <w:pPr>
        <w:ind w:left="320" w:hanging="312"/>
        <w:spacing w:after="0" w:line="187" w:lineRule="auto"/>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“Note 16 – Severance Charges” discussion for information on charges related to certain severance actions across our organization.</w:t>
      </w:r>
    </w:p>
    <w:p>
      <w:pPr>
        <w:jc w:val="both"/>
        <w:ind w:left="340" w:hanging="332"/>
        <w:spacing w:after="0" w:line="232" w:lineRule="auto"/>
        <w:tabs>
          <w:tab w:leader="none" w:pos="335"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net in 2020 includes a non-cash impairment charge of $128 million recognized in the second quarter of 2020 on our investment in the international equity method investee, AMMROC, which decreased net earnings from continuing operations by $96 million. Other, net in 2019 includes a previously deferred non-cash gain of $51 million related to properties sold in 2015 as a result of completing our remaining obligations and a gain of $34 million for the sale of its Distributed Energy Solutions business. Other, net in 2018 includes a non-cash asset impairment charge of $110 million related to our equity method investee, AMMROC (see “Note 1 – Significant Accounting Policies”).</w:t>
      </w:r>
    </w:p>
    <w:p>
      <w:pPr>
        <w:spacing w:after="0" w:line="16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Total net FAS/CAS pension adjustments, including the service and non-service cost components of FAS pension income (expense), were as follows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FAS income (expense) and CAS costs</w:t>
            </w:r>
          </w:p>
        </w:tc>
        <w:tc>
          <w:tcPr>
            <w:tcW w:w="3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FAS pension income (expense)</w:t>
            </w:r>
          </w:p>
        </w:tc>
        <w:tc>
          <w:tcPr>
            <w:tcW w:w="3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CAS pension cost</w:t>
            </w:r>
          </w:p>
        </w:tc>
        <w:tc>
          <w:tcPr>
            <w:tcW w:w="38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1,977</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2,565</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5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Net FAS/CAS pension adjustment</w:t>
            </w:r>
          </w:p>
        </w:tc>
        <w:tc>
          <w:tcPr>
            <w:tcW w:w="3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2,095</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 w:type="dxa"/>
            <w:vAlign w:val="bottom"/>
          </w:tcPr>
          <w:p>
            <w:pPr>
              <w:spacing w:after="0"/>
              <w:rPr>
                <w:sz w:val="19"/>
                <w:szCs w:val="19"/>
                <w:color w:val="auto"/>
              </w:rPr>
            </w:pPr>
          </w:p>
        </w:tc>
      </w:tr>
      <w:tr>
        <w:trPr>
          <w:trHeight w:val="196"/>
        </w:trPr>
        <w:tc>
          <w:tcPr>
            <w:tcW w:w="40" w:type="dxa"/>
            <w:vAlign w:val="bottom"/>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and non-service cost reconciliation</w:t>
            </w:r>
          </w:p>
        </w:tc>
        <w:tc>
          <w:tcPr>
            <w:tcW w:w="3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FAS pension service cost</w:t>
            </w:r>
          </w:p>
        </w:tc>
        <w:tc>
          <w:tcPr>
            <w:tcW w:w="3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Less: CAS pension cost</w:t>
            </w:r>
          </w:p>
        </w:tc>
        <w:tc>
          <w:tcPr>
            <w:tcW w:w="3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1,977</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2,565</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8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1,876</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2,049</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Non-operating FAS pension income (expense)</w:t>
            </w:r>
          </w:p>
        </w:tc>
        <w:tc>
          <w:tcPr>
            <w:tcW w:w="3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5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FAS/CAS pension adjustment</w:t>
            </w:r>
          </w:p>
        </w:tc>
        <w:tc>
          <w:tcPr>
            <w:tcW w:w="3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 w:type="dxa"/>
            <w:vAlign w:val="bottom"/>
          </w:tcPr>
          <w:p>
            <w:pPr>
              <w:spacing w:after="0"/>
              <w:rPr>
                <w:sz w:val="20"/>
                <w:szCs w:val="20"/>
                <w:color w:val="auto"/>
              </w:rPr>
            </w:pPr>
          </w:p>
        </w:tc>
      </w:tr>
      <w:tr>
        <w:trPr>
          <w:trHeight w:val="877"/>
        </w:trPr>
        <w:tc>
          <w:tcPr>
            <w:tcW w:w="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80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83</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recover CAS pension and other postretirement benefit plan cost through the pricing of our products and services on U.S. Government contracts and, therefore, recognize CAS cost in each of our business segment’s net sales and cost of sales. Our consolidated financial statements must present FAS pension and other postretirement benefit plan expense calculated in accordance with FAS requirements under U.S. GAAP. The operating portion of the net FAS/CAS pension adjustment represents the difference between the service cost component of FAS pension income (expense) and total CAS pension cost. The non-service FAS pension income (expense) component is included in other non-operating income (expense), net in our consolidated statements of earnings. As a result, to the extent that CAS pension cost exceeds the service cost component of FAS pension income (expense), we have a favorable FAS/CAS operating adjustment.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 w:type="dxa"/>
            <w:vAlign w:val="bottom"/>
          </w:tcPr>
          <w:p>
            <w:pPr>
              <w:spacing w:after="0"/>
              <w:rPr>
                <w:sz w:val="20"/>
                <w:szCs w:val="20"/>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3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3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19"/>
                <w:szCs w:val="19"/>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34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562</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0" w:type="dxa"/>
            <w:vAlign w:val="bottom"/>
          </w:tcPr>
          <w:p>
            <w:pPr>
              <w:spacing w:after="0"/>
              <w:rPr>
                <w:sz w:val="19"/>
                <w:szCs w:val="19"/>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34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1,903</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1,872</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40" w:type="dxa"/>
            <w:vAlign w:val="bottom"/>
          </w:tcPr>
          <w:p>
            <w:pPr>
              <w:spacing w:after="0"/>
              <w:rPr>
                <w:sz w:val="19"/>
                <w:szCs w:val="19"/>
                <w:color w:val="auto"/>
              </w:rPr>
            </w:pPr>
          </w:p>
        </w:tc>
      </w:tr>
      <w:tr>
        <w:trPr>
          <w:trHeight w:val="229"/>
        </w:trPr>
        <w:tc>
          <w:tcPr>
            <w:tcW w:w="4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3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377</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 w:type="dxa"/>
            <w:vAlign w:val="bottom"/>
          </w:tcPr>
          <w:p>
            <w:pPr>
              <w:spacing w:after="0"/>
              <w:rPr>
                <w:sz w:val="19"/>
                <w:szCs w:val="19"/>
                <w:color w:val="auto"/>
              </w:rPr>
            </w:pPr>
          </w:p>
        </w:tc>
      </w:tr>
      <w:tr>
        <w:trPr>
          <w:trHeight w:val="223"/>
        </w:trPr>
        <w:tc>
          <w:tcPr>
            <w:tcW w:w="4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intersegment sales</w:t>
            </w:r>
          </w:p>
        </w:tc>
        <w:tc>
          <w:tcPr>
            <w:tcW w:w="3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3,085</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2,956</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40" w:type="dxa"/>
            <w:vAlign w:val="bottom"/>
          </w:tcPr>
          <w:p>
            <w:pPr>
              <w:spacing w:after="0"/>
              <w:rPr>
                <w:sz w:val="19"/>
                <w:szCs w:val="19"/>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3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0" w:type="dxa"/>
            <w:vAlign w:val="bottom"/>
          </w:tcPr>
          <w:p>
            <w:pPr>
              <w:spacing w:after="0"/>
              <w:rPr>
                <w:sz w:val="19"/>
                <w:szCs w:val="19"/>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34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9"/>
                <w:szCs w:val="19"/>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34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476</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0" w:type="dxa"/>
            <w:vAlign w:val="bottom"/>
          </w:tcPr>
          <w:p>
            <w:pPr>
              <w:spacing w:after="0"/>
              <w:rPr>
                <w:sz w:val="19"/>
                <w:szCs w:val="19"/>
                <w:color w:val="auto"/>
              </w:rPr>
            </w:pPr>
          </w:p>
        </w:tc>
      </w:tr>
      <w:tr>
        <w:trPr>
          <w:trHeight w:val="230"/>
        </w:trPr>
        <w:tc>
          <w:tcPr>
            <w:tcW w:w="4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3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19"/>
                <w:szCs w:val="19"/>
                <w:color w:val="auto"/>
              </w:rPr>
            </w:pPr>
          </w:p>
        </w:tc>
      </w:tr>
      <w:tr>
        <w:trPr>
          <w:trHeight w:val="223"/>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business segment depreciation and amortization</w:t>
            </w:r>
          </w:p>
        </w:tc>
        <w:tc>
          <w:tcPr>
            <w:tcW w:w="34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1,181</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1,119</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40" w:type="dxa"/>
            <w:vAlign w:val="bottom"/>
          </w:tcPr>
          <w:p>
            <w:pPr>
              <w:spacing w:after="0"/>
              <w:rPr>
                <w:sz w:val="19"/>
                <w:szCs w:val="19"/>
                <w:color w:val="auto"/>
              </w:rPr>
            </w:pPr>
          </w:p>
        </w:tc>
      </w:tr>
      <w:tr>
        <w:trPr>
          <w:trHeight w:val="230"/>
        </w:trPr>
        <w:tc>
          <w:tcPr>
            <w:tcW w:w="4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activities</w:t>
            </w:r>
          </w:p>
        </w:tc>
        <w:tc>
          <w:tcPr>
            <w:tcW w:w="3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19"/>
                <w:szCs w:val="19"/>
                <w:color w:val="auto"/>
              </w:rPr>
            </w:pPr>
          </w:p>
        </w:tc>
      </w:tr>
      <w:tr>
        <w:trPr>
          <w:trHeight w:val="223"/>
        </w:trPr>
        <w:tc>
          <w:tcPr>
            <w:tcW w:w="4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1,290</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40" w:type="dxa"/>
            <w:vAlign w:val="bottom"/>
          </w:tcPr>
          <w:p>
            <w:pPr>
              <w:spacing w:after="0"/>
              <w:rPr>
                <w:sz w:val="19"/>
                <w:szCs w:val="19"/>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3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40" w:type="dxa"/>
            <w:vAlign w:val="bottom"/>
          </w:tcPr>
          <w:p>
            <w:pPr>
              <w:spacing w:after="0"/>
              <w:rPr>
                <w:sz w:val="19"/>
                <w:szCs w:val="19"/>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34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391</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0" w:type="dxa"/>
            <w:vAlign w:val="bottom"/>
          </w:tcPr>
          <w:p>
            <w:pPr>
              <w:spacing w:after="0"/>
              <w:rPr>
                <w:sz w:val="19"/>
                <w:szCs w:val="19"/>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34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311</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 w:type="dxa"/>
            <w:vAlign w:val="bottom"/>
          </w:tcPr>
          <w:p>
            <w:pPr>
              <w:spacing w:after="0"/>
              <w:rPr>
                <w:sz w:val="19"/>
                <w:szCs w:val="19"/>
                <w:color w:val="auto"/>
              </w:rPr>
            </w:pPr>
          </w:p>
        </w:tc>
      </w:tr>
      <w:tr>
        <w:trPr>
          <w:trHeight w:val="230"/>
        </w:trPr>
        <w:tc>
          <w:tcPr>
            <w:tcW w:w="4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3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403</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 w:type="dxa"/>
            <w:vAlign w:val="bottom"/>
          </w:tcPr>
          <w:p>
            <w:pPr>
              <w:spacing w:after="0"/>
              <w:rPr>
                <w:sz w:val="19"/>
                <w:szCs w:val="19"/>
                <w:color w:val="auto"/>
              </w:rPr>
            </w:pPr>
          </w:p>
        </w:tc>
      </w:tr>
      <w:tr>
        <w:trPr>
          <w:trHeight w:val="223"/>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business segment capital expenditures</w:t>
            </w:r>
          </w:p>
        </w:tc>
        <w:tc>
          <w:tcPr>
            <w:tcW w:w="34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1,639</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1,356</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40" w:type="dxa"/>
            <w:vAlign w:val="bottom"/>
          </w:tcPr>
          <w:p>
            <w:pPr>
              <w:spacing w:after="0"/>
              <w:rPr>
                <w:sz w:val="19"/>
                <w:szCs w:val="19"/>
                <w:color w:val="auto"/>
              </w:rPr>
            </w:pPr>
          </w:p>
        </w:tc>
      </w:tr>
      <w:tr>
        <w:trPr>
          <w:trHeight w:val="230"/>
        </w:trPr>
        <w:tc>
          <w:tcPr>
            <w:tcW w:w="4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activities</w:t>
            </w:r>
          </w:p>
        </w:tc>
        <w:tc>
          <w:tcPr>
            <w:tcW w:w="3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9"/>
                <w:szCs w:val="19"/>
                <w:color w:val="auto"/>
              </w:rPr>
            </w:pPr>
          </w:p>
        </w:tc>
      </w:tr>
      <w:tr>
        <w:trPr>
          <w:trHeight w:val="230"/>
        </w:trPr>
        <w:tc>
          <w:tcPr>
            <w:tcW w:w="4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1,766</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1,484</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40" w:type="dxa"/>
            <w:vAlign w:val="bottom"/>
          </w:tcPr>
          <w:p>
            <w:pPr>
              <w:spacing w:after="0"/>
              <w:rPr>
                <w:sz w:val="20"/>
                <w:szCs w:val="20"/>
                <w:color w:val="auto"/>
              </w:rPr>
            </w:pPr>
          </w:p>
        </w:tc>
      </w:tr>
      <w:tr>
        <w:trPr>
          <w:trHeight w:val="878"/>
        </w:trPr>
        <w:tc>
          <w:tcPr>
            <w:tcW w:w="4880" w:type="dxa"/>
            <w:vAlign w:val="bottom"/>
          </w:tcPr>
          <w:p>
            <w:pPr>
              <w:spacing w:after="0"/>
              <w:rPr>
                <w:sz w:val="24"/>
                <w:szCs w:val="24"/>
                <w:color w:val="auto"/>
              </w:rPr>
            </w:pPr>
          </w:p>
        </w:tc>
        <w:tc>
          <w:tcPr>
            <w:tcW w:w="346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84</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48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by Type</w:t>
      </w:r>
    </w:p>
    <w:p>
      <w:pPr>
        <w:spacing w:after="0" w:line="189" w:lineRule="exact"/>
        <w:rPr>
          <w:sz w:val="20"/>
          <w:szCs w:val="20"/>
          <w:color w:val="auto"/>
        </w:rPr>
      </w:pPr>
    </w:p>
    <w:p>
      <w:pPr>
        <w:ind w:right="80" w:firstLine="324"/>
        <w:spacing w:after="0" w:line="271" w:lineRule="auto"/>
        <w:rPr>
          <w:sz w:val="20"/>
          <w:szCs w:val="20"/>
          <w:color w:val="auto"/>
        </w:rPr>
      </w:pPr>
      <w:r>
        <w:rPr>
          <w:rFonts w:ascii="Times New Roman" w:cs="Times New Roman" w:eastAsia="Times New Roman" w:hAnsi="Times New Roman"/>
          <w:sz w:val="18"/>
          <w:szCs w:val="18"/>
          <w:color w:val="auto"/>
        </w:rPr>
        <w:t>Net sales by total products and services, contract type, customer category and geographic region for each of our business segments were as follows (in millions):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4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Aeronautics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MFC</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RMS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Space</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22,327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9,804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12,748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10,049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54,928</w:t>
            </w:r>
          </w:p>
        </w:tc>
      </w:tr>
      <w:tr>
        <w:trPr>
          <w:trHeight w:val="230"/>
        </w:trPr>
        <w:tc>
          <w:tcPr>
            <w:tcW w:w="4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3,939</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3,247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1,831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10,470</w:t>
            </w:r>
          </w:p>
        </w:tc>
      </w:tr>
      <w:tr>
        <w:trPr>
          <w:trHeight w:val="223"/>
        </w:trPr>
        <w:tc>
          <w:tcPr>
            <w:tcW w:w="4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26,266</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11,257</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15,995</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11,880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65,398</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contract type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18,477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7,587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10,795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2,247</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39,106</w:t>
            </w:r>
          </w:p>
        </w:tc>
      </w:tr>
      <w:tr>
        <w:trPr>
          <w:trHeight w:val="230"/>
        </w:trPr>
        <w:tc>
          <w:tcPr>
            <w:tcW w:w="4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Cost-reimbursable</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7,789</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3,670</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5,200</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9,633</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26,292</w:t>
            </w:r>
          </w:p>
        </w:tc>
      </w:tr>
      <w:tr>
        <w:trPr>
          <w:trHeight w:val="223"/>
        </w:trPr>
        <w:tc>
          <w:tcPr>
            <w:tcW w:w="4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26,266</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11,257</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15,995</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11,880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65,398</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customer</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18,175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8,404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11,596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10,293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48,468</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10"/>
                <w:szCs w:val="10"/>
                <w:color w:val="auto"/>
              </w:rPr>
              <w:t>(a)</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8,012</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3,986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1,546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16,386</w:t>
            </w:r>
          </w:p>
        </w:tc>
      </w:tr>
      <w:tr>
        <w:trPr>
          <w:trHeight w:val="229"/>
        </w:trPr>
        <w:tc>
          <w:tcPr>
            <w:tcW w:w="4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 commercial and other</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413</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r>
      <w:tr>
        <w:trPr>
          <w:trHeight w:val="223"/>
        </w:trPr>
        <w:tc>
          <w:tcPr>
            <w:tcW w:w="4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26,266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15,995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11,880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65,398</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geographic region</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18,254</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12,009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10,334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49,012</w:t>
            </w: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3,162</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1,666</w:t>
            </w: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5,176</w:t>
            </w: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3,283</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6,334</w:t>
            </w: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w:t>
            </w:r>
          </w:p>
        </w:tc>
        <w:tc>
          <w:tcPr>
            <w:tcW w:w="1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1,344</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1,749</w:t>
            </w: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847</w:t>
            </w: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3,940</w:t>
            </w:r>
          </w:p>
        </w:tc>
      </w:tr>
      <w:tr>
        <w:trPr>
          <w:trHeight w:val="229"/>
        </w:trPr>
        <w:tc>
          <w:tcPr>
            <w:tcW w:w="4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223</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r>
      <w:tr>
        <w:trPr>
          <w:trHeight w:val="230"/>
        </w:trPr>
        <w:tc>
          <w:tcPr>
            <w:tcW w:w="4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26,266</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11,257</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15,995</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11,880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65,398</w:t>
            </w:r>
          </w:p>
        </w:tc>
      </w:tr>
      <w:tr>
        <w:trPr>
          <w:trHeight w:val="648"/>
        </w:trPr>
        <w:tc>
          <w:tcPr>
            <w:tcW w:w="4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4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Aeronautics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MFC</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RMS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Space</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20,319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50,053</w:t>
            </w:r>
          </w:p>
        </w:tc>
      </w:tr>
      <w:tr>
        <w:trPr>
          <w:trHeight w:val="230"/>
        </w:trPr>
        <w:tc>
          <w:tcPr>
            <w:tcW w:w="4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3,374</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1,756</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r>
      <w:tr>
        <w:trPr>
          <w:trHeight w:val="223"/>
        </w:trPr>
        <w:tc>
          <w:tcPr>
            <w:tcW w:w="4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23,693</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15,128</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10,860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59,812</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contract type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36,205</w:t>
            </w:r>
          </w:p>
        </w:tc>
      </w:tr>
      <w:tr>
        <w:trPr>
          <w:trHeight w:val="230"/>
        </w:trPr>
        <w:tc>
          <w:tcPr>
            <w:tcW w:w="4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Cost-reimbursable</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6,454</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4,746</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23,607</w:t>
            </w:r>
          </w:p>
        </w:tc>
      </w:tr>
      <w:tr>
        <w:trPr>
          <w:trHeight w:val="223"/>
        </w:trPr>
        <w:tc>
          <w:tcPr>
            <w:tcW w:w="4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23,693</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15,128</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10,860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59,812</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customer</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10,803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9,322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42,425</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10"/>
                <w:szCs w:val="10"/>
                <w:color w:val="auto"/>
              </w:rPr>
              <w:t>(a)</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8,733</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w:t>
            </w:r>
          </w:p>
        </w:tc>
      </w:tr>
      <w:tr>
        <w:trPr>
          <w:trHeight w:val="229"/>
        </w:trPr>
        <w:tc>
          <w:tcPr>
            <w:tcW w:w="4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 commercial and other</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23"/>
        </w:trPr>
        <w:tc>
          <w:tcPr>
            <w:tcW w:w="4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23,693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10,860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59,812</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geographic region</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14,960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43,281</w:t>
            </w: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3,882</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1,451</w:t>
            </w: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3,224</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w:t>
            </w:r>
          </w:p>
        </w:tc>
        <w:tc>
          <w:tcPr>
            <w:tcW w:w="1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1,465</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979</w:t>
            </w: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r>
      <w:tr>
        <w:trPr>
          <w:trHeight w:val="230"/>
        </w:trPr>
        <w:tc>
          <w:tcPr>
            <w:tcW w:w="4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4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23,693</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15,128</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10,860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59,812</w:t>
            </w:r>
          </w:p>
        </w:tc>
      </w:tr>
    </w:tbl>
    <w:p>
      <w:pPr>
        <w:spacing w:after="0" w:line="94" w:lineRule="exact"/>
        <w:rPr>
          <w:sz w:val="20"/>
          <w:szCs w:val="20"/>
          <w:color w:val="auto"/>
        </w:rPr>
      </w:pPr>
    </w:p>
    <w:p>
      <w:pPr>
        <w:ind w:left="340" w:hanging="332"/>
        <w:spacing w:after="0" w:line="225" w:lineRule="auto"/>
        <w:tabs>
          <w:tab w:leader="none" w:pos="335"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FMS contracted through the U.S. Government, direct commercial sales with international governments and commercial and other sales to international customers.</w:t>
      </w:r>
    </w:p>
    <w:p>
      <w:pPr>
        <w:sectPr>
          <w:pgSz w:w="11900" w:h="16838" w:orient="portrait"/>
          <w:cols w:equalWidth="0" w:num="1">
            <w:col w:w="11240"/>
          </w:cols>
          <w:pgMar w:left="320" w:top="121" w:right="3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810"/>
        </w:trPr>
        <w:tc>
          <w:tcPr>
            <w:tcW w:w="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4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Aeronautics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MFC</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Space</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18,207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11,714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45,005</w:t>
            </w:r>
          </w:p>
        </w:tc>
      </w:tr>
      <w:tr>
        <w:trPr>
          <w:trHeight w:val="230"/>
        </w:trPr>
        <w:tc>
          <w:tcPr>
            <w:tcW w:w="60" w:type="dxa"/>
            <w:vAlign w:val="bottom"/>
          </w:tcPr>
          <w:p>
            <w:pPr>
              <w:spacing w:after="0"/>
              <w:rPr>
                <w:sz w:val="19"/>
                <w:szCs w:val="19"/>
                <w:color w:val="auto"/>
              </w:rPr>
            </w:pPr>
          </w:p>
        </w:tc>
        <w:tc>
          <w:tcPr>
            <w:tcW w:w="4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3,035</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1,669</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r>
      <w:tr>
        <w:trPr>
          <w:trHeight w:val="223"/>
        </w:trPr>
        <w:tc>
          <w:tcPr>
            <w:tcW w:w="60" w:type="dxa"/>
            <w:vAlign w:val="bottom"/>
          </w:tcPr>
          <w:p>
            <w:pPr>
              <w:spacing w:after="0"/>
              <w:rPr>
                <w:sz w:val="19"/>
                <w:szCs w:val="19"/>
                <w:color w:val="auto"/>
              </w:rPr>
            </w:pPr>
          </w:p>
        </w:tc>
        <w:tc>
          <w:tcPr>
            <w:tcW w:w="4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21,242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14,250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9,808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53,762</w:t>
            </w:r>
          </w:p>
        </w:tc>
      </w:tr>
      <w:tr>
        <w:trPr>
          <w:trHeight w:val="223"/>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contract type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15,719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9,975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33,239</w:t>
            </w:r>
          </w:p>
        </w:tc>
      </w:tr>
      <w:tr>
        <w:trPr>
          <w:trHeight w:val="230"/>
        </w:trPr>
        <w:tc>
          <w:tcPr>
            <w:tcW w:w="60" w:type="dxa"/>
            <w:vAlign w:val="bottom"/>
          </w:tcPr>
          <w:p>
            <w:pPr>
              <w:spacing w:after="0"/>
              <w:rPr>
                <w:sz w:val="19"/>
                <w:szCs w:val="19"/>
                <w:color w:val="auto"/>
              </w:rPr>
            </w:pPr>
          </w:p>
        </w:tc>
        <w:tc>
          <w:tcPr>
            <w:tcW w:w="4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Cost-reimbursable</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5,523</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4,275</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7,916</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20,523</w:t>
            </w:r>
          </w:p>
        </w:tc>
      </w:tr>
      <w:tr>
        <w:trPr>
          <w:trHeight w:val="223"/>
        </w:trPr>
        <w:tc>
          <w:tcPr>
            <w:tcW w:w="60" w:type="dxa"/>
            <w:vAlign w:val="bottom"/>
          </w:tcPr>
          <w:p>
            <w:pPr>
              <w:spacing w:after="0"/>
              <w:rPr>
                <w:sz w:val="19"/>
                <w:szCs w:val="19"/>
                <w:color w:val="auto"/>
              </w:rPr>
            </w:pPr>
          </w:p>
        </w:tc>
        <w:tc>
          <w:tcPr>
            <w:tcW w:w="4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21,242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14,250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9,808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53,762</w:t>
            </w:r>
          </w:p>
        </w:tc>
      </w:tr>
      <w:tr>
        <w:trPr>
          <w:trHeight w:val="223"/>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customer</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13,321</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10,083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37,716</w:t>
            </w:r>
          </w:p>
        </w:tc>
      </w:tr>
      <w:tr>
        <w:trPr>
          <w:trHeight w:val="230"/>
        </w:trPr>
        <w:tc>
          <w:tcPr>
            <w:tcW w:w="60" w:type="dxa"/>
            <w:vAlign w:val="bottom"/>
          </w:tcPr>
          <w:p>
            <w:pPr>
              <w:spacing w:after="0"/>
              <w:rPr>
                <w:sz w:val="19"/>
                <w:szCs w:val="19"/>
                <w:color w:val="auto"/>
              </w:rPr>
            </w:pPr>
          </w:p>
        </w:tc>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10"/>
                <w:szCs w:val="10"/>
                <w:color w:val="auto"/>
              </w:rPr>
              <w:t>(a)</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7,735</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w:t>
            </w:r>
          </w:p>
        </w:tc>
      </w:tr>
      <w:tr>
        <w:trPr>
          <w:trHeight w:val="229"/>
        </w:trPr>
        <w:tc>
          <w:tcPr>
            <w:tcW w:w="60" w:type="dxa"/>
            <w:vAlign w:val="bottom"/>
          </w:tcPr>
          <w:p>
            <w:pPr>
              <w:spacing w:after="0"/>
              <w:rPr>
                <w:sz w:val="19"/>
                <w:szCs w:val="19"/>
                <w:color w:val="auto"/>
              </w:rPr>
            </w:pPr>
          </w:p>
        </w:tc>
        <w:tc>
          <w:tcPr>
            <w:tcW w:w="4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 commercial and other</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3"/>
        </w:trPr>
        <w:tc>
          <w:tcPr>
            <w:tcW w:w="60" w:type="dxa"/>
            <w:vAlign w:val="bottom"/>
          </w:tcPr>
          <w:p>
            <w:pPr>
              <w:spacing w:after="0"/>
              <w:rPr>
                <w:sz w:val="19"/>
                <w:szCs w:val="19"/>
                <w:color w:val="auto"/>
              </w:rPr>
            </w:pPr>
          </w:p>
        </w:tc>
        <w:tc>
          <w:tcPr>
            <w:tcW w:w="4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21,242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w:t>
            </w:r>
          </w:p>
        </w:tc>
      </w:tr>
      <w:tr>
        <w:trPr>
          <w:trHeight w:val="223"/>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geographic region</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13,507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38,606</w:t>
            </w:r>
          </w:p>
        </w:tc>
      </w:tr>
      <w:tr>
        <w:trPr>
          <w:trHeight w:val="230"/>
        </w:trPr>
        <w:tc>
          <w:tcPr>
            <w:tcW w:w="60" w:type="dxa"/>
            <w:vAlign w:val="bottom"/>
          </w:tcPr>
          <w:p>
            <w:pPr>
              <w:spacing w:after="0"/>
              <w:rPr>
                <w:sz w:val="19"/>
                <w:szCs w:val="19"/>
                <w:color w:val="auto"/>
              </w:rPr>
            </w:pP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3,335</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1,433</w:t>
            </w: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w:t>
            </w:r>
          </w:p>
        </w:tc>
      </w:t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2,837</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r>
      <w:tr>
        <w:trPr>
          <w:trHeight w:val="230"/>
        </w:trPr>
        <w:tc>
          <w:tcPr>
            <w:tcW w:w="60" w:type="dxa"/>
            <w:vAlign w:val="bottom"/>
          </w:tcPr>
          <w:p>
            <w:pPr>
              <w:spacing w:after="0"/>
              <w:rPr>
                <w:sz w:val="19"/>
                <w:szCs w:val="19"/>
                <w:color w:val="auto"/>
              </w:rPr>
            </w:pP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w:t>
            </w:r>
          </w:p>
        </w:tc>
        <w:tc>
          <w:tcPr>
            <w:tcW w:w="1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1,380</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w:t>
            </w: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29"/>
        </w:trPr>
        <w:tc>
          <w:tcPr>
            <w:tcW w:w="60" w:type="dxa"/>
            <w:vAlign w:val="bottom"/>
          </w:tcPr>
          <w:p>
            <w:pPr>
              <w:spacing w:after="0"/>
              <w:rPr>
                <w:sz w:val="19"/>
                <w:szCs w:val="19"/>
                <w:color w:val="auto"/>
              </w:rPr>
            </w:pPr>
          </w:p>
        </w:tc>
        <w:tc>
          <w:tcPr>
            <w:tcW w:w="4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30"/>
        </w:trPr>
        <w:tc>
          <w:tcPr>
            <w:tcW w:w="60" w:type="dxa"/>
            <w:vAlign w:val="bottom"/>
          </w:tcPr>
          <w:p>
            <w:pPr>
              <w:spacing w:after="0"/>
              <w:rPr>
                <w:sz w:val="20"/>
                <w:szCs w:val="20"/>
                <w:color w:val="auto"/>
              </w:rPr>
            </w:pPr>
          </w:p>
        </w:tc>
        <w:tc>
          <w:tcPr>
            <w:tcW w:w="4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21,242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14,250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9,808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53,762</w:t>
            </w:r>
          </w:p>
        </w:tc>
      </w:tr>
    </w:tbl>
    <w:p>
      <w:pPr>
        <w:spacing w:after="0" w:line="94" w:lineRule="exact"/>
        <w:rPr>
          <w:sz w:val="20"/>
          <w:szCs w:val="20"/>
          <w:color w:val="auto"/>
        </w:rPr>
      </w:pPr>
    </w:p>
    <w:p>
      <w:pPr>
        <w:ind w:left="340" w:hanging="332"/>
        <w:spacing w:after="0" w:line="225" w:lineRule="auto"/>
        <w:tabs>
          <w:tab w:leader="none" w:pos="335"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FMS contracted through the U.S. Government, direct commercial sales with international governments and commercial and other sales to international customers.</w:t>
      </w:r>
    </w:p>
    <w:p>
      <w:pPr>
        <w:spacing w:after="0" w:line="15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Aeronautics business segment includes our largest program, the F-35 Lightning II Joint Strike Fighter, an international multi-role, multi-variant, stealth fighter aircraft. Net sales for the F-35 program represented approximately 28% of our consolidated net sales during 2020 and 27% during 2019 and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for each of our business segments were as follows (in millions):</w:t>
            </w:r>
          </w:p>
        </w:tc>
        <w:tc>
          <w:tcPr>
            <w:tcW w:w="1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74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Assets </w:t>
            </w:r>
            <w:r>
              <w:rPr>
                <w:rFonts w:ascii="Times New Roman" w:cs="Times New Roman" w:eastAsia="Times New Roman" w:hAnsi="Times New Roman"/>
                <w:sz w:val="21"/>
                <w:szCs w:val="21"/>
                <w:color w:val="auto"/>
                <w:vertAlign w:val="superscript"/>
              </w:rPr>
              <w:t>(a)</w:t>
            </w:r>
          </w:p>
        </w:tc>
        <w:tc>
          <w:tcPr>
            <w:tcW w:w="19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1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9,903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w:t>
            </w: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1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4,966</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19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18,035</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18,751</w:t>
            </w:r>
          </w:p>
        </w:tc>
      </w:tr>
      <w:tr>
        <w:trPr>
          <w:trHeight w:val="230"/>
        </w:trPr>
        <w:tc>
          <w:tcPr>
            <w:tcW w:w="7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1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6,451</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business segment assets</w:t>
            </w:r>
          </w:p>
        </w:tc>
        <w:tc>
          <w:tcPr>
            <w:tcW w:w="19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39,355</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38,734</w:t>
            </w:r>
          </w:p>
        </w:tc>
      </w:tr>
      <w:tr>
        <w:trPr>
          <w:trHeight w:val="230"/>
        </w:trPr>
        <w:tc>
          <w:tcPr>
            <w:tcW w:w="74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assets </w:t>
            </w:r>
            <w:r>
              <w:rPr>
                <w:rFonts w:ascii="Times New Roman" w:cs="Times New Roman" w:eastAsia="Times New Roman" w:hAnsi="Times New Roman"/>
                <w:sz w:val="21"/>
                <w:szCs w:val="21"/>
                <w:color w:val="auto"/>
                <w:vertAlign w:val="superscript"/>
              </w:rPr>
              <w:t>(b)</w:t>
            </w:r>
          </w:p>
        </w:tc>
        <w:tc>
          <w:tcPr>
            <w:tcW w:w="1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11,355</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r>
      <w:tr>
        <w:trPr>
          <w:trHeight w:val="23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50,710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47,528</w:t>
            </w:r>
          </w:p>
        </w:tc>
      </w:tr>
    </w:tbl>
    <w:p>
      <w:pPr>
        <w:spacing w:after="0" w:line="60"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have no long-lived assets with material carrying values located in foreign countries.</w:t>
      </w:r>
    </w:p>
    <w:p>
      <w:pPr>
        <w:ind w:left="340" w:right="180" w:hanging="332"/>
        <w:spacing w:after="0" w:line="215"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Corporate assets primarily include cash and cash equivalents, deferred income taxes, assets for the portion of environmental costs that are probable of future recovery and investments held in a separate trust.</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Receivables, net, Contract Assets and Contract Liabilities</w:t>
            </w:r>
          </w:p>
        </w:tc>
        <w:tc>
          <w:tcPr>
            <w:tcW w:w="1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05"/>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 net, contract assets and contract liabilities were as follows (in millions):</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6"/>
        </w:trPr>
        <w:tc>
          <w:tcPr>
            <w:tcW w:w="78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16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9,545</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r>
      <w:tr>
        <w:trPr>
          <w:trHeight w:val="236"/>
        </w:trPr>
        <w:tc>
          <w:tcPr>
            <w:tcW w:w="7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6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7,545</w:t>
            </w:r>
          </w:p>
        </w:tc>
        <w:tc>
          <w:tcPr>
            <w:tcW w:w="3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w:t>
            </w:r>
          </w:p>
        </w:tc>
      </w:tr>
    </w:tbl>
    <w:p>
      <w:pPr>
        <w:spacing w:after="0" w:line="9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Receivables, net consist of approximately $1.2 billion from the U.S. Government and $735 million from other governments and commercial customers as of December 31, 2020.</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Contract assets are net of progress payments and performance based payments from our customers as well as advance payments from non-U.S. Government customers totaling approximately $39.7 billion and $33.0 billion as of December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2020 and 2019. Contract assets increased $451 million during 2020, primarily due to the recognition of revenue related to the satisfaction or partial satisfaction of performance obligations during 2020 for which we have not yet billed our customers. There were no significant impairment losses related to our contract assets during 2020 and 2019. We expect to bill our customers for the majority of the December 31, 2020 contract assets during 2021.</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increased $491 million during 2020, primarily due to payments received in excess of revenue recognized on these performance obligations. During 2020, we recognized $4.0 billion of our contract liabilities at December 31, 2019 as revenue. During 2019 and 2018, we recognized $3.9 billion of our contract liabilities at December 31, 2018 and 2017, respectively, as revenue.</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Inventories</w:t>
            </w:r>
          </w:p>
        </w:tc>
        <w:tc>
          <w:tcPr>
            <w:tcW w:w="2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2"/>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consisted of the following (in millions):</w:t>
            </w:r>
          </w:p>
        </w:tc>
        <w:tc>
          <w:tcPr>
            <w:tcW w:w="2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7"/>
        </w:trPr>
        <w:tc>
          <w:tcPr>
            <w:tcW w:w="660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spares and supplies</w:t>
            </w:r>
          </w:p>
        </w:tc>
        <w:tc>
          <w:tcPr>
            <w:tcW w:w="2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2,693</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r>
      <w:tr>
        <w:trPr>
          <w:trHeight w:val="229"/>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3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3,545</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r>
    </w:tbl>
    <w:p>
      <w:pPr>
        <w:spacing w:after="0" w:line="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Costs incurred to fulfill a contract in advance of the contract being awarded are included in inventories as work-in-process if we determine that those costs relate directly to a contract or to an anticipated contract that we can specifically identify and contract award is probable, the costs generate or enhance resources that will be used in satisfying performance obligations, and the costs are recoverable (referred to as pre-contract costs). Pre-contract costs that are initially capitalized in inventory are generally recognized as cost of sales consistent with the transfer of products and services to the customer upon the receipt of the anticipated contract. All other pre-contract costs, including start-up costs, are expensed as incurred. As of December 31, 2020 and 2019, $583 million and $493 million of pre-contract costs were included in inventories.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Property, Plant and Equipment, net</w:t>
            </w:r>
          </w:p>
        </w:tc>
        <w:tc>
          <w:tcPr>
            <w:tcW w:w="1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2"/>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millions):</w:t>
            </w: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73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7,425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8,661</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r>
      <w:tr>
        <w:trPr>
          <w:trHeight w:val="230"/>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1,921</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23"/>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8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18,149</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r>
      <w:tr>
        <w:trPr>
          <w:trHeight w:val="223"/>
        </w:trPr>
        <w:tc>
          <w:tcPr>
            <w:tcW w:w="7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(10,936)</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w:t>
            </w: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7,213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89" w:lineRule="exact"/>
        <w:rPr>
          <w:sz w:val="20"/>
          <w:szCs w:val="20"/>
          <w:color w:val="auto"/>
        </w:rPr>
      </w:pPr>
    </w:p>
    <w:p>
      <w:pPr>
        <w:ind w:right="180" w:firstLine="324"/>
        <w:spacing w:after="0" w:line="241" w:lineRule="auto"/>
        <w:rPr>
          <w:sz w:val="20"/>
          <w:szCs w:val="20"/>
          <w:color w:val="auto"/>
        </w:rPr>
      </w:pPr>
      <w:r>
        <w:rPr>
          <w:rFonts w:ascii="Times New Roman" w:cs="Times New Roman" w:eastAsia="Times New Roman" w:hAnsi="Times New Roman"/>
          <w:sz w:val="18"/>
          <w:szCs w:val="18"/>
          <w:color w:val="auto"/>
        </w:rPr>
        <w:t>We evaluate whether our contractual arrangements contain leases at the inception of such arrangements. Specifically, we consider whether we can control the underlying asset and have the right to obtain substantially all of the economic benefits or outputs from the asset. Substantially all of our leases are long-term operating leases with fixed payment terms. We do not have significant financing leases. Our right-of-use (ROU) operating lease assets represent our right to use an underlying asset for the lease term, and our operating lease liabilities represent our obligation to make lease payments. ROU operating lease assets are recorded in other noncurrent assets in our consolidated balance sheet. Operating lease liabilities are recorded in other current liabilities or other noncurrent liabilities in our consolidated balance sheet based on their contractual due dates.</w:t>
      </w:r>
    </w:p>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Both the ROU operating lease asset and liability are recognized as of the lease commencement date at the present value of the lease payments over the lease term. Most of our leases do not provide an implicit rate that can readily be determined. Therefore, we use a discount rate based on our incremental borrowing rate, which is determined using our credit rating and information available as of the commencement date. ROU operating lease assets include lease payments made at or before the lease commencement date, net of any lease incentives.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operating lease agreements may include options to extend the lease term or terminate it early. We include options to extend or terminate leases in the ROU operating lease asset and liability when it is reasonably certain we will exercise these</w:t>
      </w:r>
    </w:p>
    <w:p>
      <w:pPr>
        <w:sectPr>
          <w:pgSz w:w="11900" w:h="16838" w:orient="portrait"/>
          <w:cols w:equalWidth="0" w:num="1">
            <w:col w:w="11240"/>
          </w:cols>
          <w:pgMar w:left="320" w:top="121" w:right="33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options. Operating lease expense is recognized on a straight-line basis over the lease term and is included in cost of sales on our consolidated statement of earnings.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operating lease arrangements with lease and non-lease components. The non-lease components in our arrangements are not significant when compared to the lease components. For all operating leases, we account for the lease and non-lease components as a single component. Additionally, for certain equipment leases, we apply a portfolio approach to recognize operating lease ROU assets and liabilities. We evaluate ROU assets for impairment consistent with our property, plant and equipment policy (see Note 1 – Significant Accounting Policies).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enter into operating lease agreements for facilities, land and equipment. Our ROU operating lease assets were $1.0 billion at December 31, 2020. Operating lease liabilities were $1.1 billion, of which $841 million were classified as noncurrent, at December 31, 2020. New ROU operating lease assets and liabilities entered into during 2020 were $193 million. The weighted average remaining lease term and discount rate for our operating leases were approximately 8.6 years and 2.8% at December 31, 2020.</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recognized operating lease expense of $223 million, $239 million and $247 million in 2020, 2019 and 2018. In addition, we made cash payments of $210 million for operating leases during 2020, which are included in cash flows from operating activities in our consolidated statement of cash flows.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commitments at December 31, 2020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1,273</w:t>
            </w:r>
          </w:p>
        </w:tc>
        <w:tc>
          <w:tcPr>
            <w:tcW w:w="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300</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156</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403</w:t>
            </w:r>
          </w:p>
        </w:tc>
      </w:tr>
      <w:tr>
        <w:trPr>
          <w:trHeight w:val="229"/>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30"/>
        </w:trPr>
        <w:tc>
          <w:tcPr>
            <w:tcW w:w="1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1,115</w:t>
            </w: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provision for federal and foreign income tax expense for continuing operations consisted of the following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 (benefit):</w:t>
            </w:r>
          </w:p>
        </w:tc>
        <w:tc>
          <w:tcPr>
            <w:tcW w:w="28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2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One-time charge due to tax legislation</w:t>
            </w:r>
          </w:p>
        </w:tc>
        <w:tc>
          <w:tcPr>
            <w:tcW w:w="28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8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28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w:t>
            </w:r>
          </w:p>
        </w:tc>
        <w:tc>
          <w:tcPr>
            <w:tcW w:w="3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55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One-time charge due to tax legislation</w:t>
            </w:r>
          </w:p>
        </w:tc>
        <w:tc>
          <w:tcPr>
            <w:tcW w:w="28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federal income tax expense</w:t>
            </w:r>
          </w:p>
        </w:tc>
        <w:tc>
          <w:tcPr>
            <w:tcW w:w="2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1,313</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933</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expense (benefit):</w:t>
            </w:r>
          </w:p>
        </w:tc>
        <w:tc>
          <w:tcPr>
            <w:tcW w:w="28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8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w:t>
            </w:r>
          </w:p>
        </w:tc>
        <w:tc>
          <w:tcPr>
            <w:tcW w:w="3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8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foreign income tax expense</w:t>
            </w:r>
          </w:p>
        </w:tc>
        <w:tc>
          <w:tcPr>
            <w:tcW w:w="2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8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1,011</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bl>
    <w:p>
      <w:pPr>
        <w:spacing w:after="0" w:line="15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State income taxes are included in our operations as general and administrative costs and, under U.S. Government regulations, are allowable costs in establishing prices for the products and services we sell to the U.S. Government. Therefore, a substantial portion of state income taxes is included in our net sales and cost of sales. As a result, the impact of certain transactions on our operating profit and of other matters presented in these consolidated financial statements is disclosed net of state income taxes. Our total net state income tax expense was $197 million for 2020, $96 million for 2019, and $83 million for 2018.</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Our reconciliation of the U.S. federal statutory income tax rate of 21.0% to actual income tax expense for continuing operations is as follows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780" w:type="dxa"/>
            <w:vAlign w:val="bottom"/>
            <w:tcBorders>
              <w:bottom w:val="single" w:sz="8" w:color="auto"/>
            </w:tcBorders>
          </w:tcPr>
          <w:p>
            <w:pPr>
              <w:spacing w:after="0"/>
              <w:rPr>
                <w:sz w:val="20"/>
                <w:szCs w:val="20"/>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the U.S. federal statutory tax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1,729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1,226</w:t>
            </w: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7"/>
              </w:rPr>
              <w:t>21.0 %</w:t>
            </w: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(170)</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(122)</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(61)</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(97)</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(148)</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(138)</w:t>
            </w: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deductible dividends</w:t>
            </w: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(64)</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(59)</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tax benefits for share-based payment awards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(52)</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(55)</w:t>
            </w: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4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Tax accounting method change </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19"/>
                <w:szCs w:val="19"/>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(61)</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7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Deferred tax write-down and transition tax </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470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3"/>
                <w:szCs w:val="23"/>
                <w:color w:val="auto"/>
                <w:vertAlign w:val="superscript"/>
              </w:rPr>
              <w:t>(c)</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1,347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16.4 %</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1,011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792</w:t>
            </w:r>
          </w:p>
        </w:tc>
        <w:tc>
          <w:tcPr>
            <w:tcW w:w="7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7"/>
              </w:rPr>
              <w:t>13.6 %</w:t>
            </w:r>
          </w:p>
        </w:tc>
      </w:tr>
    </w:tbl>
    <w:p>
      <w:pPr>
        <w:spacing w:after="0" w:line="63"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Recognized tax benefit of $15 million and $61 million in 2019 and 2018, from our change in a tax accounting method related to restoration of tax basis.</w:t>
      </w:r>
    </w:p>
    <w:p>
      <w:pPr>
        <w:spacing w:after="0" w:line="50" w:lineRule="exact"/>
        <w:rPr>
          <w:rFonts w:ascii="Times New Roman" w:cs="Times New Roman" w:eastAsia="Times New Roman" w:hAnsi="Times New Roman"/>
          <w:sz w:val="21"/>
          <w:szCs w:val="21"/>
          <w:color w:val="auto"/>
          <w:vertAlign w:val="superscript"/>
        </w:rPr>
      </w:pPr>
    </w:p>
    <w:p>
      <w:pPr>
        <w:ind w:left="340" w:hanging="332"/>
        <w:spacing w:after="0" w:line="215" w:lineRule="auto"/>
        <w:tabs>
          <w:tab w:leader="none" w:pos="32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 deferred tax re-measurement and transition tax true-up in 2018 primarily due to the re-measurement of certain net deferred tax assets using the lower U.S. corporate income tax rate and a deemed repatriation tax.</w:t>
      </w:r>
    </w:p>
    <w:p>
      <w:pPr>
        <w:spacing w:after="0" w:line="32"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35"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additional $21 million deduction for foreign derived intangible income related to 2019 recognized in 2020. Includes additional $98 million deduction for foreign derived intangible income related to 2018 recognized in 2019 reflecting proposed tax regulations released on March 4, 2019.</w:t>
      </w:r>
    </w:p>
    <w:p>
      <w:pPr>
        <w:spacing w:after="0" w:line="15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recognized a tax benefit of $191 million in 2020 and $220 million in 2019 from the deduction for foreign derived intangible income enacted by the Tax Cuts and Jobs Act of 2017 (the “Tax Act”). The rate for 2020 benefited from $21 million additional tax deductions for the prior year. The rate for 2019 benefited from $98 million additional tax deductions for 2018, primarily due to proposed tax regulations released on March 4, 2019.</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recognized less research and development tax credits in 2020 due to reduced qualifying activity.</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receive a tax deduction for dividends paid on shares of our common stock held by certain of our defined contribution plans with an employee stock ownership plan feature. The amount of the tax deduction has increased as we increased our dividend over the last three years, partially offset by a decline in the number of shares in these plans.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participate in the IRS Compliance Assurance Process program. Examinations of the years 2019 and 2020 remain under IRS review. We are also subject to taxation in various states and foreign jurisdictions including Australia, Canada, India, Italy, Japan, Poland, and the United Kingdom. We are under, or may be subject to, audit or examination and additional assessments by the relevant authorities.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primary components of our federal and foreign deferred income tax assets and liabilities at December 31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related to:</w:t>
            </w:r>
          </w:p>
        </w:tc>
        <w:tc>
          <w:tcPr>
            <w:tcW w:w="3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926</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Pensions</w:t>
            </w:r>
          </w:p>
        </w:tc>
        <w:tc>
          <w:tcPr>
            <w:tcW w:w="3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2,994</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accounting methods</w:t>
            </w:r>
          </w:p>
        </w:tc>
        <w:tc>
          <w:tcPr>
            <w:tcW w:w="3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392</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company operating losses and credits</w:t>
            </w:r>
          </w:p>
        </w:tc>
        <w:tc>
          <w:tcPr>
            <w:tcW w:w="3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62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(a)</w:t>
            </w:r>
          </w:p>
        </w:tc>
        <w:tc>
          <w:tcPr>
            <w:tcW w:w="3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509</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620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Valuation allowance </w:t>
            </w:r>
            <w:r>
              <w:rPr>
                <w:rFonts w:ascii="Times New Roman" w:cs="Times New Roman" w:eastAsia="Times New Roman" w:hAnsi="Times New Roman"/>
                <w:sz w:val="23"/>
                <w:szCs w:val="23"/>
                <w:color w:val="auto"/>
                <w:vertAlign w:val="superscript"/>
              </w:rPr>
              <w:t>(b)</w:t>
            </w:r>
          </w:p>
        </w:tc>
        <w:tc>
          <w:tcPr>
            <w:tcW w:w="3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4,859</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related to:</w:t>
            </w:r>
          </w:p>
        </w:tc>
        <w:tc>
          <w:tcPr>
            <w:tcW w:w="3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purchased intangibles</w:t>
            </w:r>
          </w:p>
        </w:tc>
        <w:tc>
          <w:tcPr>
            <w:tcW w:w="3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363</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481</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620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Exchanged debt securities and other </w:t>
            </w:r>
            <w:r>
              <w:rPr>
                <w:rFonts w:ascii="Times New Roman" w:cs="Times New Roman" w:eastAsia="Times New Roman" w:hAnsi="Times New Roman"/>
                <w:sz w:val="23"/>
                <w:szCs w:val="23"/>
                <w:color w:val="auto"/>
                <w:vertAlign w:val="superscript"/>
              </w:rPr>
              <w:t>(a)</w:t>
            </w:r>
          </w:p>
        </w:tc>
        <w:tc>
          <w:tcPr>
            <w:tcW w:w="3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547</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1,391</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30"/>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3,468</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r>
    </w:tbl>
    <w:p>
      <w:pPr>
        <w:spacing w:after="0" w:line="60"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deferred tax assets and liabilities related to lease liability and ROU asset.</w:t>
      </w:r>
    </w:p>
    <w:p>
      <w:pPr>
        <w:ind w:left="320" w:hanging="312"/>
        <w:spacing w:after="0" w:line="191" w:lineRule="auto"/>
        <w:tabs>
          <w:tab w:leader="none" w:pos="3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 valuation allowance was provided against certain foreign company deferred tax assets arising from carryforwards of unused tax benefits.</w:t>
      </w:r>
    </w:p>
    <w:p>
      <w:pPr>
        <w:spacing w:after="0" w:line="149" w:lineRule="exact"/>
        <w:rPr>
          <w:rFonts w:ascii="Times New Roman" w:cs="Times New Roman" w:eastAsia="Times New Roman" w:hAnsi="Times New Roman"/>
          <w:sz w:val="21"/>
          <w:szCs w:val="21"/>
          <w:color w:val="auto"/>
          <w:vertAlign w:val="superscript"/>
        </w:rPr>
      </w:pPr>
    </w:p>
    <w:p>
      <w:pPr>
        <w:ind w:left="3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As of December 31, 2020 and 2019, our liabilities associated with unrecognized tax benefits were not material.</w:t>
      </w:r>
    </w:p>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and our subsidiaries file federal income tax returns in the U.S. and income tax returns in various foreign jurisdictions. With few exceptions, the statute of limitations for these jurisdictions is no longer open for audit or examination for the years before 2015, other than with respect to refunds.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federal and foreign income tax payments, net of refunds, were $1.4 billion in 2020 and $940 million in 2019.</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Debt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total debt consisted of the following (in millions):</w:t>
            </w:r>
          </w:p>
        </w:tc>
        <w:tc>
          <w:tcPr>
            <w:tcW w:w="4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5040" w:type="dxa"/>
            <w:vAlign w:val="bottom"/>
            <w:tcBorders>
              <w:bottom w:val="single" w:sz="8" w:color="auto"/>
            </w:tcBorders>
          </w:tcPr>
          <w:p>
            <w:pPr>
              <w:spacing w:after="0"/>
              <w:rPr>
                <w:sz w:val="22"/>
                <w:szCs w:val="22"/>
                <w:color w:val="auto"/>
              </w:rPr>
            </w:pPr>
          </w:p>
        </w:tc>
        <w:tc>
          <w:tcPr>
            <w:tcW w:w="4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Pr>
          <w:p>
            <w:pPr>
              <w:spacing w:after="0"/>
              <w:rPr>
                <w:sz w:val="22"/>
                <w:szCs w:val="22"/>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2.50% due 2020</w:t>
            </w:r>
          </w:p>
        </w:tc>
        <w:tc>
          <w:tcPr>
            <w:tcW w:w="4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Pr>
          <w:p>
            <w:pPr>
              <w:spacing w:after="0"/>
              <w:rPr>
                <w:sz w:val="19"/>
                <w:szCs w:val="19"/>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3.35% due 2021</w:t>
            </w:r>
          </w:p>
        </w:tc>
        <w:tc>
          <w:tcPr>
            <w:tcW w:w="4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0" w:type="dxa"/>
            <w:vAlign w:val="bottom"/>
          </w:tcPr>
          <w:p>
            <w:pPr>
              <w:spacing w:after="0"/>
              <w:rPr>
                <w:sz w:val="19"/>
                <w:szCs w:val="19"/>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3.10% due 2023</w:t>
            </w:r>
          </w:p>
        </w:tc>
        <w:tc>
          <w:tcPr>
            <w:tcW w:w="4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Pr>
          <w:p>
            <w:pPr>
              <w:spacing w:after="0"/>
              <w:rPr>
                <w:sz w:val="19"/>
                <w:szCs w:val="19"/>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2.90% due 2025</w:t>
            </w:r>
          </w:p>
        </w:tc>
        <w:tc>
          <w:tcPr>
            <w:tcW w:w="4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tcPr>
          <w:p>
            <w:pPr>
              <w:spacing w:after="0"/>
              <w:rPr>
                <w:sz w:val="19"/>
                <w:szCs w:val="19"/>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3.55% due 2026</w:t>
            </w:r>
          </w:p>
        </w:tc>
        <w:tc>
          <w:tcPr>
            <w:tcW w:w="4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9"/>
                <w:szCs w:val="19"/>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1.85% due 2030</w:t>
            </w:r>
          </w:p>
        </w:tc>
        <w:tc>
          <w:tcPr>
            <w:tcW w:w="4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3.60% due 2035</w:t>
            </w:r>
          </w:p>
        </w:tc>
        <w:tc>
          <w:tcPr>
            <w:tcW w:w="4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Pr>
          <w:p>
            <w:pPr>
              <w:spacing w:after="0"/>
              <w:rPr>
                <w:sz w:val="19"/>
                <w:szCs w:val="19"/>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4.50% and 6.15% due 2036</w:t>
            </w:r>
          </w:p>
        </w:tc>
        <w:tc>
          <w:tcPr>
            <w:tcW w:w="4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1,054</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40" w:type="dxa"/>
            <w:vAlign w:val="bottom"/>
          </w:tcPr>
          <w:p>
            <w:pPr>
              <w:spacing w:after="0"/>
              <w:rPr>
                <w:sz w:val="19"/>
                <w:szCs w:val="19"/>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4.07% due 2042</w:t>
            </w:r>
          </w:p>
        </w:tc>
        <w:tc>
          <w:tcPr>
            <w:tcW w:w="4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1,336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40" w:type="dxa"/>
            <w:vAlign w:val="bottom"/>
          </w:tcPr>
          <w:p>
            <w:pPr>
              <w:spacing w:after="0"/>
              <w:rPr>
                <w:sz w:val="19"/>
                <w:szCs w:val="19"/>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3.80% due 2045</w:t>
            </w:r>
          </w:p>
        </w:tc>
        <w:tc>
          <w:tcPr>
            <w:tcW w:w="4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9"/>
                <w:szCs w:val="19"/>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4.70% due 2046</w:t>
            </w:r>
          </w:p>
        </w:tc>
        <w:tc>
          <w:tcPr>
            <w:tcW w:w="4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40" w:type="dxa"/>
            <w:vAlign w:val="bottom"/>
          </w:tcPr>
          <w:p>
            <w:pPr>
              <w:spacing w:after="0"/>
              <w:rPr>
                <w:sz w:val="19"/>
                <w:szCs w:val="19"/>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2.80% due 2050</w:t>
            </w:r>
          </w:p>
        </w:tc>
        <w:tc>
          <w:tcPr>
            <w:tcW w:w="4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4.09% due 2052</w:t>
            </w:r>
          </w:p>
        </w:tc>
        <w:tc>
          <w:tcPr>
            <w:tcW w:w="4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40" w:type="dxa"/>
            <w:vAlign w:val="bottom"/>
          </w:tcPr>
          <w:p>
            <w:pPr>
              <w:spacing w:after="0"/>
              <w:rPr>
                <w:sz w:val="19"/>
                <w:szCs w:val="19"/>
                <w:color w:val="auto"/>
              </w:rPr>
            </w:pP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rates from 4.85% to 9.13%, due 2022 to 2041</w:t>
            </w:r>
          </w:p>
        </w:tc>
        <w:tc>
          <w:tcPr>
            <w:tcW w:w="4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1,605</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40" w:type="dxa"/>
            <w:vAlign w:val="bottom"/>
          </w:tcPr>
          <w:p>
            <w:pPr>
              <w:spacing w:after="0"/>
              <w:rPr>
                <w:sz w:val="19"/>
                <w:szCs w:val="19"/>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13,299</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40" w:type="dxa"/>
            <w:vAlign w:val="bottom"/>
          </w:tcPr>
          <w:p>
            <w:pPr>
              <w:spacing w:after="0"/>
              <w:rPr>
                <w:sz w:val="19"/>
                <w:szCs w:val="19"/>
                <w:color w:val="auto"/>
              </w:rPr>
            </w:pPr>
          </w:p>
        </w:tc>
      </w:tr>
      <w:tr>
        <w:trPr>
          <w:trHeight w:val="230"/>
        </w:trPr>
        <w:tc>
          <w:tcPr>
            <w:tcW w:w="5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discounts and issuance costs</w:t>
            </w:r>
          </w:p>
        </w:tc>
        <w:tc>
          <w:tcPr>
            <w:tcW w:w="4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40" w:type="dxa"/>
            <w:vAlign w:val="bottom"/>
          </w:tcPr>
          <w:p>
            <w:pPr>
              <w:spacing w:after="0"/>
              <w:rPr>
                <w:sz w:val="19"/>
                <w:szCs w:val="19"/>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w:t>
            </w:r>
          </w:p>
        </w:tc>
        <w:tc>
          <w:tcPr>
            <w:tcW w:w="4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12,169</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40" w:type="dxa"/>
            <w:vAlign w:val="bottom"/>
          </w:tcPr>
          <w:p>
            <w:pPr>
              <w:spacing w:after="0"/>
              <w:rPr>
                <w:sz w:val="19"/>
                <w:szCs w:val="19"/>
                <w:color w:val="auto"/>
              </w:rPr>
            </w:pPr>
          </w:p>
        </w:tc>
      </w:tr>
      <w:tr>
        <w:trPr>
          <w:trHeight w:val="230"/>
        </w:trPr>
        <w:tc>
          <w:tcPr>
            <w:tcW w:w="5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4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Pr>
          <w:p>
            <w:pPr>
              <w:spacing w:after="0"/>
              <w:rPr>
                <w:sz w:val="19"/>
                <w:szCs w:val="19"/>
                <w:color w:val="auto"/>
              </w:rPr>
            </w:pP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11,669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40" w:type="dxa"/>
            <w:vAlign w:val="bottom"/>
          </w:tcPr>
          <w:p>
            <w:pPr>
              <w:spacing w:after="0"/>
              <w:rPr>
                <w:sz w:val="20"/>
                <w:szCs w:val="20"/>
                <w:color w:val="auto"/>
              </w:rPr>
            </w:pPr>
          </w:p>
        </w:tc>
      </w:tr>
      <w:tr>
        <w:trPr>
          <w:trHeight w:val="634"/>
        </w:trPr>
        <w:tc>
          <w:tcPr>
            <w:tcW w:w="5040" w:type="dxa"/>
            <w:vAlign w:val="bottom"/>
          </w:tcPr>
          <w:p>
            <w:pPr>
              <w:spacing w:after="0"/>
              <w:rPr>
                <w:sz w:val="24"/>
                <w:szCs w:val="24"/>
                <w:color w:val="auto"/>
              </w:rPr>
            </w:pPr>
          </w:p>
        </w:tc>
        <w:tc>
          <w:tcPr>
            <w:tcW w:w="434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90</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50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Facilities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2020, we had a $2.5 billion revolving credit facility (the credit facility) with various banks that is available for general corporate purposes. Effective August 24, 2019, we extended the expiration date of the credit facility from August 24, 2023 to August 24, 2024. The undrawn portion of the credit facility also serves as a backup facility for the issuance of commercial paper. The total amount outstanding at any point in time under the combination of our commercial paper program and the credit facility cannot exceed the amount of the credit facility. We may request and the banks may grant, at their discretion, an increase in the borrowing capacity under the credit facility of up to an additional $500 million. There were no borrowings outstanding under the credit facility as of December 31, 2020 and 2019.</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facility are unsecured and bear interest at rates based, at our option, on a Eurodollar Rate or a Base Rate, as defined in the credit facility’s agreement. Each bank’s obligation to make loans under the credit facility is subject to, among other things, our compliance with various representations, warranties and covenants, including covenants limiting our ability and certain of our subsidiaries’ ability to encumber assets and a covenant not to exceed a maximum leverage ratio, as defined in the credit facility agreement. As of December 31, 2020 and 2019, we were in compliance with all covenants contained in the credit facility agreement, as well as in our debt agreements.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0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In May 2020, we issued a total of $1.2 billion of senior unsecured notes, consisting of $400 million aggregate principal amount of 1.85% Notes due in 2030 (the “2030 Notes”) and $750 million aggregate principal amount of 2.80% Notes due in 2050 (the “2050 Notes” and, together with the 2030 Notes, the “Notes”). Interest on the Notes is payable semi-annually in arrears on June 15 and December 15 of each year beginning on December 15, 2020. We may, at our option, redeem the Notes of any series in whole or in part at any time and from time to time at a redemption price equal to the greater of 100% of the principal amount of the notes to be redeemed or an applicable “make-whole” amount, plus accrued and unpaid interest to the date of redemption.</w:t>
      </w:r>
    </w:p>
    <w:p>
      <w:pPr>
        <w:spacing w:after="0" w:line="144"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 June 2020, we used the net proceeds from the offering plus cash on hand to redeem $750 million of the outstanding $1.25 billion in aggregate principal amount of our 2.50% Notes due in 2020, and $400 million of the outstanding $900 million in aggregate principal amount of our 3.35% Notes due in 2021 at their redemption price.</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October 2020, we repaid $500 million of long-term notes with a fixed interest rate of 2.50% due November 2020. In November 2019, we repaid $900 million of long-term notes with a fixed interest rate of 4.25% according to their scheduled maturities.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made interest payments of approximately $567 million, $625 million and $635 million during the years ended December 31, 2020, 2019 and 2018,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 and Commercial Paper</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2020, we had $500 million of short-term borrowings due within one year, which are scheduled to mature in September 2021. As of December 31, 2019, we had $1.3 billion of short-term borrowings due within one year, which were scheduled to mature in November 2020.</w:t>
      </w:r>
    </w:p>
    <w:p>
      <w:pPr>
        <w:spacing w:after="0" w:line="81"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We have agreements in place with financial institutions to provide for the issuance of commercial paper. The outstanding balance of commercial paper can fluctuate daily and the amount outstanding during the period may be greater or less than the amount reported at the end of the period. There were no commercial paper borrowings outstanding as of December 31, 2020 and we did not issue or repay any during 2020. We may, as conditions warrant, continue to issue commercial paper backed by our revolving credit facility to manage the timing of cash 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Postretirement Benefit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 and Retiree Medical and Life Insurance Plans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of our employees are covered by qualified defined benefit pension plans and we provide certain health care and life insurance benefits to eligible retirees (collectively, postretirement benefit plans). We also sponsor nonqualified defined benefit pension plans to provide for benefits in excess of qualified plan limits. Non-union employees hired after December 31, 2005 do not participate in our qualified defined benefit pension plans, but are eligible to participate in a qualified defined contribution plan in addition to our other retirement savings plans. They also have the ability to participate in our retiree medical plans, but we do not subsidize the cost of their participation in those plans as we do with employees hired before January 1, 2006. Over the last few years, we have negotiated similar changes with various labor organizations such that new union represented employees do not participate in our defined benefit pension plans. We completed the final step of the previously announced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planned freeze of our qualified and nonqualified defined benefit pension plans for salaried employees effective January 1, 2020. The freeze took effect in two stages. Effective January 1, 2016, the pay-based component of the formula used to determine retirement benefits was frozen. Effective January 1, 2020, the service-based component of the formula was frozen. As a result of these changes, the qualified defined benefit pension plans for salaried employees are fully frozen effective January 1, 2020. With the freeze complete, the majority of our salaried employees participate in an enhanced defined contribution retirement savings plan.</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rules related to accounting for postretirement benefit plans under GAAP require us to recognize on a plan-by-plan basis the funded status of our postretirement benefit plans as either an asset or a liability on our consolidated balance sheets. The funded status is measured as the difference between the fair value of the plan’s assets and the benefit obligation of the plan. We use December 31 as the measurement date. Benefit obligations as of the end of each year reflect assumptions in effect as of those dates. Net periodic benefit cost is based on assumptions in effect at the end of the respective preceding year.</w:t>
      </w:r>
    </w:p>
    <w:p>
      <w:pPr>
        <w:spacing w:after="0" w:line="15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net periodic benefit cost (income) recognized for our qualified defined benefit pension plans and our retiree medical and life insurance plans each year included the following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Qualified Defined</w:t>
            </w:r>
          </w:p>
        </w:tc>
        <w:tc>
          <w:tcPr>
            <w:tcW w:w="6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Retiree Medical and</w:t>
            </w:r>
          </w:p>
        </w:tc>
        <w:tc>
          <w:tcPr>
            <w:tcW w:w="600" w:type="dxa"/>
            <w:vAlign w:val="bottom"/>
          </w:tcPr>
          <w:p>
            <w:pPr>
              <w:spacing w:after="0"/>
              <w:rPr>
                <w:sz w:val="17"/>
                <w:szCs w:val="17"/>
                <w:color w:val="auto"/>
              </w:rPr>
            </w:pPr>
          </w:p>
        </w:tc>
      </w:tr>
      <w:tr>
        <w:trPr>
          <w:trHeight w:val="230"/>
        </w:trPr>
        <w:tc>
          <w:tcPr>
            <w:tcW w:w="4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Benefit Pension Plans </w:t>
            </w:r>
            <w:r>
              <w:rPr>
                <w:rFonts w:ascii="Times New Roman" w:cs="Times New Roman" w:eastAsia="Times New Roman" w:hAnsi="Times New Roman"/>
                <w:sz w:val="21"/>
                <w:szCs w:val="21"/>
                <w:b w:val="1"/>
                <w:bCs w:val="1"/>
                <w:color w:val="auto"/>
                <w:vertAlign w:val="superscript"/>
              </w:rPr>
              <w:t>(a)</w:t>
            </w:r>
          </w:p>
        </w:tc>
        <w:tc>
          <w:tcPr>
            <w:tcW w:w="620" w:type="dxa"/>
            <w:vAlign w:val="bottom"/>
            <w:tcBorders>
              <w:bottom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c>
          <w:tcPr>
            <w:tcW w:w="60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1,538</w:t>
            </w:r>
          </w:p>
        </w:tc>
        <w:tc>
          <w:tcPr>
            <w:tcW w:w="3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1,806</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w:t>
            </w:r>
          </w:p>
        </w:tc>
        <w:tc>
          <w:tcPr>
            <w:tcW w:w="4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(2,264)</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losses (gains)</w:t>
            </w: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849</w:t>
            </w:r>
          </w:p>
        </w:tc>
        <w:tc>
          <w:tcPr>
            <w:tcW w:w="3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1,404</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prior service (credit) cost</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w:t>
            </w: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net periodic benefit cost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94" w:lineRule="exact"/>
        <w:rPr>
          <w:sz w:val="20"/>
          <w:szCs w:val="20"/>
          <w:color w:val="auto"/>
        </w:rPr>
      </w:pPr>
    </w:p>
    <w:p>
      <w:pPr>
        <w:jc w:val="both"/>
        <w:ind w:left="340" w:hanging="332"/>
        <w:spacing w:after="0" w:line="237" w:lineRule="auto"/>
        <w:tabs>
          <w:tab w:leader="none" w:pos="335"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net periodic benefit cost (income) associated with our qualified defined benefit plans represents pension expense calculated in accordance with GAAP (FAS pension expense). We are required to calculate pension expense in accordance with both GAAP and CAS rules, each of which results in a different calculated amount of pension expense. The CAS pension cost is recovered through the pricing of our products and services on U.S. Government contracts and, therefore, is recognized in net sales and cost of sales for products and services. We include the difference between FAS pension service cost and CAS pension cost, referred to as the FAS/CAS operating adjustment, as a component of other unallocated, net on our consolidated statements of earnings (see Note 5 – Information on Business Segments).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benefit obligations, plan assets and unfunded status related to our qualified defined benefit pension plans and our retiree medical and life insurance plans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Qualified Defined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Retiree Medical and</w:t>
            </w:r>
          </w:p>
        </w:tc>
      </w:tr>
      <w:tr>
        <w:trPr>
          <w:trHeight w:val="230"/>
        </w:trPr>
        <w:tc>
          <w:tcPr>
            <w:tcW w:w="6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Benefit Pension Plans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r>
      <w:tr>
        <w:trPr>
          <w:trHeight w:val="223"/>
        </w:trPr>
        <w:tc>
          <w:tcPr>
            <w:tcW w:w="62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48,674</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43,305</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2,226</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101</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1,538</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70</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(2,188)</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(220)</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(1,392)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losses (gains)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5,036</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135</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longevity assumptions</w:t>
            </w:r>
          </w:p>
        </w:tc>
        <w:tc>
          <w:tcPr>
            <w:tcW w:w="1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amendments and curtailments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Medicare Part D subsidy</w:t>
            </w:r>
          </w:p>
        </w:tc>
        <w:tc>
          <w:tcPr>
            <w:tcW w:w="1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70</w:t>
            </w:r>
          </w:p>
        </w:tc>
        <w:tc>
          <w:tcPr>
            <w:tcW w:w="4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6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51,352</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48,674</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2,271</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 at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35,442</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32,002</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1,889</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5,594</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298</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(2,188)</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(220)</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(1,392)</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contributions</w:t>
            </w:r>
          </w:p>
        </w:tc>
        <w:tc>
          <w:tcPr>
            <w:tcW w:w="1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1,025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45</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Medicare Part D subsidy</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70</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6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at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38,481</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35,442</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2,085</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30"/>
        </w:trPr>
        <w:tc>
          <w:tcPr>
            <w:tcW w:w="6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Unfunded status of the plans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(12,871)</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2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(186)</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bl>
    <w:p>
      <w:pPr>
        <w:spacing w:after="0" w:line="15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December 2020, Lockheed Martin, through its master retirement trust, purchased an irrevocable group annuity contract from an insurance company (referred to as a buy-out contract) for $1.4 billion to transfer the related, outstanding defined benefit pension obligations. As a result of this transaction, we were relieved of all responsibility for these pension obligations and the insurance company is now required to pay and administer the retirement benefits owed to approximately 13,500 U.S. retirees and beneficiaries, with no change to the amount, timing or form of monthly retirement benefit payments. Although the transaction was treated as a settlement for accounting purposes, we did not recognize a loss on the settlement in earnings associated with the transaction because total settlements during 2020 for the affected pension plans were less than the plans’ service and interest cost in 2020.</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second contract was also purchased from an insurance company for $793 million that will reimburse the plan for all future benefit payments related to approximately 2,500 U.S. retirees and beneficiaries (referred to as a buy-in contract). The covered retirees and beneficiaries and buy-in contract were spun-off to the plan established in December 2018 for the contract purchased at that time similarly structured as a buy-in; the buy-in contracts are the sole assets of that plan. Under the arrangement, the plan remains responsible for paying the benefits for the covered retirees and beneficiaries and the insurance company will reimburse the plan as those benefits are paid. As a result, there is no net ongoing cash flow to the plan for the covered retirees and beneficiaries as the cost of providing the benefits is funded by the buy-in contract; effectively locking in the cost of the benefits and eliminating future volatility of the benefit obligation, while also providing the option to convert to a buy-out. The buy-in contract was purchased using assets from the pension trust and is accounted for at fair value as an investment of the trust. These transactions had no impact on our 2020 FAS pension expense or CAS pension cost. Also, during December 2019, Lockheed Martin, through its master retirement trust, purchased a buy-out contract for $1.9 billion related to our outstanding defined benefit pension obligations for approximately 20,000 U.S. retirees and beneficiaries.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amounts recognized on our consolidated balance sheets related to our qualified defined benefit pension plans and our retiree medical and life insurance plans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Qualified Defined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Retiree Medical and</w:t>
            </w:r>
          </w:p>
        </w:tc>
      </w:tr>
      <w:tr>
        <w:trPr>
          <w:trHeight w:val="229"/>
        </w:trPr>
        <w:tc>
          <w:tcPr>
            <w:tcW w:w="6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Benefit Pension Plans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r>
      <w:tr>
        <w:trPr>
          <w:trHeight w:val="223"/>
        </w:trPr>
        <w:tc>
          <w:tcPr>
            <w:tcW w:w="62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pension asset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postretirement benefit liabilities</w:t>
            </w:r>
          </w:p>
        </w:tc>
        <w:tc>
          <w:tcPr>
            <w:tcW w:w="1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(12,874)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(186)</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(pre-tax) related to:</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actuarial losses</w:t>
            </w:r>
          </w:p>
        </w:tc>
        <w:tc>
          <w:tcPr>
            <w:tcW w:w="1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21,040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(119)</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6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service (credit) cost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(1,235)</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73</w:t>
            </w: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628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1"/>
                <w:szCs w:val="21"/>
                <w:color w:val="auto"/>
                <w:vertAlign w:val="superscript"/>
              </w:rPr>
              <w:t>(a)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19,805</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19,023</w:t>
            </w:r>
          </w:p>
        </w:tc>
        <w:tc>
          <w:tcPr>
            <w:tcW w:w="2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(46)</w:t>
            </w:r>
          </w:p>
        </w:tc>
        <w:tc>
          <w:tcPr>
            <w:tcW w:w="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94" w:lineRule="exact"/>
        <w:rPr>
          <w:sz w:val="20"/>
          <w:szCs w:val="20"/>
          <w:color w:val="auto"/>
        </w:rPr>
      </w:pPr>
    </w:p>
    <w:p>
      <w:pPr>
        <w:jc w:val="both"/>
        <w:ind w:left="340" w:hanging="332"/>
        <w:spacing w:after="0" w:line="235" w:lineRule="auto"/>
        <w:tabs>
          <w:tab w:leader="none" w:pos="335"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Accumulated other comprehensive loss related to postretirement benefit plans, after-tax, of $16.2 billion and $15.5 billion at December 31, 2020 and 2019 (see “Note 13 – Stockholders’ Equity”) includes $19.8 billion ($15.6 billion, net of tax) and $19.0 billion ($15.0 billion, net of tax) for qualified defined benefit pension plans, $(46) million ($(37) million, net of tax) and $51 million ($39 million, net of tax) for retiree medical and life insurance plans and $782 million ($617 million, net of tax) and $667 million ($527 million, net of tax) for other plans.</w:t>
      </w:r>
    </w:p>
    <w:p>
      <w:pPr>
        <w:spacing w:after="0" w:line="15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accumulated benefit obligation (ABO) for all qualified defined benefit pension plans was $51.3 billion and $48.6 billion at December 31, 2020 and 2019. The ABO represents benefits accrued without assuming future compensation increases to plan participants and is approximately equal to our projected benefit obligation. Plans where ABO was less than plan assets represent prepaid pension assets, which are included on our consolidated balance sheets in other noncurrent assets. Plans where ABO was in excess of plan assets represent accrued pension liabilities, which are included on our consolidated balance sheets.</w:t>
      </w:r>
    </w:p>
    <w:p>
      <w:pPr>
        <w:spacing w:after="0" w:line="14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8"/>
          <w:szCs w:val="18"/>
          <w:color w:val="auto"/>
        </w:rPr>
        <w:t xml:space="preserve">We also sponsor nonqualified defined benefit plans to provide benefits in excess of qualified plan limits. The aggregate liabilities for these plans at both </w:t>
      </w:r>
      <w:r>
        <w:rPr>
          <w:rFonts w:ascii="Times New Roman" w:cs="Times New Roman" w:eastAsia="Times New Roman" w:hAnsi="Times New Roman"/>
          <w:sz w:val="16"/>
          <w:szCs w:val="16"/>
          <w:color w:val="auto"/>
        </w:rPr>
        <w:t>December 31, 2020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6"/>
          <w:szCs w:val="16"/>
          <w:color w:val="auto"/>
        </w:rPr>
        <w:t>2019</w:t>
      </w:r>
      <w:r>
        <w:rPr>
          <w:rFonts w:ascii="Times New Roman" w:cs="Times New Roman" w:eastAsia="Times New Roman" w:hAnsi="Times New Roman"/>
          <w:sz w:val="18"/>
          <w:szCs w:val="18"/>
          <w:color w:val="auto"/>
        </w:rPr>
        <w:t xml:space="preserve"> were $1.4 billion, which also represent the plans’ unfunded status. We have set aside certain assets totaling </w:t>
      </w:r>
      <w:r>
        <w:rPr>
          <w:rFonts w:ascii="Times New Roman" w:cs="Times New Roman" w:eastAsia="Times New Roman" w:hAnsi="Times New Roman"/>
          <w:sz w:val="16"/>
          <w:szCs w:val="16"/>
          <w:color w:val="auto"/>
        </w:rPr>
        <w:t>$877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6"/>
          <w:szCs w:val="16"/>
          <w:color w:val="auto"/>
        </w:rPr>
        <w:t xml:space="preserve">$657 million </w:t>
      </w:r>
      <w:r>
        <w:rPr>
          <w:rFonts w:ascii="Times New Roman" w:cs="Times New Roman" w:eastAsia="Times New Roman" w:hAnsi="Times New Roman"/>
          <w:sz w:val="17"/>
          <w:szCs w:val="17"/>
          <w:color w:val="auto"/>
        </w:rPr>
        <w:t>as of</w:t>
      </w:r>
      <w:r>
        <w:rPr>
          <w:rFonts w:ascii="Times New Roman" w:cs="Times New Roman" w:eastAsia="Times New Roman" w:hAnsi="Times New Roman"/>
          <w:sz w:val="16"/>
          <w:szCs w:val="16"/>
          <w:color w:val="auto"/>
        </w:rPr>
        <w:t xml:space="preserve"> December 31, 2020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2019 </w:t>
      </w:r>
      <w:r>
        <w:rPr>
          <w:rFonts w:ascii="Times New Roman" w:cs="Times New Roman" w:eastAsia="Times New Roman" w:hAnsi="Times New Roman"/>
          <w:sz w:val="17"/>
          <w:szCs w:val="17"/>
          <w:color w:val="auto"/>
        </w:rPr>
        <w:t>in a separate trust which we expect to be used to pay obligations under our nonqualified defined benefit plans.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In accordance with GAAP, those assets may not be used to offset the amount of the benefit obligation similar to the postretirement benefit plans in the table above. The unrecognized net actuarial losses at </w:t>
      </w:r>
      <w:r>
        <w:rPr>
          <w:rFonts w:ascii="Times New Roman" w:cs="Times New Roman" w:eastAsia="Times New Roman" w:hAnsi="Times New Roman"/>
          <w:sz w:val="16"/>
          <w:szCs w:val="16"/>
          <w:color w:val="auto"/>
        </w:rPr>
        <w:t>December 31, 2020</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6"/>
          <w:szCs w:val="16"/>
          <w:color w:val="auto"/>
        </w:rPr>
        <w:t>2019</w:t>
      </w:r>
      <w:r>
        <w:rPr>
          <w:rFonts w:ascii="Times New Roman" w:cs="Times New Roman" w:eastAsia="Times New Roman" w:hAnsi="Times New Roman"/>
          <w:sz w:val="17"/>
          <w:szCs w:val="17"/>
          <w:color w:val="auto"/>
        </w:rPr>
        <w:t xml:space="preserve"> were </w:t>
      </w:r>
      <w:r>
        <w:rPr>
          <w:rFonts w:ascii="Times New Roman" w:cs="Times New Roman" w:eastAsia="Times New Roman" w:hAnsi="Times New Roman"/>
          <w:sz w:val="16"/>
          <w:szCs w:val="16"/>
          <w:color w:val="auto"/>
        </w:rPr>
        <w:t>$718 million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6"/>
          <w:szCs w:val="16"/>
          <w:color w:val="auto"/>
        </w:rPr>
        <w:t>$641 million</w:t>
      </w:r>
      <w:r>
        <w:rPr>
          <w:rFonts w:ascii="Times New Roman" w:cs="Times New Roman" w:eastAsia="Times New Roman" w:hAnsi="Times New Roman"/>
          <w:sz w:val="17"/>
          <w:szCs w:val="17"/>
          <w:color w:val="auto"/>
        </w:rPr>
        <w:t xml:space="preserve">. The unrecognized prior service credit at </w:t>
      </w:r>
      <w:r>
        <w:rPr>
          <w:rFonts w:ascii="Times New Roman" w:cs="Times New Roman" w:eastAsia="Times New Roman" w:hAnsi="Times New Roman"/>
          <w:sz w:val="16"/>
          <w:szCs w:val="16"/>
          <w:color w:val="auto"/>
        </w:rPr>
        <w:t xml:space="preserve">December 31, 2020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2019 </w:t>
      </w:r>
      <w:r>
        <w:rPr>
          <w:rFonts w:ascii="Times New Roman" w:cs="Times New Roman" w:eastAsia="Times New Roman" w:hAnsi="Times New Roman"/>
          <w:sz w:val="17"/>
          <w:szCs w:val="17"/>
          <w:color w:val="auto"/>
        </w:rPr>
        <w:t>were</w:t>
      </w:r>
      <w:r>
        <w:rPr>
          <w:rFonts w:ascii="Times New Roman" w:cs="Times New Roman" w:eastAsia="Times New Roman" w:hAnsi="Times New Roman"/>
          <w:sz w:val="16"/>
          <w:szCs w:val="16"/>
          <w:color w:val="auto"/>
        </w:rPr>
        <w:t xml:space="preserve"> $21 million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$34 million</w:t>
      </w:r>
      <w:r>
        <w:rPr>
          <w:rFonts w:ascii="Times New Roman" w:cs="Times New Roman" w:eastAsia="Times New Roman" w:hAnsi="Times New Roman"/>
          <w:sz w:val="17"/>
          <w:szCs w:val="17"/>
          <w:color w:val="auto"/>
        </w:rPr>
        <w:t>. The expense associated with these plans totaled $59 million in 2020, $108 million in</w:t>
      </w:r>
      <w:r>
        <w:rPr>
          <w:rFonts w:ascii="Times New Roman" w:cs="Times New Roman" w:eastAsia="Times New Roman" w:hAnsi="Times New Roman"/>
          <w:sz w:val="16"/>
          <w:szCs w:val="16"/>
          <w:color w:val="auto"/>
        </w:rPr>
        <w:t xml:space="preserve"> 2019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$123 million in 2018. We also sponsor a small number of other postemployment plans and foreign benefit plans. The aggregate liability for the other postemployment plans was $42 million as of </w:t>
      </w:r>
      <w:r>
        <w:rPr>
          <w:rFonts w:ascii="Times New Roman" w:cs="Times New Roman" w:eastAsia="Times New Roman" w:hAnsi="Times New Roman"/>
          <w:sz w:val="16"/>
          <w:szCs w:val="16"/>
          <w:color w:val="auto"/>
        </w:rPr>
        <w:t>December 31, 2020</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6"/>
          <w:szCs w:val="16"/>
          <w:color w:val="auto"/>
        </w:rPr>
        <w:t>2019</w:t>
      </w:r>
      <w:r>
        <w:rPr>
          <w:rFonts w:ascii="Times New Roman" w:cs="Times New Roman" w:eastAsia="Times New Roman" w:hAnsi="Times New Roman"/>
          <w:sz w:val="17"/>
          <w:szCs w:val="17"/>
          <w:color w:val="auto"/>
        </w:rPr>
        <w:t>. The expense for the other postemployment plans, as well as the liability and expense associated with the foreign benefit plans, was not material to our results of operations, financial position or cash flows. The actuarial assumptions used to determine the benefit obligations and expense associated with our nonqualified defined benefit plans and postemployment plans are similar to those assumptions used to determine the benefit obligations and expense related to our qualified defined benefit pension plans and retiree medical and life insurance plans as described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provides the amounts recognized in other comprehensive income (loss) related to postretirement benefit plans, net of tax, for the years ended </w:t>
      </w:r>
      <w:r>
        <w:rPr>
          <w:rFonts w:ascii="Times New Roman" w:cs="Times New Roman" w:eastAsia="Times New Roman" w:hAnsi="Times New Roman"/>
          <w:sz w:val="16"/>
          <w:szCs w:val="16"/>
          <w:color w:val="auto"/>
        </w:rPr>
        <w:t>December 31,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2019</w:t>
      </w:r>
      <w:r>
        <w:rPr>
          <w:rFonts w:ascii="Times New Roman" w:cs="Times New Roman" w:eastAsia="Times New Roman" w:hAnsi="Times New Roman"/>
          <w:sz w:val="18"/>
          <w:szCs w:val="18"/>
          <w:color w:val="auto"/>
        </w:rPr>
        <w:t xml:space="preserve"> and 2018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Incurred but Not Yet</w:t>
            </w:r>
          </w:p>
        </w:tc>
        <w:tc>
          <w:tcPr>
            <w:tcW w:w="5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Recognition of</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76"/>
        </w:trPr>
        <w:tc>
          <w:tcPr>
            <w:tcW w:w="4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4"/>
          </w:tcPr>
          <w:p>
            <w:pPr>
              <w:jc w:val="center"/>
              <w:ind w:left="230"/>
              <w:spacing w:after="0" w:line="176" w:lineRule="exact"/>
              <w:rPr>
                <w:sz w:val="20"/>
                <w:szCs w:val="20"/>
                <w:color w:val="auto"/>
              </w:rPr>
            </w:pPr>
            <w:r>
              <w:rPr>
                <w:rFonts w:ascii="Times New Roman" w:cs="Times New Roman" w:eastAsia="Times New Roman" w:hAnsi="Times New Roman"/>
                <w:sz w:val="18"/>
                <w:szCs w:val="18"/>
                <w:b w:val="1"/>
                <w:bCs w:val="1"/>
                <w:color w:val="auto"/>
              </w:rPr>
              <w:t>Recognized in Net</w:t>
            </w:r>
          </w:p>
        </w:tc>
        <w:tc>
          <w:tcPr>
            <w:tcW w:w="5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9"/>
        </w:trPr>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Periodic Benefit Cost</w:t>
            </w:r>
          </w:p>
        </w:tc>
        <w:tc>
          <w:tcPr>
            <w:tcW w:w="580" w:type="dxa"/>
            <w:vAlign w:val="bottom"/>
            <w:tcBorders>
              <w:bottom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Deferred Amounts</w:t>
            </w:r>
          </w:p>
        </w:tc>
        <w:tc>
          <w:tcPr>
            <w:tcW w:w="68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4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Gains (losses)</w:t>
            </w: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(Gains) losses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Actuarial gains and losses</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Qualified defined benefit pension plans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(2,283)</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1,104</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Retiree medical and life insurance plans</w:t>
            </w:r>
          </w:p>
        </w:tc>
        <w:tc>
          <w:tcPr>
            <w:tcW w:w="2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w:t>
            </w:r>
          </w:p>
        </w:tc>
        <w:tc>
          <w:tcPr>
            <w:tcW w:w="34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238</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plans</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(2,178)</w:t>
            </w: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1,148</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23"/>
        </w:trPr>
        <w:tc>
          <w:tcPr>
            <w:tcW w:w="4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Credit (cost)</w:t>
            </w: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(Credit) cost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prior service credit and cost</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Qualified defined benefit pension plans</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Retiree medical and life insurance plans</w:t>
            </w:r>
          </w:p>
        </w:tc>
        <w:tc>
          <w:tcPr>
            <w:tcW w:w="2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34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40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plans</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44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(2,182)</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tcBorders>
              <w:bottom w:val="single" w:sz="8" w:color="auto"/>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908</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Actuarial Assumptions</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actuarial assumptions used to determine the benefit obligations at December 31 of each year and to determine the net periodic benefit cost for each subsequent year,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Qualified Defined Benefit</w:t>
            </w:r>
          </w:p>
        </w:tc>
        <w:tc>
          <w:tcPr>
            <w:tcW w:w="6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Retiree Medical and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680" w:type="dxa"/>
            <w:vAlign w:val="bottom"/>
            <w:tcBorders>
              <w:bottom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2.500 %</w:t>
            </w:r>
          </w:p>
        </w:tc>
        <w:tc>
          <w:tcPr>
            <w:tcW w:w="1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3.250 %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4.250 %</w:t>
            </w:r>
          </w:p>
        </w:tc>
        <w:tc>
          <w:tcPr>
            <w:tcW w:w="2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2.375 %</w:t>
            </w:r>
          </w:p>
        </w:tc>
        <w:tc>
          <w:tcPr>
            <w:tcW w:w="13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3.250 %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4.250 %</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7.00 %</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7.00 %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7.00 %</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7.00 %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trend rate assumed for next year</w:t>
            </w:r>
          </w:p>
        </w:tc>
        <w:tc>
          <w:tcPr>
            <w:tcW w:w="1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7.75 %</w:t>
            </w:r>
          </w:p>
        </w:tc>
        <w:tc>
          <w:tcPr>
            <w:tcW w:w="13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8.00 %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Ultimate health care trend rate</w:t>
            </w: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4.50 %</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4.50 %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Year that the ultimate health care trend rate is</w:t>
            </w:r>
          </w:p>
        </w:tc>
        <w:tc>
          <w:tcPr>
            <w:tcW w:w="1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2034</w:t>
            </w:r>
          </w:p>
        </w:tc>
        <w:tc>
          <w:tcPr>
            <w:tcW w:w="13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2034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reached</w:t>
            </w:r>
          </w:p>
        </w:tc>
        <w:tc>
          <w:tcPr>
            <w:tcW w:w="1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decrease in the discount rate from December 31, 2019 to December 31, 2020 resulted in an increase in the projected benefit obligations of our qualified defined benefit pension plans of approximately $4.9 billion at December 31, 2020. The decrease in the discount rate from December 31, 2018 to December 31, 2019 resulted in an increase in the projected benefit obligations of our qualified defined benefit pension plans of approximately $5.8 billion at December 31, 2019.</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2020, the Society of Actuaries published revised longevity assumptions that refined its prior studies. We used the revised assumptions in our December 31, 2020 re-measurement of benefit obligation resulting in an approximate $426 million decrease in the projected benefit obligations of our qualified defined benefit pension plans.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long-term rate of return assumption represents the expected long-term rate of earnings on the funds invested, or to be invested, to provide for the benefits included in the benefit obligations. That assumption is based on several factors including historical market index returns, the anticipated long-term allocation of plan assets, the historical return data for the trust funds, plan expenses and the potential to outperform market index returns. The actual investment return for our qualified defined benefit plans during 2020 of $5.6 billion based on an actual rate of approximately 16.5% improved plan assets more than the $2.3 billion expected return based on our 7.00% long-term rate of return assumption.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Assets</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Investment policies and strategies </w:t>
      </w:r>
      <w:r>
        <w:rPr>
          <w:rFonts w:ascii="Times New Roman" w:cs="Times New Roman" w:eastAsia="Times New Roman" w:hAnsi="Times New Roman"/>
          <w:sz w:val="18"/>
          <w:szCs w:val="18"/>
          <w:color w:val="auto"/>
        </w:rPr>
        <w:t>– Lockheed Martin Investment Management Company (LMIMCo), our wholly-owned subsidiary, has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fiduciary responsibility for making investment decisions related to the assets of our postretirement benefit plans. LMIMCo’s investment objectives for the assets of these plans are (1) to minimize the net present value of expected funding contributions; (2) to ensure there is a high probability that each plan meets or exceeds our actuarial long-term rate of return assumptions; and (3) to diversify assets to minimize the risk of large losses. The nature and duration of benefit obligations, along with assumptions concerning asset class returns and return correlations, are considered when determining an appropriate asset allocation to achieve the investment objectives. Investment policies and strategies governing the assets of the plans are designed to achieve investment objectives within prudent risk parameters. Risk management practices include the use of external investment managers; the maintenance of a portfolio diversified by asset class, investment approach and security holdings; and the maintenance of sufficient liquidity to meet benefit obligations as they come due.</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LMIMCo’s investment policies require that asset allocations of postretirement benefit plans be maintained within the following approximate ranges: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7460" w:type="dxa"/>
            <w:vAlign w:val="bottom"/>
            <w:gridSpan w:val="2"/>
          </w:tcPr>
          <w:p>
            <w:pPr>
              <w:jc w:val="center"/>
              <w:ind w:left="5350"/>
              <w:spacing w:after="0"/>
              <w:rPr>
                <w:sz w:val="20"/>
                <w:szCs w:val="20"/>
                <w:color w:val="auto"/>
              </w:rPr>
            </w:pPr>
            <w:r>
              <w:rPr>
                <w:rFonts w:ascii="Times New Roman" w:cs="Times New Roman" w:eastAsia="Times New Roman" w:hAnsi="Times New Roman"/>
                <w:sz w:val="18"/>
                <w:szCs w:val="18"/>
                <w:b w:val="1"/>
                <w:bCs w:val="1"/>
                <w:color w:val="auto"/>
                <w:w w:val="97"/>
              </w:rPr>
              <w:t>Asset Allocation</w:t>
            </w:r>
          </w:p>
        </w:tc>
        <w:tc>
          <w:tcPr>
            <w:tcW w:w="0" w:type="dxa"/>
            <w:vAlign w:val="bottom"/>
          </w:tcPr>
          <w:p>
            <w:pPr>
              <w:spacing w:after="0"/>
              <w:rPr>
                <w:sz w:val="1"/>
                <w:szCs w:val="1"/>
                <w:color w:val="auto"/>
              </w:rPr>
            </w:pPr>
          </w:p>
        </w:tc>
      </w:tr>
      <w:tr>
        <w:trPr>
          <w:trHeight w:val="229"/>
        </w:trPr>
        <w:tc>
          <w:tcPr>
            <w:tcW w:w="3780" w:type="dxa"/>
            <w:vAlign w:val="bottom"/>
            <w:vMerge w:val="continue"/>
          </w:tcPr>
          <w:p>
            <w:pPr>
              <w:spacing w:after="0"/>
              <w:rPr>
                <w:sz w:val="19"/>
                <w:szCs w:val="19"/>
                <w:color w:val="auto"/>
              </w:rPr>
            </w:pPr>
          </w:p>
        </w:tc>
        <w:tc>
          <w:tcPr>
            <w:tcW w:w="7460" w:type="dxa"/>
            <w:vAlign w:val="bottom"/>
            <w:gridSpan w:val="2"/>
          </w:tcPr>
          <w:p>
            <w:pPr>
              <w:jc w:val="center"/>
              <w:ind w:left="5330"/>
              <w:spacing w:after="0"/>
              <w:rPr>
                <w:sz w:val="20"/>
                <w:szCs w:val="20"/>
                <w:color w:val="auto"/>
              </w:rPr>
            </w:pPr>
            <w:r>
              <w:rPr>
                <w:rFonts w:ascii="Times New Roman" w:cs="Times New Roman" w:eastAsia="Times New Roman" w:hAnsi="Times New Roman"/>
                <w:sz w:val="18"/>
                <w:szCs w:val="18"/>
                <w:b w:val="1"/>
                <w:bCs w:val="1"/>
                <w:color w:val="auto"/>
                <w:w w:val="99"/>
              </w:rPr>
              <w:t>Ranges</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40" w:type="dxa"/>
            <w:vAlign w:val="bottom"/>
            <w:tcBorders>
              <w:top w:val="single" w:sz="8" w:color="auto"/>
            </w:tcBorders>
            <w:shd w:val="clear" w:color="auto" w:fill="CCEEFF"/>
          </w:tcPr>
          <w:p>
            <w:pPr>
              <w:jc w:val="center"/>
              <w:ind w:left="5350"/>
              <w:spacing w:after="0"/>
              <w:rPr>
                <w:sz w:val="20"/>
                <w:szCs w:val="20"/>
                <w:color w:val="auto"/>
              </w:rPr>
            </w:pPr>
            <w:r>
              <w:rPr>
                <w:rFonts w:ascii="Times New Roman" w:cs="Times New Roman" w:eastAsia="Times New Roman" w:hAnsi="Times New Roman"/>
                <w:sz w:val="18"/>
                <w:szCs w:val="18"/>
                <w:color w:val="auto"/>
                <w:w w:val="99"/>
              </w:rPr>
              <w:t>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7440" w:type="dxa"/>
            <w:vAlign w:val="bottom"/>
          </w:tcPr>
          <w:p>
            <w:pPr>
              <w:jc w:val="center"/>
              <w:ind w:left="5370"/>
              <w:spacing w:after="0"/>
              <w:rPr>
                <w:sz w:val="20"/>
                <w:szCs w:val="20"/>
                <w:color w:val="auto"/>
              </w:rPr>
            </w:pPr>
            <w:r>
              <w:rPr>
                <w:rFonts w:ascii="Times New Roman" w:cs="Times New Roman" w:eastAsia="Times New Roman" w:hAnsi="Times New Roman"/>
                <w:sz w:val="18"/>
                <w:szCs w:val="18"/>
                <w:color w:val="auto"/>
              </w:rPr>
              <w:t>15-65%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7440" w:type="dxa"/>
            <w:vAlign w:val="bottom"/>
            <w:shd w:val="clear" w:color="auto" w:fill="CCEEFF"/>
          </w:tcPr>
          <w:p>
            <w:pPr>
              <w:jc w:val="center"/>
              <w:ind w:left="5370"/>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Alternative investments:</w:t>
            </w:r>
          </w:p>
        </w:tc>
        <w:tc>
          <w:tcPr>
            <w:tcW w:w="7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 funds</w:t>
            </w:r>
          </w:p>
        </w:tc>
        <w:tc>
          <w:tcPr>
            <w:tcW w:w="7440" w:type="dxa"/>
            <w:vAlign w:val="bottom"/>
            <w:shd w:val="clear" w:color="auto" w:fill="CCEEFF"/>
          </w:tcPr>
          <w:p>
            <w:pPr>
              <w:jc w:val="center"/>
              <w:ind w:left="5350"/>
              <w:spacing w:after="0"/>
              <w:rPr>
                <w:sz w:val="20"/>
                <w:szCs w:val="20"/>
                <w:color w:val="auto"/>
              </w:rPr>
            </w:pPr>
            <w:r>
              <w:rPr>
                <w:rFonts w:ascii="Times New Roman" w:cs="Times New Roman" w:eastAsia="Times New Roman" w:hAnsi="Times New Roman"/>
                <w:sz w:val="18"/>
                <w:szCs w:val="18"/>
                <w:color w:val="auto"/>
                <w:w w:val="99"/>
              </w:rPr>
              <w:t>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funds</w:t>
            </w:r>
          </w:p>
        </w:tc>
        <w:tc>
          <w:tcPr>
            <w:tcW w:w="7440" w:type="dxa"/>
            <w:vAlign w:val="bottom"/>
          </w:tcPr>
          <w:p>
            <w:pPr>
              <w:jc w:val="center"/>
              <w:ind w:left="5350"/>
              <w:spacing w:after="0"/>
              <w:rPr>
                <w:sz w:val="20"/>
                <w:szCs w:val="20"/>
                <w:color w:val="auto"/>
              </w:rPr>
            </w:pPr>
            <w:r>
              <w:rPr>
                <w:rFonts w:ascii="Times New Roman" w:cs="Times New Roman" w:eastAsia="Times New Roman" w:hAnsi="Times New Roman"/>
                <w:sz w:val="18"/>
                <w:szCs w:val="18"/>
                <w:color w:val="auto"/>
                <w:w w:val="99"/>
              </w:rPr>
              <w:t>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Hedge funds</w:t>
            </w:r>
          </w:p>
        </w:tc>
        <w:tc>
          <w:tcPr>
            <w:tcW w:w="7440" w:type="dxa"/>
            <w:vAlign w:val="bottom"/>
            <w:shd w:val="clear" w:color="auto" w:fill="CCEEFF"/>
          </w:tcPr>
          <w:p>
            <w:pPr>
              <w:jc w:val="center"/>
              <w:ind w:left="5350"/>
              <w:spacing w:after="0"/>
              <w:rPr>
                <w:sz w:val="20"/>
                <w:szCs w:val="20"/>
                <w:color w:val="auto"/>
              </w:rPr>
            </w:pPr>
            <w:r>
              <w:rPr>
                <w:rFonts w:ascii="Times New Roman" w:cs="Times New Roman" w:eastAsia="Times New Roman" w:hAnsi="Times New Roman"/>
                <w:sz w:val="18"/>
                <w:szCs w:val="18"/>
                <w:color w:val="auto"/>
                <w:w w:val="99"/>
              </w:rPr>
              <w:t>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Commodities</w:t>
            </w:r>
          </w:p>
        </w:tc>
        <w:tc>
          <w:tcPr>
            <w:tcW w:w="7440" w:type="dxa"/>
            <w:vAlign w:val="bottom"/>
            <w:tcBorders>
              <w:bottom w:val="single" w:sz="8" w:color="auto"/>
            </w:tcBorders>
          </w:tcPr>
          <w:p>
            <w:pPr>
              <w:jc w:val="center"/>
              <w:ind w:left="5350"/>
              <w:spacing w:after="0"/>
              <w:rPr>
                <w:sz w:val="20"/>
                <w:szCs w:val="20"/>
                <w:color w:val="auto"/>
              </w:rPr>
            </w:pPr>
            <w:r>
              <w:rPr>
                <w:rFonts w:ascii="Times New Roman" w:cs="Times New Roman" w:eastAsia="Times New Roman" w:hAnsi="Times New Roman"/>
                <w:sz w:val="18"/>
                <w:szCs w:val="18"/>
                <w:color w:val="auto"/>
                <w:w w:val="99"/>
              </w:rPr>
              <w:t>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3780" w:type="dxa"/>
            <w:vAlign w:val="bottom"/>
          </w:tcPr>
          <w:p>
            <w:pPr>
              <w:spacing w:after="0"/>
              <w:rPr>
                <w:sz w:val="24"/>
                <w:szCs w:val="24"/>
                <w:color w:val="auto"/>
              </w:rPr>
            </w:pPr>
          </w:p>
        </w:tc>
        <w:tc>
          <w:tcPr>
            <w:tcW w:w="7440" w:type="dxa"/>
            <w:vAlign w:val="bottom"/>
          </w:tcPr>
          <w:p>
            <w:pPr>
              <w:jc w:val="right"/>
              <w:ind w:right="541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78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 The rules related to accounting for postretirement benefit plans under GAAP require certain fair value disclosures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postretirement benefit plan assets, even though those assets are not separately presented on our consolidated balance sheets. The following table presents the fair value of the assets (in millions) of our qualified defined benefit pension plans and retiree medical and life insurance plans by asset category and their level within the fair value hierarchy, which has three levels based on the ability to observe inputs used to determine fair value. Level 1 refers to fair values determined based on quoted prices in active markets for identical assets, Level 2 refers to fair values estimated using significant other observable inputs and Level 3 includes fair values estimated using significant unobservable inputs. Certain other investments are measured at their Net Asset Value (NAV) per share and do not have readily determined values and are thus not subject to leveling in the fair value hierarchy. The NAV is the total value of the fund divided by the number of the fund’s shares outstanding. We recognize transfers between levels of the fair value hierarchy as of the date of the change in circumstances that causes the transfer.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measured at fair value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10"/>
                <w:szCs w:val="10"/>
                <w:color w:val="auto"/>
              </w:rPr>
              <w:t>(a)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10"/>
                <w:szCs w:val="10"/>
                <w:color w:val="auto"/>
              </w:rPr>
              <w:t>(a)</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equity securities</w:t>
            </w:r>
          </w:p>
        </w:tc>
        <w:tc>
          <w:tcPr>
            <w:tcW w:w="2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7,535</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7,467</w:t>
            </w: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7,189</w:t>
            </w:r>
          </w:p>
        </w:tc>
        <w:tc>
          <w:tcPr>
            <w:tcW w:w="2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7,182</w:t>
            </w: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6,844</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7,244</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Commingled equity funds</w:t>
            </w:r>
          </w:p>
        </w:tc>
        <w:tc>
          <w:tcPr>
            <w:tcW w:w="2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1,671</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442</w:t>
            </w: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1,228</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1,933</w:t>
            </w:r>
          </w:p>
        </w:tc>
        <w:tc>
          <w:tcPr>
            <w:tcW w:w="2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w:t>
            </w: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1,351</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10"/>
                <w:szCs w:val="10"/>
                <w:color w:val="auto"/>
              </w:rPr>
              <w:t>(a)</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5,732</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5,730</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5,208</w:t>
            </w:r>
          </w:p>
        </w:tc>
        <w:tc>
          <w:tcPr>
            <w:tcW w:w="2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5,206</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2,506</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2,506</w:t>
            </w:r>
          </w:p>
        </w:tc>
        <w:tc>
          <w:tcPr>
            <w:tcW w:w="24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2,260</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2,260</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U.S. Government-sponsored enterprise</w:t>
            </w:r>
          </w:p>
        </w:tc>
        <w:tc>
          <w:tcPr>
            <w:tcW w:w="220" w:type="dxa"/>
            <w:vAlign w:val="bottom"/>
          </w:tcPr>
          <w:p>
            <w:pPr>
              <w:spacing w:after="0"/>
              <w:rPr>
                <w:sz w:val="15"/>
                <w:szCs w:val="15"/>
                <w:color w:val="auto"/>
              </w:rPr>
            </w:pP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w:t>
            </w:r>
          </w:p>
        </w:tc>
        <w:tc>
          <w:tcPr>
            <w:tcW w:w="200" w:type="dxa"/>
            <w:vAlign w:val="bottom"/>
          </w:tcPr>
          <w:p>
            <w:pPr>
              <w:spacing w:after="0"/>
              <w:rPr>
                <w:sz w:val="15"/>
                <w:szCs w:val="15"/>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5"/>
                <w:szCs w:val="15"/>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230</w:t>
            </w:r>
          </w:p>
        </w:tc>
        <w:tc>
          <w:tcPr>
            <w:tcW w:w="240" w:type="dxa"/>
            <w:vAlign w:val="bottom"/>
          </w:tcPr>
          <w:p>
            <w:pPr>
              <w:spacing w:after="0"/>
              <w:rPr>
                <w:sz w:val="15"/>
                <w:szCs w:val="15"/>
                <w:color w:val="auto"/>
              </w:rPr>
            </w:pPr>
          </w:p>
        </w:tc>
        <w:tc>
          <w:tcPr>
            <w:tcW w:w="84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spacing w:after="0"/>
              <w:rPr>
                <w:sz w:val="15"/>
                <w:szCs w:val="15"/>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fixed income investments </w:t>
            </w:r>
            <w:r>
              <w:rPr>
                <w:rFonts w:ascii="Times New Roman" w:cs="Times New Roman" w:eastAsia="Times New Roman" w:hAnsi="Times New Roman"/>
                <w:sz w:val="23"/>
                <w:szCs w:val="23"/>
                <w:color w:val="auto"/>
                <w:vertAlign w:val="superscript"/>
              </w:rPr>
              <w:t>(b)</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5,873</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4,063</w:t>
            </w: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1,773</w:t>
            </w: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3,134</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2,135</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31,500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15,891</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13,765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1,844</w:t>
            </w:r>
          </w:p>
        </w:tc>
        <w:tc>
          <w:tcPr>
            <w:tcW w:w="1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29,459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16,977</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11,505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Investments measured at NAV </w:t>
            </w:r>
            <w:r>
              <w:rPr>
                <w:rFonts w:ascii="Times New Roman" w:cs="Times New Roman" w:eastAsia="Times New Roman" w:hAnsi="Times New Roman"/>
                <w:sz w:val="10"/>
                <w:szCs w:val="10"/>
                <w:color w:val="auto"/>
              </w:rPr>
              <w:t>(c)</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equity funds</w:t>
            </w:r>
          </w:p>
        </w:tc>
        <w:tc>
          <w:tcPr>
            <w:tcW w:w="2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fixed income investments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 funds</w:t>
            </w:r>
          </w:p>
        </w:tc>
        <w:tc>
          <w:tcPr>
            <w:tcW w:w="2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4,672</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4,019</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funds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2,650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2,493</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funds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1,111</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1,069</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measured at NAV</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9,066</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7,794</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40,566</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37,331</w:t>
            </w: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left="340" w:hanging="332"/>
        <w:spacing w:after="0"/>
        <w:tabs>
          <w:tab w:leader="none" w:pos="335"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and cash equivalents, equity securities and fixed income securities included derivative assets and liabilities whose fair values were not material as of December 31, 2020 and 2019. LMIMCo’s investment policies restrict the use of derivatives to either establish long or short exposures for purposes consistent with applicable investment mandate guidelines or to hedge risks to the extent of a plan’s current exposure to such risks. Most derivative transactions are settled on a daily basis.</w:t>
      </w:r>
    </w:p>
    <w:p>
      <w:pPr>
        <w:spacing w:after="0" w:line="164"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Level 3 investments include $1.7 billion at December 31, 2020 and $857 million at December 31, 2019 related to the buy-in contracts discussed above.</w:t>
      </w:r>
    </w:p>
    <w:p>
      <w:pPr>
        <w:ind w:left="340" w:right="20" w:hanging="332"/>
        <w:spacing w:after="0" w:line="215" w:lineRule="auto"/>
        <w:tabs>
          <w:tab w:leader="none" w:pos="335"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investments that are valued using the NAV per share (or its equivalent) as a practical expedient have not been classified in the fair value hierarchy and are included in the table to permit reconciliation of the fair value hierarchy to the aggregate postretirement benefit plan assets.</w:t>
      </w:r>
    </w:p>
    <w:p>
      <w:pPr>
        <w:spacing w:after="0" w:line="15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assets associated with our foreign defined benefit pension plans were not material and have not been included in the table above. Changes in the fair value of plan assets categorized as Level 3 during 2020 and 2019 were insignificant.</w:t>
      </w:r>
    </w:p>
    <w:p>
      <w:pPr>
        <w:spacing w:after="0" w:line="131"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 Cash equivalents are mostly comprised of short-term money-market instruments and are valued at cost, which approximates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w:t>
      </w:r>
    </w:p>
    <w:p>
      <w:pPr>
        <w:spacing w:after="0" w:line="11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U.S. equity securities and international equity securities categorized as Level 1 are traded on active national and international exchanges and are valued at their closing prices on the last trading day of the year. For U.S. equity securities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equity securities not traded on an active exchange, or if the closing price is not available, the trustee obtains indicative quotes from a pricing vendor, broker or investment manager. These securities are categorized as Level 2 if the custodian obtains corroborated quotes from a pricing vendor or categorized as Level 3 if the custodian obtains uncorroborated quotes from a broker or investment manager.</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Commingled equity funds categorized as Level 1 are traded on active national and international exchanges and are valued at their closing prices on the last trading day of the year. For commingled equity funds not traded on an active exchange, or if the closing price is not available, the trustee obtains indicative quotes from a pricing vendor, broker or investment manager. These securities are categorized as Level 2 if the custodian obtains corroborated quotes from a pricing vendor.</w:t>
      </w:r>
    </w:p>
    <w:p>
      <w:pPr>
        <w:spacing w:after="0" w:line="153" w:lineRule="exact"/>
        <w:rPr>
          <w:sz w:val="20"/>
          <w:szCs w:val="20"/>
          <w:color w:val="auto"/>
        </w:rPr>
      </w:pPr>
    </w:p>
    <w:p>
      <w:pPr>
        <w:ind w:right="120" w:firstLine="324"/>
        <w:spacing w:after="0" w:line="241" w:lineRule="auto"/>
        <w:rPr>
          <w:sz w:val="20"/>
          <w:szCs w:val="20"/>
          <w:color w:val="auto"/>
        </w:rPr>
      </w:pPr>
      <w:r>
        <w:rPr>
          <w:rFonts w:ascii="Times New Roman" w:cs="Times New Roman" w:eastAsia="Times New Roman" w:hAnsi="Times New Roman"/>
          <w:sz w:val="18"/>
          <w:szCs w:val="18"/>
          <w:color w:val="auto"/>
        </w:rPr>
        <w:t>Fixed income investments categorized as Level 1 are publicly exchange-traded. Fixed income investments categorized as Level 2 are valued by the trustee using pricing models that use verifiable observable market data (e.g., interest rates and yield curves observable at commonly quoted intervals and credit spreads), bids provided by brokers or dealers or quoted prices of securities with similar characteristics. Fixed income investments are categorized as Level 3 when valuations using observable inputs are unavailable. The trustee typically obtains pricing based on indicative quotes or bid evaluations from vendors, brokers or the investment manager. In addition, certain other fixed income investments categorized as Level 3 are valued using a discounted cash flow approach. Significant inputs include projected annuity payments and the discount rate applied to those payments.</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commingled equity and fixed income funds, consisting of underlying equity and fixed income securities, respectively, are valued using the NAV practical expedient. The NAV valuations are based on the underlying investments and typically redeemable within 90 days.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Private equity funds consist of partnership and co-investment funds. The NAV is based on valuation models of the underlying securities, which includes unobservable inputs that cannot be corroborated using verifiable observable market data. These funds typically have redemption periods between eight and 12 years.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Real estate funds consist of partnerships, most of which are closed-end funds, for which the NAV is based on valuation models and periodic appraisals.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funds typically have redemption periods between eight and 10 years.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Hedge funds consist of direct hedge funds for which the NAV is generally based on the valuation of the underlying investments. Redemptions in hedge funds are based on the specific terms of each fund, and generally range from a minimum of one month to several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Expected Benefit Payments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required funding of our qualified defined benefit pension plans is determined in accordance with ERISA, as amended by the PPA, and in a manner consistent with CAS and Internal Revenue Code rules. We made contributions to our qualified defined benefit pension plans of $1.0 billion in 2020. We plan to make contributions of approximately $1.0 billion to our qualified defined benefit pension plans in 2021.</w:t>
      </w:r>
    </w:p>
    <w:p>
      <w:pPr>
        <w:spacing w:after="0" w:line="17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presents estimated future benefit payments, which reflect expected future employee service, as of December 31, 2020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 – 2030</w:t>
            </w: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Qualified defined benefit pension plans</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w:t>
            </w:r>
          </w:p>
        </w:tc>
      </w:tr>
      <w:tr>
        <w:trPr>
          <w:trHeight w:val="236"/>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Retiree medical and life insurance plans</w:t>
            </w: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a number of defined contribution plans, most with 401(k) features, that cover substantially all of our employees. Under the provisions of our plans, we match most employees’ eligible contributions at rates specified in the plan documents. Our contributions are comprised of (i) company match, the majority of which was funded using our common stock, and (ii) company contributions. Total contributions were $984 million in 2020, $741 million in 2019 and $658 million in 2018. Our defined contribution plans held approximately 30.5 million and 31.9 million shares of our common stock as of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Stockholders’ Equity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2020 and 2019, our authorized capital was composed of 1.5 billion shares of common stock and 50 million shares of series preferred stock. Of the 280 million shares of common stock issued and outstanding as of December 31, 2020, 279 million shares were considered outstanding for consolidated balance sheet presentation purposes; the remaining shares were held in a separate trust. Of the 281 million shares of common stock issued and outstanding as of December 31, 2019, 280 million shares were considered outstanding for consolidated balance sheet presentation purposes; the remaining shares were held in a separate trust. No shares of preferred stock were issued and outstanding at December 31, 2020 or 2019.</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2020, we repurchased 3.0 million shares of our common stock for $1.1 billion. During 2019 and 2018, we paid $1.2 billion and $1.5 billion to repurchase 3.5 million and 4.7 million shares of our common stock.</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2020, we entered into an accelerated share repurchase (ASR) agreement to repurchase $500 million of our common stock. We paid $500 million and received 1.4 million shares based on the average price paid per share of $347.16, calculated with reference to the volume-weighted average price (VWAP) of our common stock over the term of the agreement, less a negotiated discount. During 2019, we entered into an ASR agreement to repurchase $350 million of our common stock. We paid $350 million and received 916,249 shares based on the average price paid per share of $381.99, calculated with reference to VWAP of our common stock over the term of the agreement, less a negotiated discount. These ASR transactions were accounted for as equity transactions and recognized as a reduction of common stock and additional paid-in-capital, with the excess purchase price over par value recorded as a reduction of additional paid-in capital.</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25, 2020, our Board of Directors approved a $1.3 billion increase to our share repurchase program. Inclusive of this increase, the total remaining authorization for future common share repurchases under our program was $3.0 billion as of December 31, 2020. As we repurchase our common shares, we reduce common stock for the $1 of par value of the shares repurchased, with the excess purchase price over par value recorded as a reduction of additional paid-in capital. If additional paid-in capital is reduced to zero, we record the remainder of the excess purchase price over par value as a reduction of retained earnings. During 2020, we repurchased 3.0 million of our common shares, which were recognized as a reduction to common stock for the par value with the excess purchase price recorded as a reduction of additional paid-in capital of $256 million and $841 million recorded as a reduction of retained earnings. In 2019 and 2018, due to the volume of repurchases made under our share repurchase program, additional paid in-capital was reduced to zero, with the remainder of the excess purchase price over par value of $713 million and $1.1 billion recorded as a reduction of retained earnings.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paid dividends totaling $2.8 billion ($9.80 per share) in 2020, $2.6 billion ($9.00 per share) in 2019 and $2.3 billion ($8.20 per share) in 2018. We paid quarterly dividends of $2.40 per share during each of the first three quarters of 2020 and $2.60 per share during the fourth quarter of 2020; $2.20 per share during each of the first three quarters of 2019 and $2.40 per share during the fourth quarter of 2019; and $2.00 per share during each of the first three quarters of 2018 and $2.20 per share during the fourth quarter of 2018.</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Changes in the balance of AOCL, net of income taxes, consisted of the following (in millions):</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Postretirement</w:t>
            </w:r>
          </w:p>
        </w:tc>
        <w:tc>
          <w:tcPr>
            <w:tcW w:w="5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6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AOCL</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0"/>
                <w:szCs w:val="10"/>
                <w:color w:val="auto"/>
              </w:rPr>
              <w:t>(a)</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Recognition of net actuarial losses</w:t>
            </w:r>
          </w:p>
        </w:tc>
        <w:tc>
          <w:tcPr>
            <w:tcW w:w="11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1,455</w:t>
            </w:r>
          </w:p>
        </w:tc>
        <w:tc>
          <w:tcPr>
            <w:tcW w:w="5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net prior service credits</w:t>
            </w:r>
          </w:p>
        </w:tc>
        <w:tc>
          <w:tcPr>
            <w:tcW w:w="1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reclassified from AOCL</w:t>
            </w:r>
          </w:p>
        </w:tc>
        <w:tc>
          <w:tcPr>
            <w:tcW w:w="1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1,202</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1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income tax effects from tax reform</w:t>
            </w:r>
            <w:r>
              <w:rPr>
                <w:rFonts w:ascii="Times New Roman" w:cs="Times New Roman" w:eastAsia="Times New Roman" w:hAnsi="Times New Roman"/>
                <w:sz w:val="10"/>
                <w:szCs w:val="10"/>
                <w:color w:val="auto"/>
              </w:rPr>
              <w:t>(b)</w:t>
            </w:r>
          </w:p>
        </w:tc>
        <w:tc>
          <w:tcPr>
            <w:tcW w:w="1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(14,254)</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Recognition of net actuarial losses</w:t>
            </w:r>
          </w:p>
        </w:tc>
        <w:tc>
          <w:tcPr>
            <w:tcW w:w="1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1,148</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29"/>
        </w:trPr>
        <w:tc>
          <w:tcPr>
            <w:tcW w:w="5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net prior service credits</w:t>
            </w:r>
          </w:p>
        </w:tc>
        <w:tc>
          <w:tcPr>
            <w:tcW w:w="1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5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reclassified from AOCL</w:t>
            </w:r>
          </w:p>
        </w:tc>
        <w:tc>
          <w:tcPr>
            <w:tcW w:w="1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908</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(15,554)</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Recognition of net actuarial losses</w:t>
            </w:r>
          </w:p>
        </w:tc>
        <w:tc>
          <w:tcPr>
            <w:tcW w:w="1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689</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0" w:type="dxa"/>
            <w:vAlign w:val="bottom"/>
          </w:tcPr>
          <w:p>
            <w:pPr>
              <w:spacing w:after="0"/>
              <w:rPr>
                <w:sz w:val="1"/>
                <w:szCs w:val="1"/>
                <w:color w:val="auto"/>
              </w:rPr>
            </w:pPr>
          </w:p>
        </w:tc>
      </w:tr>
      <w:tr>
        <w:trPr>
          <w:trHeight w:val="230"/>
        </w:trPr>
        <w:tc>
          <w:tcPr>
            <w:tcW w:w="5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net prior service credits</w:t>
            </w:r>
          </w:p>
        </w:tc>
        <w:tc>
          <w:tcPr>
            <w:tcW w:w="1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5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reclassified from AOCL</w:t>
            </w:r>
          </w:p>
        </w:tc>
        <w:tc>
          <w:tcPr>
            <w:tcW w:w="1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440</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(16,155)</w:t>
            </w:r>
          </w:p>
        </w:tc>
        <w:tc>
          <w:tcPr>
            <w:tcW w:w="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(16,121)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340" w:hanging="332"/>
        <w:spacing w:after="0" w:line="234" w:lineRule="auto"/>
        <w:tabs>
          <w:tab w:leader="none" w:pos="335"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AOCL related to postretirement benefit plans is shown net of tax benefits of $4.4 billion at December 31, 2020, $4.2 billion at December 31, 2019 and $3.9 billion at December 31, 2018. These tax benefits include amounts recognized on our income tax returns as current deductions and deferred income taxes, which will be recognized on our tax returns in future years. See “Note 10 – Income Taxes” and “Note 12 – Postretirement Benefit Plans” for more information on our income taxes and postretirement benefit plans.</w:t>
      </w:r>
    </w:p>
    <w:p>
      <w:pPr>
        <w:ind w:left="340" w:hanging="332"/>
        <w:spacing w:after="0" w:line="215" w:lineRule="auto"/>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2018, we reclassified the impact of the income tax effects related to the Tax Cuts and Jobs Act of 2017 from AOCL to retained earnings by the same amount with zero impact to total equity.</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2020, 2019 and 2018, we recorded non-cash stock-based compensation expense totaling $221 million, $189 million and $173 million, which is included as a component of other unallocated, net on our consolidated statements of earnings. The net impact to earnings for the respective years was $175 million, $149 million and $137 million.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we had $173 million of unrecognized compensation cost related to nonvested awards, which is expected to be recognized over a weighted average period of 1.8 years. We received cash from the exercise of stock options totaling $41 million, $66 million and $43 million during 2020, 2019 and 2018. In addition, our income tax liabilities for 2020, 2019 and 2018 were reduced by $63 million, $103 million and $75 million due to recognized tax benefits on stock-based compensation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plans approved by our stockholders, we are authorized to grant key employees stock-based incentive awards, including options to purchase common stock, stock appreciation rights, RSUs, PSUs or other stock units. The exercise price of options to purchase common stock may not be less than the fair market value of our stock on the date of grant. No award of stock options may become fully vested prior to the third anniversary of the grant and no portion of a stock option grant may become vested in less than one year. The minimum vesting period for restricted stock or stock units payable in stock is generally three years. Award agreements may provide for shorter or pro-rated vesting periods or vesting following termination of employment in the case of death, disability, divestiture, retirement, change of control or layoff. The maximum term of a stock option or any other award is 10 years.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2020, inclusive of the shares reserved for outstanding stock options, RSUs and PSUs, we had approximately 11 million shares reserved for issuance under the plans. At December 31, 2020, approximately 8 million of the shares reserved for issuance remained available for grant under our stock-based compensation plans. We issue new shares upon the exercise of stock options or when restrictions on RSUs and PSUs have been satisfied.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RSUs</w:t>
            </w:r>
          </w:p>
        </w:tc>
        <w:tc>
          <w:tcPr>
            <w:tcW w:w="2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1"/>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activity related to nonvested RSUs:</w:t>
            </w:r>
          </w:p>
        </w:tc>
        <w:tc>
          <w:tcPr>
            <w:tcW w:w="2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6340" w:type="dxa"/>
            <w:vAlign w:val="bottom"/>
          </w:tcPr>
          <w:p>
            <w:pPr>
              <w:spacing w:after="0"/>
              <w:rPr>
                <w:sz w:val="17"/>
                <w:szCs w:val="17"/>
                <w:color w:val="auto"/>
              </w:rPr>
            </w:pPr>
          </w:p>
        </w:tc>
        <w:tc>
          <w:tcPr>
            <w:tcW w:w="2560" w:type="dxa"/>
            <w:vAlign w:val="bottom"/>
          </w:tcPr>
          <w:p>
            <w:pPr>
              <w:jc w:val="right"/>
              <w:ind w:right="470"/>
              <w:spacing w:after="0" w:line="202" w:lineRule="exact"/>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Pr>
          <w:p>
            <w:pPr>
              <w:spacing w:after="0"/>
              <w:rPr>
                <w:sz w:val="17"/>
                <w:szCs w:val="17"/>
                <w:color w:val="auto"/>
              </w:rPr>
            </w:pPr>
          </w:p>
        </w:tc>
        <w:tc>
          <w:tcPr>
            <w:tcW w:w="184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175"/>
        </w:trPr>
        <w:tc>
          <w:tcPr>
            <w:tcW w:w="6340" w:type="dxa"/>
            <w:vAlign w:val="bottom"/>
          </w:tcPr>
          <w:p>
            <w:pPr>
              <w:spacing w:after="0"/>
              <w:rPr>
                <w:sz w:val="15"/>
                <w:szCs w:val="15"/>
                <w:color w:val="auto"/>
              </w:rPr>
            </w:pPr>
          </w:p>
        </w:tc>
        <w:tc>
          <w:tcPr>
            <w:tcW w:w="2560" w:type="dxa"/>
            <w:vAlign w:val="bottom"/>
          </w:tcPr>
          <w:p>
            <w:pPr>
              <w:jc w:val="right"/>
              <w:ind w:right="470"/>
              <w:spacing w:after="0" w:line="176" w:lineRule="exact"/>
              <w:rPr>
                <w:sz w:val="20"/>
                <w:szCs w:val="20"/>
                <w:color w:val="auto"/>
              </w:rPr>
            </w:pPr>
            <w:r>
              <w:rPr>
                <w:rFonts w:ascii="Times New Roman" w:cs="Times New Roman" w:eastAsia="Times New Roman" w:hAnsi="Times New Roman"/>
                <w:sz w:val="18"/>
                <w:szCs w:val="18"/>
                <w:b w:val="1"/>
                <w:bCs w:val="1"/>
                <w:color w:val="auto"/>
              </w:rPr>
              <w:t>of RSUs</w:t>
            </w:r>
          </w:p>
        </w:tc>
        <w:tc>
          <w:tcPr>
            <w:tcW w:w="460" w:type="dxa"/>
            <w:vAlign w:val="bottom"/>
          </w:tcPr>
          <w:p>
            <w:pPr>
              <w:spacing w:after="0"/>
              <w:rPr>
                <w:sz w:val="15"/>
                <w:szCs w:val="15"/>
                <w:color w:val="auto"/>
              </w:rPr>
            </w:pPr>
          </w:p>
        </w:tc>
        <w:tc>
          <w:tcPr>
            <w:tcW w:w="18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Grant-Date Fair</w:t>
            </w:r>
          </w:p>
        </w:tc>
      </w:tr>
      <w:tr>
        <w:trPr>
          <w:trHeight w:val="230"/>
        </w:trPr>
        <w:tc>
          <w:tcPr>
            <w:tcW w:w="63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2017</w:t>
            </w:r>
          </w:p>
        </w:tc>
        <w:tc>
          <w:tcPr>
            <w:tcW w:w="2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651</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220.21</w:t>
            </w: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406</w:t>
            </w:r>
          </w:p>
        </w:tc>
        <w:tc>
          <w:tcPr>
            <w:tcW w:w="46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353.99</w:t>
            </w: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2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(470)</w:t>
            </w:r>
          </w:p>
        </w:tc>
        <w:tc>
          <w:tcPr>
            <w:tcW w:w="4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271.50</w:t>
            </w:r>
          </w:p>
        </w:tc>
      </w:tr>
      <w:tr>
        <w:trPr>
          <w:trHeight w:val="230"/>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282.07</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2018</w:t>
            </w:r>
          </w:p>
        </w:tc>
        <w:tc>
          <w:tcPr>
            <w:tcW w:w="2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563</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271.23</w:t>
            </w: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581</w:t>
            </w:r>
          </w:p>
        </w:tc>
        <w:tc>
          <w:tcPr>
            <w:tcW w:w="46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305.30</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2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(523)</w:t>
            </w:r>
          </w:p>
        </w:tc>
        <w:tc>
          <w:tcPr>
            <w:tcW w:w="4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269.00</w:t>
            </w:r>
          </w:p>
        </w:tc>
      </w:tr>
      <w:tr>
        <w:trPr>
          <w:trHeight w:val="230"/>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302.78</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2019</w:t>
            </w:r>
          </w:p>
        </w:tc>
        <w:tc>
          <w:tcPr>
            <w:tcW w:w="2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600</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305.06</w:t>
            </w: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533</w:t>
            </w:r>
          </w:p>
        </w:tc>
        <w:tc>
          <w:tcPr>
            <w:tcW w:w="46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383.99</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2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(383)</w:t>
            </w:r>
          </w:p>
        </w:tc>
        <w:tc>
          <w:tcPr>
            <w:tcW w:w="4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329.63</w:t>
            </w:r>
          </w:p>
        </w:tc>
      </w:tr>
      <w:tr>
        <w:trPr>
          <w:trHeight w:val="230"/>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w:t>
            </w: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349.02</w:t>
            </w:r>
          </w:p>
        </w:tc>
      </w:tr>
      <w:tr>
        <w:trPr>
          <w:trHeight w:val="230"/>
        </w:trPr>
        <w:tc>
          <w:tcPr>
            <w:tcW w:w="6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25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733</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348.60</w:t>
            </w:r>
          </w:p>
        </w:tc>
      </w:tr>
    </w:tbl>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2020, we granted certain employees approximately 0.5 million RSUs with a weighted average grant-date fair value of $383.99 per RSU. The grant-date fair value of these RSUs is equal to the closing market price of our common stock on the grant date less a discount to reflect the delay in payment of dividend-equivalent cash payments that are made only upon vesting, which occurs at least one year from the grant date and most often occurs three years from the grant date. We recognize the grant-date fair value of RSUs, less estimated forfeitures, as compensation expense ratably over the requisite service period, which is shorter than the vesting period if the employee is retirement eligible on the date of grant or will become retirement eligible before the end of the vesting period.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PSUs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2020, we granted certain employees PSUs with an aggregate target award of approximately 0.1 million shares of our common stock. The PSUs generally vest three years from the grant date based on continuous service, with the number of shares earned (0% to 200% of the target award) depending upon the extent to which we achieve certain financial and market performance targets measured over the period from January 1, 2020 through December 31, 2022. About half of the PSUs were valued at a weighted average grant-date fair value of $383.85 per PSU in a manner similar to RSUs mentioned above as the financial targets are based on our operating results. The remaining PSUs were valued at a weighted-average grant-date fair value of $484.50 per PSU using a Monte Carlo model as the performance target is related to our total shareholder return relative to our peer group. We recognize the grant-date fair value of these awards, less estimated forfeitures, as compensation expense ratably over the vesting period.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Legal Proceedings, Commitments and Contingencies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party to or have property subject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including the legal proceedings described below, will have a material adverse effect on the corporation as a whole, notwithstanding that the unfavorable resolution of any matter may have a material effect on our net earnings in any particular interim reporting period. Among the factors that we consider in this assessment are the nature of existing legal proceedings and claims, the asserted or possible damages or loss contingency (if estimable), the progress of the case, existing law and precedent, the opinions or views of legal counsel and other advisers, our experience in similar cases and the experience of other companies, the facts available to us at the time of assessment and how we intend to respond to the proceeding or claim. Our assessment of these factors may change over time as individual proceedings or claims progress.</w:t>
      </w:r>
    </w:p>
    <w:p>
      <w:pPr>
        <w:spacing w:after="0" w:line="16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cannot predict the outcome of legal or other proceedings with certainty, where there is at least a reasonable possibility that a loss may have been incurred, GAAP requires us to disclose an estimate of the reasonably possible loss or range of loss or make a statement that such an estimate cannot be made. We follow a thorough process in which we seek to estimate the reasonably possible loss or range of loss, and only if we are unable to make such an estimate do we conclude and disclose that an estimate cannot be made. Accordingly, unless otherwise indicated below in our discussion of legal proceedings, a reasonably possible loss or range of loss associated with any individual legal proceeding cannot be estimated.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our acquisition of Sikorsky, we assumed the defense of and any potential liability for two civil False Claims Act lawsuits pending in the U.S. District Court for the Eastern District of Wisconsin. In October 2014, the U.S. Government filed a complaint in intervention in the first suit, which was brought by qui tam relator Mary Patzer, a former Derco Aerospace (Derco) employee. In May 2017, the U.S. Government filed a complaint in intervention in the second suit, which was brought by qui tam relator Peter Cimma, a former Sikorsky Support Services, Inc. (SSSI) employee. In November 2017, the Court consolidated the cases into a single action for discovery and trial.</w:t>
      </w:r>
    </w:p>
    <w:p>
      <w:pPr>
        <w:spacing w:after="0" w:line="1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U.S. Government alleges that Sikorsky and two of its wholly-owned subsidiaries, Derco and SSSI, violated the civil False Claims Act and the Truth in Negotiations Act in connection with a contract the U.S. Navy awarded to SSSI in June 2006 to support the Navy’s T-34 and T-44 fixed-wing turboprop training aircraft. SSSI subcontracted with Derco, primarily to procure and manage spare parts for the training aircraft. The U.S. Government contends that SSSI overbilled the Navy on the contract as the result of Derco’s use of prohibited cost-plus-percentage-of-cost pricing to add profit and overhead costs as a percentage of the price of the spare parts that Derco procured and then sold to SSSI. The U.S. Government also alleges that Derco’s claims to SSSI, SSSI’s claims to the Navy, and SSSI’s yearly Certificates of Final Indirect Costs from 2006 through 2012 were false and that SSSI submitted inaccurate cost or pricing data in violation of the Truth in Negotiations Act for a sole-sourced, follow-on “bridge” contract. The U.S. Government’s complaints assert common law claims for breach of contract and unjust enrichment.</w:t>
      </w:r>
    </w:p>
    <w:p>
      <w:pPr>
        <w:spacing w:after="0" w:line="1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Government further alleged violations of the Anti-Kickback Act and False Claims Act based on a monthly “chargeback,” through which SSSI billed Derco for the cost of certain SSSI personnel, allegedly in exchange for SSSI’s permitting a pricing arrangement that was “highly favorable” to Derco. On January 12, 2018, the Corporation filed a partial motion to dismiss intended to narrow the U.S. Government’s claims, including by seeking dismissal of the Anti-Kickback Act allegations. The Corporation also moved to dismiss Cimma as a party under the False Claims Act’s first-to-file rule, which</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permits only the first relator to recover in a pending case. The District Court granted these motions, in part, on July 20, 2018, dismissing the Government’s claims under the Anti-Kickback Act and dismissing Cimma as a party to the litigation.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Government seeks damages of approximately $52 million, subject to trebling, plus statutory penalties. We believe that we have legal and factual defenses to the U.S. Government’s remaining claims. Although we continue to evaluate our liability and exposure, we do not currently believe that it is probable that we will incur a material loss. If, contrary to our expectations, the U.S. Government prevails in this matter and proves damages at or near $52 million and is successful in having such damages trebled, the outcome could have an adverse effect on our results of operations in the period in which a liability is recognized and on our cash flows for the period in which any damages are paid.</w:t>
      </w:r>
    </w:p>
    <w:p>
      <w:pPr>
        <w:spacing w:after="0" w:line="1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8, 2019, the Department of Justice (DOJ) filed a complaint in the U.S. District Court for the Eastern District of Washington alleging, among other counts, civil False Claims Act and civil Anti-Kickback Act violations against Mission Support Alliance, LLC (MSA), Lockheed Martin, Lockheed Martin Services, Inc. (LMSI) and a current Lockheed Martin vice president. The dollar amount of damages sought is not specified but DOJ seeks treble damages with respect to the False Claims Act and penalties that are subject to doubling under the Anti-Kickback Act. The allegations relate primarily to information technology services performed by LMSI under a subcontract to MSA and the pricing by MSA and LMSI of those services as well as Lockheed Martin’s payment of standard incentive compensation to certain employees who were seconded to MSA, including the vice president. MSA is a joint venture that holds a prime contract to provide infrastructure support services at DOE’s Hanford facility. On April 23, 2019, the parties each filed partial motions to dismiss the U.S. Government’s False Claims Act and Anti-Kickback Act allegations. On January 13, 2020, the court dismissed the Anti-Kickback Act claim against all defendants with prejudice and denied the motions to dismiss the False Claims Act claims.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16, 2016, we divested our former Information Systems &amp; Global Solutions (IS&amp;GS) business segment to Leidos Holdings, Inc. (Leidos) in a transaction that resulted in IS&amp;GS becoming part of Leidos (the Transaction). In the Transaction, Leidos acquired IS&amp;GS’ interest in MSA and the liabilities related to Lockheed Martin’s participation in MSA. Included within the liabilities assumed were those associated with this lawsuit. Lockheed Martin transferred to Leidos a reserve of approximately $38 million established by Lockheed Martin with respect to its potential liability and that of its affiliates and agreed to indemnify Leidos with respect to the liabilities assumed for damages to Leidos for 100% of amounts in excess of this reserve up to $64 million and 50% of amounts in excess of $64 million.</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reasonably estimate our exposure at this time, but it is possible that a settlement by or judgment against any of the defendants could implicate Lockheed Martin’s indemnification obligations as described above. At present, in view of what we believe to be the strength of the defenses, our belief that Leidos assumed the liabilities, and our view of the structure of the indemnity, we do not believe it probable that we will incur a material loss and have not taken any reserve.</w:t>
      </w:r>
    </w:p>
    <w:p>
      <w:pPr>
        <w:spacing w:after="0" w:line="15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24, 2009, we filed a declaratory judgment action against the New York Metropolitan Transportation Authority and its Capital Construction Company (collectively, the MTA) asking the U.S. District Court for the Southern District of New York to find that the MTA is in material breach of our agreement based on the MTA’s failure to provide access to sites where work must be performed and the customer-furnished equipment necessary to complete the contract. The MTA filed an answer and counterclaim alleging that we breached the contract and subsequently terminated the contract for alleged default. The primary damages sought by the MTA are the costs to complete the contract and potential re-procurement costs. While we are unable to estimate the cost of another contractor to complete the contract and the costs of re-procurement, we note that our contract with the MTA had a total value of $323 million, of which $241 million was paid to us, and that the MTA is seeking damages of approximately $190 million. We dispute the MTA’s allegations and are defending against them. Additionally, following an investigation, our sureties on a performance bond related to this matter, who were represented by independent counsel, concluded that the MTA’s termination of the contract was improper. Finally, our declaratory judgment action was later amended to include claims for monetary damages against the MTA of approximately $95 million. This matter was taken under submission by the District Court in December 2014, after a five-week bench trial and the filing of post-trial pleadings by the parties. We continue to await a decision from the District Court. Although this matter relates to our former IS&amp;GS business, we retained the litigation when we divested IS&amp;GS in 2016.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involved in proceedings and potential proceedings relating to soil, sediment, surface water, and groundwater contamination, disposal of hazardous substances, and other environmental matters at several of our current or former facilities, facilities for which we may have contractual responsibility, and at third-party sites where we have been designated as a potentially responsible party (PRP). A substantial portion of environmental costs will be included in our net sales and cost of sales in future periods pursuant to U.S. Government regulations. At the time a liability is recorded for future environmental costs, we record assets for estimated future recovery considered probable through the pricing of products and services to agencies of the U.S. Government, regardless of the contract form (e.g., cost-reimbursable, fixed-price). We continually evaluate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recoverability of our assets for the portion of environmental costs that are probable of future recovery by assessing, among other factors, U.S. Government regulations, our U.S. Government business base and contract mix, our history of receiving reimbursement of such costs, and efforts by some U.S. Government representatives to limit such reimbursement. We include the portions of those environmental costs expected to be allocated to our non-U.S. Government contracts, or determined not to be recoverable under U.S. Government contracts, in our cost of sales at the time the liability is established.</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2020 and 2019, the aggregate amount of liabilities recorded relative to environmental matters was $789 million and $810 million, most of which are recorded in other noncurrent liabilities on our consolidated balance sheets. We have recorded assets for the portion of environmental costs that are probable of future recovery totaling $685 million and $703 million at December 31, 2020 and 2019, most of which are recorded in other noncurrent assets on our consolidated balance sheets, for the estimated future recovery of these costs, as we consider the recovery probable based on the factors previously mentioned. We project costs and recovery of costs over approximately 20 years.</w:t>
      </w:r>
    </w:p>
    <w:p>
      <w:pPr>
        <w:spacing w:after="0" w:line="1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Environmental remediation activities usually span many years, which makes estimating liabilities a matter of judgment because of uncertainties with respect to assessing the extent of the contamination as well as such factors as changing remediation technologies and changing regulatory environmental standards. We are monitoring or investigating a number of former and present operating facilities for potential future remediation. We perform quarterly reviews of the status of our environmental remediation sites and the related liabilities and receivables. Additionally, in our quarterly reviews, we consider these and other factors in estimating the timing and amount of any future costs that may be required for remediation activities, and we record a liability when it is probable that a loss has occurred or will occur for a particular site and the loss can be reasonably estimated. The amount of liability recorded is based on our estimate of the costs to be incurred for remediation for that site. We do not discount the recorded liabilities, as the amount and timing of future cash payments are not fixed or cannot be reliably determined. We cannot reasonably determine the extent of our financial exposure in all cases as, although a loss may be probable or reasonably possible, in some cases it is not possible at this time to estimate the reasonably possible loss or range of loss.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pursue claims for recovery of costs incurred or for contribution to site remediation costs against other PRPs, including the U.S. Government, and are conducting remediation activities under various consent decrees, orders, and agreements relating to soil, groundwater, sediment, or surface water contamination at certain sites of former or current operations. Under agreements related to certain sites in California, New York, United States Virgin Islands and Washington, the U.S. Government and/or a private party reimburses us an amount equal to a percentage, specific to each site, of expenditures for certain remediation activities in their capacity as PRPs under the Comprehensive Environmental Response, Compensation and Liability Act (CERCLA).</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proceedings and potential proceedings discussed above, the California State Water Resources Control Board, a branch of the California Environmental Protection Agency, has indicated it will work to re-establish a maximum level of the contaminant hexavalent chromium in drinking water after a prior standard of 10 parts per billion (ppb) was challenged and withdrawn, and is also reevaluating its existing drinking water standard of 6 ppb for perchlorate. The U.S. Environmental Protection Agency decided in June 2020 not to regulate perchlorate in drinking water at the federal level, although this decision has been challenged, and is considering whether to regulate hexavalent chromium.</w:t>
      </w:r>
    </w:p>
    <w:p>
      <w:pPr>
        <w:spacing w:after="0" w:line="1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substantially lower standards are adopted for perchlorate (in California) or for hexavalent chromium (in California or at the federal level), we expect a material increase in our estimates for environmental liabilities and the related assets for the portion of the increased costs that are probable of future recovery in the pricing of our products and services for the U.S. Government. The amount that would be allocable to our non-U.S. Government contracts or that is determined not to be recoverable under U.S. Government contracts would be expensed, which may have a material effect on our earnings in any particular interim reporting period.</w:t>
      </w:r>
    </w:p>
    <w:p>
      <w:pPr>
        <w:spacing w:after="0" w:line="14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are evaluating the potential impact of existing and contemplated legal requirements addressing a class of compounds known generally as per-and polyfluoroalkyl compounds (PFAS). PFAS compounds have been used ubiquitously, such as in fire-fighting foams, manufacturing processes, and stain-and stick-resistant products (e.g., Teflon, stain-resistant fabrics). Because we have used products and processes over the years containing some of those compounds, they likely exist as contaminants at many of our environmental remediation sites. Governmental authorities have announced plans, and in some instances have begun, to regulate certain of these compounds at extremely low concentrations in drinking water, which could lead to increased cleanup costs at many of our environmental remediation sites.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 Surety Bonds and Third-Party Guarantees</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standby letters of credit and surety bonds issued on our behalf by financial institutions, and we have directly issued guarantees to third parties primarily relating to advances received from customers and the guarantee of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on certain contracts. Letters of credit and surety bonds generally are available for draw down in the event we do not perform. In some cases, we may guarantee the contractual performance of third parties such as joint venture partners. We had total outstanding letters of credit, surety bonds and third-party guarantees aggregating $3.4 billion and $3.6 billion at December 31, 2020 and December 31, 2019. Third-party guarantees do not include guarantees issued on behalf of subsidiaries and other consolidated entities.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2020 and 2019, third-party guarantees totaled $871 million and $996 million, of which approximately 71% and 76% related to guarantees of contractual performance of joint ventures to which we currently are or previously were a party. These amounts represent our estimate of the maximum amounts we would expect to incur upon the contractual non-performance of the joint venture, joint venture partners or divested businesses. Generally, we also have cross-indemnities in place that may enable us to recover amounts that may be paid on behalf of a joint venture partner.</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determining our exposures, we evaluate the reputation, performance on contractual obligations, technical capabilities and credit quality of our current and former joint venture partners and the transferee under novation agreements all of which include a guarantee as required by the FAR. At December 31, 2020 and 2019, there were no material amounts recorded in our financial statements related to third-party guarantees or novation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Severance Charges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2020, we recorded severance charges totaling $27 million ($21 million, or $0.08 per share, after-tax) related to the planned elimination of certain positions primarily at our corporate functions. Upon separation, terminated employees receive lump-sum severance payments primarily based on years of service, the majority of which are expected to be paid over the next several quarters.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Fair Value Measurements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and liabilities measured and recorded at fair value on a recurring basis consisted of the following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December 31, 2020</w:t>
            </w:r>
          </w:p>
        </w:tc>
        <w:tc>
          <w:tcPr>
            <w:tcW w:w="1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December 31, 2019</w:t>
            </w:r>
          </w:p>
        </w:tc>
        <w:tc>
          <w:tcPr>
            <w:tcW w:w="780" w:type="dxa"/>
            <w:vAlign w:val="bottom"/>
            <w:tcBorders>
              <w:bottom w:val="single" w:sz="8" w:color="auto"/>
            </w:tcBorders>
          </w:tcPr>
          <w:p>
            <w:pPr>
              <w:spacing w:after="0"/>
              <w:rPr>
                <w:sz w:val="20"/>
                <w:szCs w:val="20"/>
                <w:color w:val="auto"/>
              </w:rPr>
            </w:pPr>
          </w:p>
        </w:tc>
      </w:tr>
      <w:tr>
        <w:trPr>
          <w:trHeight w:val="223"/>
        </w:trPr>
        <w:tc>
          <w:tcPr>
            <w:tcW w:w="4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6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1,335</w:t>
            </w: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1,335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92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4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341</w:t>
            </w:r>
          </w:p>
        </w:tc>
        <w:tc>
          <w:tcPr>
            <w:tcW w:w="36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214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5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52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 measured at NAV</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7"/>
        </w:trPr>
        <w:tc>
          <w:tcPr>
            <w:tcW w:w="4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commingled funds</w:t>
            </w: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r>
    </w:tbl>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Substantially all assets measured at fair value, other than derivatives, represent investments held in a separate trust to fund certain of our non-qualified deferred compensation plans and are recorded in other noncurrent assets on our consolidated balance sheets. The fair values of mutual funds and certain other securities are determined by reference to the quoted market price per unit in active markets multiplied by the number of units held without consideration of transaction costs. The fair values of U.S. Government and other securities are determined using pricing models that use observable inputs (e.g., interest rates and yield curves observable at commonly quoted intervals), bids provided by brokers or dealers or quoted prices of securities with similar characteristics. The fair values of derivative instruments, which consist of foreign currency forward contracts, including embedded derivatives, and interest rate swap contracts, are primarily determined based on the present value of future cash flows using model-derived valuations that use observable inputs such as interest rates, credit spreads and foreign currency exchange rates.</w:t>
      </w:r>
    </w:p>
    <w:p>
      <w:pPr>
        <w:spacing w:after="0" w:line="1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financial instruments listed in the table above, we hold other financial instruments, including cash and cash equivalents, receivables, accounts payable and debt and commercial paper. The carrying amounts for cash and cash equivalents, receivables and accounts payable approximated their fair values. The estimated fair value of our outstanding debt was $16.9 billion and $15.9 billion at December 31, 2020 and 2019. The outstanding principal amount was $13.3 billion and $13.8 billion at December 31, 2020 and 2019, excluding $1.1 billion and $1.2 billion of unamortized discounts and issuance costs at December 31, 2020 and 2019. The estimated fair values of our outstanding debt were determined based on quoted prices for similar instruments in active markets (Level 2).</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945"/>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18 – Summary of Quarterly Information (Unaudited)</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4"/>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summary of quarterly information is as follows (in millions, except per share data):</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7"/>
        </w:trPr>
        <w:tc>
          <w:tcPr>
            <w:tcW w:w="59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xml:space="preserve">2020 Quarters </w:t>
            </w:r>
            <w:r>
              <w:rPr>
                <w:rFonts w:ascii="Times New Roman" w:cs="Times New Roman" w:eastAsia="Times New Roman" w:hAnsi="Times New Roman"/>
                <w:sz w:val="10"/>
                <w:szCs w:val="10"/>
                <w:b w:val="1"/>
                <w:bCs w:val="1"/>
                <w:color w:val="auto"/>
              </w:rPr>
              <w:t>(a)</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23"/>
        </w:trPr>
        <w:tc>
          <w:tcPr>
            <w:tcW w:w="5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First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0"/>
                <w:szCs w:val="10"/>
                <w:b w:val="1"/>
                <w:bCs w:val="1"/>
                <w:color w:val="auto"/>
              </w:rPr>
              <w:t>(c)</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0"/>
                <w:szCs w:val="10"/>
                <w:b w:val="1"/>
                <w:bCs w:val="1"/>
                <w:color w:val="auto"/>
              </w:rPr>
              <w:t>(d)</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0"/>
                <w:szCs w:val="10"/>
                <w:b w:val="1"/>
                <w:bCs w:val="1"/>
                <w:color w:val="auto"/>
              </w:rPr>
              <w:t>(e)</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15,651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16,220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16,495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17,032</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6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2,122</w:t>
            </w:r>
          </w:p>
        </w:tc>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2,086</w:t>
            </w:r>
          </w:p>
        </w:tc>
        <w:tc>
          <w:tcPr>
            <w:tcW w:w="4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2,147</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2,289</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1,717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1,626</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1,753</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1,792</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6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1,717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1,626</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1,698</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1,792</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Earnings per common share from continuing operations </w:t>
            </w:r>
            <w:r>
              <w:rPr>
                <w:rFonts w:ascii="Times New Roman" w:cs="Times New Roman" w:eastAsia="Times New Roman" w:hAnsi="Times New Roman"/>
                <w:sz w:val="10"/>
                <w:szCs w:val="10"/>
                <w:color w:val="auto"/>
              </w:rPr>
              <w:t>(b)</w:t>
            </w: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5.81</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6.28</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w:t>
            </w:r>
          </w:p>
        </w:tc>
      </w:tr>
      <w:tr>
        <w:trPr>
          <w:trHeight w:val="229"/>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6.08</w:t>
            </w:r>
          </w:p>
        </w:tc>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5.79</w:t>
            </w:r>
          </w:p>
        </w:tc>
        <w:tc>
          <w:tcPr>
            <w:tcW w:w="4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6.25</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common share from discontinued operations:</w:t>
            </w: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Basic earnings per common share </w:t>
            </w:r>
            <w:r>
              <w:rPr>
                <w:rFonts w:ascii="Times New Roman" w:cs="Times New Roman" w:eastAsia="Times New Roman" w:hAnsi="Times New Roman"/>
                <w:sz w:val="10"/>
                <w:szCs w:val="10"/>
                <w:color w:val="auto"/>
              </w:rPr>
              <w:t>(b)</w:t>
            </w:r>
          </w:p>
        </w:tc>
        <w:tc>
          <w:tcPr>
            <w:tcW w:w="6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6.10</w:t>
            </w:r>
          </w:p>
        </w:tc>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5.81</w:t>
            </w:r>
          </w:p>
        </w:tc>
        <w:tc>
          <w:tcPr>
            <w:tcW w:w="4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6.08</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w:t>
            </w:r>
          </w:p>
        </w:tc>
      </w:tr>
      <w:tr>
        <w:trPr>
          <w:trHeight w:val="237"/>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Diluted earnings per common share </w:t>
            </w:r>
            <w:r>
              <w:rPr>
                <w:rFonts w:ascii="Times New Roman" w:cs="Times New Roman" w:eastAsia="Times New Roman" w:hAnsi="Times New Roman"/>
                <w:sz w:val="10"/>
                <w:szCs w:val="10"/>
                <w:color w:val="auto"/>
              </w:rPr>
              <w:t>(b)</w:t>
            </w:r>
          </w:p>
        </w:tc>
        <w:tc>
          <w:tcPr>
            <w:tcW w:w="6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6.08</w:t>
            </w: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5.79</w:t>
            </w:r>
          </w:p>
        </w:tc>
        <w:tc>
          <w:tcPr>
            <w:tcW w:w="4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6.05</w:t>
            </w: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r>
      <w:tr>
        <w:trPr>
          <w:trHeight w:val="378"/>
        </w:trPr>
        <w:tc>
          <w:tcPr>
            <w:tcW w:w="59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xml:space="preserve">2019 Quarters </w:t>
            </w:r>
            <w:r>
              <w:rPr>
                <w:rFonts w:ascii="Times New Roman" w:cs="Times New Roman" w:eastAsia="Times New Roman" w:hAnsi="Times New Roman"/>
                <w:sz w:val="10"/>
                <w:szCs w:val="10"/>
                <w:b w:val="1"/>
                <w:bCs w:val="1"/>
                <w:color w:val="auto"/>
              </w:rPr>
              <w:t>(a)</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5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0"/>
                <w:szCs w:val="10"/>
                <w:b w:val="1"/>
                <w:bCs w:val="1"/>
                <w:color w:val="auto"/>
              </w:rPr>
              <w:t>(f)</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0"/>
                <w:szCs w:val="10"/>
                <w:b w:val="1"/>
                <w:bCs w:val="1"/>
                <w:color w:val="auto"/>
              </w:rPr>
              <w:t>(g)</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Fourth</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14,336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14,427</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15,171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6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2,283</w:t>
            </w:r>
          </w:p>
        </w:tc>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2,008</w:t>
            </w:r>
          </w:p>
        </w:tc>
        <w:tc>
          <w:tcPr>
            <w:tcW w:w="4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2,105</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1,704</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1,420</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1,608</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Basic earnings per common share </w:t>
            </w:r>
            <w:r>
              <w:rPr>
                <w:rFonts w:ascii="Times New Roman" w:cs="Times New Roman" w:eastAsia="Times New Roman" w:hAnsi="Times New Roman"/>
                <w:sz w:val="10"/>
                <w:szCs w:val="10"/>
                <w:color w:val="auto"/>
              </w:rPr>
              <w:t>(b)</w:t>
            </w:r>
          </w:p>
        </w:tc>
        <w:tc>
          <w:tcPr>
            <w:tcW w:w="6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6.03</w:t>
            </w:r>
          </w:p>
        </w:tc>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4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7"/>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Diluted earnings per common share </w:t>
            </w:r>
            <w:r>
              <w:rPr>
                <w:rFonts w:ascii="Times New Roman" w:cs="Times New Roman" w:eastAsia="Times New Roman" w:hAnsi="Times New Roman"/>
                <w:sz w:val="10"/>
                <w:szCs w:val="10"/>
                <w:color w:val="auto"/>
              </w:rPr>
              <w:t>(b)</w:t>
            </w:r>
          </w:p>
        </w:tc>
        <w:tc>
          <w:tcPr>
            <w:tcW w:w="6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5.99</w:t>
            </w: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bl>
    <w:p>
      <w:pPr>
        <w:spacing w:after="0" w:line="67" w:lineRule="exact"/>
        <w:rPr>
          <w:sz w:val="20"/>
          <w:szCs w:val="20"/>
          <w:color w:val="auto"/>
        </w:rPr>
      </w:pPr>
    </w:p>
    <w:p>
      <w:pPr>
        <w:ind w:left="340" w:right="20" w:hanging="332"/>
        <w:spacing w:after="0" w:line="223" w:lineRule="auto"/>
        <w:tabs>
          <w:tab w:leader="none" w:pos="335"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Quarters are typically 13 weeks in length but, due to our fiscal year ending on December 31, the number of weeks in a reporting period may vary slightly during the year and for comparable prior year periods.</w:t>
      </w:r>
    </w:p>
    <w:p>
      <w:pPr>
        <w:ind w:left="340" w:hanging="332"/>
        <w:spacing w:after="0" w:line="213" w:lineRule="auto"/>
        <w:tabs>
          <w:tab w:leader="none" w:pos="3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sum of the quarterly earnings per share amounts do not equal the earnings per share amounts included on our consolidated statements of earnings. The difference in 2020 and 2019 relates to the timing of our share repurchases.</w:t>
      </w:r>
    </w:p>
    <w:p>
      <w:pPr>
        <w:ind w:left="340" w:hanging="332"/>
        <w:spacing w:after="0" w:line="213" w:lineRule="auto"/>
        <w:tabs>
          <w:tab w:leader="none" w:pos="335"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second quarter of 2020 includes a non-cash impairment charge of $128 million ($96 million, or $0.34 per share, after-tax) related to our equity method investee, AMMROC (see “Note 1 – Significant Accounting Policies”).</w:t>
      </w:r>
    </w:p>
    <w:p>
      <w:pPr>
        <w:ind w:left="340" w:hanging="332"/>
        <w:spacing w:after="0" w:line="213" w:lineRule="auto"/>
        <w:tabs>
          <w:tab w:leader="none" w:pos="3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third quarter of 2020 includes a $55 million ($0.20 per share) non-cash charge for discontinued operations resulting from the resolution of certain tax matters related to the former IS&amp;GS business divested in 2016.</w:t>
      </w:r>
    </w:p>
    <w:p>
      <w:pPr>
        <w:ind w:left="320" w:hanging="312"/>
        <w:spacing w:after="0" w:line="187" w:lineRule="auto"/>
        <w:tabs>
          <w:tab w:leader="none" w:pos="32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fourth quarter of 2020 includes $27 million ($21 million, or $0.08 per share, after-tax) of severance charges (see “Note 16 – Severance Charges”).</w:t>
      </w:r>
    </w:p>
    <w:p>
      <w:pPr>
        <w:jc w:val="both"/>
        <w:ind w:left="340" w:hanging="332"/>
        <w:spacing w:after="0" w:line="228" w:lineRule="auto"/>
        <w:tabs>
          <w:tab w:leader="none" w:pos="337"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first quarter of 2019 includes a previously deferred non-cash gain of $51 million ($38 million, or $0.13 per share, after-tax) related to properties sold in 2015 as a result of completing our remaining obligations. The first quarter of 2019 also includes benefits of $75 million, or $0.26 per share, from additional tax deductions, based on proposed tax regulations released on March 4, 2019, which clarified that foreign military sales qualify as foreign derived intangible income. Approximately $65 million, or $0.23 per share, of the total benefit was recorded discretely because it relates to the prior year.</w:t>
      </w:r>
    </w:p>
    <w:p>
      <w:pPr>
        <w:spacing w:after="0" w:line="2" w:lineRule="exact"/>
        <w:rPr>
          <w:rFonts w:ascii="Times New Roman" w:cs="Times New Roman" w:eastAsia="Times New Roman" w:hAnsi="Times New Roman"/>
          <w:sz w:val="21"/>
          <w:szCs w:val="21"/>
          <w:color w:val="auto"/>
          <w:vertAlign w:val="superscript"/>
        </w:rPr>
      </w:pPr>
    </w:p>
    <w:p>
      <w:pPr>
        <w:ind w:left="340" w:hanging="332"/>
        <w:spacing w:after="0" w:line="215" w:lineRule="auto"/>
        <w:tabs>
          <w:tab w:leader="none" w:pos="3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third quarter of 2019 includes benefits of $62 million, or $0.22 per share, for additional tax deductions for the prior year, primarily attributable to foreign derived intangible income treatment based on proposed tax regulations released on March 4, 2019 and our change in tax accounting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performed an evaluation of the effectiveness of our disclosure controls and procedures as of December 31, 2020. The evaluation was performed with the participation of senior management of each business segment and key corporate functions, under the supervision of the Chief Executive Officer (CEO) and Chief Financial Officer (CFO). Based on this evaluation, the CEO and CFO concluded that our disclosure controls and procedures were effective as of December 31, 2020.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system is designed to provide reasonable assurance to our management and Board of Directors regarding the reliability of financial reporting and the preparation of consolidated financial statements for external purposes.</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as of December 31, 2020. This assessment was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2020.</w:t>
      </w:r>
    </w:p>
    <w:p>
      <w:pPr>
        <w:spacing w:after="0" w:line="13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 report on the effectiveness of our internal control over financial reporting, which is below.</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that occurred during the quarter ended December 31, 2020 that materially affected, or are reasonably likely to materially affect, our internal control over financial reporting.</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Regarding Internal Control Over Financial Reporting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Lockheed Martin Corporation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audited Lockheed Martin Corporation’s internal control over financial reporting as of December 31, 2020, based on criteria established in Internal Control-Integrated Framework issued by the Committee of Sponsoring Organizations of the Treadway Commission (2013 framework) (the COSO criteria). In our opinion, Lockheed Martin Corporation (the Corporation) maintained, in all material respects, effective internal control over financial reporting as of December 31, 2020, based on the COSO criteria.</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Corporation as of December 31, 2020 and 2019, the related consolidated statements of earnings, comprehensive income, equity and cash flows for each of the three years in the period ended December 31, 2020, and the related notes and our report dated January 28, 2021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Corporation’s internal control over financial reporting based on our audit.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information concerning directors required by Item 401 of Regulation S-K is included under the caption “Proposal 1 - Election of Directors” in our definitive Proxy Statement to be filed pursuant to Regulation 14A within 120 days after the end of the fiscal year to which this report relates (the 2021 Proxy Statement), and that information is incorporated by reference in this Annual Report on Form 10-K (Form 10-K). Information concerning executive officers required by Item 401 of Regulation S-K is located under Part I, Item 4(a) of this Form 10-K. The information required by Items 407(d)(4) and (d)</w:t>
      </w:r>
    </w:p>
    <w:p>
      <w:pPr>
        <w:spacing w:after="0" w:line="3" w:lineRule="exact"/>
        <w:rPr>
          <w:sz w:val="20"/>
          <w:szCs w:val="20"/>
          <w:color w:val="auto"/>
        </w:rPr>
      </w:pPr>
    </w:p>
    <w:p>
      <w:pPr>
        <w:ind w:firstLine="8"/>
        <w:spacing w:after="0" w:line="260"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is included under the captions “Committees of the Board of Directors” and “Audit Committee Report” in the 2021 Proxy Statement, and that information is incorporated by reference in this Form 10-K.</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had a written code of ethics in place since our formation in 1995. </w:t>
      </w:r>
      <w:r>
        <w:rPr>
          <w:rFonts w:ascii="Times New Roman" w:cs="Times New Roman" w:eastAsia="Times New Roman" w:hAnsi="Times New Roman"/>
          <w:sz w:val="18"/>
          <w:szCs w:val="18"/>
          <w:i w:val="1"/>
          <w:iCs w:val="1"/>
          <w:color w:val="auto"/>
        </w:rPr>
        <w:t>Setting the Standard</w:t>
      </w:r>
      <w:r>
        <w:rPr>
          <w:rFonts w:ascii="Times New Roman" w:cs="Times New Roman" w:eastAsia="Times New Roman" w:hAnsi="Times New Roman"/>
          <w:sz w:val="18"/>
          <w:szCs w:val="18"/>
          <w:color w:val="auto"/>
        </w:rPr>
        <w:t>, our Code of Ethics and Business Conduct, applies to all our employees, including our principal executive officer, principal financial officer, and principal accounting officer and controller, and to members of our Board of Directors. A copy of our Code of Ethics and Business Conduct is available on our investor relations website: www.lockheedmartin.com/investor. Printed copies of our Code of Ethics and Business Conduct may be obtained, without charge, by contacting Investor Relations, Lockheed Martin Corporation, 6801 Rockledge Drive, Bethesda, Maryland 20817. We are required to disclose any change to, or waiver from, our Code of Ethics and Business Conduct for our Chief Executive Officer and senior financial officers. We use our website to disseminate this disclosure as permitted by applicable SEC rules.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402 of Regulation S-K is included in the text and tables under the captions “Executive Compensation” and “Director Compensation” in the 2021 Proxy Statement and that information is incorporated by reference in this Form 10-K. The information required by Item 407(e)</w:t>
      </w:r>
    </w:p>
    <w:p>
      <w:pPr>
        <w:ind w:firstLine="8"/>
        <w:spacing w:after="0" w:line="260" w:lineRule="auto"/>
        <w:tabs>
          <w:tab w:leader="none" w:pos="2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is included under the caption “Compensation Committee Report” in the 2021 Proxy Statement, and that information is incorporated by reference in this Form 10-K.</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12 related to the security ownership of management and certain beneficial owners is included under the heading “Security Ownership of Management and Certain Beneficial Owners” in the 2021 Proxy Statement, and that information is incorporated by reference in this Annual Report on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equity compensation plans that authorize the issuance of shares of Lockheed Martin common stock to employees and directors. The information is provided as of December 31, 2020.</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w:t>
            </w: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22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available for future issuance</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22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160" w:type="dxa"/>
            <w:vAlign w:val="bottom"/>
          </w:tcPr>
          <w:p>
            <w:pPr>
              <w:spacing w:after="0"/>
              <w:rPr>
                <w:sz w:val="15"/>
                <w:szCs w:val="15"/>
                <w:color w:val="auto"/>
              </w:rPr>
            </w:pPr>
          </w:p>
        </w:tc>
        <w:tc>
          <w:tcPr>
            <w:tcW w:w="2020" w:type="dxa"/>
            <w:vAlign w:val="bottom"/>
          </w:tcPr>
          <w:p>
            <w:pPr>
              <w:jc w:val="center"/>
              <w:ind w:right="55"/>
              <w:spacing w:after="0" w:line="175" w:lineRule="exact"/>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24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under equity compensation plans</w:t>
            </w: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22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outstanding options, warrants</w:t>
            </w:r>
          </w:p>
        </w:tc>
        <w:tc>
          <w:tcPr>
            <w:tcW w:w="218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4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(excluding securities reflected in</w:t>
            </w: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22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and rights</w:t>
            </w:r>
          </w:p>
        </w:tc>
        <w:tc>
          <w:tcPr>
            <w:tcW w:w="160" w:type="dxa"/>
            <w:vAlign w:val="bottom"/>
          </w:tcPr>
          <w:p>
            <w:pPr>
              <w:spacing w:after="0"/>
              <w:rPr>
                <w:sz w:val="15"/>
                <w:szCs w:val="15"/>
                <w:color w:val="auto"/>
              </w:rPr>
            </w:pPr>
          </w:p>
        </w:tc>
        <w:tc>
          <w:tcPr>
            <w:tcW w:w="2020" w:type="dxa"/>
            <w:vAlign w:val="bottom"/>
          </w:tcPr>
          <w:p>
            <w:pPr>
              <w:jc w:val="center"/>
              <w:ind w:right="35"/>
              <w:spacing w:after="0" w:line="175" w:lineRule="exact"/>
              <w:rPr>
                <w:sz w:val="20"/>
                <w:szCs w:val="20"/>
                <w:color w:val="auto"/>
              </w:rPr>
            </w:pPr>
            <w:r>
              <w:rPr>
                <w:rFonts w:ascii="Times New Roman" w:cs="Times New Roman" w:eastAsia="Times New Roman" w:hAnsi="Times New Roman"/>
                <w:sz w:val="16"/>
                <w:szCs w:val="16"/>
                <w:b w:val="1"/>
                <w:bCs w:val="1"/>
                <w:color w:val="auto"/>
              </w:rPr>
              <w:t>warrants and rights</w:t>
            </w:r>
          </w:p>
        </w:tc>
        <w:tc>
          <w:tcPr>
            <w:tcW w:w="24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column (a))</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(b)</w:t>
            </w: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280" w:type="dxa"/>
            <w:vAlign w:val="bottom"/>
            <w:vMerge w:val="restart"/>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2,563,400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vMerge w:val="restart"/>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81.69</w:t>
            </w:r>
          </w:p>
        </w:tc>
        <w:tc>
          <w:tcPr>
            <w:tcW w:w="2440" w:type="dxa"/>
            <w:vAlign w:val="bottom"/>
            <w:vMerge w:val="restart"/>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8,232,946</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(1)</w:t>
            </w:r>
          </w:p>
        </w:tc>
        <w:tc>
          <w:tcPr>
            <w:tcW w:w="228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020" w:type="dxa"/>
            <w:vAlign w:val="bottom"/>
            <w:vMerge w:val="continue"/>
            <w:shd w:val="clear" w:color="auto" w:fill="CCEEFF"/>
          </w:tcPr>
          <w:p>
            <w:pPr>
              <w:spacing w:after="0"/>
              <w:rPr>
                <w:sz w:val="14"/>
                <w:szCs w:val="14"/>
                <w:color w:val="auto"/>
              </w:rPr>
            </w:pPr>
          </w:p>
        </w:tc>
        <w:tc>
          <w:tcPr>
            <w:tcW w:w="24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280" w:type="dxa"/>
            <w:vAlign w:val="bottom"/>
            <w:vMerge w:val="restart"/>
          </w:tcPr>
          <w:p>
            <w:pPr>
              <w:jc w:val="right"/>
              <w:ind w:right="536"/>
              <w:spacing w:after="0"/>
              <w:rPr>
                <w:sz w:val="20"/>
                <w:szCs w:val="20"/>
                <w:color w:val="auto"/>
              </w:rPr>
            </w:pPr>
            <w:r>
              <w:rPr>
                <w:rFonts w:ascii="Times New Roman" w:cs="Times New Roman" w:eastAsia="Times New Roman" w:hAnsi="Times New Roman"/>
                <w:sz w:val="18"/>
                <w:szCs w:val="18"/>
                <w:color w:val="auto"/>
              </w:rPr>
              <w:t>688,592</w:t>
            </w:r>
          </w:p>
        </w:tc>
        <w:tc>
          <w:tcPr>
            <w:tcW w:w="160" w:type="dxa"/>
            <w:vAlign w:val="bottom"/>
          </w:tcPr>
          <w:p>
            <w:pPr>
              <w:spacing w:after="0"/>
              <w:rPr>
                <w:sz w:val="15"/>
                <w:szCs w:val="15"/>
                <w:color w:val="auto"/>
              </w:rPr>
            </w:pPr>
          </w:p>
        </w:tc>
        <w:tc>
          <w:tcPr>
            <w:tcW w:w="2020" w:type="dxa"/>
            <w:vAlign w:val="bottom"/>
            <w:vMerge w:val="restart"/>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vMerge w:val="restart"/>
          </w:tcPr>
          <w:p>
            <w:pPr>
              <w:jc w:val="right"/>
              <w:ind w:right="576"/>
              <w:spacing w:after="0"/>
              <w:rPr>
                <w:sz w:val="20"/>
                <w:szCs w:val="20"/>
                <w:color w:val="auto"/>
              </w:rPr>
            </w:pPr>
            <w:r>
              <w:rPr>
                <w:rFonts w:ascii="Times New Roman" w:cs="Times New Roman" w:eastAsia="Times New Roman" w:hAnsi="Times New Roman"/>
                <w:sz w:val="18"/>
                <w:szCs w:val="18"/>
                <w:color w:val="auto"/>
              </w:rPr>
              <w:t>2,492,227</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auto"/>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security holders </w:t>
            </w:r>
            <w:r>
              <w:rPr>
                <w:rFonts w:ascii="Times New Roman" w:cs="Times New Roman" w:eastAsia="Times New Roman" w:hAnsi="Times New Roman"/>
                <w:sz w:val="23"/>
                <w:szCs w:val="23"/>
                <w:color w:val="auto"/>
                <w:vertAlign w:val="superscript"/>
              </w:rPr>
              <w:t>(2)</w:t>
            </w:r>
          </w:p>
        </w:tc>
        <w:tc>
          <w:tcPr>
            <w:tcW w:w="22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vMerge w:val="continue"/>
          </w:tcPr>
          <w:p>
            <w:pPr>
              <w:spacing w:after="0"/>
              <w:rPr>
                <w:sz w:val="19"/>
                <w:szCs w:val="19"/>
                <w:color w:val="auto"/>
              </w:rPr>
            </w:pPr>
          </w:p>
        </w:tc>
        <w:tc>
          <w:tcPr>
            <w:tcW w:w="2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3,251,992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81.69</w:t>
            </w:r>
          </w:p>
        </w:tc>
        <w:tc>
          <w:tcPr>
            <w:tcW w:w="244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10,725,173</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ind w:left="400" w:right="20" w:hanging="374"/>
        <w:spacing w:after="0"/>
        <w:tabs>
          <w:tab w:leader="none" w:pos="40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Column (a) includes, as of December 31, 2020: 1,437,214 shares that have been granted as restricted stock units (RSUs), 595,190 shares that could be earned pursuant to grants of performance stock units (PSUs) (assuming the maximum number of PSUs are earned and payable at the end of the three-year performance period) and 427,886 shares granted as options under the Lockheed Martin Corporation 2020 Incentive Performance Award Plan (2020 IPA Plan) or predecessor plans and 15,743 shares granted as options and 87,367 stock units payable in stock or cash under the Lockheed Martin Corporation Amended and Restated Directors Equity Plan (Directors Plan) or predecessor plans for non-employee directors. Column (c) includes, as of December 31, 2020, 7,837,448 shares available for future issuance under the 2020 IPA Plan as options, stock appreciation rights, restricted stock awards, RSUs or PSUs and 395,498 shares available for future issuance under the Directors Plan as stock options and stock units. Vested stock units are payable to directors upon their termination of service from our Board, except that directors who have satisfied the stock ownership guidelines may elect to have payment of awards made after January 1, 2018 (together with any dividend equivalents thereon) made on the first business day of April following the one-year anniversary of the grant. The weighted average price does not take into account shares issued pursuant to RSUs or PSUs.</w:t>
      </w:r>
    </w:p>
    <w:p>
      <w:pPr>
        <w:spacing w:after="0" w:line="172" w:lineRule="exact"/>
        <w:rPr>
          <w:rFonts w:ascii="Times New Roman" w:cs="Times New Roman" w:eastAsia="Times New Roman" w:hAnsi="Times New Roman"/>
          <w:sz w:val="19"/>
          <w:szCs w:val="19"/>
          <w:color w:val="auto"/>
          <w:vertAlign w:val="superscript"/>
        </w:rPr>
      </w:pPr>
    </w:p>
    <w:p>
      <w:pPr>
        <w:jc w:val="both"/>
        <w:ind w:left="400" w:right="20" w:hanging="374"/>
        <w:spacing w:after="0" w:line="229" w:lineRule="auto"/>
        <w:tabs>
          <w:tab w:leader="none" w:pos="40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The shares represent annual incentive bonuses and Long-Term Incentive Performance (LTIP) payments earned and voluntarily deferred by employees. The deferred amounts are payable under the Deferred Management Incentive Compensation Plan (DMICP). Deferred amounts are credited as phantom stock units at the closing price of our stock on the date the deferral is effective. Amounts equal to our dividend are credited as stock units at the time we pay a dividend. Following termination of employment, a number of shares of stock equal to the number of stock units credited to the employee’s DMICP account are distributed to the employee. There is no discount or value transfer on the stock distributed. Distributions may be made from newly issued shares or shares purchased on the open market. Historically, all distributions have come from shares held in a separate trust and, therefore, do not further dilute our common shares outstanding. As a result, these shares also were not considered in calculating the total weighted average exercise price in the table. Because the DMICP shares are outstanding, they should be included in the denominator (and not the numerator) of a dilution calculation.</w:t>
      </w:r>
    </w:p>
    <w:p>
      <w:pPr>
        <w:spacing w:after="0" w:line="20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404 and 407(a) of Regulation S-K is included under the captions “Corporate Governance - Related Person Transaction Policy,” “Corporate Governance - Certain Relationships and Related Person Transactions of Directors, Executive Officers and 5 Percent Stockholders,” and “Corporate Governance - Director Independence” in the 2021 Proxy Statement, and that information is incorporated by reference in this Form 10-K.</w:t>
      </w:r>
    </w:p>
    <w:p>
      <w:pPr>
        <w:spacing w:after="0" w:line="200" w:lineRule="exact"/>
        <w:rPr>
          <w:sz w:val="20"/>
          <w:szCs w:val="20"/>
          <w:color w:val="auto"/>
        </w:rPr>
      </w:pPr>
    </w:p>
    <w:p>
      <w:pPr>
        <w:spacing w:after="0" w:line="24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included under the caption “Proposal 2 - Ratification of Appointment of Independent Auditors” in the 2021 Proxy Statement, and that information is incorporated by reference in this Form 10-K.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financial statements filed as part of this Form 10-K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financial statements of Lockheed Martin Corporation and consolidated subsidiaries are included in Item 8 of this Annual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(Form 10-K) at the page numbers referenced below:</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560" w:type="dxa"/>
            <w:vAlign w:val="bottom"/>
            <w:vMerge w:val="restart"/>
          </w:tcPr>
          <w:p>
            <w:pPr>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Consolidated Statements of Earnings – Years ended December 31, 2020, 2019 and 2018</w:t>
              </w:r>
            </w:hyperlink>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8"/>
        </w:trPr>
        <w:tc>
          <w:tcPr>
            <w:tcW w:w="10560" w:type="dxa"/>
            <w:vAlign w:val="bottom"/>
            <w:vMerge w:val="continue"/>
          </w:tcPr>
          <w:p>
            <w:pPr>
              <w:spacing w:after="0"/>
              <w:rPr>
                <w:sz w:val="18"/>
                <w:szCs w:val="18"/>
                <w:color w:val="auto"/>
              </w:rPr>
            </w:pPr>
          </w:p>
        </w:tc>
        <w:tc>
          <w:tcPr>
            <w:tcW w:w="660" w:type="dxa"/>
            <w:vAlign w:val="bottom"/>
          </w:tcPr>
          <w:p>
            <w:pPr>
              <w:jc w:val="right"/>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67</w:t>
              </w:r>
            </w:hyperlink>
          </w:p>
        </w:tc>
        <w:tc>
          <w:tcPr>
            <w:tcW w:w="0" w:type="dxa"/>
            <w:vAlign w:val="bottom"/>
          </w:tcPr>
          <w:p>
            <w:pPr>
              <w:spacing w:after="0"/>
              <w:rPr>
                <w:sz w:val="1"/>
                <w:szCs w:val="1"/>
                <w:color w:val="auto"/>
              </w:rPr>
            </w:pPr>
          </w:p>
        </w:tc>
      </w:tr>
      <w:tr>
        <w:trPr>
          <w:trHeight w:val="230"/>
        </w:trPr>
        <w:tc>
          <w:tcPr>
            <w:tcW w:w="10560" w:type="dxa"/>
            <w:vAlign w:val="bottom"/>
          </w:tcPr>
          <w:p>
            <w:pPr>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Consolidated Statements of Comprehensive Income – Years ended December 31, 2020, 2019 and 2018</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68</w:t>
              </w:r>
            </w:hyperlink>
          </w:p>
        </w:tc>
        <w:tc>
          <w:tcPr>
            <w:tcW w:w="0" w:type="dxa"/>
            <w:vAlign w:val="bottom"/>
          </w:tcPr>
          <w:p>
            <w:pPr>
              <w:spacing w:after="0"/>
              <w:rPr>
                <w:sz w:val="1"/>
                <w:szCs w:val="1"/>
                <w:color w:val="auto"/>
              </w:rPr>
            </w:pPr>
          </w:p>
        </w:tc>
      </w:tr>
      <w:tr>
        <w:trPr>
          <w:trHeight w:val="229"/>
        </w:trPr>
        <w:tc>
          <w:tcPr>
            <w:tcW w:w="10560" w:type="dxa"/>
            <w:vAlign w:val="bottom"/>
          </w:tcPr>
          <w:p>
            <w:pPr>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Consolidated Balance Sheets – At December 31, 2020 and 2019</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69</w:t>
              </w:r>
            </w:hyperlink>
          </w:p>
        </w:tc>
        <w:tc>
          <w:tcPr>
            <w:tcW w:w="0" w:type="dxa"/>
            <w:vAlign w:val="bottom"/>
          </w:tcPr>
          <w:p>
            <w:pPr>
              <w:spacing w:after="0"/>
              <w:rPr>
                <w:sz w:val="1"/>
                <w:szCs w:val="1"/>
                <w:color w:val="auto"/>
              </w:rPr>
            </w:pPr>
          </w:p>
        </w:tc>
      </w:tr>
      <w:tr>
        <w:trPr>
          <w:trHeight w:val="229"/>
        </w:trPr>
        <w:tc>
          <w:tcPr>
            <w:tcW w:w="10560" w:type="dxa"/>
            <w:vAlign w:val="bottom"/>
          </w:tcPr>
          <w:p>
            <w:pPr>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Consolidated Statements of Cash Flows – Years ended December 31, 2020, 2019 and 2018</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70</w:t>
              </w:r>
            </w:hyperlink>
          </w:p>
        </w:tc>
        <w:tc>
          <w:tcPr>
            <w:tcW w:w="0" w:type="dxa"/>
            <w:vAlign w:val="bottom"/>
          </w:tcPr>
          <w:p>
            <w:pPr>
              <w:spacing w:after="0"/>
              <w:rPr>
                <w:sz w:val="1"/>
                <w:szCs w:val="1"/>
                <w:color w:val="auto"/>
              </w:rPr>
            </w:pPr>
          </w:p>
        </w:tc>
      </w:tr>
      <w:tr>
        <w:trPr>
          <w:trHeight w:val="230"/>
        </w:trPr>
        <w:tc>
          <w:tcPr>
            <w:tcW w:w="10560" w:type="dxa"/>
            <w:vAlign w:val="bottom"/>
          </w:tcPr>
          <w:p>
            <w:pPr>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Consolidated Statements of Equity – Years ended December 31, 2020, 2019 and 2018</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71</w:t>
              </w:r>
            </w:hyperlink>
          </w:p>
        </w:tc>
        <w:tc>
          <w:tcPr>
            <w:tcW w:w="0" w:type="dxa"/>
            <w:vAlign w:val="bottom"/>
          </w:tcPr>
          <w:p>
            <w:pPr>
              <w:spacing w:after="0"/>
              <w:rPr>
                <w:sz w:val="1"/>
                <w:szCs w:val="1"/>
                <w:color w:val="auto"/>
              </w:rPr>
            </w:pPr>
          </w:p>
        </w:tc>
      </w:tr>
      <w:tr>
        <w:trPr>
          <w:trHeight w:val="234"/>
        </w:trPr>
        <w:tc>
          <w:tcPr>
            <w:tcW w:w="10560" w:type="dxa"/>
            <w:vAlign w:val="bottom"/>
          </w:tcPr>
          <w:p>
            <w:pPr>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Notes to Consolidated Financial Statements</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72</w:t>
              </w:r>
            </w:hyperlink>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The report of Lockheed Martin Corporation’s independent registered public accounting firm with respect to the above-referenced financial statements and their report on internal control over financial reporting are included in Item 8 and Item 9A of this Form 10-K at the page numbers referenced below. Their consent appears as Exhibit 23 of this Form 10-K.</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540" w:type="dxa"/>
            <w:vAlign w:val="bottom"/>
            <w:vMerge w:val="restart"/>
          </w:tcPr>
          <w:p>
            <w:pPr>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Report of Independent Registered Public Accounting Firm on the Audited Consolidated Financial Statements</w:t>
              </w:r>
            </w:hyperlink>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8"/>
        </w:trPr>
        <w:tc>
          <w:tcPr>
            <w:tcW w:w="10540" w:type="dxa"/>
            <w:vAlign w:val="bottom"/>
            <w:vMerge w:val="continue"/>
          </w:tcPr>
          <w:p>
            <w:pPr>
              <w:spacing w:after="0"/>
              <w:rPr>
                <w:sz w:val="18"/>
                <w:szCs w:val="18"/>
                <w:color w:val="auto"/>
              </w:rPr>
            </w:pPr>
          </w:p>
        </w:tc>
        <w:tc>
          <w:tcPr>
            <w:tcW w:w="660" w:type="dxa"/>
            <w:vAlign w:val="bottom"/>
          </w:tcPr>
          <w:p>
            <w:pPr>
              <w:jc w:val="right"/>
              <w:spacing w:after="0"/>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color w:val="0000FF"/>
                </w:rPr>
                <w:t>64</w:t>
              </w:r>
            </w:hyperlink>
          </w:p>
        </w:tc>
        <w:tc>
          <w:tcPr>
            <w:tcW w:w="0" w:type="dxa"/>
            <w:vAlign w:val="bottom"/>
          </w:tcPr>
          <w:p>
            <w:pPr>
              <w:spacing w:after="0"/>
              <w:rPr>
                <w:sz w:val="1"/>
                <w:szCs w:val="1"/>
                <w:color w:val="auto"/>
              </w:rPr>
            </w:pPr>
          </w:p>
        </w:tc>
      </w:tr>
      <w:tr>
        <w:trPr>
          <w:trHeight w:val="234"/>
        </w:trPr>
        <w:tc>
          <w:tcPr>
            <w:tcW w:w="10540" w:type="dxa"/>
            <w:vAlign w:val="bottom"/>
          </w:tcPr>
          <w:p>
            <w:pPr>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Report of Independent Registered Public Accounting Firm Regarding Internal Control Over Financial Reporting</w:t>
              </w:r>
            </w:hyperlink>
          </w:p>
        </w:tc>
        <w:tc>
          <w:tcPr>
            <w:tcW w:w="660" w:type="dxa"/>
            <w:vAlign w:val="bottom"/>
          </w:tcPr>
          <w:p>
            <w:pPr>
              <w:jc w:val="right"/>
              <w:spacing w:after="0"/>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color w:val="0000FF"/>
                </w:rPr>
                <w:t>108</w:t>
              </w:r>
            </w:hyperlink>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financial statement schedules filed as part of this Form 10-K</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applicable, not required or the information has been otherwise supplied in the consolidated financial statements or notes to consolidated financial statements.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180" w:type="dxa"/>
            <w:vAlign w:val="bottom"/>
            <w:gridSpan w:val="15"/>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Agreement and Plan of Merger by and among Lockheed Martin Corporation, Mizar Sub, Inc. and Aerojet Rocketdyne Holdings, Inc.,</w:t>
              </w:r>
            </w:hyperlink>
          </w:p>
        </w:tc>
      </w:tr>
      <w:tr>
        <w:trPr>
          <w:trHeight w:val="155"/>
        </w:trPr>
        <w:tc>
          <w:tcPr>
            <w:tcW w:w="112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dated as of December 20, 2020 (incorporated by reference to Exhibit 2.1 to Lockheed Martin Corporation’s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10080" w:type="dxa"/>
            <w:vAlign w:val="bottom"/>
            <w:gridSpan w:val="10"/>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 xml:space="preserve">filed with the SEC on December 21, 2020). </w:t>
              </w:r>
              <w:r>
                <w:rPr>
                  <w:rFonts w:ascii="Times New Roman" w:cs="Times New Roman" w:eastAsia="Times New Roman" w:hAnsi="Times New Roman"/>
                  <w:sz w:val="18"/>
                  <w:szCs w:val="18"/>
                  <w:color w:val="000000"/>
                </w:rPr>
                <w:t>The schedules and exhibits to the Merger Agreement have been omitted pursuant to Item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10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601(a)(5) of Regulation S-K, and such schedules and exhibits will be furnished to the SEC upon request.</w:t>
            </w:r>
          </w:p>
        </w:tc>
      </w:tr>
      <w:tr>
        <w:trPr>
          <w:trHeight w:val="21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180" w:type="dxa"/>
            <w:vAlign w:val="bottom"/>
            <w:gridSpan w:val="15"/>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Charter of Lockheed Martin Corporation, as amended by Articles of Amendment dated April 23, 2009 (incorporated by reference to</w:t>
              </w:r>
            </w:hyperlink>
          </w:p>
        </w:tc>
      </w:tr>
      <w:tr>
        <w:trPr>
          <w:trHeight w:val="228"/>
        </w:trPr>
        <w:tc>
          <w:tcPr>
            <w:tcW w:w="1120" w:type="dxa"/>
            <w:vAlign w:val="bottom"/>
          </w:tcPr>
          <w:p>
            <w:pPr>
              <w:spacing w:after="0"/>
              <w:rPr>
                <w:sz w:val="19"/>
                <w:szCs w:val="19"/>
                <w:color w:val="auto"/>
              </w:rPr>
            </w:pPr>
          </w:p>
        </w:tc>
        <w:tc>
          <w:tcPr>
            <w:tcW w:w="10020" w:type="dxa"/>
            <w:vAlign w:val="bottom"/>
            <w:tcBorders>
              <w:top w:val="single" w:sz="8" w:color="0000FF"/>
            </w:tcBorders>
            <w:gridSpan w:val="7"/>
          </w:tcPr>
          <w:p>
            <w:pPr>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Exhibit 3.1 to Lockheed Martin Corporation’s Annual Report on Form 10-K for the year ended December 31, 2010).</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180" w:type="dxa"/>
            <w:vAlign w:val="bottom"/>
            <w:gridSpan w:val="1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Bylaws of Lockheed Martin Corporation, as amended and restated effective April 8, 2020 (incorporated by reference to Exhibit 3.1 to</w:t>
              </w:r>
            </w:hyperlink>
          </w:p>
        </w:tc>
      </w:tr>
      <w:tr>
        <w:trPr>
          <w:trHeight w:val="156"/>
        </w:trPr>
        <w:tc>
          <w:tcPr>
            <w:tcW w:w="11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Lockheed Martin Corporation’s Current Report on Form 8-K filed with the SEC on April 9, 2020).</w:t>
              </w:r>
            </w:hyperlink>
          </w:p>
        </w:tc>
        <w:tc>
          <w:tcPr>
            <w:tcW w:w="30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180" w:type="dxa"/>
            <w:vAlign w:val="bottom"/>
            <w:gridSpan w:val="1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Description of Lockheed Martin Corporation Common Stock (incorporated by reference to Exhibit 4.1 to Lockheed Martin Corporation’s</w:t>
              </w:r>
            </w:hyperlink>
          </w:p>
        </w:tc>
      </w:tr>
      <w:tr>
        <w:trPr>
          <w:trHeight w:val="155"/>
        </w:trPr>
        <w:tc>
          <w:tcPr>
            <w:tcW w:w="112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Annual Report on Form 10-K for the year ended December 31, 2019).</w:t>
              </w:r>
            </w:hyperlink>
          </w:p>
        </w:tc>
        <w:tc>
          <w:tcPr>
            <w:tcW w:w="4840" w:type="dxa"/>
            <w:vAlign w:val="bottom"/>
            <w:tcBorders>
              <w:top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180" w:type="dxa"/>
            <w:vAlign w:val="bottom"/>
            <w:gridSpan w:val="1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Indenture, dated May 15, 1996, among Lockheed Martin Corporation, Lockheed Martin Tactical Systems, Inc. and First Trust of Illinois,</w:t>
              </w:r>
            </w:hyperlink>
          </w:p>
        </w:tc>
      </w:tr>
      <w:tr>
        <w:trPr>
          <w:trHeight w:val="155"/>
        </w:trPr>
        <w:tc>
          <w:tcPr>
            <w:tcW w:w="112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National Association as Trustee (incorporated by reference to Exhibit 4.1 to Lockheed Martin Corporation’s Annual Report on Form 10-K</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060" w:type="dxa"/>
            <w:vAlign w:val="bottom"/>
            <w:gridSpan w:val="9"/>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 the year ended December 31,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71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180" w:type="dxa"/>
            <w:vAlign w:val="bottom"/>
            <w:gridSpan w:val="1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Indenture, dated as of August 30, 2006, between Lockheed Martin Corporation and The Bank of New York (incorporated by reference to</w:t>
              </w:r>
            </w:hyperlink>
          </w:p>
        </w:tc>
      </w:tr>
      <w:tr>
        <w:trPr>
          <w:trHeight w:val="228"/>
        </w:trPr>
        <w:tc>
          <w:tcPr>
            <w:tcW w:w="1120" w:type="dxa"/>
            <w:vAlign w:val="bottom"/>
          </w:tcPr>
          <w:p>
            <w:pPr>
              <w:spacing w:after="0"/>
              <w:rPr>
                <w:sz w:val="19"/>
                <w:szCs w:val="19"/>
                <w:color w:val="auto"/>
              </w:rPr>
            </w:pPr>
          </w:p>
        </w:tc>
        <w:tc>
          <w:tcPr>
            <w:tcW w:w="10160" w:type="dxa"/>
            <w:vAlign w:val="bottom"/>
            <w:tcBorders>
              <w:top w:val="single" w:sz="8" w:color="0000FF"/>
            </w:tcBorders>
            <w:gridSpan w:val="14"/>
          </w:tcPr>
          <w:p>
            <w:pPr>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Exhibit 99.1 to Lockheed Martin Corporation’s Current Report on Form 8-K filed with the SEC on August 31, 2006).</w:t>
              </w:r>
            </w:hyperlink>
          </w:p>
        </w:tc>
        <w:tc>
          <w:tcPr>
            <w:tcW w:w="20" w:type="dxa"/>
            <w:vAlign w:val="bottom"/>
          </w:tcPr>
          <w:p>
            <w:pPr>
              <w:spacing w:after="0"/>
              <w:rPr>
                <w:sz w:val="19"/>
                <w:szCs w:val="19"/>
                <w:color w:val="auto"/>
              </w:rPr>
            </w:pPr>
          </w:p>
        </w:tc>
      </w:tr>
      <w:tr>
        <w:trPr>
          <w:trHeight w:val="21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180" w:type="dxa"/>
            <w:vAlign w:val="bottom"/>
            <w:gridSpan w:val="1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Indenture, dated as of March 11, 2008, between Lockheed Martin Corporation and The Bank of New York (incorporated by reference to</w:t>
              </w:r>
            </w:hyperlink>
          </w:p>
        </w:tc>
      </w:tr>
      <w:tr>
        <w:trPr>
          <w:trHeight w:val="228"/>
        </w:trPr>
        <w:tc>
          <w:tcPr>
            <w:tcW w:w="1120" w:type="dxa"/>
            <w:vAlign w:val="bottom"/>
          </w:tcPr>
          <w:p>
            <w:pPr>
              <w:spacing w:after="0"/>
              <w:rPr>
                <w:sz w:val="19"/>
                <w:szCs w:val="19"/>
                <w:color w:val="auto"/>
              </w:rPr>
            </w:pPr>
          </w:p>
        </w:tc>
        <w:tc>
          <w:tcPr>
            <w:tcW w:w="10100" w:type="dxa"/>
            <w:vAlign w:val="bottom"/>
            <w:tcBorders>
              <w:top w:val="single" w:sz="8" w:color="0000FF"/>
            </w:tcBorders>
            <w:gridSpan w:val="11"/>
          </w:tcPr>
          <w:p>
            <w:pPr>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Exhibit 4.1 to Lockheed Martin Corporation’s Current Report on Form 8-K filed with the SEC on March 12, 2008).</w:t>
              </w:r>
            </w:hyperlink>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1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180" w:type="dxa"/>
            <w:vAlign w:val="bottom"/>
            <w:gridSpan w:val="1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Indenture, dated as of May 25, 2010, between Lockheed Martin Corporation and U.S. Bank National Association (incorporated by</w:t>
              </w:r>
            </w:hyperlink>
          </w:p>
        </w:tc>
      </w:tr>
      <w:tr>
        <w:trPr>
          <w:trHeight w:val="228"/>
        </w:trPr>
        <w:tc>
          <w:tcPr>
            <w:tcW w:w="1120" w:type="dxa"/>
            <w:vAlign w:val="bottom"/>
          </w:tcPr>
          <w:p>
            <w:pPr>
              <w:spacing w:after="0"/>
              <w:rPr>
                <w:sz w:val="19"/>
                <w:szCs w:val="19"/>
                <w:color w:val="auto"/>
              </w:rPr>
            </w:pPr>
          </w:p>
        </w:tc>
        <w:tc>
          <w:tcPr>
            <w:tcW w:w="10040" w:type="dxa"/>
            <w:vAlign w:val="bottom"/>
            <w:tcBorders>
              <w:top w:val="single" w:sz="8" w:color="0000FF"/>
            </w:tcBorders>
            <w:gridSpan w:val="8"/>
          </w:tcPr>
          <w:p>
            <w:pPr>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reference to Exhibit 99.1 to Lockheed Martin Corporation’s Current Report on Form 8-K filed with the SEC on May 25, 2010).</w:t>
              </w:r>
            </w:hyperlink>
          </w:p>
        </w:tc>
        <w:tc>
          <w:tcPr>
            <w:tcW w:w="80" w:type="dxa"/>
            <w:vAlign w:val="bottom"/>
            <w:gridSpan w:val="4"/>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1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180" w:type="dxa"/>
            <w:vAlign w:val="bottom"/>
            <w:gridSpan w:val="15"/>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Indenture, dated as of September 6, 2011, between Lockheed Martin Corporation and U.S. Bank National Association (incorporated by</w:t>
              </w:r>
            </w:hyperlink>
          </w:p>
        </w:tc>
      </w:tr>
      <w:tr>
        <w:trPr>
          <w:trHeight w:val="228"/>
        </w:trPr>
        <w:tc>
          <w:tcPr>
            <w:tcW w:w="1120" w:type="dxa"/>
            <w:vAlign w:val="bottom"/>
          </w:tcPr>
          <w:p>
            <w:pPr>
              <w:spacing w:after="0"/>
              <w:rPr>
                <w:sz w:val="19"/>
                <w:szCs w:val="19"/>
                <w:color w:val="auto"/>
              </w:rPr>
            </w:pPr>
          </w:p>
        </w:tc>
        <w:tc>
          <w:tcPr>
            <w:tcW w:w="10120" w:type="dxa"/>
            <w:vAlign w:val="bottom"/>
            <w:tcBorders>
              <w:top w:val="single" w:sz="8" w:color="0000FF"/>
            </w:tcBorders>
            <w:gridSpan w:val="12"/>
          </w:tcPr>
          <w:p>
            <w:pPr>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reference to Exhibit 4.1 to Lockheed Martin Corporation’s Registration Statement on Form S-3 filed with the SEC on April 24, 2020).</w:t>
              </w:r>
            </w:hyperlink>
          </w:p>
        </w:tc>
        <w:tc>
          <w:tcPr>
            <w:tcW w:w="60" w:type="dxa"/>
            <w:vAlign w:val="bottom"/>
            <w:gridSpan w:val="3"/>
          </w:tcPr>
          <w:p>
            <w:pPr>
              <w:spacing w:after="0"/>
              <w:rPr>
                <w:sz w:val="19"/>
                <w:szCs w:val="19"/>
                <w:color w:val="auto"/>
              </w:rPr>
            </w:pPr>
          </w:p>
        </w:tc>
      </w:tr>
      <w:tr>
        <w:trPr>
          <w:trHeight w:val="657"/>
        </w:trPr>
        <w:tc>
          <w:tcPr>
            <w:tcW w:w="1120" w:type="dxa"/>
            <w:vAlign w:val="bottom"/>
          </w:tcPr>
          <w:p>
            <w:pPr>
              <w:spacing w:after="0"/>
              <w:rPr>
                <w:sz w:val="24"/>
                <w:szCs w:val="24"/>
                <w:color w:val="auto"/>
              </w:rPr>
            </w:pPr>
          </w:p>
        </w:tc>
        <w:tc>
          <w:tcPr>
            <w:tcW w:w="5060" w:type="dxa"/>
            <w:vAlign w:val="bottom"/>
            <w:gridSpan w:val="3"/>
          </w:tcPr>
          <w:p>
            <w:pPr>
              <w:ind w:left="4380"/>
              <w:spacing w:after="0"/>
              <w:rPr>
                <w:sz w:val="20"/>
                <w:szCs w:val="20"/>
                <w:color w:val="auto"/>
              </w:rPr>
            </w:pPr>
            <w:r>
              <w:rPr>
                <w:rFonts w:ascii="Times New Roman" w:cs="Times New Roman" w:eastAsia="Times New Roman" w:hAnsi="Times New Roman"/>
                <w:sz w:val="18"/>
                <w:szCs w:val="18"/>
                <w:color w:val="auto"/>
              </w:rPr>
              <w:t>111</w:t>
            </w:r>
          </w:p>
        </w:tc>
        <w:tc>
          <w:tcPr>
            <w:tcW w:w="20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1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Indenture, dated as of December 14, 2012, between Lockheed Martin Corporation and U.S. Bank National Association (incorporated by</w:t>
              </w:r>
            </w:hyperlink>
          </w:p>
        </w:tc>
      </w:tr>
      <w:tr>
        <w:trPr>
          <w:trHeight w:val="228"/>
        </w:trPr>
        <w:tc>
          <w:tcPr>
            <w:tcW w:w="1120" w:type="dxa"/>
            <w:vAlign w:val="bottom"/>
          </w:tcPr>
          <w:p>
            <w:pPr>
              <w:spacing w:after="0"/>
              <w:rPr>
                <w:sz w:val="19"/>
                <w:szCs w:val="19"/>
                <w:color w:val="auto"/>
              </w:rPr>
            </w:pPr>
          </w:p>
        </w:tc>
        <w:tc>
          <w:tcPr>
            <w:tcW w:w="10240" w:type="dxa"/>
            <w:vAlign w:val="bottom"/>
            <w:tcBorders>
              <w:top w:val="single" w:sz="8" w:color="0000FF"/>
            </w:tcBorders>
            <w:gridSpan w:val="27"/>
          </w:tcPr>
          <w:p>
            <w:pPr>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reference to Exhibit 99.1 to Lockheed Martin Corporation’s Current Report on Form 8-K filed with the SEC on December 17, 2012).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Indenture dated as of September 7, 2017, between Lockheed Martin Corporation and U.S. Bank National Association, as trustee</w:t>
              </w:r>
            </w:hyperlink>
          </w:p>
        </w:tc>
      </w:tr>
      <w:tr>
        <w:trPr>
          <w:trHeight w:val="228"/>
        </w:trPr>
        <w:tc>
          <w:tcPr>
            <w:tcW w:w="1120" w:type="dxa"/>
            <w:vAlign w:val="bottom"/>
          </w:tcPr>
          <w:p>
            <w:pPr>
              <w:spacing w:after="0"/>
              <w:rPr>
                <w:sz w:val="19"/>
                <w:szCs w:val="19"/>
                <w:color w:val="auto"/>
              </w:rPr>
            </w:pPr>
          </w:p>
        </w:tc>
        <w:tc>
          <w:tcPr>
            <w:tcW w:w="9220" w:type="dxa"/>
            <w:vAlign w:val="bottom"/>
            <w:tcBorders>
              <w:top w:val="single" w:sz="8" w:color="0000FF"/>
            </w:tcBorders>
            <w:gridSpan w:val="13"/>
          </w:tcPr>
          <w:p>
            <w:pPr>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(incorporated by reference to Exhibit 99.1 of Lockheed Martin's Current Report on Form 8-K filed with the SEC on September</w:t>
              </w:r>
            </w:hyperlink>
          </w:p>
        </w:tc>
        <w:tc>
          <w:tcPr>
            <w:tcW w:w="780" w:type="dxa"/>
            <w:vAlign w:val="bottom"/>
            <w:gridSpan w:val="2"/>
          </w:tcPr>
          <w:p>
            <w:pPr>
              <w:jc w:val="right"/>
              <w:ind w:right="160"/>
              <w:spacing w:after="0"/>
              <w:rPr>
                <w:rFonts w:ascii="Times New Roman" w:cs="Times New Roman" w:eastAsia="Times New Roman" w:hAnsi="Times New Roman"/>
                <w:sz w:val="18"/>
                <w:szCs w:val="18"/>
                <w:u w:val="single" w:color="auto"/>
                <w:color w:val="0000FF"/>
                <w:w w:val="92"/>
              </w:rPr>
            </w:pPr>
            <w:hyperlink r:id="rId148">
              <w:r>
                <w:rPr>
                  <w:rFonts w:ascii="Times New Roman" w:cs="Times New Roman" w:eastAsia="Times New Roman" w:hAnsi="Times New Roman"/>
                  <w:sz w:val="18"/>
                  <w:szCs w:val="18"/>
                  <w:u w:val="single" w:color="auto"/>
                  <w:color w:val="0000FF"/>
                  <w:w w:val="92"/>
                </w:rPr>
                <w:t>7, 2012).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1120" w:type="dxa"/>
            <w:vAlign w:val="bottom"/>
          </w:tcPr>
          <w:p>
            <w:pPr>
              <w:spacing w:after="0"/>
              <w:rPr>
                <w:sz w:val="21"/>
                <w:szCs w:val="21"/>
                <w:color w:val="auto"/>
              </w:rPr>
            </w:pPr>
          </w:p>
        </w:tc>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See also Exhibits 3.1 and 3.2.</w:t>
            </w:r>
          </w:p>
        </w:tc>
      </w:tr>
      <w:tr>
        <w:trPr>
          <w:trHeight w:val="265"/>
        </w:trPr>
        <w:tc>
          <w:tcPr>
            <w:tcW w:w="1120" w:type="dxa"/>
            <w:vAlign w:val="bottom"/>
          </w:tcPr>
          <w:p>
            <w:pPr>
              <w:spacing w:after="0"/>
              <w:rPr>
                <w:sz w:val="23"/>
                <w:szCs w:val="23"/>
                <w:color w:val="auto"/>
              </w:rPr>
            </w:pPr>
          </w:p>
        </w:tc>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Pursuant to Item 601(b)(4)(iii) of Regulation S-K, copies of instruments defining the rights of certain holders of long-term debt are not</w:t>
            </w:r>
          </w:p>
        </w:tc>
      </w:tr>
      <w:tr>
        <w:trPr>
          <w:trHeight w:val="234"/>
        </w:trPr>
        <w:tc>
          <w:tcPr>
            <w:tcW w:w="1120" w:type="dxa"/>
            <w:vAlign w:val="bottom"/>
          </w:tcPr>
          <w:p>
            <w:pPr>
              <w:spacing w:after="0"/>
              <w:rPr>
                <w:sz w:val="20"/>
                <w:szCs w:val="20"/>
                <w:color w:val="auto"/>
              </w:rPr>
            </w:pPr>
          </w:p>
        </w:tc>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filed. The Corporation will furnish copies thereof to the SEC upon request.</w:t>
            </w:r>
          </w:p>
        </w:tc>
      </w:tr>
      <w:tr>
        <w:trPr>
          <w:trHeight w:val="25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Five-Year Credit Agreement dated as of August 24, 2018, among Lockheed Martin Corporation, the lenders listed therein, and Bank of</w:t>
              </w:r>
            </w:hyperlink>
          </w:p>
        </w:tc>
      </w:tr>
      <w:tr>
        <w:trPr>
          <w:trHeight w:val="155"/>
        </w:trPr>
        <w:tc>
          <w:tcPr>
            <w:tcW w:w="1120" w:type="dxa"/>
            <w:vAlign w:val="bottom"/>
          </w:tcPr>
          <w:p>
            <w:pPr>
              <w:spacing w:after="0"/>
              <w:rPr>
                <w:sz w:val="13"/>
                <w:szCs w:val="13"/>
                <w:color w:val="auto"/>
              </w:rPr>
            </w:pPr>
          </w:p>
        </w:tc>
        <w:tc>
          <w:tcPr>
            <w:tcW w:w="101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America, N.A., as administrative agent (incorporated by reference to Exhibit 10.1 to Lockheed Martin Corporation’s Current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1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8-K filed with the SEC on August 24, 2018)</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Extension Agreement dated as of August 24, 2019 by among Lockheed Martin Corporation, the lenders listed therein, and Bank of</w:t>
              </w:r>
            </w:hyperlink>
          </w:p>
        </w:tc>
      </w:tr>
      <w:tr>
        <w:trPr>
          <w:trHeight w:val="155"/>
        </w:trPr>
        <w:tc>
          <w:tcPr>
            <w:tcW w:w="1120" w:type="dxa"/>
            <w:vAlign w:val="bottom"/>
          </w:tcPr>
          <w:p>
            <w:pPr>
              <w:spacing w:after="0"/>
              <w:rPr>
                <w:sz w:val="13"/>
                <w:szCs w:val="13"/>
                <w:color w:val="auto"/>
              </w:rPr>
            </w:pPr>
          </w:p>
        </w:tc>
        <w:tc>
          <w:tcPr>
            <w:tcW w:w="103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America, N.A., as administrative agent (incorporated by reference to Exhibit 10.1 to Lockheed Martin Corporation’s Current Report on</w:t>
              </w:r>
            </w:hyperlink>
          </w:p>
        </w:tc>
        <w:tc>
          <w:tcPr>
            <w:tcW w:w="2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1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8-K filed with the SEC on August 26, 2019)</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Non-Employee Director Compensation Summary (incorporated by reference to Exhibit 10.1 to Lockheed Martin Corporation’s Quarterly</w:t>
              </w:r>
            </w:hyperlink>
          </w:p>
        </w:tc>
      </w:tr>
      <w:tr>
        <w:trPr>
          <w:trHeight w:val="156"/>
        </w:trPr>
        <w:tc>
          <w:tcPr>
            <w:tcW w:w="1120" w:type="dxa"/>
            <w:vAlign w:val="bottom"/>
          </w:tcPr>
          <w:p>
            <w:pPr>
              <w:spacing w:after="0"/>
              <w:rPr>
                <w:sz w:val="13"/>
                <w:szCs w:val="13"/>
                <w:color w:val="auto"/>
              </w:rPr>
            </w:pPr>
          </w:p>
        </w:tc>
        <w:tc>
          <w:tcPr>
            <w:tcW w:w="100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Report on Form 10-Q for the quarter ended September 29,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Lockheed Martin Corporation Directors Deferred Compensation Plan, as amended (incorporated by reference to Exhibit 10.2 to Lockheed</w:t>
              </w:r>
            </w:hyperlink>
          </w:p>
        </w:tc>
      </w:tr>
      <w:tr>
        <w:trPr>
          <w:trHeight w:val="156"/>
        </w:trPr>
        <w:tc>
          <w:tcPr>
            <w:tcW w:w="1120" w:type="dxa"/>
            <w:vAlign w:val="bottom"/>
          </w:tcPr>
          <w:p>
            <w:pPr>
              <w:spacing w:after="0"/>
              <w:rPr>
                <w:sz w:val="13"/>
                <w:szCs w:val="13"/>
                <w:color w:val="auto"/>
              </w:rPr>
            </w:pPr>
          </w:p>
        </w:tc>
        <w:tc>
          <w:tcPr>
            <w:tcW w:w="102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Martin Corporation’s Annual Report on Form 10-K for the year ended December 31, 2008).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Lockheed Martin Corporation Directors Equity Plan, as amended (incorporated by reference to Exhibit 10.1 to Lockheed Martin</w:t>
              </w:r>
            </w:hyperlink>
          </w:p>
        </w:tc>
      </w:tr>
      <w:tr>
        <w:trPr>
          <w:trHeight w:val="155"/>
        </w:trPr>
        <w:tc>
          <w:tcPr>
            <w:tcW w:w="1120" w:type="dxa"/>
            <w:vAlign w:val="bottom"/>
          </w:tcPr>
          <w:p>
            <w:pPr>
              <w:spacing w:after="0"/>
              <w:rPr>
                <w:sz w:val="13"/>
                <w:szCs w:val="13"/>
                <w:color w:val="auto"/>
              </w:rPr>
            </w:pPr>
          </w:p>
        </w:tc>
        <w:tc>
          <w:tcPr>
            <w:tcW w:w="100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Corporation’s Current Report on Form 8-K filed with the SEC on November 2, 2006).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Lockheed Martin Corporation Amended and Restated Directors Equity Plan (incorporated by reference to Exhibit 10.1 to Lockheed</w:t>
              </w:r>
            </w:hyperlink>
          </w:p>
        </w:tc>
      </w:tr>
      <w:tr>
        <w:trPr>
          <w:trHeight w:val="156"/>
        </w:trPr>
        <w:tc>
          <w:tcPr>
            <w:tcW w:w="1120" w:type="dxa"/>
            <w:vAlign w:val="bottom"/>
          </w:tcPr>
          <w:p>
            <w:pPr>
              <w:spacing w:after="0"/>
              <w:rPr>
                <w:sz w:val="13"/>
                <w:szCs w:val="13"/>
                <w:color w:val="auto"/>
              </w:rPr>
            </w:pPr>
          </w:p>
        </w:tc>
        <w:tc>
          <w:tcPr>
            <w:tcW w:w="101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Martin Corporation’s Current Report on Form 8-K filed with the SEC on April 26,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Indemnification Agreement (incorporated by reference to Exhibit 10.34 to Lockheed Martin Corporation’s Annual Report on</w:t>
              </w:r>
            </w:hyperlink>
          </w:p>
        </w:tc>
      </w:tr>
      <w:tr>
        <w:trPr>
          <w:trHeight w:val="156"/>
        </w:trPr>
        <w:tc>
          <w:tcPr>
            <w:tcW w:w="11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Form 10-K for the year ended December 31, 2009).</w:t>
              </w:r>
            </w:hyperlink>
          </w:p>
        </w:tc>
        <w:tc>
          <w:tcPr>
            <w:tcW w:w="654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Lockheed Martin Corporation Supplemental Savings Plan, as amended and restated effective January 1, 2015 (incorporated by reference</w:t>
              </w:r>
            </w:hyperlink>
          </w:p>
        </w:tc>
      </w:tr>
      <w:tr>
        <w:trPr>
          <w:trHeight w:val="228"/>
        </w:trPr>
        <w:tc>
          <w:tcPr>
            <w:tcW w:w="1120" w:type="dxa"/>
            <w:vAlign w:val="bottom"/>
          </w:tcPr>
          <w:p>
            <w:pPr>
              <w:spacing w:after="0"/>
              <w:rPr>
                <w:sz w:val="19"/>
                <w:szCs w:val="19"/>
                <w:color w:val="auto"/>
              </w:rPr>
            </w:pPr>
          </w:p>
        </w:tc>
        <w:tc>
          <w:tcPr>
            <w:tcW w:w="10200" w:type="dxa"/>
            <w:vAlign w:val="bottom"/>
            <w:tcBorders>
              <w:top w:val="single" w:sz="8" w:color="0000FF"/>
            </w:tcBorders>
            <w:gridSpan w:val="25"/>
          </w:tcPr>
          <w:p>
            <w:pPr>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to Exhibit 10.4 to Lockheed Martin Corporation’s Quarterly Report on Form 10-Q for the quarter ended March 29, 2015)</w:t>
              </w:r>
              <w:r>
                <w:rPr>
                  <w:rFonts w:ascii="Times New Roman" w:cs="Times New Roman" w:eastAsia="Times New Roman" w:hAnsi="Times New Roman"/>
                  <w:sz w:val="18"/>
                  <w:szCs w:val="18"/>
                  <w:u w:val="single" w:color="auto"/>
                  <w:color w:val="000000"/>
                </w:rPr>
                <w:t>.</w:t>
              </w:r>
            </w:hyperlink>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1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Lockheed Martin Corporation Nonqualified Capital Accumulation Plan, as amended and restated generally effective as of December 18,</w:t>
              </w:r>
            </w:hyperlink>
          </w:p>
        </w:tc>
      </w:tr>
      <w:tr>
        <w:trPr>
          <w:trHeight w:val="156"/>
        </w:trPr>
        <w:tc>
          <w:tcPr>
            <w:tcW w:w="112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2015 (incorporated by reference to Exhibit 10.22 to Lockheed Martin Corporation’s Annual Report on Form 10-K for the year ended</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152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December 31, 2015).</w:t>
              </w:r>
            </w:hyperlink>
          </w:p>
        </w:tc>
        <w:tc>
          <w:tcPr>
            <w:tcW w:w="8500" w:type="dxa"/>
            <w:vAlign w:val="bottom"/>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Amendment to Lockheed Martin Corporation Supplemental Savings Plan and Lockheed Martin Corporation Nonqualified Capital</w:t>
              </w:r>
            </w:hyperlink>
          </w:p>
        </w:tc>
      </w:tr>
      <w:tr>
        <w:trPr>
          <w:trHeight w:val="155"/>
        </w:trPr>
        <w:tc>
          <w:tcPr>
            <w:tcW w:w="1120" w:type="dxa"/>
            <w:vAlign w:val="bottom"/>
          </w:tcPr>
          <w:p>
            <w:pPr>
              <w:spacing w:after="0"/>
              <w:rPr>
                <w:sz w:val="13"/>
                <w:szCs w:val="13"/>
                <w:color w:val="auto"/>
              </w:rPr>
            </w:pPr>
          </w:p>
        </w:tc>
        <w:tc>
          <w:tcPr>
            <w:tcW w:w="103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Accumulation Program, dated December 18, 2019 (incorporated by reference to Exhibit 10.31 to Lockheed Martin Corporation’s Annual</w:t>
              </w:r>
            </w:hyperlink>
          </w:p>
        </w:tc>
        <w:tc>
          <w:tcPr>
            <w:tcW w:w="40" w:type="dxa"/>
            <w:vAlign w:val="bottom"/>
            <w:gridSpan w:val="2"/>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Report on Form 10-K for the year ended December 31, 2019).</w:t>
              </w:r>
            </w:hyperlink>
          </w:p>
        </w:tc>
        <w:tc>
          <w:tcPr>
            <w:tcW w:w="568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Lockheed Martin Corporation Deferred Management Incentive Compensation Plan, as amended and restated effective January 1, 2020</w:t>
              </w:r>
            </w:hyperlink>
          </w:p>
        </w:tc>
      </w:tr>
      <w:tr>
        <w:trPr>
          <w:trHeight w:val="155"/>
        </w:trPr>
        <w:tc>
          <w:tcPr>
            <w:tcW w:w="1120" w:type="dxa"/>
            <w:vAlign w:val="bottom"/>
          </w:tcPr>
          <w:p>
            <w:pPr>
              <w:spacing w:after="0"/>
              <w:rPr>
                <w:sz w:val="13"/>
                <w:szCs w:val="13"/>
                <w:color w:val="auto"/>
              </w:rPr>
            </w:pPr>
          </w:p>
        </w:tc>
        <w:tc>
          <w:tcPr>
            <w:tcW w:w="102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(incorporated by reference to Exhibit 10.8 to Lockheed Martin Corporation’s Annual Report on Form 10-K for the year ended December</w:t>
              </w:r>
            </w:hyperlink>
          </w:p>
        </w:tc>
        <w:tc>
          <w:tcPr>
            <w:tcW w:w="120" w:type="dxa"/>
            <w:vAlign w:val="bottom"/>
            <w:gridSpan w:val="6"/>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31, 2019).</w:t>
              </w:r>
            </w:hyperlink>
          </w:p>
        </w:tc>
        <w:tc>
          <w:tcPr>
            <w:tcW w:w="7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340" w:type="dxa"/>
            <w:vAlign w:val="bottom"/>
            <w:gridSpan w:val="32"/>
          </w:tcPr>
          <w:p>
            <w:pPr>
              <w:spacing w:after="0"/>
              <w:rPr>
                <w:rFonts w:ascii="Times New Roman" w:cs="Times New Roman" w:eastAsia="Times New Roman" w:hAnsi="Times New Roman"/>
                <w:sz w:val="18"/>
                <w:szCs w:val="18"/>
                <w:color w:val="0000FF"/>
              </w:rPr>
            </w:pPr>
            <w:hyperlink w:anchor="page116">
              <w:r>
                <w:rPr>
                  <w:rFonts w:ascii="Times New Roman" w:cs="Times New Roman" w:eastAsia="Times New Roman" w:hAnsi="Times New Roman"/>
                  <w:sz w:val="18"/>
                  <w:szCs w:val="18"/>
                  <w:color w:val="0000FF"/>
                </w:rPr>
                <w:t>Amendment No.1 to Lockheed Martin Corporation Deferred Management Incentive Compensation Plan, as amended and restated</w:t>
              </w:r>
            </w:hyperlink>
          </w:p>
        </w:tc>
      </w:tr>
      <w:tr>
        <w:trPr>
          <w:trHeight w:val="156"/>
        </w:trPr>
        <w:tc>
          <w:tcPr>
            <w:tcW w:w="11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w:anchor="page116">
              <w:r>
                <w:rPr>
                  <w:rFonts w:ascii="Times New Roman" w:cs="Times New Roman" w:eastAsia="Times New Roman" w:hAnsi="Times New Roman"/>
                  <w:sz w:val="18"/>
                  <w:szCs w:val="18"/>
                  <w:color w:val="0000FF"/>
                  <w:w w:val="98"/>
                </w:rPr>
                <w:t>effective January 1, 2020.</w:t>
              </w:r>
            </w:hyperlink>
          </w:p>
        </w:tc>
        <w:tc>
          <w:tcPr>
            <w:tcW w:w="7500" w:type="dxa"/>
            <w:vAlign w:val="bottom"/>
            <w:tcBorders>
              <w:top w:val="single" w:sz="8" w:color="0000FF"/>
            </w:tcBorders>
            <w:gridSpan w:val="11"/>
          </w:tcPr>
          <w:p>
            <w:pPr>
              <w:spacing w:after="0"/>
              <w:rPr>
                <w:sz w:val="13"/>
                <w:szCs w:val="13"/>
                <w:color w:val="auto"/>
              </w:rPr>
            </w:pPr>
          </w:p>
        </w:tc>
        <w:tc>
          <w:tcPr>
            <w:tcW w:w="70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Lockheed Martin Corporation Amended and Restated 2006 Management Incentive Compensation Plan (Performance Based), amended</w:t>
              </w:r>
            </w:hyperlink>
          </w:p>
        </w:tc>
      </w:tr>
      <w:tr>
        <w:trPr>
          <w:trHeight w:val="155"/>
        </w:trPr>
        <w:tc>
          <w:tcPr>
            <w:tcW w:w="1120" w:type="dxa"/>
            <w:vAlign w:val="bottom"/>
          </w:tcPr>
          <w:p>
            <w:pPr>
              <w:spacing w:after="0"/>
              <w:rPr>
                <w:sz w:val="13"/>
                <w:szCs w:val="13"/>
                <w:color w:val="auto"/>
              </w:rPr>
            </w:pPr>
          </w:p>
        </w:tc>
        <w:tc>
          <w:tcPr>
            <w:tcW w:w="101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and restated effective January 1, 2019 (incorporated by reference to Exhibit 10.4 to Lockheed Martin Corporation’s Quarterly Report on</w:t>
              </w:r>
            </w:hyperlink>
          </w:p>
        </w:tc>
        <w:tc>
          <w:tcPr>
            <w:tcW w:w="180" w:type="dxa"/>
            <w:vAlign w:val="bottom"/>
            <w:gridSpan w:val="9"/>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101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10-Q for the quarter ended March 31, 2019).</w:t>
              </w:r>
            </w:hyperlink>
          </w:p>
        </w:tc>
        <w:tc>
          <w:tcPr>
            <w:tcW w:w="200" w:type="dxa"/>
            <w:vAlign w:val="bottom"/>
            <w:gridSpan w:val="10"/>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Lockheed Martin Corporation Amended and Restated 2003 Incentive Performance Award Plan (incorporated by reference to Exhibit 10.17</w:t>
              </w:r>
            </w:hyperlink>
          </w:p>
        </w:tc>
      </w:tr>
      <w:tr>
        <w:trPr>
          <w:trHeight w:val="156"/>
        </w:trPr>
        <w:tc>
          <w:tcPr>
            <w:tcW w:w="112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to Lockheed Martin Corporation’s Annual Report on Form 10-K for the year ended December 31, 2008).</w:t>
              </w:r>
            </w:hyperlink>
          </w:p>
        </w:tc>
        <w:tc>
          <w:tcPr>
            <w:tcW w:w="2560" w:type="dxa"/>
            <w:vAlign w:val="bottom"/>
            <w:tcBorders>
              <w:top w:val="single" w:sz="8" w:color="0000FF"/>
            </w:tcBorders>
            <w:gridSpan w:val="9"/>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Stock Option Award Agreement under the Lockheed Martin Corporation 2003 Incentive Performance Award Plan (incorporated</w:t>
              </w:r>
            </w:hyperlink>
          </w:p>
        </w:tc>
      </w:tr>
      <w:tr>
        <w:trPr>
          <w:trHeight w:val="228"/>
        </w:trPr>
        <w:tc>
          <w:tcPr>
            <w:tcW w:w="1120" w:type="dxa"/>
            <w:vAlign w:val="bottom"/>
          </w:tcPr>
          <w:p>
            <w:pPr>
              <w:spacing w:after="0"/>
              <w:rPr>
                <w:sz w:val="19"/>
                <w:szCs w:val="19"/>
                <w:color w:val="auto"/>
              </w:rPr>
            </w:pPr>
          </w:p>
        </w:tc>
        <w:tc>
          <w:tcPr>
            <w:tcW w:w="10060" w:type="dxa"/>
            <w:vAlign w:val="bottom"/>
            <w:tcBorders>
              <w:top w:val="single" w:sz="8" w:color="0000FF"/>
            </w:tcBorders>
            <w:gridSpan w:val="18"/>
          </w:tcPr>
          <w:p>
            <w:pPr>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by reference to Exhibit 99.3 of Lockheed Martin Corporation’s Current Report on Form 8-K filed with the SEC on February 3, 2011).</w:t>
              </w:r>
            </w:hyperlink>
          </w:p>
        </w:tc>
        <w:tc>
          <w:tcPr>
            <w:tcW w:w="280" w:type="dxa"/>
            <w:vAlign w:val="bottom"/>
            <w:gridSpan w:val="14"/>
          </w:tcPr>
          <w:p>
            <w:pPr>
              <w:spacing w:after="0"/>
              <w:rPr>
                <w:sz w:val="19"/>
                <w:szCs w:val="19"/>
                <w:color w:val="auto"/>
              </w:rPr>
            </w:pPr>
          </w:p>
        </w:tc>
      </w:tr>
      <w:tr>
        <w:trPr>
          <w:trHeight w:val="21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340" w:type="dxa"/>
            <w:vAlign w:val="bottom"/>
            <w:gridSpan w:val="32"/>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Lockheed Martin Corporation 2011 Incentive Performance Award Plan, as amended and restated January 24, 2019 (incorporated by</w:t>
              </w:r>
            </w:hyperlink>
          </w:p>
        </w:tc>
      </w:tr>
      <w:tr>
        <w:trPr>
          <w:trHeight w:val="228"/>
        </w:trPr>
        <w:tc>
          <w:tcPr>
            <w:tcW w:w="1120" w:type="dxa"/>
            <w:vAlign w:val="bottom"/>
          </w:tcPr>
          <w:p>
            <w:pPr>
              <w:spacing w:after="0"/>
              <w:rPr>
                <w:sz w:val="19"/>
                <w:szCs w:val="19"/>
                <w:color w:val="auto"/>
              </w:rPr>
            </w:pPr>
          </w:p>
        </w:tc>
        <w:tc>
          <w:tcPr>
            <w:tcW w:w="10260" w:type="dxa"/>
            <w:vAlign w:val="bottom"/>
            <w:tcBorders>
              <w:top w:val="single" w:sz="8" w:color="0000FF"/>
            </w:tcBorders>
            <w:gridSpan w:val="28"/>
          </w:tcPr>
          <w:p>
            <w:pPr>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reference to Exhibit 10.13 to Lockheed Martin Corporation’s Annual Report on Form 10-K for the year ended December 31, 2018).</w:t>
              </w:r>
            </w:hyperlink>
          </w:p>
        </w:tc>
        <w:tc>
          <w:tcPr>
            <w:tcW w:w="80" w:type="dxa"/>
            <w:vAlign w:val="bottom"/>
            <w:gridSpan w:val="4"/>
          </w:tcPr>
          <w:p>
            <w:pPr>
              <w:spacing w:after="0"/>
              <w:rPr>
                <w:sz w:val="19"/>
                <w:szCs w:val="19"/>
                <w:color w:val="auto"/>
              </w:rPr>
            </w:pPr>
          </w:p>
        </w:tc>
      </w:tr>
      <w:tr>
        <w:trPr>
          <w:trHeight w:val="657"/>
        </w:trPr>
        <w:tc>
          <w:tcPr>
            <w:tcW w:w="1120" w:type="dxa"/>
            <w:vAlign w:val="bottom"/>
          </w:tcPr>
          <w:p>
            <w:pPr>
              <w:spacing w:after="0"/>
              <w:rPr>
                <w:sz w:val="24"/>
                <w:szCs w:val="24"/>
                <w:color w:val="auto"/>
              </w:rPr>
            </w:pPr>
          </w:p>
        </w:tc>
        <w:tc>
          <w:tcPr>
            <w:tcW w:w="4700" w:type="dxa"/>
            <w:vAlign w:val="bottom"/>
            <w:gridSpan w:val="8"/>
          </w:tcPr>
          <w:p>
            <w:pPr>
              <w:ind w:left="4380"/>
              <w:spacing w:after="0"/>
              <w:rPr>
                <w:sz w:val="20"/>
                <w:szCs w:val="20"/>
                <w:color w:val="auto"/>
              </w:rPr>
            </w:pPr>
            <w:r>
              <w:rPr>
                <w:rFonts w:ascii="Times New Roman" w:cs="Times New Roman" w:eastAsia="Times New Roman" w:hAnsi="Times New Roman"/>
                <w:sz w:val="18"/>
                <w:szCs w:val="18"/>
                <w:color w:val="auto"/>
              </w:rPr>
              <w:t>112</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10.17</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Forms of Stock Option Award Agreements under the Lockheed Martin Corporation 2011 Incentive Performance Award Plan (incorporated</w:t>
              </w:r>
            </w:hyperlink>
          </w:p>
        </w:tc>
      </w:tr>
      <w:tr>
        <w:trPr>
          <w:trHeight w:val="228"/>
        </w:trPr>
        <w:tc>
          <w:tcPr>
            <w:tcW w:w="1120" w:type="dxa"/>
            <w:vAlign w:val="bottom"/>
          </w:tcPr>
          <w:p>
            <w:pPr>
              <w:spacing w:after="0"/>
              <w:rPr>
                <w:sz w:val="19"/>
                <w:szCs w:val="19"/>
                <w:color w:val="auto"/>
              </w:rPr>
            </w:pPr>
          </w:p>
        </w:tc>
        <w:tc>
          <w:tcPr>
            <w:tcW w:w="10100" w:type="dxa"/>
            <w:vAlign w:val="bottom"/>
            <w:tcBorders>
              <w:top w:val="single" w:sz="8" w:color="0000FF"/>
            </w:tcBorders>
            <w:gridSpan w:val="14"/>
          </w:tcPr>
          <w:p>
            <w:pPr>
              <w:spacing w:after="0"/>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by reference to Exhibit 10.39 of Lockheed Martin Corporation’s Annual Report on Form 10-K for the year ended December 31, 2011).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10.18</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2018 Annual Restricted Stock Unit Award Agreement under Lockheed Martin Corporation 2011 Incentive Performance Award</w:t>
              </w:r>
            </w:hyperlink>
          </w:p>
        </w:tc>
      </w:tr>
      <w:tr>
        <w:trPr>
          <w:trHeight w:val="156"/>
        </w:trPr>
        <w:tc>
          <w:tcPr>
            <w:tcW w:w="11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Plan (incorporated by reference to Exhibit 10.1 to Lockheed Martin Corporation’s Quarterly Report on Form 10-Q for the quarter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0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March 25,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10.19</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Performance Stock Unit Award Agreement (2018 - 2020 Performance Period) under Lockheed Martin Corporation 2011</w:t>
              </w:r>
            </w:hyperlink>
          </w:p>
        </w:tc>
      </w:tr>
      <w:tr>
        <w:trPr>
          <w:trHeight w:val="156"/>
        </w:trPr>
        <w:tc>
          <w:tcPr>
            <w:tcW w:w="1120" w:type="dxa"/>
            <w:vAlign w:val="bottom"/>
          </w:tcPr>
          <w:p>
            <w:pPr>
              <w:spacing w:after="0"/>
              <w:rPr>
                <w:sz w:val="13"/>
                <w:szCs w:val="13"/>
                <w:color w:val="auto"/>
              </w:rPr>
            </w:pPr>
          </w:p>
        </w:tc>
        <w:tc>
          <w:tcPr>
            <w:tcW w:w="102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Incentive Performance Award Plan (incorporated by reference to Exhibit 10.2 to Lockheed Martin Corporation’s Quarterly Report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0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10-Q for the quarter ended March 25, 2018).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10.20</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Long-Term Incentive Performance Award Agreement (2018 - 2020 Performance Period) under Lockheed Martin Corporation</w:t>
              </w:r>
            </w:hyperlink>
          </w:p>
        </w:tc>
      </w:tr>
      <w:tr>
        <w:trPr>
          <w:trHeight w:val="155"/>
        </w:trPr>
        <w:tc>
          <w:tcPr>
            <w:tcW w:w="1120" w:type="dxa"/>
            <w:vAlign w:val="bottom"/>
          </w:tcPr>
          <w:p>
            <w:pPr>
              <w:spacing w:after="0"/>
              <w:rPr>
                <w:sz w:val="13"/>
                <w:szCs w:val="13"/>
                <w:color w:val="auto"/>
              </w:rPr>
            </w:pPr>
          </w:p>
        </w:tc>
        <w:tc>
          <w:tcPr>
            <w:tcW w:w="100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2011 Incentive Performance Award Plan (incorporated by reference to Exhibit 10.3 to Lockheed Martin Corporation’s Quarterly Report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10-Q for the quarter ended March 25,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10.21</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2019 Annual Restricted Stock Unit Award Agreement under the Lockheed Martin Corporation 2011 Incentive Performance</w:t>
              </w:r>
            </w:hyperlink>
          </w:p>
        </w:tc>
      </w:tr>
      <w:tr>
        <w:trPr>
          <w:trHeight w:val="156"/>
        </w:trPr>
        <w:tc>
          <w:tcPr>
            <w:tcW w:w="1120" w:type="dxa"/>
            <w:vAlign w:val="bottom"/>
          </w:tcPr>
          <w:p>
            <w:pPr>
              <w:spacing w:after="0"/>
              <w:rPr>
                <w:sz w:val="13"/>
                <w:szCs w:val="13"/>
                <w:color w:val="auto"/>
              </w:rPr>
            </w:pPr>
          </w:p>
        </w:tc>
        <w:tc>
          <w:tcPr>
            <w:tcW w:w="103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Award Plan (incorporated by reference to Exhibit 10.1 to Lockheed Martin Corporation’s Quarterly Report on Form 10-Q for the quarter</w:t>
              </w:r>
            </w:hyperlink>
          </w:p>
        </w:tc>
        <w:tc>
          <w:tcPr>
            <w:tcW w:w="20" w:type="dxa"/>
            <w:vAlign w:val="bottom"/>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101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ended March 31,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10.22</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Performance Stock Unit Award Agreement (2019 - 2021 Performance Period) under the Lockheed Martin Corporation 2011</w:t>
              </w:r>
            </w:hyperlink>
          </w:p>
        </w:tc>
      </w:tr>
      <w:tr>
        <w:trPr>
          <w:trHeight w:val="156"/>
        </w:trPr>
        <w:tc>
          <w:tcPr>
            <w:tcW w:w="1120" w:type="dxa"/>
            <w:vAlign w:val="bottom"/>
          </w:tcPr>
          <w:p>
            <w:pPr>
              <w:spacing w:after="0"/>
              <w:rPr>
                <w:sz w:val="13"/>
                <w:szCs w:val="13"/>
                <w:color w:val="auto"/>
              </w:rPr>
            </w:pPr>
          </w:p>
        </w:tc>
        <w:tc>
          <w:tcPr>
            <w:tcW w:w="101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Incentive Performance Award Plan (incorporated by reference to Exhibit 10.2 to Lockheed Martin Corporation’s Quarterly Report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100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10-Q for the quarter ended March 31, 2019).</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10.23</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Long Term Incentive Performance Award Agreement (2019 - 2021 Performance Period) under the Lockheed Martin Corporation</w:t>
              </w:r>
            </w:hyperlink>
          </w:p>
        </w:tc>
      </w:tr>
      <w:tr>
        <w:trPr>
          <w:trHeight w:val="156"/>
        </w:trPr>
        <w:tc>
          <w:tcPr>
            <w:tcW w:w="1120" w:type="dxa"/>
            <w:vAlign w:val="bottom"/>
          </w:tcPr>
          <w:p>
            <w:pPr>
              <w:spacing w:after="0"/>
              <w:rPr>
                <w:sz w:val="13"/>
                <w:szCs w:val="13"/>
                <w:color w:val="auto"/>
              </w:rPr>
            </w:pPr>
          </w:p>
        </w:tc>
        <w:tc>
          <w:tcPr>
            <w:tcW w:w="102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2011 Incentive Performance Award Plan (incorporated by reference to Exhibit 10.3 to Lockheed Martin Corporation’s Quarterly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10-Q for the quarter ended March 31,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10.24</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Retention Restricted Stock Unit Award Agreement under the Lockheed Martin Corporation 2011 Incentive Performance Award</w:t>
              </w:r>
            </w:hyperlink>
          </w:p>
        </w:tc>
      </w:tr>
      <w:tr>
        <w:trPr>
          <w:trHeight w:val="156"/>
        </w:trPr>
        <w:tc>
          <w:tcPr>
            <w:tcW w:w="1120" w:type="dxa"/>
            <w:vAlign w:val="bottom"/>
          </w:tcPr>
          <w:p>
            <w:pPr>
              <w:spacing w:after="0"/>
              <w:rPr>
                <w:sz w:val="13"/>
                <w:szCs w:val="13"/>
                <w:color w:val="auto"/>
              </w:rPr>
            </w:pPr>
          </w:p>
        </w:tc>
        <w:tc>
          <w:tcPr>
            <w:tcW w:w="103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Plan (incorporated by reference to Exhibit 10.4 to Lockheed Martin Corporation’s Quarterly Report on Form 10-Q for the quarter ended</w:t>
              </w:r>
            </w:hyperlink>
          </w:p>
        </w:tc>
        <w:tc>
          <w:tcPr>
            <w:tcW w:w="40" w:type="dxa"/>
            <w:vAlign w:val="bottom"/>
            <w:gridSpan w:val="2"/>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0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March 29, 2020).</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10.25</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2020 Annual Restricted Stock Unit Award Agreement under the Lockheed Martin Corporation 2011 Incentive Performance</w:t>
              </w:r>
            </w:hyperlink>
          </w:p>
        </w:tc>
      </w:tr>
      <w:tr>
        <w:trPr>
          <w:trHeight w:val="156"/>
        </w:trPr>
        <w:tc>
          <w:tcPr>
            <w:tcW w:w="1120" w:type="dxa"/>
            <w:vAlign w:val="bottom"/>
          </w:tcPr>
          <w:p>
            <w:pPr>
              <w:spacing w:after="0"/>
              <w:rPr>
                <w:sz w:val="13"/>
                <w:szCs w:val="13"/>
                <w:color w:val="auto"/>
              </w:rPr>
            </w:pPr>
          </w:p>
        </w:tc>
        <w:tc>
          <w:tcPr>
            <w:tcW w:w="103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Award Plan (incorporated by reference to Exhibit 10.1 to Lockheed Martin Corporation’s Quarterly Report on Form 10-Q for the quarter</w:t>
              </w:r>
            </w:hyperlink>
          </w:p>
        </w:tc>
        <w:tc>
          <w:tcPr>
            <w:tcW w:w="2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1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ended March 29,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10.26</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Performance Stock Unit Award Agreement (2020 - 2022 Performance Period) under the Lockheed Martin Corporation 2011</w:t>
              </w:r>
            </w:hyperlink>
          </w:p>
        </w:tc>
      </w:tr>
      <w:tr>
        <w:trPr>
          <w:trHeight w:val="156"/>
        </w:trPr>
        <w:tc>
          <w:tcPr>
            <w:tcW w:w="1120" w:type="dxa"/>
            <w:vAlign w:val="bottom"/>
          </w:tcPr>
          <w:p>
            <w:pPr>
              <w:spacing w:after="0"/>
              <w:rPr>
                <w:sz w:val="13"/>
                <w:szCs w:val="13"/>
                <w:color w:val="auto"/>
              </w:rPr>
            </w:pPr>
          </w:p>
        </w:tc>
        <w:tc>
          <w:tcPr>
            <w:tcW w:w="101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Incentive Performance Award Plan (incorporated by reference to Exhibit 10.2 to Lockheed Martin Corporation’s Quarterly Report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0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10-Q for the quarter ended March 29, 2020).</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10.27</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Long Term Incentive Performance Award Agreement (2020 - 2022 Performance Period) under the Lockheed Martin Corporation</w:t>
              </w:r>
            </w:hyperlink>
          </w:p>
        </w:tc>
      </w:tr>
      <w:tr>
        <w:trPr>
          <w:trHeight w:val="155"/>
        </w:trPr>
        <w:tc>
          <w:tcPr>
            <w:tcW w:w="1120" w:type="dxa"/>
            <w:vAlign w:val="bottom"/>
          </w:tcPr>
          <w:p>
            <w:pPr>
              <w:spacing w:after="0"/>
              <w:rPr>
                <w:sz w:val="13"/>
                <w:szCs w:val="13"/>
                <w:color w:val="auto"/>
              </w:rPr>
            </w:pPr>
          </w:p>
        </w:tc>
        <w:tc>
          <w:tcPr>
            <w:tcW w:w="102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2011 Incentive Performance Award Plan (incorporated by reference to Exhibit 10.3 to Lockheed Martin Corporation’s Quarterly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10-Q for the quarter ended March 29,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10.28</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Lockheed Martin Corporation 2020 Incentive Performance Award Plan (incorporated by reference to Exhibit 10.1 to Lockheed Martin</w:t>
              </w:r>
            </w:hyperlink>
          </w:p>
        </w:tc>
      </w:tr>
      <w:tr>
        <w:trPr>
          <w:trHeight w:val="155"/>
        </w:trPr>
        <w:tc>
          <w:tcPr>
            <w:tcW w:w="1120" w:type="dxa"/>
            <w:vAlign w:val="bottom"/>
          </w:tcPr>
          <w:p>
            <w:pPr>
              <w:spacing w:after="0"/>
              <w:rPr>
                <w:sz w:val="13"/>
                <w:szCs w:val="13"/>
                <w:color w:val="auto"/>
              </w:rPr>
            </w:pPr>
          </w:p>
        </w:tc>
        <w:tc>
          <w:tcPr>
            <w:tcW w:w="100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Corporation’s Current Report on Form 8-K filed with the SEC on April 23, 2020)</w:t>
              </w:r>
              <w:r>
                <w:rPr>
                  <w:rFonts w:ascii="Times New Roman" w:cs="Times New Roman" w:eastAsia="Times New Roman" w:hAnsi="Times New Roman"/>
                  <w:sz w:val="18"/>
                  <w:szCs w:val="18"/>
                  <w:u w:val="single" w:color="auto"/>
                  <w:color w:val="0000FF"/>
                </w:rPr>
                <w:t>.</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10.29</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2020 Annual Restricted Stock Unit Award Agreement under the Lockheed Martin Corporation 2020 Incentive Performance</w:t>
              </w:r>
            </w:hyperlink>
          </w:p>
        </w:tc>
      </w:tr>
      <w:tr>
        <w:trPr>
          <w:trHeight w:val="155"/>
        </w:trPr>
        <w:tc>
          <w:tcPr>
            <w:tcW w:w="1120" w:type="dxa"/>
            <w:vAlign w:val="bottom"/>
          </w:tcPr>
          <w:p>
            <w:pPr>
              <w:spacing w:after="0"/>
              <w:rPr>
                <w:sz w:val="13"/>
                <w:szCs w:val="13"/>
                <w:color w:val="auto"/>
              </w:rPr>
            </w:pPr>
          </w:p>
        </w:tc>
        <w:tc>
          <w:tcPr>
            <w:tcW w:w="101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Award Plan (incorporated by reference to Exhibit 10.2 to Lockheed Martin Corporation’s Quarterly Report on Form 10-Q for the quarter</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1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ended June 28, 2020).</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10.30</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Performance Stock Unit Award Agreement (2020 - 2022 Performance Period) under the Lockheed Martin Corporation 2020</w:t>
              </w:r>
            </w:hyperlink>
          </w:p>
        </w:tc>
      </w:tr>
      <w:tr>
        <w:trPr>
          <w:trHeight w:val="155"/>
        </w:trPr>
        <w:tc>
          <w:tcPr>
            <w:tcW w:w="1120" w:type="dxa"/>
            <w:vAlign w:val="bottom"/>
          </w:tcPr>
          <w:p>
            <w:pPr>
              <w:spacing w:after="0"/>
              <w:rPr>
                <w:sz w:val="13"/>
                <w:szCs w:val="13"/>
                <w:color w:val="auto"/>
              </w:rPr>
            </w:pPr>
          </w:p>
        </w:tc>
        <w:tc>
          <w:tcPr>
            <w:tcW w:w="102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Incentive Performance Award Plan (incorporated by reference to Exhibit 10.3 to Lockheed Martin Corporation’s Quarterly Report on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100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10-Q for the quarter ended June 28, 2020).</w:t>
              </w:r>
            </w:hyperlink>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10.31</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of Long Term Incentive Performance Award Agreement (2020 - 2022 Performance Period) under the Lockheed Martin Corporation</w:t>
              </w:r>
            </w:hyperlink>
          </w:p>
        </w:tc>
      </w:tr>
      <w:tr>
        <w:trPr>
          <w:trHeight w:val="155"/>
        </w:trPr>
        <w:tc>
          <w:tcPr>
            <w:tcW w:w="11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2020 Incentive Performance Award Plan (incorporated by reference to Exhibit 10.4 to Lockheed Martin Corporation’s Quarterly Report on</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100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10-Q for the quarter ended June 28, 2020).</w:t>
              </w:r>
            </w:hyperlink>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10.32</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CEO New Hire Restricted Stock Unit Award Agreement under the Lockheed Martin Corporation 2020 Incentive Performance Award Plan</w:t>
              </w:r>
            </w:hyperlink>
          </w:p>
        </w:tc>
      </w:tr>
      <w:tr>
        <w:trPr>
          <w:trHeight w:val="155"/>
        </w:trPr>
        <w:tc>
          <w:tcPr>
            <w:tcW w:w="1120" w:type="dxa"/>
            <w:vAlign w:val="bottom"/>
          </w:tcPr>
          <w:p>
            <w:pPr>
              <w:spacing w:after="0"/>
              <w:rPr>
                <w:sz w:val="13"/>
                <w:szCs w:val="13"/>
                <w:color w:val="auto"/>
              </w:rPr>
            </w:pPr>
          </w:p>
        </w:tc>
        <w:tc>
          <w:tcPr>
            <w:tcW w:w="100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(incorporated by reference to Exhibit 10.5 to Lockheed Martin Corporation’s Quarterly Report on Form 10-Q for the quarter ended June</w:t>
              </w:r>
            </w:hyperlink>
          </w:p>
        </w:tc>
        <w:tc>
          <w:tcPr>
            <w:tcW w:w="160" w:type="dxa"/>
            <w:vAlign w:val="bottom"/>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28, 2020).</w:t>
              </w:r>
            </w:hyperlink>
          </w:p>
        </w:tc>
        <w:tc>
          <w:tcPr>
            <w:tcW w:w="4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4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10.33</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Amendment to Outstanding Long-Term Incentive Performance and Performance Stock Unit Award Agreements (incorporated by</w:t>
              </w:r>
            </w:hyperlink>
          </w:p>
        </w:tc>
      </w:tr>
      <w:tr>
        <w:trPr>
          <w:trHeight w:val="228"/>
        </w:trPr>
        <w:tc>
          <w:tcPr>
            <w:tcW w:w="1120" w:type="dxa"/>
            <w:vAlign w:val="bottom"/>
          </w:tcPr>
          <w:p>
            <w:pPr>
              <w:spacing w:after="0"/>
              <w:rPr>
                <w:sz w:val="19"/>
                <w:szCs w:val="19"/>
                <w:color w:val="auto"/>
              </w:rPr>
            </w:pPr>
          </w:p>
        </w:tc>
        <w:tc>
          <w:tcPr>
            <w:tcW w:w="10180" w:type="dxa"/>
            <w:vAlign w:val="bottom"/>
            <w:tcBorders>
              <w:top w:val="single" w:sz="8" w:color="0000FF"/>
            </w:tcBorders>
            <w:gridSpan w:val="18"/>
          </w:tcPr>
          <w:p>
            <w:pPr>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reference to Exhibit 10.2 to Lockheed Martin Corporation’s Quarterly Report on Form 10-Q for the quarter ended September 27, 2020).</w:t>
              </w:r>
            </w:hyperlink>
          </w:p>
        </w:tc>
        <w:tc>
          <w:tcPr>
            <w:tcW w:w="100" w:type="dxa"/>
            <w:vAlign w:val="bottom"/>
            <w:gridSpan w:val="5"/>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11"/>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10.34</w:t>
            </w:r>
          </w:p>
        </w:tc>
        <w:tc>
          <w:tcPr>
            <w:tcW w:w="10340" w:type="dxa"/>
            <w:vAlign w:val="bottom"/>
            <w:gridSpan w:val="26"/>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Lockheed Martin Corporation Consolidated Supplemental Retirement Benefit Plan, as amended and restated effective October 5, 2018</w:t>
              </w:r>
            </w:hyperlink>
          </w:p>
        </w:tc>
      </w:tr>
      <w:tr>
        <w:trPr>
          <w:trHeight w:val="156"/>
        </w:trPr>
        <w:tc>
          <w:tcPr>
            <w:tcW w:w="1120" w:type="dxa"/>
            <w:vAlign w:val="bottom"/>
          </w:tcPr>
          <w:p>
            <w:pPr>
              <w:spacing w:after="0"/>
              <w:rPr>
                <w:sz w:val="13"/>
                <w:szCs w:val="13"/>
                <w:color w:val="auto"/>
              </w:rPr>
            </w:pPr>
          </w:p>
        </w:tc>
        <w:tc>
          <w:tcPr>
            <w:tcW w:w="102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(incorporated by reference to Exhibit 10.26 to Lockheed Martin Corporation’s Annual Report on Form 10-K for the year ended December</w:t>
              </w:r>
            </w:hyperlink>
          </w:p>
        </w:tc>
        <w:tc>
          <w:tcPr>
            <w:tcW w:w="60" w:type="dxa"/>
            <w:vAlign w:val="bottom"/>
            <w:gridSpan w:val="3"/>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83">
              <w:r>
                <w:rPr>
                  <w:rFonts w:ascii="Times New Roman" w:cs="Times New Roman" w:eastAsia="Times New Roman" w:hAnsi="Times New Roman"/>
                  <w:sz w:val="18"/>
                  <w:szCs w:val="18"/>
                  <w:color w:val="0000FF"/>
                  <w:w w:val="97"/>
                </w:rPr>
                <w:t>31, 2018).</w:t>
              </w:r>
            </w:hyperlink>
          </w:p>
        </w:tc>
        <w:tc>
          <w:tcPr>
            <w:tcW w:w="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4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09"/>
        </w:trPr>
        <w:tc>
          <w:tcPr>
            <w:tcW w:w="1120" w:type="dxa"/>
            <w:vAlign w:val="bottom"/>
          </w:tcPr>
          <w:p>
            <w:pPr>
              <w:spacing w:after="0"/>
              <w:rPr>
                <w:sz w:val="24"/>
                <w:szCs w:val="24"/>
                <w:color w:val="auto"/>
              </w:rPr>
            </w:pPr>
          </w:p>
        </w:tc>
        <w:tc>
          <w:tcPr>
            <w:tcW w:w="5860" w:type="dxa"/>
            <w:vAlign w:val="bottom"/>
            <w:gridSpan w:val="8"/>
          </w:tcPr>
          <w:p>
            <w:pPr>
              <w:ind w:left="4380"/>
              <w:spacing w:after="0"/>
              <w:rPr>
                <w:sz w:val="20"/>
                <w:szCs w:val="20"/>
                <w:color w:val="auto"/>
              </w:rPr>
            </w:pPr>
            <w:r>
              <w:rPr>
                <w:rFonts w:ascii="Times New Roman" w:cs="Times New Roman" w:eastAsia="Times New Roman" w:hAnsi="Times New Roman"/>
                <w:sz w:val="18"/>
                <w:szCs w:val="18"/>
                <w:color w:val="auto"/>
              </w:rPr>
              <w:t>113</w:t>
            </w:r>
          </w:p>
        </w:tc>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10.35</w:t>
            </w:r>
          </w:p>
        </w:tc>
        <w:tc>
          <w:tcPr>
            <w:tcW w:w="10080" w:type="dxa"/>
            <w:vAlign w:val="bottom"/>
            <w:gridSpan w:val="10"/>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Lockheed Martin Corporation Executive Severance Plan, as amended and restated effective December 1, 2016 (incorporated by reference</w:t>
              </w:r>
            </w:hyperlink>
          </w:p>
        </w:tc>
      </w:tr>
      <w:tr>
        <w:trPr>
          <w:trHeight w:val="228"/>
        </w:trPr>
        <w:tc>
          <w:tcPr>
            <w:tcW w:w="1100" w:type="dxa"/>
            <w:vAlign w:val="bottom"/>
          </w:tcPr>
          <w:p>
            <w:pPr>
              <w:spacing w:after="0"/>
              <w:rPr>
                <w:sz w:val="19"/>
                <w:szCs w:val="19"/>
                <w:color w:val="auto"/>
              </w:rPr>
            </w:pPr>
          </w:p>
        </w:tc>
        <w:tc>
          <w:tcPr>
            <w:tcW w:w="10020" w:type="dxa"/>
            <w:vAlign w:val="bottom"/>
            <w:tcBorders>
              <w:top w:val="single" w:sz="8" w:color="0000FF"/>
            </w:tcBorders>
            <w:gridSpan w:val="7"/>
          </w:tcPr>
          <w:p>
            <w:pPr>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to Exhibit 10.26 to Lockheed Martin Corporation’s Annual Report on Form 10-K for the year ended December 31, 2016)</w:t>
              </w:r>
              <w:r>
                <w:rPr>
                  <w:rFonts w:ascii="Times New Roman" w:cs="Times New Roman" w:eastAsia="Times New Roman" w:hAnsi="Times New Roman"/>
                  <w:sz w:val="18"/>
                  <w:szCs w:val="18"/>
                  <w:u w:val="single" w:color="auto"/>
                  <w:color w:val="000000"/>
                </w:rPr>
                <w:t>.</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10.36</w:t>
            </w:r>
          </w:p>
        </w:tc>
        <w:tc>
          <w:tcPr>
            <w:tcW w:w="10080" w:type="dxa"/>
            <w:vAlign w:val="bottom"/>
            <w:gridSpan w:val="10"/>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Amendment No. 1 to Lockheed Martin Corporation Executive Severance Plan, as amended and restated effective December 1, 2016</w:t>
              </w:r>
            </w:hyperlink>
          </w:p>
        </w:tc>
      </w:tr>
      <w:tr>
        <w:trPr>
          <w:trHeight w:val="156"/>
        </w:trPr>
        <w:tc>
          <w:tcPr>
            <w:tcW w:w="110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(incorporated by reference to Exhibit 10.1 to Lockheed Martin Corporation’s Quarterly Report on Form 10-Q for the quarter ended June</w:t>
              </w:r>
            </w:hyperlink>
          </w:p>
        </w:tc>
        <w:tc>
          <w:tcPr>
            <w:tcW w:w="20" w:type="dxa"/>
            <w:vAlign w:val="bottom"/>
            <w:tcBorders>
              <w:bottom w:val="single" w:sz="8" w:color="0000FF"/>
            </w:tcBorders>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740" w:type="dxa"/>
            <w:vAlign w:val="bottom"/>
            <w:gridSpan w:val="2"/>
          </w:tcPr>
          <w:p>
            <w:pPr>
              <w:spacing w:after="0" w:line="156" w:lineRule="exact"/>
              <w:rPr>
                <w:rFonts w:ascii="Times New Roman" w:cs="Times New Roman" w:eastAsia="Times New Roman" w:hAnsi="Times New Roman"/>
                <w:sz w:val="18"/>
                <w:szCs w:val="18"/>
                <w:color w:val="0000FF"/>
                <w:w w:val="97"/>
              </w:rPr>
            </w:pPr>
            <w:hyperlink r:id="rId187">
              <w:r>
                <w:rPr>
                  <w:rFonts w:ascii="Times New Roman" w:cs="Times New Roman" w:eastAsia="Times New Roman" w:hAnsi="Times New Roman"/>
                  <w:sz w:val="18"/>
                  <w:szCs w:val="18"/>
                  <w:color w:val="0000FF"/>
                  <w:w w:val="97"/>
                </w:rPr>
                <w:t>24, 2018)</w:t>
              </w:r>
              <w:r>
                <w:rPr>
                  <w:rFonts w:ascii="Times New Roman" w:cs="Times New Roman" w:eastAsia="Times New Roman" w:hAnsi="Times New Roman"/>
                  <w:sz w:val="18"/>
                  <w:szCs w:val="18"/>
                  <w:color w:val="000000"/>
                  <w:w w:val="97"/>
                </w:rPr>
                <w:t>.</w:t>
              </w:r>
            </w:hyperlink>
          </w:p>
        </w:tc>
        <w:tc>
          <w:tcPr>
            <w:tcW w:w="8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10.37</w:t>
            </w:r>
          </w:p>
        </w:tc>
        <w:tc>
          <w:tcPr>
            <w:tcW w:w="10080" w:type="dxa"/>
            <w:vAlign w:val="bottom"/>
            <w:gridSpan w:val="10"/>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No. 2 to Lockheed Martin Corporation Executive Severance Plan, as amended and restated effective December 1, 2016</w:t>
              </w:r>
            </w:hyperlink>
          </w:p>
        </w:tc>
      </w:tr>
      <w:tr>
        <w:trPr>
          <w:trHeight w:val="156"/>
        </w:trPr>
        <w:tc>
          <w:tcPr>
            <w:tcW w:w="110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(incorporated by reference to Exhibit 10.6 to Lockheed Martin Corporation’s Quarterly Report on Form 10-Q for the quarter ended June</w:t>
              </w:r>
            </w:hyperlink>
          </w:p>
        </w:tc>
        <w:tc>
          <w:tcPr>
            <w:tcW w:w="20" w:type="dxa"/>
            <w:vAlign w:val="bottom"/>
            <w:tcBorders>
              <w:bottom w:val="single" w:sz="8" w:color="0000FF"/>
            </w:tcBorders>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7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88">
              <w:r>
                <w:rPr>
                  <w:rFonts w:ascii="Times New Roman" w:cs="Times New Roman" w:eastAsia="Times New Roman" w:hAnsi="Times New Roman"/>
                  <w:sz w:val="18"/>
                  <w:szCs w:val="18"/>
                  <w:color w:val="0000FF"/>
                  <w:w w:val="97"/>
                </w:rPr>
                <w:t>28, 2020).</w:t>
              </w:r>
            </w:hyperlink>
          </w:p>
        </w:tc>
        <w:tc>
          <w:tcPr>
            <w:tcW w:w="8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10.38</w:t>
            </w:r>
          </w:p>
        </w:tc>
        <w:tc>
          <w:tcPr>
            <w:tcW w:w="10080" w:type="dxa"/>
            <w:vAlign w:val="bottom"/>
            <w:gridSpan w:val="10"/>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Amendment No. 3 to Lockheed Martin Corporation Executive Severance Plan, as amended and restated effective December 1, 2016</w:t>
              </w:r>
            </w:hyperlink>
          </w:p>
        </w:tc>
      </w:tr>
      <w:tr>
        <w:trPr>
          <w:trHeight w:val="156"/>
        </w:trPr>
        <w:tc>
          <w:tcPr>
            <w:tcW w:w="1100" w:type="dxa"/>
            <w:vAlign w:val="bottom"/>
          </w:tcPr>
          <w:p>
            <w:pPr>
              <w:spacing w:after="0"/>
              <w:rPr>
                <w:sz w:val="13"/>
                <w:szCs w:val="13"/>
                <w:color w:val="auto"/>
              </w:rPr>
            </w:pPr>
          </w:p>
        </w:tc>
        <w:tc>
          <w:tcPr>
            <w:tcW w:w="100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(incorporated by reference to Exhibit 10.1 to Lockheed Martin Corporation’s Quarterly Report on Form 10-Q for the quarter ended</w:t>
              </w:r>
            </w:hyperlink>
          </w:p>
        </w:tc>
        <w:tc>
          <w:tcPr>
            <w:tcW w:w="40" w:type="dxa"/>
            <w:vAlign w:val="bottom"/>
            <w:gridSpan w:val="2"/>
          </w:tcPr>
          <w:p>
            <w:pPr>
              <w:spacing w:after="0"/>
              <w:rPr>
                <w:sz w:val="13"/>
                <w:szCs w:val="13"/>
                <w:color w:val="auto"/>
              </w:rPr>
            </w:pPr>
          </w:p>
        </w:tc>
      </w:tr>
      <w:tr>
        <w:trPr>
          <w:trHeight w:val="156"/>
        </w:trPr>
        <w:tc>
          <w:tcPr>
            <w:tcW w:w="1100" w:type="dxa"/>
            <w:vAlign w:val="bottom"/>
          </w:tcPr>
          <w:p>
            <w:pPr>
              <w:spacing w:after="0"/>
              <w:rPr>
                <w:sz w:val="13"/>
                <w:szCs w:val="13"/>
                <w:color w:val="auto"/>
              </w:rPr>
            </w:pPr>
          </w:p>
        </w:tc>
        <w:tc>
          <w:tcPr>
            <w:tcW w:w="100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September 27, 2020).</w:t>
              </w:r>
            </w:hyperlink>
          </w:p>
        </w:tc>
        <w:tc>
          <w:tcPr>
            <w:tcW w:w="80" w:type="dxa"/>
            <w:vAlign w:val="bottom"/>
            <w:gridSpan w:val="4"/>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263"/>
        </w:trPr>
        <w:tc>
          <w:tcPr>
            <w:tcW w:w="11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8"/>
              </w:rPr>
              <w:t>10.39</w:t>
            </w:r>
          </w:p>
        </w:tc>
        <w:tc>
          <w:tcPr>
            <w:tcW w:w="10080" w:type="dxa"/>
            <w:vAlign w:val="bottom"/>
            <w:gridSpan w:val="10"/>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Offer Letter dated March 12, 2020 to James D. Taiclet, Jr. (incorporated by reference to Exhibit 10.5 to Lockheed Martin Corporation’s</w:t>
              </w:r>
            </w:hyperlink>
          </w:p>
        </w:tc>
      </w:tr>
      <w:tr>
        <w:trPr>
          <w:trHeight w:val="156"/>
        </w:trPr>
        <w:tc>
          <w:tcPr>
            <w:tcW w:w="1100" w:type="dxa"/>
            <w:vAlign w:val="bottom"/>
          </w:tcPr>
          <w:p>
            <w:pPr>
              <w:spacing w:after="0"/>
              <w:rPr>
                <w:sz w:val="13"/>
                <w:szCs w:val="13"/>
                <w:color w:val="auto"/>
              </w:rPr>
            </w:pPr>
          </w:p>
        </w:tc>
        <w:tc>
          <w:tcPr>
            <w:tcW w:w="974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Quarterly Report on Form 10-Q for the quarter ended March 29, 2020).</w:t>
              </w:r>
            </w:hyperlink>
          </w:p>
        </w:tc>
        <w:tc>
          <w:tcPr>
            <w:tcW w:w="340" w:type="dxa"/>
            <w:vAlign w:val="bottom"/>
            <w:gridSpan w:val="5"/>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6" w:lineRule="exact"/>
        <w:rPr>
          <w:sz w:val="20"/>
          <w:szCs w:val="20"/>
          <w:color w:val="auto"/>
        </w:rPr>
      </w:pPr>
    </w:p>
    <w:p>
      <w:pPr>
        <w:ind w:left="1120" w:hanging="1094"/>
        <w:spacing w:after="0"/>
        <w:tabs>
          <w:tab w:leader="none" w:pos="1120" w:val="left"/>
        </w:tabs>
        <w:numPr>
          <w:ilvl w:val="0"/>
          <w:numId w:val="33"/>
        </w:numPr>
        <w:rPr>
          <w:rFonts w:ascii="Times New Roman" w:cs="Times New Roman" w:eastAsia="Times New Roman" w:hAnsi="Times New Roman"/>
          <w:sz w:val="18"/>
          <w:szCs w:val="18"/>
          <w:color w:val="0000FF"/>
        </w:rPr>
      </w:pPr>
      <w:hyperlink w:anchor="page117">
        <w:r>
          <w:rPr>
            <w:rFonts w:ascii="Times New Roman" w:cs="Times New Roman" w:eastAsia="Times New Roman" w:hAnsi="Times New Roman"/>
            <w:sz w:val="18"/>
            <w:szCs w:val="18"/>
            <w:u w:val="single" w:color="auto"/>
            <w:color w:val="0000FF"/>
          </w:rPr>
          <w:t>Subsidiaries of Lockheed Martin Corporation</w:t>
        </w:r>
        <w:r>
          <w:rPr>
            <w:rFonts w:ascii="Times New Roman" w:cs="Times New Roman" w:eastAsia="Times New Roman" w:hAnsi="Times New Roman"/>
            <w:sz w:val="18"/>
            <w:szCs w:val="18"/>
            <w:color w:val="0000FF"/>
          </w:rPr>
          <w:t>.</w:t>
        </w:r>
      </w:hyperlink>
    </w:p>
    <w:p>
      <w:pPr>
        <w:spacing w:after="0" w:line="77" w:lineRule="exact"/>
        <w:rPr>
          <w:sz w:val="20"/>
          <w:szCs w:val="20"/>
          <w:color w:val="auto"/>
        </w:rPr>
      </w:pPr>
    </w:p>
    <w:p>
      <w:pPr>
        <w:ind w:left="1120" w:hanging="1094"/>
        <w:spacing w:after="0"/>
        <w:tabs>
          <w:tab w:leader="none" w:pos="1120" w:val="left"/>
        </w:tabs>
        <w:numPr>
          <w:ilvl w:val="0"/>
          <w:numId w:val="34"/>
        </w:numPr>
        <w:rPr>
          <w:rFonts w:ascii="Times New Roman" w:cs="Times New Roman" w:eastAsia="Times New Roman" w:hAnsi="Times New Roman"/>
          <w:sz w:val="18"/>
          <w:szCs w:val="18"/>
          <w:color w:val="0000FF"/>
        </w:rPr>
      </w:pPr>
      <w:hyperlink w:anchor="page118">
        <w:r>
          <w:rPr>
            <w:rFonts w:ascii="Times New Roman" w:cs="Times New Roman" w:eastAsia="Times New Roman" w:hAnsi="Times New Roman"/>
            <w:sz w:val="18"/>
            <w:szCs w:val="18"/>
            <w:u w:val="single" w:color="auto"/>
            <w:color w:val="0000FF"/>
          </w:rPr>
          <w:t>Consent of Independent Registered Public Accounting Firm</w:t>
        </w:r>
        <w:r>
          <w:rPr>
            <w:rFonts w:ascii="Times New Roman" w:cs="Times New Roman" w:eastAsia="Times New Roman" w:hAnsi="Times New Roman"/>
            <w:sz w:val="18"/>
            <w:szCs w:val="18"/>
            <w:color w:val="0000FF"/>
          </w:rPr>
          <w:t>.</w:t>
        </w:r>
      </w:hyperlink>
    </w:p>
    <w:p>
      <w:pPr>
        <w:spacing w:after="0" w:line="76" w:lineRule="exact"/>
        <w:rPr>
          <w:rFonts w:ascii="Times New Roman" w:cs="Times New Roman" w:eastAsia="Times New Roman" w:hAnsi="Times New Roman"/>
          <w:sz w:val="18"/>
          <w:szCs w:val="18"/>
          <w:color w:val="0000FF"/>
        </w:rPr>
      </w:pPr>
    </w:p>
    <w:p>
      <w:pPr>
        <w:ind w:left="1120" w:hanging="1094"/>
        <w:spacing w:after="0"/>
        <w:tabs>
          <w:tab w:leader="none" w:pos="1120" w:val="left"/>
        </w:tabs>
        <w:numPr>
          <w:ilvl w:val="0"/>
          <w:numId w:val="34"/>
        </w:numPr>
        <w:rPr>
          <w:rFonts w:ascii="Times New Roman" w:cs="Times New Roman" w:eastAsia="Times New Roman" w:hAnsi="Times New Roman"/>
          <w:sz w:val="18"/>
          <w:szCs w:val="18"/>
          <w:u w:val="single" w:color="auto"/>
          <w:color w:val="0000FF"/>
        </w:rPr>
      </w:pPr>
      <w:hyperlink w:anchor="page119">
        <w:r>
          <w:rPr>
            <w:rFonts w:ascii="Times New Roman" w:cs="Times New Roman" w:eastAsia="Times New Roman" w:hAnsi="Times New Roman"/>
            <w:sz w:val="18"/>
            <w:szCs w:val="18"/>
            <w:u w:val="single" w:color="auto"/>
            <w:color w:val="0000FF"/>
          </w:rPr>
          <w:t>Powers of Attorney.</w:t>
        </w:r>
      </w:hyperlink>
    </w:p>
    <w:p>
      <w:pPr>
        <w:spacing w:after="0" w:line="77"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34"/>
        </w:trPr>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5"/>
              </w:rPr>
              <w:t>31.1</w:t>
            </w:r>
          </w:p>
        </w:tc>
        <w:tc>
          <w:tcPr>
            <w:tcW w:w="7600" w:type="dxa"/>
            <w:vAlign w:val="bottom"/>
          </w:tcPr>
          <w:p>
            <w:pPr>
              <w:ind w:left="380"/>
              <w:spacing w:after="0"/>
              <w:rPr>
                <w:rFonts w:ascii="Times New Roman" w:cs="Times New Roman" w:eastAsia="Times New Roman" w:hAnsi="Times New Roman"/>
                <w:sz w:val="18"/>
                <w:szCs w:val="18"/>
                <w:u w:val="single" w:color="auto"/>
                <w:color w:val="0000FF"/>
              </w:rPr>
            </w:pPr>
            <w:hyperlink w:anchor="page130">
              <w:r>
                <w:rPr>
                  <w:rFonts w:ascii="Times New Roman" w:cs="Times New Roman" w:eastAsia="Times New Roman" w:hAnsi="Times New Roman"/>
                  <w:sz w:val="18"/>
                  <w:szCs w:val="18"/>
                  <w:u w:val="single" w:color="auto"/>
                  <w:color w:val="0000FF"/>
                </w:rPr>
                <w:t>Certification of James D. Taiclet pursuant to Section 302 of the Sarbanes-Oxley Act of 2002.</w:t>
              </w:r>
            </w:hyperlink>
          </w:p>
        </w:tc>
      </w:tr>
      <w:tr>
        <w:trPr>
          <w:trHeight w:val="283"/>
        </w:trPr>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5"/>
              </w:rPr>
              <w:t>31.2</w:t>
            </w:r>
          </w:p>
        </w:tc>
        <w:tc>
          <w:tcPr>
            <w:tcW w:w="7600" w:type="dxa"/>
            <w:vAlign w:val="bottom"/>
          </w:tcPr>
          <w:p>
            <w:pPr>
              <w:ind w:left="380"/>
              <w:spacing w:after="0"/>
              <w:rPr>
                <w:rFonts w:ascii="Times New Roman" w:cs="Times New Roman" w:eastAsia="Times New Roman" w:hAnsi="Times New Roman"/>
                <w:sz w:val="18"/>
                <w:szCs w:val="18"/>
                <w:u w:val="single" w:color="auto"/>
                <w:color w:val="0000FF"/>
                <w:w w:val="99"/>
              </w:rPr>
            </w:pPr>
            <w:hyperlink w:anchor="page131">
              <w:r>
                <w:rPr>
                  <w:rFonts w:ascii="Times New Roman" w:cs="Times New Roman" w:eastAsia="Times New Roman" w:hAnsi="Times New Roman"/>
                  <w:sz w:val="18"/>
                  <w:szCs w:val="18"/>
                  <w:u w:val="single" w:color="auto"/>
                  <w:color w:val="0000FF"/>
                  <w:w w:val="99"/>
                </w:rPr>
                <w:t>Certification of Kenneth R. Possenriede pursuant to Section 302 of the Sarbanes-Oxley Act of 2002.</w:t>
              </w:r>
            </w:hyperlink>
          </w:p>
        </w:tc>
      </w:tr>
    </w:tbl>
    <w:p>
      <w:pPr>
        <w:spacing w:after="0" w:line="49" w:lineRule="exact"/>
        <w:rPr>
          <w:sz w:val="20"/>
          <w:szCs w:val="20"/>
          <w:color w:val="auto"/>
        </w:rPr>
      </w:pPr>
    </w:p>
    <w:p>
      <w:pPr>
        <w:ind w:left="1120" w:hanging="1094"/>
        <w:spacing w:after="0" w:line="237" w:lineRule="auto"/>
        <w:tabs>
          <w:tab w:leader="none" w:pos="1120" w:val="left"/>
        </w:tabs>
        <w:numPr>
          <w:ilvl w:val="0"/>
          <w:numId w:val="35"/>
        </w:numPr>
        <w:rPr>
          <w:rFonts w:ascii="Times New Roman" w:cs="Times New Roman" w:eastAsia="Times New Roman" w:hAnsi="Times New Roman"/>
          <w:sz w:val="18"/>
          <w:szCs w:val="18"/>
          <w:u w:val="single" w:color="auto"/>
          <w:color w:val="0000FF"/>
        </w:rPr>
      </w:pPr>
      <w:hyperlink w:anchor="page132">
        <w:r>
          <w:rPr>
            <w:rFonts w:ascii="Times New Roman" w:cs="Times New Roman" w:eastAsia="Times New Roman" w:hAnsi="Times New Roman"/>
            <w:sz w:val="18"/>
            <w:szCs w:val="18"/>
            <w:u w:val="single" w:color="auto"/>
            <w:color w:val="0000FF"/>
          </w:rPr>
          <w:t>Certification of James D. Taiclet and Kenneth R. Possenriede Pursuant to 18 U.S.C. Section 1350, as adopted pursuant to Section 906 of</w:t>
        </w:r>
      </w:hyperlink>
      <w:r>
        <w:rPr>
          <w:rFonts w:ascii="Times New Roman" w:cs="Times New Roman" w:eastAsia="Times New Roman" w:hAnsi="Times New Roman"/>
          <w:sz w:val="18"/>
          <w:szCs w:val="18"/>
          <w:u w:val="single" w:color="auto"/>
          <w:color w:val="0000FF"/>
        </w:rPr>
        <w:t xml:space="preserve"> </w:t>
      </w:r>
      <w:hyperlink w:anchor="page132">
        <w:r>
          <w:rPr>
            <w:rFonts w:ascii="Times New Roman" w:cs="Times New Roman" w:eastAsia="Times New Roman" w:hAnsi="Times New Roman"/>
            <w:sz w:val="18"/>
            <w:szCs w:val="18"/>
            <w:u w:val="single" w:color="auto"/>
            <w:color w:val="0000FF"/>
          </w:rPr>
          <w:t>the Sarbanes-Oxley Act of 2002.</w:t>
        </w:r>
      </w:hyperlink>
    </w:p>
    <w:p>
      <w:pPr>
        <w:spacing w:after="0" w:line="24"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900" w:type="dxa"/>
            <w:vAlign w:val="bottom"/>
          </w:tcPr>
          <w:p>
            <w:pPr>
              <w:spacing w:after="0"/>
              <w:rPr>
                <w:sz w:val="20"/>
                <w:szCs w:val="20"/>
                <w:color w:val="auto"/>
              </w:rPr>
            </w:pP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rFonts w:ascii="Times New Roman" w:cs="Times New Roman" w:eastAsia="Times New Roman" w:hAnsi="Times New Roman"/>
          <w:sz w:val="18"/>
          <w:szCs w:val="18"/>
          <w:color w:val="auto"/>
        </w:rPr>
      </w:pPr>
    </w:p>
    <w:p>
      <w:pPr>
        <w:ind w:right="200" w:firstLine="26"/>
        <w:spacing w:after="0" w:line="874" w:lineRule="auto"/>
        <w:tabs>
          <w:tab w:leader="none" w:pos="111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contained in Exhibit 101 * Exhibits 10.3 through 10.39 constitute management contracts or compensatory plans or arrangements.</w:t>
      </w: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684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Lockheed Martin Corporation</w:t>
            </w:r>
          </w:p>
        </w:tc>
      </w:tr>
      <w:tr>
        <w:trPr>
          <w:trHeight w:val="234"/>
        </w:trPr>
        <w:tc>
          <w:tcPr>
            <w:tcW w:w="4380" w:type="dxa"/>
            <w:vAlign w:val="bottom"/>
          </w:tcPr>
          <w:p>
            <w:pPr>
              <w:spacing w:after="0"/>
              <w:rPr>
                <w:sz w:val="20"/>
                <w:szCs w:val="20"/>
                <w:color w:val="auto"/>
              </w:rPr>
            </w:pPr>
          </w:p>
        </w:tc>
        <w:tc>
          <w:tcPr>
            <w:tcW w:w="684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(Registrant)</w:t>
            </w:r>
          </w:p>
        </w:tc>
      </w:tr>
      <w:tr>
        <w:trPr>
          <w:trHeight w:val="48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28, 2021</w:t>
            </w:r>
          </w:p>
        </w:tc>
        <w:tc>
          <w:tcPr>
            <w:tcW w:w="684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By:  /s/ Brian P. Colan</w:t>
            </w:r>
          </w:p>
        </w:tc>
      </w:tr>
      <w:tr>
        <w:trPr>
          <w:trHeight w:val="218"/>
        </w:trPr>
        <w:tc>
          <w:tcPr>
            <w:tcW w:w="4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Brian P. Colan</w:t>
            </w:r>
          </w:p>
        </w:tc>
      </w:tr>
      <w:tr>
        <w:trPr>
          <w:trHeight w:val="180"/>
        </w:trPr>
        <w:tc>
          <w:tcPr>
            <w:tcW w:w="43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Controller, and Chief</w:t>
            </w:r>
          </w:p>
        </w:tc>
      </w:tr>
      <w:tr>
        <w:trPr>
          <w:trHeight w:val="234"/>
        </w:trPr>
        <w:tc>
          <w:tcPr>
            <w:tcW w:w="43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85" w:lineRule="exact"/>
        <w:rPr>
          <w:sz w:val="20"/>
          <w:szCs w:val="20"/>
          <w:color w:val="auto"/>
        </w:rPr>
      </w:pPr>
    </w:p>
    <w:p>
      <w:pPr>
        <w:jc w:val="both"/>
        <w:ind w:right="20" w:firstLine="324"/>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10" w:type="dxa"/>
        <w:tblCellMar>
          <w:top w:w="0" w:type="dxa"/>
          <w:left w:w="0" w:type="dxa"/>
          <w:bottom w:w="0" w:type="dxa"/>
          <w:right w:w="0" w:type="dxa"/>
        </w:tblCellMar>
      </w:tblPr>
      <w:tr>
        <w:trPr>
          <w:trHeight w:val="199"/>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Signatures</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8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Titles</w:t>
            </w:r>
          </w:p>
        </w:tc>
        <w:tc>
          <w:tcPr>
            <w:tcW w:w="2080" w:type="dxa"/>
            <w:vAlign w:val="bottom"/>
            <w:gridSpan w:val="3"/>
          </w:tcPr>
          <w:p>
            <w:pPr>
              <w:ind w:left="240"/>
              <w:spacing w:after="0" w:line="199" w:lineRule="exact"/>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48"/>
        </w:trPr>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James D. Taiclet</w:t>
            </w:r>
          </w:p>
        </w:tc>
        <w:tc>
          <w:tcPr>
            <w:tcW w:w="4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80" w:type="dxa"/>
            <w:vAlign w:val="bottom"/>
            <w:tcBorders>
              <w:right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President and Chief Executive Officer (Principal Executive</w:t>
            </w:r>
          </w:p>
        </w:tc>
        <w:tc>
          <w:tcPr>
            <w:tcW w:w="2080" w:type="dxa"/>
            <w:vAlign w:val="bottom"/>
            <w:tcBorders>
              <w:right w:val="single" w:sz="8" w:color="auto"/>
            </w:tcBorders>
            <w:gridSpan w:val="3"/>
          </w:tcPr>
          <w:p>
            <w:pPr>
              <w:ind w:left="240"/>
              <w:spacing w:after="0" w:line="169" w:lineRule="exact"/>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29"/>
        </w:trPr>
        <w:tc>
          <w:tcPr>
            <w:tcW w:w="200" w:type="dxa"/>
            <w:vAlign w:val="bottom"/>
            <w:tcBorders>
              <w:lef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2"/>
            <w:vMerge w:val="continue"/>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James D. Taiclet</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Kenneth R. Possenriede</w:t>
            </w: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171"/>
        </w:trPr>
        <w:tc>
          <w:tcPr>
            <w:tcW w:w="200" w:type="dxa"/>
            <w:vAlign w:val="bottom"/>
            <w:tcBorders>
              <w:lef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2"/>
            <w:vMerge w:val="continue"/>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Kenneth R. Possenriede</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Brian P. Colan</w:t>
            </w:r>
          </w:p>
        </w:tc>
        <w:tc>
          <w:tcPr>
            <w:tcW w:w="4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80" w:type="dxa"/>
            <w:vAlign w:val="bottom"/>
            <w:tcBorders>
              <w:right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2080" w:type="dxa"/>
            <w:vAlign w:val="bottom"/>
            <w:tcBorders>
              <w:right w:val="single" w:sz="8" w:color="auto"/>
            </w:tcBorders>
            <w:gridSpan w:val="3"/>
          </w:tcPr>
          <w:p>
            <w:pPr>
              <w:ind w:left="240"/>
              <w:spacing w:after="0" w:line="169" w:lineRule="exact"/>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29"/>
        </w:trPr>
        <w:tc>
          <w:tcPr>
            <w:tcW w:w="200" w:type="dxa"/>
            <w:vAlign w:val="bottom"/>
            <w:tcBorders>
              <w:lef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2"/>
            <w:vMerge w:val="continue"/>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Brian P. Colan</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36"/>
        </w:trPr>
        <w:tc>
          <w:tcPr>
            <w:tcW w:w="200" w:type="dxa"/>
            <w:vAlign w:val="bottom"/>
            <w:tcBorders>
              <w:left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Marillyn A. Hewson</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Daniel F. Akerson</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David B. Burritt</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Bruce A. Carlson</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Joseph F. Dunford, Jr.</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37"/>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James O. Ellis, Jr.</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37"/>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Thomas J. Falk</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37"/>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Ilene S. Gordon</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37"/>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Vicki A. Hollub</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37"/>
        </w:trPr>
        <w:tc>
          <w:tcPr>
            <w:tcW w:w="200" w:type="dxa"/>
            <w:vAlign w:val="bottom"/>
            <w:tcBorders>
              <w:left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Jeh C. Johnson</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232"/>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Debra L. Reed-Klages</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20" w:right="360" w:hanging="40"/>
        <w:spacing w:after="0" w:line="273" w:lineRule="auto"/>
        <w:rPr>
          <w:sz w:val="20"/>
          <w:szCs w:val="20"/>
          <w:color w:val="auto"/>
        </w:rPr>
      </w:pPr>
      <w:r>
        <w:rPr>
          <w:rFonts w:ascii="Times New Roman" w:cs="Times New Roman" w:eastAsia="Times New Roman" w:hAnsi="Times New Roman"/>
          <w:sz w:val="18"/>
          <w:szCs w:val="18"/>
          <w:color w:val="auto"/>
        </w:rPr>
        <w:t>*By Maryanne R. Lavan pursuant to a Power of Attorney executed by the Directors listed above, which has been filed with this Annual Report on Form 10-K.</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28, 2021</w:t>
            </w:r>
          </w:p>
        </w:tc>
        <w:tc>
          <w:tcPr>
            <w:tcW w:w="674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By:  /s/ Maryanne R. Lavan</w:t>
            </w:r>
          </w:p>
        </w:tc>
      </w:tr>
      <w:tr>
        <w:trPr>
          <w:trHeight w:val="218"/>
        </w:trPr>
        <w:tc>
          <w:tcPr>
            <w:tcW w:w="4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Maryanne R. Lavan</w:t>
            </w:r>
          </w:p>
        </w:tc>
      </w:tr>
      <w:tr>
        <w:trPr>
          <w:trHeight w:val="234"/>
        </w:trPr>
        <w:tc>
          <w:tcPr>
            <w:tcW w:w="44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240"/>
          </w:cols>
          <w:pgMar w:left="320" w:top="121" w:right="339" w:bottom="1440" w:gutter="0" w:footer="0" w:header="0"/>
          <w:type w:val="continuous"/>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LOCKHEED MARTIN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DEFERRED MANAGEMENT INCENTIVE COMPENSATION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Generally Effective January 1, 2020)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3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Lockheed Martin Corporation wishes to revise the Lockheed Martin Corporation Deferred Management Incentive Compensation Plan (the “Plan”) to reflect the cessation of the Sikorsky Aircraft Corporation Annual Executive Incentive Compensation Plan. Accordingly, the Plan is revised as follows.</w:t>
      </w:r>
    </w:p>
    <w:p>
      <w:pPr>
        <w:spacing w:after="0" w:line="200"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24 of Article II of the Plan is amended and restated in its entirety to read as follows:</w:t>
      </w:r>
    </w:p>
    <w:p>
      <w:pPr>
        <w:spacing w:after="0" w:line="233" w:lineRule="exact"/>
        <w:rPr>
          <w:rFonts w:ascii="Times New Roman" w:cs="Times New Roman" w:eastAsia="Times New Roman" w:hAnsi="Times New Roman"/>
          <w:sz w:val="22"/>
          <w:szCs w:val="22"/>
          <w:color w:val="auto"/>
        </w:rPr>
      </w:pPr>
    </w:p>
    <w:p>
      <w:pPr>
        <w:ind w:left="660" w:right="160" w:hanging="4"/>
        <w:spacing w:after="0" w:line="244" w:lineRule="auto"/>
        <w:tabs>
          <w:tab w:leader="none" w:pos="98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MICP – The Lockheed Martin Corporation Amended and Restated 2006 Management Incentive Compensation Plan, the Lockheed Martin Corporation Amended and Restated Attorney Incentive Plan, or, prior to January 1, 2020, the Sikorsky Annual Executive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LOCKHEED MARTIN CORPORATION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Greg Karol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36830</wp:posOffset>
            </wp:positionV>
            <wp:extent cx="36518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6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Greg Karol</w:t>
      </w:r>
    </w:p>
    <w:p>
      <w:pPr>
        <w:spacing w:after="0" w:line="7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Senior Vice President, Human Resources</w:t>
      </w:r>
    </w:p>
    <w:p>
      <w:pPr>
        <w:spacing w:after="0" w:line="341" w:lineRule="exact"/>
        <w:rPr>
          <w:sz w:val="20"/>
          <w:szCs w:val="20"/>
          <w:color w:val="auto"/>
        </w:rPr>
      </w:pPr>
    </w:p>
    <w:p>
      <w:pPr>
        <w:ind w:left="39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12/18/2020</w:t>
      </w:r>
    </w:p>
    <w:p>
      <w:pPr>
        <w:sectPr>
          <w:pgSz w:w="11900" w:h="16838" w:orient="portrait"/>
          <w:cols w:equalWidth="0" w:num="1">
            <w:col w:w="11240"/>
          </w:cols>
          <w:pgMar w:left="320" w:top="1418"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29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432"/>
        </w:trPr>
        <w:tc>
          <w:tcPr>
            <w:tcW w:w="832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Subsidiaries of Lockheed Martin Corporation</w:t>
            </w: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92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Place of Formation</w:t>
            </w:r>
          </w:p>
        </w:tc>
      </w:tr>
      <w:tr>
        <w:trPr>
          <w:trHeight w:val="218"/>
        </w:trPr>
        <w:tc>
          <w:tcPr>
            <w:tcW w:w="8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AWE Management Limited</w:t>
            </w:r>
          </w:p>
        </w:tc>
        <w:tc>
          <w:tcPr>
            <w:tcW w:w="288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Pr>
          <w:p>
            <w:pPr>
              <w:spacing w:after="0"/>
              <w:rPr>
                <w:sz w:val="18"/>
                <w:szCs w:val="18"/>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AWE PLC</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Helicopter Support, Inc.</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Connecticut</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Aerospace Systems Integration, LLC</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Australia Pty Limited</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Canada Inc.</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Global, Inc.</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Investments Inc.</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Overseas, LLC</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UK Ampthill Limited</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UK Limited</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Polskie Zaklady Lotnicze Sp. Zo.o</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Poland</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Sikorsky Aircraft Corporation</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Sikorsky International Operations, Inc.</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Zeta Associates, Inc.</w:t>
            </w:r>
          </w:p>
        </w:tc>
        <w:tc>
          <w:tcPr>
            <w:tcW w:w="2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Virginia</w:t>
            </w: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have additional operating subsidiaries that, if considered in the aggregate as a single subsidiary, do not constitute a significant subsidiary.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 of the above listed subsidiaries have been consolidated in our consolidated financial statements.</w:t>
      </w:r>
    </w:p>
    <w:p>
      <w:pPr>
        <w:sectPr>
          <w:pgSz w:w="11900" w:h="16838" w:orient="portrait"/>
          <w:cols w:equalWidth="0" w:num="1">
            <w:col w:w="11240"/>
          </w:cols>
          <w:pgMar w:left="320" w:top="88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278"/>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of our reports dated January 28, 2021, with respect to the consolidated financial statements and the effectiveness of internal control over financial reporting of Lockheed Martin Corporation, included in this Annual Report (Form 10-K) for the year ended December 31, 2020, filed with the U.S. Securities and Exchange Commission, in the following Registration Statements of Lockheed Martin Corporation:</w:t>
      </w:r>
    </w:p>
    <w:p>
      <w:pPr>
        <w:spacing w:after="0" w:line="8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333-92363 on Form S-8, dated December 8, 1999;</w:t>
      </w:r>
    </w:p>
    <w:p>
      <w:pPr>
        <w:spacing w:after="0" w:line="2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333-115357 on Form S-8, dated May 10, 2004;</w:t>
      </w:r>
    </w:p>
    <w:p>
      <w:pPr>
        <w:ind w:left="660" w:hanging="328"/>
        <w:spacing w:after="0" w:line="23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333-155684 on Form S-8, dated November 25, 2008 and August 23, 2011 (Post-Effective Amendment No. 1);</w:t>
      </w:r>
    </w:p>
    <w:p>
      <w:pPr>
        <w:ind w:left="660" w:hanging="328"/>
        <w:spacing w:after="0" w:line="23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333-155687 on Form S-8, dated November 25, 2008;</w:t>
      </w:r>
    </w:p>
    <w:p>
      <w:pPr>
        <w:ind w:left="660" w:hanging="328"/>
        <w:spacing w:after="0" w:line="23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333-176440 on Form S-8, dated August 23, 2011 and April 24, 2020 (Post-Effective Amendment No. 1);</w:t>
      </w:r>
    </w:p>
    <w:p>
      <w:pPr>
        <w:ind w:left="660" w:hanging="328"/>
        <w:spacing w:after="0" w:line="23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333-188118 on Form S-8, dated April 25, 2013;</w:t>
      </w:r>
    </w:p>
    <w:p>
      <w:pPr>
        <w:ind w:left="660" w:right="120" w:hanging="328"/>
        <w:spacing w:after="0" w:line="23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333-195466 on Form S-8, dated April 24, 2014, July 23, 2014 (Post-Effective Amendment No.1) and April 24, 2020 (Post-Effective Amendment No. 2);</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333-237829, 333-237831, and 333-237832 on Form S-8, each dated April 24, 2020;</w:t>
      </w:r>
    </w:p>
    <w:p>
      <w:pPr>
        <w:ind w:left="660" w:hanging="328"/>
        <w:spacing w:after="0" w:line="23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333-237834 on Form S-3, dated April 24, 2020; and</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333-237836 on Form S-3, dated April 24, 2020.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ectPr>
          <w:pgSz w:w="11900" w:h="16838" w:orient="portrait"/>
          <w:cols w:equalWidth="0" w:num="1">
            <w:col w:w="11240"/>
          </w:cols>
          <w:pgMar w:left="320" w:top="88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2020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F. Akerson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DANIEL F. AKERSON</w:t>
      </w: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ectPr>
          <w:pgSz w:w="11900" w:h="16838" w:orient="portrait"/>
          <w:cols w:equalWidth="0" w:num="1">
            <w:col w:w="11240"/>
          </w:cols>
          <w:pgMar w:left="320" w:top="887"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2020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Burritt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BURRITT</w:t>
      </w: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ectPr>
          <w:pgSz w:w="11900" w:h="16838" w:orient="portrait"/>
          <w:cols w:equalWidth="0" w:num="1">
            <w:col w:w="11240"/>
          </w:cols>
          <w:pgMar w:left="320" w:top="88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2020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Bruce A.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BRUCE A. CARLSON</w:t>
      </w: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ectPr>
          <w:pgSz w:w="11900" w:h="16838" w:orient="portrait"/>
          <w:cols w:equalWidth="0" w:num="1">
            <w:col w:w="11240"/>
          </w:cols>
          <w:pgMar w:left="320" w:top="88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2020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O. Ellis,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O. ELLIS, JR.</w:t>
      </w: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ectPr>
          <w:pgSz w:w="11900" w:h="16838" w:orient="portrait"/>
          <w:cols w:equalWidth="0" w:num="1">
            <w:col w:w="11240"/>
          </w:cols>
          <w:pgMar w:left="320" w:top="88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2020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F. Dunford,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F. DUNFORD, JR.</w:t>
      </w: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ectPr>
          <w:pgSz w:w="11900" w:h="16838" w:orient="portrait"/>
          <w:cols w:equalWidth="0" w:num="1">
            <w:col w:w="11240"/>
          </w:cols>
          <w:pgMar w:left="320" w:top="110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2020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J. Falk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J. FALK</w:t>
      </w: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ectPr>
          <w:pgSz w:w="11900" w:h="16838" w:orient="portrait"/>
          <w:cols w:equalWidth="0" w:num="1">
            <w:col w:w="11240"/>
          </w:cols>
          <w:pgMar w:left="320" w:top="88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Maryanne R. Lavan, Kerri R. Morey and Peter L. Trentman, and each of them, jointly and severally, her lawful attorney-in-fact and agent, with full power of substitution, for her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2020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Ilene S.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ILENE S. GORDON</w:t>
      </w: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ectPr>
          <w:pgSz w:w="11900" w:h="16838" w:orient="portrait"/>
          <w:cols w:equalWidth="0" w:num="1">
            <w:col w:w="11240"/>
          </w:cols>
          <w:pgMar w:left="320" w:top="88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Maryanne R. Lavan, Kerri R. Morey and Peter L. Trentman, and each of them, jointly and severally, her lawful attorney-in-fact and agent, with full power of substitution, for her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2020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Marillyn A. Hewson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MARILLYN A. HEWSON</w:t>
      </w:r>
    </w:p>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ectPr>
          <w:pgSz w:w="11900" w:h="16838" w:orient="portrait"/>
          <w:cols w:equalWidth="0" w:num="1">
            <w:col w:w="11240"/>
          </w:cols>
          <w:pgMar w:left="320" w:top="110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Maryanne R. Lavan, Kerri R. Morey and Peter L. Trentman, and each of them, jointly and severally, her lawful attorney-in-fact and agent, with full power of substitution, for her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2020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Vicki A.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VICKI A. HOLLUB</w:t>
      </w: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ectPr>
          <w:pgSz w:w="11900" w:h="16838" w:orient="portrait"/>
          <w:cols w:equalWidth="0" w:num="1">
            <w:col w:w="11240"/>
          </w:cols>
          <w:pgMar w:left="320" w:top="88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2020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Jeh C.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JEH C. JOHNSON</w:t>
      </w: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ectPr>
          <w:pgSz w:w="11900" w:h="16838" w:orient="portrait"/>
          <w:cols w:equalWidth="0" w:num="1">
            <w:col w:w="11240"/>
          </w:cols>
          <w:pgMar w:left="320" w:top="887"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Maryanne R. Lavan, Kerri R. Morey and Peter L. Trentman, and each of them, jointly and severally, her lawful attorney-in-fact and agent, with full power of substitution, for him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2020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Debra L. Reed-Klages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DEBRA L. REED-KLAGES</w:t>
      </w: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2021</w:t>
      </w:r>
    </w:p>
    <w:p>
      <w:pPr>
        <w:sectPr>
          <w:pgSz w:w="11900" w:h="16838" w:orient="portrait"/>
          <w:cols w:equalWidth="0" w:num="1">
            <w:col w:w="11240"/>
          </w:cols>
          <w:pgMar w:left="320" w:top="88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CERTIFICATION OF JAMES D. TAICLET PURSUANT TO</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James D. Taiclet, certify that:</w:t>
      </w:r>
    </w:p>
    <w:p>
      <w:pPr>
        <w:spacing w:after="0" w:line="22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Lockheed Martin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914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James D. Taiclet</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28, 2021</w:t>
      </w:r>
    </w:p>
    <w:p>
      <w:pPr>
        <w:sectPr>
          <w:pgSz w:w="11900" w:h="16838" w:orient="portrait"/>
          <w:cols w:equalWidth="0" w:num="1">
            <w:col w:w="11240"/>
          </w:cols>
          <w:pgMar w:left="320" w:top="88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KENNETH R. POSSENRIEDE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Kenneth R. Possenriede, certify that:</w:t>
      </w:r>
    </w:p>
    <w:p>
      <w:pPr>
        <w:spacing w:after="0" w:line="22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Lockheed Martin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Kenneth R. Possenriede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914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Kenneth R. Possenriede</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28, 2021</w:t>
      </w:r>
    </w:p>
    <w:p>
      <w:pPr>
        <w:sectPr>
          <w:pgSz w:w="11900" w:h="16838" w:orient="portrait"/>
          <w:cols w:equalWidth="0" w:num="1">
            <w:col w:w="11240"/>
          </w:cols>
          <w:pgMar w:left="320" w:top="887" w:right="339" w:bottom="1440" w:gutter="0" w:footer="0" w:header="0"/>
        </w:sectPr>
      </w:pPr>
    </w:p>
    <w:bookmarkStart w:id="131" w:name="page132"/>
    <w:bookmarkEnd w:id="131"/>
    <w:p>
      <w:pPr>
        <w:ind w:left="104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JAMES D. TAICLET AND KENNETH R. POSSENRIEDE PURSUANT TO 18 U.S.C. SECTION 1350, AS ADOPTED PURSUANT TO SECTION 906 OF THE SARBANES-OXLEY ACT OF 2002</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Lockheed Martin Corporation (the “Corporation”) on Form 10-K for the period ended December 31, 2020, as filed with the U.S. Securities and Exchange Commission on the date hereof (the “Report”), I, James D. Taiclet, Chief Executive Officer of the Corporation, and I, Kenneth R. Possenriede, Chief Financial Officer of the Corporation, each certify, pursuant to 18 U.S.C. Section 1350, as adopted pursuant to Section 906 of the Sarbanes-Oxley Act of 2002, that to my knowledge:</w:t>
      </w:r>
    </w:p>
    <w:p>
      <w:pPr>
        <w:spacing w:after="0" w:line="85" w:lineRule="exact"/>
        <w:rPr>
          <w:sz w:val="20"/>
          <w:szCs w:val="20"/>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80" w:hanging="486"/>
        <w:spacing w:after="0" w:line="260" w:lineRule="auto"/>
        <w:tabs>
          <w:tab w:leader="none" w:pos="9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Corporation.</w:t>
      </w:r>
    </w:p>
    <w:p>
      <w:pPr>
        <w:spacing w:after="0" w:line="27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914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James D. Taiclet</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Kenneth R. Possenriede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914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Kenneth R. Possenriede</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28, 2021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5"/>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decimal"/>
      <w:start w:val="5"/>
    </w:lvl>
  </w:abstractNum>
  <w:abstractNum w:abstractNumId="30">
    <w:nsid w:val="5072367"/>
    <w:multiLevelType w:val="hybridMultilevel"/>
    <w:lvl w:ilvl="0">
      <w:lvlJc w:val="left"/>
      <w:lvlText w:val="(%1)"/>
      <w:numFmt w:val="decimal"/>
      <w:start w:val="5"/>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21"/>
    </w:lvl>
  </w:abstractNum>
  <w:abstractNum w:abstractNumId="33">
    <w:nsid w:val="7724C67E"/>
    <w:multiLevelType w:val="hybridMultilevel"/>
    <w:lvl w:ilvl="0">
      <w:lvlJc w:val="left"/>
      <w:lvlText w:val="%1"/>
      <w:numFmt w:val="decimal"/>
      <w:start w:val="23"/>
    </w:lvl>
  </w:abstractNum>
  <w:abstractNum w:abstractNumId="34">
    <w:nsid w:val="5C482A97"/>
    <w:multiLevelType w:val="hybridMultilevel"/>
    <w:lvl w:ilvl="0">
      <w:lvlJc w:val="left"/>
      <w:lvlText w:val="%1"/>
      <w:numFmt w:val="decimal"/>
      <w:start w:val="32"/>
    </w:lvl>
  </w:abstractNum>
  <w:abstractNum w:abstractNumId="35">
    <w:nsid w:val="2463B9EA"/>
    <w:multiLevelType w:val="hybridMultilevel"/>
    <w:lvl w:ilvl="0">
      <w:lvlJc w:val="left"/>
      <w:lvlText w:val="*"/>
      <w:numFmt w:val="bullet"/>
      <w:start w:val="1"/>
    </w:lvl>
    <w:lvl w:ilvl="1">
      <w:lvlJc w:val="left"/>
      <w:lvlText w:val="%2"/>
      <w:numFmt w:val="decimal"/>
      <w:start w:val="104"/>
    </w:lvl>
  </w:abstractNum>
  <w:abstractNum w:abstractNumId="36">
    <w:nsid w:val="5E884ADC"/>
    <w:multiLevelType w:val="hybridMultilevel"/>
    <w:lvl w:ilvl="0">
      <w:lvlJc w:val="left"/>
      <w:lvlText w:val="%1."/>
      <w:numFmt w:val="decimal"/>
      <w:start w:val="1"/>
    </w:lvl>
    <w:lvl w:ilvl="1">
      <w:lvlJc w:val="left"/>
      <w:lvlText w:val="%2."/>
      <w:numFmt w:val="decimal"/>
      <w:start w:val="24"/>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136" Type="http://schemas.openxmlformats.org/officeDocument/2006/relationships/hyperlink" Target="https://www.sec.gov/Archives/edgar/data/936468/000093646820000150/mergeragreement.htm" TargetMode="External"/><Relationship Id="rId137" Type="http://schemas.openxmlformats.org/officeDocument/2006/relationships/hyperlink" Target="http://www.sec.gov/Archives/edgar/data/936468/000119312511045739/dex31.htm" TargetMode="External"/><Relationship Id="rId138" Type="http://schemas.openxmlformats.org/officeDocument/2006/relationships/hyperlink" Target="http://www.sec.gov/Archives/edgar/data/936468/000093646820000037/lmtbylaws040820.htm" TargetMode="External"/><Relationship Id="rId139" Type="http://schemas.openxmlformats.org/officeDocument/2006/relationships/hyperlink" Target="http://www.sec.gov/Archives/edgar/data/936468/000093646820000016/ex41q42019.htm" TargetMode="External"/><Relationship Id="rId140" Type="http://schemas.openxmlformats.org/officeDocument/2006/relationships/hyperlink" Target="http://www.sec.gov/Archives/edgar/data/936468/000093646818000009/ex41q42017.htm" TargetMode="External"/><Relationship Id="rId141" Type="http://schemas.openxmlformats.org/officeDocument/2006/relationships/hyperlink" Target="http://www.sec.gov/Archives/edgar/data/936468/000119312506182765/dex991.htm" TargetMode="External"/><Relationship Id="rId142" Type="http://schemas.openxmlformats.org/officeDocument/2006/relationships/hyperlink" Target="http://www.sec.gov/Archives/edgar/data/936468/000119312508053896/dex41.htm" TargetMode="External"/><Relationship Id="rId143" Type="http://schemas.openxmlformats.org/officeDocument/2006/relationships/hyperlink" Target="http://www.sec.gov/Archives/edgar/data/936468/000119312510128266/dex991.htm" TargetMode="External"/><Relationship Id="rId144" Type="http://schemas.openxmlformats.org/officeDocument/2006/relationships/hyperlink" Target="http://www.sec.gov/Archives/edgar/data/936468/000093646820000085/ex412011indenture.htm" TargetMode="External"/><Relationship Id="rId147" Type="http://schemas.openxmlformats.org/officeDocument/2006/relationships/hyperlink" Target="http://www.sec.gov/Archives/edgar/data/936468/000119312512505053/d454318dex991.htm" TargetMode="External"/><Relationship Id="rId148" Type="http://schemas.openxmlformats.org/officeDocument/2006/relationships/hyperlink" Target="http://www.sec.gov/Archives/edgar/data/936468/000119312517279340/d453584dex991.htm" TargetMode="External"/><Relationship Id="rId149" Type="http://schemas.openxmlformats.org/officeDocument/2006/relationships/hyperlink" Target="http://www.sec.gov/Archives/edgar/data/936468/000093646818000058/exhibit101082418.htm" TargetMode="External"/><Relationship Id="rId150" Type="http://schemas.openxmlformats.org/officeDocument/2006/relationships/hyperlink" Target="http://www.sec.gov/Archives/edgar/data/936468/000093646819000061/exhibit101to8-k082419.htm" TargetMode="External"/><Relationship Id="rId151" Type="http://schemas.openxmlformats.org/officeDocument/2006/relationships/hyperlink" Target="http://www.sec.gov/Archives/edgar/data/936468/000093646819000069/ex101q32019.htm" TargetMode="External"/><Relationship Id="rId152" Type="http://schemas.openxmlformats.org/officeDocument/2006/relationships/hyperlink" Target="http://www.sec.gov/Archives/edgar/data/936468/000119312509038670/dex102.htm" TargetMode="External"/><Relationship Id="rId153" Type="http://schemas.openxmlformats.org/officeDocument/2006/relationships/hyperlink" Target="http://www.sec.gov/Archives/edgar/data/936468/000119312506222275/dex101.htm" TargetMode="External"/><Relationship Id="rId154" Type="http://schemas.openxmlformats.org/officeDocument/2006/relationships/hyperlink" Target="http://www.sec.gov/Archives/edgar/data/936468/000093646818000025/ex1018k042618.htm" TargetMode="External"/><Relationship Id="rId155" Type="http://schemas.openxmlformats.org/officeDocument/2006/relationships/hyperlink" Target="http://www.sec.gov/Archives/edgar/data/936468/000119312510040520/dex1034.htm" TargetMode="External"/><Relationship Id="rId156" Type="http://schemas.openxmlformats.org/officeDocument/2006/relationships/hyperlink" Target="http://www.sec.gov/Archives/edgar/data/936468/000119312515141818/d887742dex104.htm" TargetMode="External"/><Relationship Id="rId157" Type="http://schemas.openxmlformats.org/officeDocument/2006/relationships/hyperlink" Target="http://www.sec.gov/Archives/edgar/data/936468/000119312516476010/d62685dex1022.htm" TargetMode="External"/><Relationship Id="rId158" Type="http://schemas.openxmlformats.org/officeDocument/2006/relationships/hyperlink" Target="http://www.sec.gov/Archives/edgar/data/936468/000093646820000016/ex1031q42019.htm" TargetMode="External"/><Relationship Id="rId159" Type="http://schemas.openxmlformats.org/officeDocument/2006/relationships/hyperlink" Target="http://www.sec.gov/Archives/edgar/data/936468/000093646820000016/ex108q42019.htm" TargetMode="External"/><Relationship Id="rId160" Type="http://schemas.openxmlformats.org/officeDocument/2006/relationships/hyperlink" Target="http://www.sec.gov/Archives/edgar/data/936468/000093646819000022/ex104q12019.htm" TargetMode="External"/><Relationship Id="rId161" Type="http://schemas.openxmlformats.org/officeDocument/2006/relationships/hyperlink" Target="http://www.sec.gov/Archives/edgar/data/936468/000119312509038670/dex1017.htm" TargetMode="External"/><Relationship Id="rId162" Type="http://schemas.openxmlformats.org/officeDocument/2006/relationships/hyperlink" Target="http://www.sec.gov/Archives/edgar/data/936468/000119312511022096/dex993.htm" TargetMode="External"/><Relationship Id="rId163" Type="http://schemas.openxmlformats.org/officeDocument/2006/relationships/hyperlink" Target="http://www.sec.gov/Archives/edgar/data/936468/000093646819000009/ex1013q42018.htm" TargetMode="External"/><Relationship Id="rId166" Type="http://schemas.openxmlformats.org/officeDocument/2006/relationships/hyperlink" Target="http://www.sec.gov/Archives/edgar/data/936468/000119312512074929/d221578dex1039.htm" TargetMode="External"/><Relationship Id="rId167" Type="http://schemas.openxmlformats.org/officeDocument/2006/relationships/hyperlink" Target="http://www.sec.gov/Archives/edgar/data/936468/000093646818000023/ex101q12018.htm" TargetMode="External"/><Relationship Id="rId168" Type="http://schemas.openxmlformats.org/officeDocument/2006/relationships/hyperlink" Target="http://www.sec.gov/Archives/edgar/data/936468/000093646818000023/ex102q12018.htm" TargetMode="External"/><Relationship Id="rId169" Type="http://schemas.openxmlformats.org/officeDocument/2006/relationships/hyperlink" Target="http://www.sec.gov/Archives/edgar/data/936468/000093646818000023/ex103q12018.htm" TargetMode="External"/><Relationship Id="rId170" Type="http://schemas.openxmlformats.org/officeDocument/2006/relationships/hyperlink" Target="http://www.sec.gov/Archives/edgar/data/936468/000093646819000022/ex101q12019.htm" TargetMode="External"/><Relationship Id="rId171" Type="http://schemas.openxmlformats.org/officeDocument/2006/relationships/hyperlink" Target="http://www.sec.gov/Archives/edgar/data/936468/000093646819000022/ex102q12019.htm" TargetMode="External"/><Relationship Id="rId172" Type="http://schemas.openxmlformats.org/officeDocument/2006/relationships/hyperlink" Target="http://www.sec.gov/Archives/edgar/data/936468/000093646819000022/ex103q12019.htm" TargetMode="External"/><Relationship Id="rId173" Type="http://schemas.openxmlformats.org/officeDocument/2006/relationships/hyperlink" Target="http://www.sec.gov/Archives/edgar/data/936468/000093646820000056/ex104q12020.htm" TargetMode="External"/><Relationship Id="rId174" Type="http://schemas.openxmlformats.org/officeDocument/2006/relationships/hyperlink" Target="http://www.sec.gov/Archives/edgar/data/936468/000093646820000056/ex101q12020.htm" TargetMode="External"/><Relationship Id="rId175" Type="http://schemas.openxmlformats.org/officeDocument/2006/relationships/hyperlink" Target="http://www.sec.gov/Archives/edgar/data/936468/000093646820000056/ex102q12020.htm" TargetMode="External"/><Relationship Id="rId176" Type="http://schemas.openxmlformats.org/officeDocument/2006/relationships/hyperlink" Target="http://www.sec.gov/Archives/edgar/data/936468/000093646820000056/ex103q12020.htm" TargetMode="External"/><Relationship Id="rId177" Type="http://schemas.openxmlformats.org/officeDocument/2006/relationships/hyperlink" Target="http://www.sec.gov/Archives/edgar/data/936468/000093646820000059/a2020ipap042320.htm" TargetMode="External"/><Relationship Id="rId178" Type="http://schemas.openxmlformats.org/officeDocument/2006/relationships/hyperlink" Target="http://www.sec.gov/Archives/edgar/data/936468/000093646820000115/ex102q22020.htm" TargetMode="External"/><Relationship Id="rId179" Type="http://schemas.openxmlformats.org/officeDocument/2006/relationships/hyperlink" Target="http://www.sec.gov/Archives/edgar/data/936468/000093646820000115/ex103q22020.htm" TargetMode="External"/><Relationship Id="rId180" Type="http://schemas.openxmlformats.org/officeDocument/2006/relationships/hyperlink" Target="http://www.sec.gov/Archives/edgar/data/936468/000093646820000115/ex104q22020.htm" TargetMode="External"/><Relationship Id="rId181" Type="http://schemas.openxmlformats.org/officeDocument/2006/relationships/hyperlink" Target="http://www.sec.gov/Archives/edgar/data/936468/000093646820000115/ex105q22020.htm" TargetMode="External"/><Relationship Id="rId182" Type="http://schemas.openxmlformats.org/officeDocument/2006/relationships/hyperlink" Target="http://www.sec.gov/Archives/edgar/data/936468/000093646820000125/ex102q32020.htm" TargetMode="External"/><Relationship Id="rId183" Type="http://schemas.openxmlformats.org/officeDocument/2006/relationships/hyperlink" Target="http://www.sec.gov/Archives/edgar/data/936468/000093646819000009/ex1026q42018.htm" TargetMode="External"/><Relationship Id="rId186" Type="http://schemas.openxmlformats.org/officeDocument/2006/relationships/hyperlink" Target="http://www.sec.gov/Archives/edgar/data/936468/000119312517036192/d290249dex1026.htm" TargetMode="External"/><Relationship Id="rId187" Type="http://schemas.openxmlformats.org/officeDocument/2006/relationships/hyperlink" Target="http://www.sec.gov/Archives/edgar/data/936468/000093646818000053/ex101q22018.htm" TargetMode="External"/><Relationship Id="rId188" Type="http://schemas.openxmlformats.org/officeDocument/2006/relationships/hyperlink" Target="http://www.sec.gov/Archives/edgar/data/936468/000093646820000115/ex1062q2020.htm" TargetMode="External"/><Relationship Id="rId189" Type="http://schemas.openxmlformats.org/officeDocument/2006/relationships/hyperlink" Target="http://www.sec.gov/Archives/edgar/data/936468/000093646820000125/ex101q32020.htm" TargetMode="External"/><Relationship Id="rId190" Type="http://schemas.openxmlformats.org/officeDocument/2006/relationships/hyperlink" Target="http://www.sec.gov/Archives/edgar/data/936468/000093646820000056/ex105q1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2021-01-28T16:15:27Z</dcterms:created>
  <dcterms:modified xsi:type="dcterms:W3CDTF">2021-01-28T16:15:27Z</dcterms:modified>
</cp:coreProperties>
</file>