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14350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YEARLEY DOUGLAS C</w:t>
              </w:r>
            </w:hyperlink>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LOCKHEED MARTIN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LMT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80" w:type="dxa"/>
            <w:vAlign w:val="bottom"/>
            <w:gridSpan w:val="4"/>
            <w:vMerge w:val="restart"/>
          </w:tcPr>
          <w:p>
            <w:pPr>
              <w:ind w:left="20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12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6801 ROCKLEDGE DRIVE</w:t>
            </w:r>
          </w:p>
        </w:tc>
        <w:tc>
          <w:tcPr>
            <w:tcW w:w="1100" w:type="dxa"/>
            <w:vAlign w:val="bottom"/>
          </w:tcPr>
          <w:p>
            <w:pPr>
              <w:spacing w:after="0"/>
              <w:rPr>
                <w:sz w:val="18"/>
                <w:szCs w:val="18"/>
                <w:color w:val="auto"/>
              </w:rPr>
            </w:pPr>
          </w:p>
        </w:tc>
        <w:tc>
          <w:tcPr>
            <w:tcW w:w="1580" w:type="dxa"/>
            <w:vAlign w:val="bottom"/>
            <w:gridSpan w:val="5"/>
          </w:tcPr>
          <w:p>
            <w:pPr>
              <w:ind w:left="420"/>
              <w:spacing w:after="0"/>
              <w:rPr>
                <w:sz w:val="20"/>
                <w:szCs w:val="20"/>
                <w:color w:val="auto"/>
              </w:rPr>
            </w:pPr>
            <w:r>
              <w:rPr>
                <w:rFonts w:ascii="Arial" w:cs="Arial" w:eastAsia="Arial" w:hAnsi="Arial"/>
                <w:sz w:val="17"/>
                <w:szCs w:val="17"/>
                <w:color w:val="0000FF"/>
              </w:rPr>
              <w:t>01/17/2006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tcBorders>
            <w:gridSpan w:val="4"/>
          </w:tcPr>
          <w:p>
            <w:pPr>
              <w:spacing w:after="0"/>
              <w:rPr>
                <w:sz w:val="22"/>
                <w:szCs w:val="22"/>
                <w:color w:val="auto"/>
              </w:rPr>
            </w:pPr>
          </w:p>
        </w:tc>
        <w:tc>
          <w:tcPr>
            <w:tcW w:w="960" w:type="dxa"/>
            <w:vAlign w:val="bottom"/>
            <w:tcBorders>
              <w:bottom w:val="single" w:sz="8" w:color="808080"/>
            </w:tcBorders>
            <w:gridSpan w:val="2"/>
          </w:tcPr>
          <w:p>
            <w:pPr>
              <w:spacing w:after="0"/>
              <w:rPr>
                <w:sz w:val="22"/>
                <w:szCs w:val="22"/>
                <w:color w:val="auto"/>
              </w:rPr>
            </w:pPr>
          </w:p>
        </w:tc>
        <w:tc>
          <w:tcPr>
            <w:tcW w:w="960" w:type="dxa"/>
            <w:vAlign w:val="bottom"/>
            <w:tcBorders>
              <w:bottom w:val="single" w:sz="8" w:color="808080"/>
            </w:tcBorders>
            <w:gridSpan w:val="2"/>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460" w:type="dxa"/>
            <w:vAlign w:val="bottom"/>
            <w:tcBorders>
              <w:bottom w:val="single" w:sz="8" w:color="808080"/>
            </w:tcBorders>
          </w:tcPr>
          <w:p>
            <w:pPr>
              <w:spacing w:after="0"/>
              <w:rPr>
                <w:sz w:val="22"/>
                <w:szCs w:val="22"/>
                <w:color w:val="auto"/>
              </w:rPr>
            </w:pPr>
          </w:p>
        </w:tc>
        <w:tc>
          <w:tcPr>
            <w:tcW w:w="2980" w:type="dxa"/>
            <w:vAlign w:val="bottom"/>
            <w:tcBorders>
              <w:bottom w:val="single" w:sz="8" w:color="808080"/>
            </w:tcBorders>
            <w:gridSpan w:val="5"/>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5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BETHESDA</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120"/>
              <w:spacing w:after="0"/>
              <w:rPr>
                <w:sz w:val="20"/>
                <w:szCs w:val="20"/>
                <w:color w:val="auto"/>
              </w:rPr>
            </w:pPr>
            <w:r>
              <w:rPr>
                <w:rFonts w:ascii="Arial" w:cs="Arial" w:eastAsia="Arial" w:hAnsi="Arial"/>
                <w:sz w:val="17"/>
                <w:szCs w:val="17"/>
                <w:color w:val="0000FF"/>
              </w:rPr>
              <w:t>20817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40"/>
              <w:spacing w:after="0"/>
              <w:rPr>
                <w:sz w:val="20"/>
                <w:szCs w:val="20"/>
                <w:color w:val="auto"/>
              </w:rPr>
            </w:pPr>
            <w:r>
              <w:rPr>
                <w:rFonts w:ascii="Arial" w:cs="Arial" w:eastAsia="Arial" w:hAnsi="Arial"/>
                <w:sz w:val="13"/>
                <w:szCs w:val="13"/>
                <w:color w:val="auto"/>
                <w:w w:val="99"/>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gridSpan w:val="7"/>
          </w:tcPr>
          <w:p>
            <w:pPr>
              <w:ind w:left="14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12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5"/>
          </w:tcPr>
          <w:p>
            <w:pPr>
              <w:ind w:left="10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w w:val="95"/>
              </w:rPr>
              <w:t>5. Number of</w:t>
            </w:r>
          </w:p>
        </w:tc>
        <w:tc>
          <w:tcPr>
            <w:tcW w:w="28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w w:val="88"/>
              </w:rPr>
              <w:t>(2)</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1,369.4461</w:t>
            </w: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0000FF"/>
              </w:rPr>
              <w:t>01/17/2006</w:t>
            </w:r>
          </w:p>
        </w:tc>
        <w:tc>
          <w:tcPr>
            <w:tcW w:w="1100" w:type="dxa"/>
            <w:vAlign w:val="bottom"/>
          </w:tcPr>
          <w:p>
            <w:pPr>
              <w:spacing w:after="0"/>
              <w:rPr>
                <w:sz w:val="11"/>
                <w:szCs w:val="11"/>
                <w:color w:val="auto"/>
              </w:rPr>
            </w:pPr>
          </w:p>
        </w:tc>
        <w:tc>
          <w:tcPr>
            <w:tcW w:w="86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A</w:t>
            </w:r>
          </w:p>
        </w:tc>
        <w:tc>
          <w:tcPr>
            <w:tcW w:w="720" w:type="dxa"/>
            <w:vAlign w:val="bottom"/>
          </w:tcPr>
          <w:p>
            <w:pPr>
              <w:spacing w:after="0" w:line="138" w:lineRule="exact"/>
              <w:rPr>
                <w:sz w:val="20"/>
                <w:szCs w:val="20"/>
                <w:color w:val="auto"/>
              </w:rPr>
            </w:pPr>
            <w:r>
              <w:rPr>
                <w:rFonts w:ascii="Arial" w:cs="Arial" w:eastAsia="Arial" w:hAnsi="Arial"/>
                <w:sz w:val="13"/>
                <w:szCs w:val="13"/>
                <w:color w:val="0000FF"/>
              </w:rPr>
              <w:t>1,369.4461</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65.72</w:t>
            </w: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91"/>
              </w:rPr>
              <w:t>12,768.2419</w:t>
            </w:r>
          </w:p>
        </w:tc>
        <w:tc>
          <w:tcPr>
            <w:tcW w:w="640" w:type="dxa"/>
            <w:vAlign w:val="bottom"/>
          </w:tcPr>
          <w:p>
            <w:pPr>
              <w:ind w:left="360"/>
              <w:spacing w:after="0" w:line="13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ind w:left="140"/>
              <w:spacing w:after="0" w:line="81" w:lineRule="exact"/>
              <w:rPr>
                <w:sz w:val="20"/>
                <w:szCs w:val="20"/>
                <w:color w:val="auto"/>
              </w:rPr>
            </w:pPr>
            <w:r>
              <w:rPr>
                <w:rFonts w:ascii="Arial" w:cs="Arial" w:eastAsia="Arial" w:hAnsi="Arial"/>
                <w:sz w:val="9"/>
                <w:szCs w:val="9"/>
                <w:color w:val="0000FF"/>
              </w:rPr>
              <w:t>Stock</w:t>
            </w: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81" w:lineRule="exact"/>
              <w:rPr>
                <w:sz w:val="20"/>
                <w:szCs w:val="20"/>
                <w:color w:val="auto"/>
              </w:rPr>
            </w:pPr>
            <w:r>
              <w:rPr>
                <w:rFonts w:ascii="Arial" w:cs="Arial" w:eastAsia="Arial" w:hAnsi="Arial"/>
                <w:sz w:val="9"/>
                <w:szCs w:val="9"/>
                <w:color w:val="0000FF"/>
              </w:rPr>
              <w:t>Directors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Equity Plan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1,129.6789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3"/>
          </w:tcPr>
          <w:p>
            <w:pPr>
              <w:ind w:left="160"/>
              <w:spacing w:after="0" w:line="141" w:lineRule="exact"/>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2"/>
          </w:tcPr>
          <w:p>
            <w:pPr>
              <w:jc w:val="center"/>
              <w:spacing w:after="0" w:line="124" w:lineRule="exact"/>
              <w:rPr>
                <w:sz w:val="20"/>
                <w:szCs w:val="20"/>
                <w:color w:val="auto"/>
              </w:rPr>
            </w:pPr>
            <w:r>
              <w:rPr>
                <w:rFonts w:ascii="Arial" w:cs="Arial" w:eastAsia="Arial" w:hAnsi="Arial"/>
                <w:sz w:val="13"/>
                <w:szCs w:val="13"/>
                <w:color w:val="0000FF"/>
                <w:w w:val="89"/>
              </w:rPr>
              <w:t>1,129.6789</w:t>
            </w:r>
          </w:p>
        </w:tc>
        <w:tc>
          <w:tcPr>
            <w:tcW w:w="640" w:type="dxa"/>
            <w:vAlign w:val="bottom"/>
          </w:tcPr>
          <w:p>
            <w:pPr>
              <w:ind w:left="360"/>
              <w:spacing w:after="0" w:line="124" w:lineRule="exact"/>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24" w:lineRule="exact"/>
              <w:rPr>
                <w:sz w:val="20"/>
                <w:szCs w:val="20"/>
                <w:color w:val="auto"/>
              </w:rPr>
            </w:pPr>
            <w:r>
              <w:rPr>
                <w:rFonts w:ascii="Arial" w:cs="Arial" w:eastAsia="Arial" w:hAnsi="Arial"/>
                <w:sz w:val="13"/>
                <w:szCs w:val="13"/>
                <w:color w:val="0000FF"/>
              </w:rPr>
              <w:t>Directors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Deferred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Stock Plan</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260" w:type="dxa"/>
            <w:vAlign w:val="bottom"/>
          </w:tcPr>
          <w:p>
            <w:pPr>
              <w:spacing w:after="0"/>
              <w:rPr>
                <w:sz w:val="15"/>
                <w:szCs w:val="15"/>
                <w:color w:val="auto"/>
              </w:rPr>
            </w:pPr>
          </w:p>
        </w:tc>
        <w:tc>
          <w:tcPr>
            <w:tcW w:w="620" w:type="dxa"/>
            <w:vAlign w:val="bottom"/>
            <w:gridSpan w:val="2"/>
            <w:vMerge w:val="restart"/>
          </w:tcPr>
          <w:p>
            <w:pPr>
              <w:jc w:val="center"/>
              <w:ind w:right="208"/>
              <w:spacing w:after="0"/>
              <w:rPr>
                <w:sz w:val="20"/>
                <w:szCs w:val="20"/>
                <w:color w:val="auto"/>
              </w:rPr>
            </w:pPr>
            <w:r>
              <w:rPr>
                <w:rFonts w:ascii="Arial" w:cs="Arial" w:eastAsia="Arial" w:hAnsi="Arial"/>
                <w:sz w:val="17"/>
                <w:szCs w:val="17"/>
                <w:color w:val="0000FF"/>
                <w:w w:val="91"/>
              </w:rPr>
              <w:t>494</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jc w:val="center"/>
              <w:ind w:left="301"/>
              <w:spacing w:after="0" w:line="141" w:lineRule="exact"/>
              <w:rPr>
                <w:sz w:val="20"/>
                <w:szCs w:val="20"/>
                <w:color w:val="auto"/>
              </w:rPr>
            </w:pPr>
            <w:r>
              <w:rPr>
                <w:rFonts w:ascii="Arial" w:cs="Arial" w:eastAsia="Arial" w:hAnsi="Arial"/>
                <w:sz w:val="13"/>
                <w:szCs w:val="13"/>
                <w:color w:val="0000FF"/>
                <w:w w:val="82"/>
              </w:rPr>
              <w:t>494</w:t>
            </w:r>
          </w:p>
        </w:tc>
        <w:tc>
          <w:tcPr>
            <w:tcW w:w="340" w:type="dxa"/>
            <w:vAlign w:val="bottom"/>
          </w:tcPr>
          <w:p>
            <w:pPr>
              <w:spacing w:after="0"/>
              <w:rPr>
                <w:sz w:val="5"/>
                <w:szCs w:val="5"/>
                <w:color w:val="auto"/>
              </w:rPr>
            </w:pPr>
          </w:p>
        </w:tc>
        <w:tc>
          <w:tcPr>
            <w:tcW w:w="64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line="141" w:lineRule="exact"/>
              <w:rPr>
                <w:sz w:val="20"/>
                <w:szCs w:val="20"/>
                <w:color w:val="auto"/>
              </w:rPr>
            </w:pPr>
            <w:r>
              <w:rPr>
                <w:rFonts w:ascii="Arial" w:cs="Arial" w:eastAsia="Arial" w:hAnsi="Arial"/>
                <w:sz w:val="13"/>
                <w:szCs w:val="13"/>
                <w:color w:val="0000FF"/>
              </w:rPr>
              <w:t>Deferred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Comp Plan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stock units convert on a 1 for 1 basis.</w:t>
      </w:r>
    </w:p>
    <w:p>
      <w:pPr>
        <w:spacing w:after="0" w:line="43" w:lineRule="exact"/>
        <w:rPr>
          <w:rFonts w:ascii="Arial" w:cs="Arial" w:eastAsia="Arial" w:hAnsi="Arial"/>
          <w:sz w:val="13"/>
          <w:szCs w:val="13"/>
          <w:color w:val="008000"/>
        </w:rPr>
      </w:pPr>
    </w:p>
    <w:p>
      <w:pPr>
        <w:ind w:left="40" w:right="180" w:firstLine="1"/>
        <w:spacing w:after="0" w:line="316"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Under the Lockheed Martin Corporation Directors Equity Plan, each non-employee director elects to receive an award of stock options or phantom stock units or a combination of stock options and phantom stock units in accordance with the plan, which awards are exempt transactions under Rule 16b-3. Settlement in cash or stock (as elected by the holder) will occur upon the reporting person's retirement or termination of service.</w:t>
      </w:r>
    </w:p>
    <w:p>
      <w:pPr>
        <w:ind w:left="40" w:right="14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information pertains to phantom stock units acquired under the Lockheed Martin Directors Deferred Stock Plan exempt under Section 16(b). Units are settled upon the reporting person's retirement or termination of service.</w:t>
      </w:r>
    </w:p>
    <w:p>
      <w:pPr>
        <w:sectPr>
          <w:pgSz w:w="11900" w:h="16838" w:orient="portrait"/>
          <w:cols w:equalWidth="0" w:num="1">
            <w:col w:w="11520"/>
          </w:cols>
          <w:pgMar w:left="240" w:top="221" w:right="139" w:bottom="1440" w:gutter="0" w:footer="0" w:header="0"/>
          <w:type w:val="continuous"/>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4. Settlement occurs on the reporting person's retirement or termination of service.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Douglas C. Yearley, by David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1905</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Dedman,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23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42"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162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0000FF"/>
        </w:rPr>
        <w:t>01/19/2006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482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0"/>
          <w:szCs w:val="20"/>
          <w:color w:val="auto"/>
        </w:rPr>
      </w:pPr>
    </w:p>
    <w:p>
      <w:pPr>
        <w:sectPr>
          <w:pgSz w:w="11900" w:h="16838" w:orient="portrait"/>
          <w:cols w:equalWidth="0" w:num="2">
            <w:col w:w="9060" w:space="100"/>
            <w:col w:w="2360"/>
          </w:cols>
          <w:pgMar w:left="240" w:top="221"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008"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2019-12-18T08:42:28Z</dcterms:created>
  <dcterms:modified xsi:type="dcterms:W3CDTF">2019-12-18T08:42:28Z</dcterms:modified>
</cp:coreProperties>
</file>