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-233680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40" w:type="dxa"/>
            <w:vAlign w:val="bottom"/>
          </w:tcPr>
          <w:p>
            <w:pPr>
              <w:jc w:val="center"/>
              <w:ind w:right="27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27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40" w:type="dxa"/>
            <w:vAlign w:val="bottom"/>
            <w:vMerge w:val="restart"/>
          </w:tcPr>
          <w:p>
            <w:pPr>
              <w:jc w:val="center"/>
              <w:ind w:right="296"/>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40" w:type="dxa"/>
            <w:vAlign w:val="bottom"/>
            <w:vMerge w:val="restart"/>
          </w:tcPr>
          <w:p>
            <w:pPr>
              <w:jc w:val="center"/>
              <w:ind w:right="2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-629285</wp:posOffset>
            </wp:positionV>
            <wp:extent cx="58420" cy="642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4081780</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16510</wp:posOffset>
            </wp:positionV>
            <wp:extent cx="7325360" cy="5631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563118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80" w:space="480"/>
            <w:col w:w="8760"/>
          </w:cols>
          <w:pgMar w:left="240" w:top="222"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KUBASIK CHRISTOPHER E</w:t>
        </w:r>
      </w:hyperlink>
    </w:p>
    <w:p>
      <w:pPr>
        <w:spacing w:after="0" w:line="30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6801 ROCKLEDGE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LOCKHEED MARTIN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LMT</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06/30/2004</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1" w:right="740" w:firstLine="1"/>
        <w:spacing w:after="0" w:line="239"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9" w:type="dxa"/>
        <w:tblCellMar>
          <w:top w:w="0" w:type="dxa"/>
          <w:left w:w="0" w:type="dxa"/>
          <w:bottom w:w="0" w:type="dxa"/>
          <w:right w:w="0" w:type="dxa"/>
        </w:tblCellMar>
      </w:tblPr>
      <w:tr>
        <w:trPr>
          <w:trHeight w:val="155"/>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59"/>
        <w:spacing w:after="0"/>
        <w:rPr>
          <w:sz w:val="20"/>
          <w:szCs w:val="20"/>
          <w:color w:val="auto"/>
        </w:rPr>
      </w:pPr>
      <w:r>
        <w:rPr>
          <w:rFonts w:ascii="Arial" w:cs="Arial" w:eastAsia="Arial" w:hAnsi="Arial"/>
          <w:sz w:val="17"/>
          <w:szCs w:val="17"/>
          <w:color w:val="0000FF"/>
        </w:rPr>
        <w:t>Sr. V. P. and CFO</w:t>
      </w:r>
    </w:p>
    <w:p>
      <w:pPr>
        <w:spacing w:after="0" w:line="329" w:lineRule="exact"/>
        <w:rPr>
          <w:sz w:val="24"/>
          <w:szCs w:val="24"/>
          <w:color w:val="auto"/>
        </w:rPr>
      </w:pPr>
    </w:p>
    <w:p>
      <w:pPr>
        <w:sectPr>
          <w:pgSz w:w="11900" w:h="16838" w:orient="portrait"/>
          <w:cols w:equalWidth="0" w:num="3">
            <w:col w:w="3340" w:space="720"/>
            <w:col w:w="3261" w:space="720"/>
            <w:col w:w="3479"/>
          </w:cols>
          <w:pgMar w:left="240" w:top="222" w:right="139" w:bottom="1440" w:gutter="0" w:footer="0" w:header="0"/>
          <w:type w:val="continuous"/>
        </w:sectPr>
      </w:pP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top w:val="single" w:sz="8" w:color="2C2C2C"/>
            </w:tcBorders>
          </w:tcPr>
          <w:p>
            <w:pPr>
              <w:spacing w:after="0"/>
              <w:rPr>
                <w:sz w:val="15"/>
                <w:szCs w:val="15"/>
                <w:color w:val="auto"/>
              </w:rPr>
            </w:pPr>
          </w:p>
        </w:tc>
        <w:tc>
          <w:tcPr>
            <w:tcW w:w="3520" w:type="dxa"/>
            <w:vAlign w:val="bottom"/>
            <w:tcBorders>
              <w:top w:val="single" w:sz="8" w:color="2C2C2C"/>
            </w:tcBorders>
            <w:gridSpan w:val="7"/>
            <w:vMerge w:val="restart"/>
          </w:tcPr>
          <w:p>
            <w:pPr>
              <w:jc w:val="center"/>
              <w:ind w:right="138"/>
              <w:spacing w:after="0"/>
              <w:rPr>
                <w:sz w:val="20"/>
                <w:szCs w:val="20"/>
                <w:color w:val="auto"/>
              </w:rPr>
            </w:pPr>
            <w:r>
              <w:rPr>
                <w:rFonts w:ascii="Arial" w:cs="Arial" w:eastAsia="Arial" w:hAnsi="Arial"/>
                <w:sz w:val="13"/>
                <w:szCs w:val="13"/>
                <w:color w:val="auto"/>
                <w:w w:val="99"/>
              </w:rPr>
              <w:t>4. If Amendment, Date of Original Filed (Month/Day/Year)</w:t>
            </w:r>
          </w:p>
        </w:tc>
        <w:tc>
          <w:tcPr>
            <w:tcW w:w="100" w:type="dxa"/>
            <w:vAlign w:val="bottom"/>
            <w:tcBorders>
              <w:top w:val="single" w:sz="8" w:color="2C2C2C"/>
            </w:tcBorders>
          </w:tcPr>
          <w:p>
            <w:pPr>
              <w:spacing w:after="0"/>
              <w:rPr>
                <w:sz w:val="15"/>
                <w:szCs w:val="15"/>
                <w:color w:val="auto"/>
              </w:rPr>
            </w:pPr>
          </w:p>
        </w:tc>
        <w:tc>
          <w:tcPr>
            <w:tcW w:w="3760" w:type="dxa"/>
            <w:vAlign w:val="bottom"/>
            <w:tcBorders>
              <w:top w:val="single" w:sz="8" w:color="2C2C2C"/>
            </w:tcBorders>
            <w:gridSpan w:val="8"/>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 Line)</w:t>
            </w:r>
          </w:p>
        </w:tc>
        <w:tc>
          <w:tcPr>
            <w:tcW w:w="10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7"/>
                <w:szCs w:val="17"/>
                <w:color w:val="0000FF"/>
              </w:rPr>
              <w:t>BETHESDA</w:t>
            </w:r>
          </w:p>
        </w:tc>
        <w:tc>
          <w:tcPr>
            <w:tcW w:w="1160" w:type="dxa"/>
            <w:vAlign w:val="bottom"/>
            <w:gridSpan w:val="2"/>
            <w:vMerge w:val="restart"/>
          </w:tcPr>
          <w:p>
            <w:pPr>
              <w:ind w:left="40"/>
              <w:spacing w:after="0"/>
              <w:rPr>
                <w:sz w:val="20"/>
                <w:szCs w:val="20"/>
                <w:color w:val="auto"/>
              </w:rPr>
            </w:pPr>
            <w:r>
              <w:rPr>
                <w:rFonts w:ascii="Arial" w:cs="Arial" w:eastAsia="Arial" w:hAnsi="Arial"/>
                <w:sz w:val="17"/>
                <w:szCs w:val="17"/>
                <w:color w:val="0000FF"/>
              </w:rPr>
              <w:t>MD</w:t>
            </w:r>
          </w:p>
        </w:tc>
        <w:tc>
          <w:tcPr>
            <w:tcW w:w="1160" w:type="dxa"/>
            <w:vAlign w:val="bottom"/>
            <w:vMerge w:val="restart"/>
          </w:tcPr>
          <w:p>
            <w:pPr>
              <w:ind w:left="140"/>
              <w:spacing w:after="0"/>
              <w:rPr>
                <w:sz w:val="20"/>
                <w:szCs w:val="20"/>
                <w:color w:val="auto"/>
              </w:rPr>
            </w:pPr>
            <w:r>
              <w:rPr>
                <w:rFonts w:ascii="Arial" w:cs="Arial" w:eastAsia="Arial" w:hAnsi="Arial"/>
                <w:sz w:val="17"/>
                <w:szCs w:val="17"/>
                <w:color w:val="0000FF"/>
              </w:rPr>
              <w:t>20817</w:t>
            </w: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520" w:type="dxa"/>
            <w:vAlign w:val="bottom"/>
            <w:gridSpan w:val="7"/>
            <w:vMerge w:val="continue"/>
          </w:tcPr>
          <w:p>
            <w:pPr>
              <w:spacing w:after="0"/>
              <w:rPr>
                <w:sz w:val="4"/>
                <w:szCs w:val="4"/>
                <w:color w:val="auto"/>
              </w:rPr>
            </w:pPr>
          </w:p>
        </w:tc>
        <w:tc>
          <w:tcPr>
            <w:tcW w:w="100" w:type="dxa"/>
            <w:vAlign w:val="bottom"/>
          </w:tcPr>
          <w:p>
            <w:pPr>
              <w:spacing w:after="0"/>
              <w:rPr>
                <w:sz w:val="4"/>
                <w:szCs w:val="4"/>
                <w:color w:val="auto"/>
              </w:rPr>
            </w:pPr>
          </w:p>
        </w:tc>
        <w:tc>
          <w:tcPr>
            <w:tcW w:w="3760" w:type="dxa"/>
            <w:vAlign w:val="bottom"/>
            <w:gridSpan w:val="8"/>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40" w:type="dxa"/>
            <w:vAlign w:val="bottom"/>
            <w:gridSpan w:val="6"/>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31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310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4300" w:type="dxa"/>
            <w:vAlign w:val="bottom"/>
            <w:tcBorders>
              <w:bottom w:val="single" w:sz="8" w:color="2C2C2C"/>
            </w:tcBorders>
            <w:gridSpan w:val="11"/>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20" w:type="dxa"/>
            <w:vAlign w:val="bottom"/>
            <w:tcBorders>
              <w:top w:val="single" w:sz="8" w:color="2C2C2C"/>
            </w:tcBorders>
          </w:tcPr>
          <w:p>
            <w:pPr>
              <w:spacing w:after="0"/>
              <w:rPr>
                <w:sz w:val="21"/>
                <w:szCs w:val="21"/>
                <w:color w:val="auto"/>
              </w:rPr>
            </w:pPr>
          </w:p>
        </w:tc>
        <w:tc>
          <w:tcPr>
            <w:tcW w:w="6540" w:type="dxa"/>
            <w:vAlign w:val="bottom"/>
            <w:tcBorders>
              <w:top w:val="single" w:sz="8" w:color="2C2C2C"/>
            </w:tcBorders>
            <w:gridSpan w:val="16"/>
          </w:tcPr>
          <w:p>
            <w:pPr>
              <w:jc w:val="center"/>
              <w:ind w:right="81"/>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2000" w:type="dxa"/>
            <w:vAlign w:val="bottom"/>
            <w:tcBorders>
              <w:bottom w:val="single" w:sz="8" w:color="2C2C2C"/>
            </w:tcBorders>
            <w:gridSpan w:val="5"/>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00" w:type="dxa"/>
            <w:vAlign w:val="bottom"/>
            <w:gridSpan w:val="5"/>
          </w:tcPr>
          <w:p>
            <w:pPr>
              <w:ind w:left="100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2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20" w:type="dxa"/>
            <w:vAlign w:val="bottom"/>
            <w:gridSpan w:val="4"/>
          </w:tcPr>
          <w:p>
            <w:pPr>
              <w:ind w:left="1000"/>
              <w:spacing w:after="0" w:line="127"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00" w:type="dxa"/>
            <w:vAlign w:val="bottom"/>
            <w:gridSpan w:val="3"/>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3440" w:type="dxa"/>
            <w:vAlign w:val="bottom"/>
            <w:gridSpan w:val="8"/>
          </w:tcPr>
          <w:p>
            <w:pPr>
              <w:ind w:left="80"/>
              <w:spacing w:after="0" w:line="127" w:lineRule="exact"/>
              <w:rPr>
                <w:sz w:val="20"/>
                <w:szCs w:val="20"/>
                <w:color w:val="auto"/>
              </w:rPr>
            </w:pPr>
            <w:r>
              <w:rPr>
                <w:rFonts w:ascii="Arial" w:cs="Arial" w:eastAsia="Arial" w:hAnsi="Arial"/>
                <w:sz w:val="12"/>
                <w:szCs w:val="12"/>
                <w:b w:val="1"/>
                <w:bCs w:val="1"/>
                <w:color w:val="auto"/>
              </w:rPr>
              <w:t>Transaction  Disposed Of (D) (Instr. 3, 4 and 5)   Securities</w:t>
            </w:r>
          </w:p>
        </w:tc>
        <w:tc>
          <w:tcPr>
            <w:tcW w:w="600" w:type="dxa"/>
            <w:vAlign w:val="bottom"/>
          </w:tcPr>
          <w:p>
            <w:pPr>
              <w:spacing w:after="0"/>
              <w:rPr>
                <w:sz w:val="11"/>
                <w:szCs w:val="11"/>
                <w:color w:val="auto"/>
              </w:rPr>
            </w:pPr>
          </w:p>
        </w:tc>
        <w:tc>
          <w:tcPr>
            <w:tcW w:w="10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0" w:type="dxa"/>
            <w:vAlign w:val="bottom"/>
            <w:gridSpan w:val="5"/>
          </w:tcPr>
          <w:p>
            <w:pPr>
              <w:ind w:left="100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10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10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380"/>
              <w:spacing w:after="0" w:line="130" w:lineRule="exact"/>
              <w:rPr>
                <w:sz w:val="20"/>
                <w:szCs w:val="20"/>
                <w:color w:val="auto"/>
              </w:rPr>
            </w:pPr>
            <w:r>
              <w:rPr>
                <w:rFonts w:ascii="Arial" w:cs="Arial" w:eastAsia="Arial" w:hAnsi="Arial"/>
                <w:sz w:val="12"/>
                <w:szCs w:val="12"/>
                <w:b w:val="1"/>
                <w:bCs w:val="1"/>
                <w:color w:val="auto"/>
                <w:w w:val="93"/>
              </w:rPr>
              <w:t>(A) or</w:t>
            </w: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5780" w:type="dxa"/>
            <w:vAlign w:val="bottom"/>
            <w:tcBorders>
              <w:bottom w:val="single" w:sz="8" w:color="2C2C2C"/>
            </w:tcBorders>
            <w:gridSpan w:val="14"/>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540" w:type="dxa"/>
            <w:vAlign w:val="bottom"/>
            <w:tcBorders>
              <w:top w:val="single" w:sz="8" w:color="2C2C2C"/>
            </w:tcBorders>
            <w:gridSpan w:val="16"/>
          </w:tcPr>
          <w:p>
            <w:pPr>
              <w:ind w:left="2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720" w:type="dxa"/>
            <w:vAlign w:val="bottom"/>
            <w:gridSpan w:val="13"/>
          </w:tcPr>
          <w:p>
            <w:pPr>
              <w:ind w:left="9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w w:val="98"/>
              </w:rPr>
              <w:t>7. Title and Amount of</w:t>
            </w:r>
          </w:p>
        </w:tc>
        <w:tc>
          <w:tcPr>
            <w:tcW w:w="60" w:type="dxa"/>
            <w:vAlign w:val="bottom"/>
          </w:tcPr>
          <w:p>
            <w:pPr>
              <w:spacing w:after="0"/>
              <w:rPr>
                <w:sz w:val="14"/>
                <w:szCs w:val="14"/>
                <w:color w:val="auto"/>
              </w:rPr>
            </w:pPr>
          </w:p>
        </w:tc>
        <w:tc>
          <w:tcPr>
            <w:tcW w:w="760" w:type="dxa"/>
            <w:vAlign w:val="bottom"/>
            <w:gridSpan w:val="2"/>
          </w:tcPr>
          <w:p>
            <w:pPr>
              <w:jc w:val="right"/>
              <w:ind w:right="81"/>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Derivative</w:t>
            </w:r>
          </w:p>
        </w:tc>
        <w:tc>
          <w:tcPr>
            <w:tcW w:w="260" w:type="dxa"/>
            <w:vAlign w:val="bottom"/>
          </w:tcPr>
          <w:p>
            <w:pPr>
              <w:spacing w:after="0"/>
              <w:rPr>
                <w:sz w:val="11"/>
                <w:szCs w:val="11"/>
                <w:color w:val="auto"/>
              </w:rPr>
            </w:pPr>
          </w:p>
        </w:tc>
        <w:tc>
          <w:tcPr>
            <w:tcW w:w="15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60" w:type="dxa"/>
            <w:vAlign w:val="bottom"/>
          </w:tcPr>
          <w:p>
            <w:pPr>
              <w:spacing w:after="0"/>
              <w:rPr>
                <w:sz w:val="11"/>
                <w:szCs w:val="11"/>
                <w:color w:val="auto"/>
              </w:rPr>
            </w:pPr>
          </w:p>
        </w:tc>
        <w:tc>
          <w:tcPr>
            <w:tcW w:w="760" w:type="dxa"/>
            <w:vAlign w:val="bottom"/>
            <w:gridSpan w:val="2"/>
          </w:tcPr>
          <w:p>
            <w:pPr>
              <w:jc w:val="right"/>
              <w:ind w:right="81"/>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15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60" w:type="dxa"/>
            <w:vAlign w:val="bottom"/>
            <w:gridSpan w:val="2"/>
          </w:tcPr>
          <w:p>
            <w:pPr>
              <w:jc w:val="right"/>
              <w:ind w:right="181"/>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 (A)</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760" w:type="dxa"/>
            <w:vAlign w:val="bottom"/>
            <w:gridSpan w:val="2"/>
          </w:tcPr>
          <w:p>
            <w:pPr>
              <w:jc w:val="right"/>
              <w:ind w:right="181"/>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 Disposed</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 (D) (Instr. 3,</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4 and 5)</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Amount or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 of</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60" w:type="dxa"/>
            <w:vAlign w:val="bottom"/>
            <w:gridSpan w:val="3"/>
          </w:tcPr>
          <w:p>
            <w:pPr>
              <w:ind w:left="60"/>
              <w:spacing w:after="0"/>
              <w:rPr>
                <w:sz w:val="20"/>
                <w:szCs w:val="20"/>
                <w:color w:val="auto"/>
              </w:rPr>
            </w:pPr>
            <w:r>
              <w:rPr>
                <w:rFonts w:ascii="Arial" w:cs="Arial" w:eastAsia="Arial" w:hAnsi="Arial"/>
                <w:sz w:val="12"/>
                <w:szCs w:val="12"/>
                <w:b w:val="1"/>
                <w:bCs w:val="1"/>
                <w:color w:val="auto"/>
                <w:w w:val="93"/>
              </w:rPr>
              <w:t>Code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4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restart"/>
          </w:tcPr>
          <w:p>
            <w:pPr>
              <w:jc w:val="right"/>
              <w:ind w:right="324"/>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6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0"/>
              </w:rPr>
              <w:t>986.4854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tcPr>
          <w:p>
            <w:pPr>
              <w:ind w:left="60"/>
              <w:spacing w:after="0" w:line="126"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center"/>
              <w:spacing w:after="0" w:line="126" w:lineRule="exact"/>
              <w:rPr>
                <w:sz w:val="20"/>
                <w:szCs w:val="20"/>
                <w:color w:val="auto"/>
              </w:rPr>
            </w:pPr>
            <w:r>
              <w:rPr>
                <w:rFonts w:ascii="Arial" w:cs="Arial" w:eastAsia="Arial" w:hAnsi="Arial"/>
                <w:sz w:val="13"/>
                <w:szCs w:val="13"/>
                <w:color w:val="0000FF"/>
                <w:w w:val="92"/>
              </w:rPr>
              <w:t>06/30/2004</w:t>
            </w:r>
          </w:p>
        </w:tc>
        <w:tc>
          <w:tcPr>
            <w:tcW w:w="1160" w:type="dxa"/>
            <w:vAlign w:val="bottom"/>
          </w:tcPr>
          <w:p>
            <w:pPr>
              <w:spacing w:after="0"/>
              <w:rPr>
                <w:sz w:val="10"/>
                <w:szCs w:val="10"/>
                <w:color w:val="auto"/>
              </w:rPr>
            </w:pPr>
          </w:p>
        </w:tc>
        <w:tc>
          <w:tcPr>
            <w:tcW w:w="360" w:type="dxa"/>
            <w:vAlign w:val="bottom"/>
            <w:gridSpan w:val="3"/>
          </w:tcPr>
          <w:p>
            <w:pPr>
              <w:ind w:left="160"/>
              <w:spacing w:after="0" w:line="126" w:lineRule="exact"/>
              <w:rPr>
                <w:sz w:val="20"/>
                <w:szCs w:val="20"/>
                <w:color w:val="auto"/>
              </w:rPr>
            </w:pPr>
            <w:r>
              <w:rPr>
                <w:rFonts w:ascii="Arial" w:cs="Arial" w:eastAsia="Arial" w:hAnsi="Arial"/>
                <w:sz w:val="13"/>
                <w:szCs w:val="13"/>
                <w:color w:val="0000FF"/>
              </w:rPr>
              <w:t>A</w:t>
            </w:r>
          </w:p>
        </w:tc>
        <w:tc>
          <w:tcPr>
            <w:tcW w:w="480" w:type="dxa"/>
            <w:vAlign w:val="bottom"/>
          </w:tcPr>
          <w:p>
            <w:pPr>
              <w:spacing w:after="0"/>
              <w:rPr>
                <w:sz w:val="10"/>
                <w:szCs w:val="10"/>
                <w:color w:val="auto"/>
              </w:rPr>
            </w:pPr>
          </w:p>
        </w:tc>
        <w:tc>
          <w:tcPr>
            <w:tcW w:w="620" w:type="dxa"/>
            <w:vAlign w:val="bottom"/>
          </w:tcPr>
          <w:p>
            <w:pPr>
              <w:jc w:val="center"/>
              <w:spacing w:after="0" w:line="126" w:lineRule="exact"/>
              <w:rPr>
                <w:sz w:val="20"/>
                <w:szCs w:val="20"/>
                <w:color w:val="auto"/>
              </w:rPr>
            </w:pPr>
            <w:r>
              <w:rPr>
                <w:rFonts w:ascii="Arial" w:cs="Arial" w:eastAsia="Arial" w:hAnsi="Arial"/>
                <w:sz w:val="13"/>
                <w:szCs w:val="13"/>
                <w:color w:val="0000FF"/>
                <w:w w:val="88"/>
              </w:rPr>
              <w:t>986.4854</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20" w:type="dxa"/>
            <w:vAlign w:val="bottom"/>
            <w:gridSpan w:val="3"/>
          </w:tcPr>
          <w:p>
            <w:pPr>
              <w:jc w:val="right"/>
              <w:ind w:right="181"/>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52.08</w:t>
            </w:r>
          </w:p>
        </w:tc>
        <w:tc>
          <w:tcPr>
            <w:tcW w:w="880" w:type="dxa"/>
            <w:vAlign w:val="bottom"/>
            <w:gridSpan w:val="2"/>
          </w:tcPr>
          <w:p>
            <w:pPr>
              <w:jc w:val="center"/>
              <w:ind w:right="2"/>
              <w:spacing w:after="0" w:line="126" w:lineRule="exact"/>
              <w:rPr>
                <w:sz w:val="20"/>
                <w:szCs w:val="20"/>
                <w:color w:val="auto"/>
              </w:rPr>
            </w:pPr>
            <w:r>
              <w:rPr>
                <w:rFonts w:ascii="Arial" w:cs="Arial" w:eastAsia="Arial" w:hAnsi="Arial"/>
                <w:sz w:val="13"/>
                <w:szCs w:val="13"/>
                <w:color w:val="0000FF"/>
                <w:w w:val="89"/>
              </w:rPr>
              <w:t>5,141.3876</w:t>
            </w:r>
          </w:p>
        </w:tc>
        <w:tc>
          <w:tcPr>
            <w:tcW w:w="740" w:type="dxa"/>
            <w:vAlign w:val="bottom"/>
          </w:tcPr>
          <w:p>
            <w:pPr>
              <w:ind w:left="340"/>
              <w:spacing w:after="0" w:line="126" w:lineRule="exact"/>
              <w:rPr>
                <w:sz w:val="20"/>
                <w:szCs w:val="20"/>
                <w:color w:val="auto"/>
              </w:rPr>
            </w:pPr>
            <w:r>
              <w:rPr>
                <w:rFonts w:ascii="Arial" w:cs="Arial" w:eastAsia="Arial" w:hAnsi="Arial"/>
                <w:sz w:val="13"/>
                <w:szCs w:val="13"/>
                <w:color w:val="0000FF"/>
              </w:rPr>
              <w:t>I</w:t>
            </w:r>
          </w:p>
        </w:tc>
        <w:tc>
          <w:tcPr>
            <w:tcW w:w="84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LM DMICP</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ind w:left="120"/>
              <w:spacing w:after="0" w:line="143" w:lineRule="exact"/>
              <w:rPr>
                <w:sz w:val="20"/>
                <w:szCs w:val="20"/>
                <w:color w:val="auto"/>
              </w:rPr>
            </w:pPr>
            <w:r>
              <w:rPr>
                <w:rFonts w:ascii="Arial" w:cs="Arial" w:eastAsia="Arial" w:hAnsi="Arial"/>
                <w:sz w:val="13"/>
                <w:szCs w:val="13"/>
                <w:color w:val="0000FF"/>
              </w:rPr>
              <w:t>Stock</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4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restart"/>
          </w:tcPr>
          <w:p>
            <w:pPr>
              <w:jc w:val="right"/>
              <w:ind w:right="324"/>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60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6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17.5515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06/30/2004</w:t>
            </w:r>
          </w:p>
        </w:tc>
        <w:tc>
          <w:tcPr>
            <w:tcW w:w="1160" w:type="dxa"/>
            <w:vAlign w:val="bottom"/>
          </w:tcPr>
          <w:p>
            <w:pPr>
              <w:spacing w:after="0"/>
              <w:rPr>
                <w:sz w:val="5"/>
                <w:szCs w:val="5"/>
                <w:color w:val="auto"/>
              </w:rPr>
            </w:pPr>
          </w:p>
        </w:tc>
        <w:tc>
          <w:tcPr>
            <w:tcW w:w="360" w:type="dxa"/>
            <w:vAlign w:val="bottom"/>
            <w:gridSpan w:val="3"/>
            <w:vMerge w:val="restart"/>
          </w:tcPr>
          <w:p>
            <w:pPr>
              <w:ind w:left="160"/>
              <w:spacing w:after="0" w:line="143" w:lineRule="exact"/>
              <w:rPr>
                <w:sz w:val="20"/>
                <w:szCs w:val="20"/>
                <w:color w:val="auto"/>
              </w:rPr>
            </w:pPr>
            <w:r>
              <w:rPr>
                <w:rFonts w:ascii="Arial" w:cs="Arial" w:eastAsia="Arial" w:hAnsi="Arial"/>
                <w:sz w:val="13"/>
                <w:szCs w:val="13"/>
                <w:color w:val="0000FF"/>
              </w:rPr>
              <w:t>A</w:t>
            </w:r>
          </w:p>
        </w:tc>
        <w:tc>
          <w:tcPr>
            <w:tcW w:w="48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rPr>
              <w:t>V</w:t>
            </w:r>
          </w:p>
        </w:tc>
        <w:tc>
          <w:tcPr>
            <w:tcW w:w="62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3"/>
              </w:rPr>
              <w:t>17.5515</w:t>
            </w: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20" w:type="dxa"/>
            <w:vAlign w:val="bottom"/>
            <w:gridSpan w:val="3"/>
            <w:vMerge w:val="restart"/>
          </w:tcPr>
          <w:p>
            <w:pPr>
              <w:jc w:val="right"/>
              <w:ind w:right="18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52.08</w:t>
            </w:r>
          </w:p>
        </w:tc>
        <w:tc>
          <w:tcPr>
            <w:tcW w:w="880" w:type="dxa"/>
            <w:vAlign w:val="bottom"/>
            <w:gridSpan w:val="2"/>
            <w:vMerge w:val="restart"/>
          </w:tcPr>
          <w:p>
            <w:pPr>
              <w:jc w:val="center"/>
              <w:ind w:right="2"/>
              <w:spacing w:after="0" w:line="143" w:lineRule="exact"/>
              <w:rPr>
                <w:sz w:val="20"/>
                <w:szCs w:val="20"/>
                <w:color w:val="auto"/>
              </w:rPr>
            </w:pPr>
            <w:r>
              <w:rPr>
                <w:rFonts w:ascii="Arial" w:cs="Arial" w:eastAsia="Arial" w:hAnsi="Arial"/>
                <w:sz w:val="13"/>
                <w:szCs w:val="13"/>
                <w:color w:val="0000FF"/>
                <w:w w:val="89"/>
              </w:rPr>
              <w:t>5,158.9391</w:t>
            </w:r>
          </w:p>
        </w:tc>
        <w:tc>
          <w:tcPr>
            <w:tcW w:w="74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I</w:t>
            </w:r>
          </w:p>
        </w:tc>
        <w:tc>
          <w:tcPr>
            <w:tcW w:w="84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LM DMICP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360" w:type="dxa"/>
            <w:vAlign w:val="bottom"/>
            <w:gridSpan w:val="3"/>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680" w:type="dxa"/>
            <w:vAlign w:val="bottom"/>
            <w:gridSpan w:val="2"/>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4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restart"/>
          </w:tcPr>
          <w:p>
            <w:pPr>
              <w:jc w:val="right"/>
              <w:ind w:right="324"/>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60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6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0"/>
              </w:rPr>
              <w:t>218.9435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tcPr>
          <w:p>
            <w:pPr>
              <w:ind w:left="60"/>
              <w:spacing w:after="0" w:line="126"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center"/>
              <w:spacing w:after="0" w:line="126" w:lineRule="exact"/>
              <w:rPr>
                <w:sz w:val="20"/>
                <w:szCs w:val="20"/>
                <w:color w:val="auto"/>
              </w:rPr>
            </w:pPr>
            <w:r>
              <w:rPr>
                <w:rFonts w:ascii="Arial" w:cs="Arial" w:eastAsia="Arial" w:hAnsi="Arial"/>
                <w:sz w:val="13"/>
                <w:szCs w:val="13"/>
                <w:color w:val="0000FF"/>
                <w:w w:val="92"/>
              </w:rPr>
              <w:t>06/30/2004</w:t>
            </w:r>
          </w:p>
        </w:tc>
        <w:tc>
          <w:tcPr>
            <w:tcW w:w="1160" w:type="dxa"/>
            <w:vAlign w:val="bottom"/>
          </w:tcPr>
          <w:p>
            <w:pPr>
              <w:spacing w:after="0"/>
              <w:rPr>
                <w:sz w:val="10"/>
                <w:szCs w:val="10"/>
                <w:color w:val="auto"/>
              </w:rPr>
            </w:pPr>
          </w:p>
        </w:tc>
        <w:tc>
          <w:tcPr>
            <w:tcW w:w="360" w:type="dxa"/>
            <w:vAlign w:val="bottom"/>
            <w:gridSpan w:val="3"/>
          </w:tcPr>
          <w:p>
            <w:pPr>
              <w:ind w:left="160"/>
              <w:spacing w:after="0" w:line="126" w:lineRule="exact"/>
              <w:rPr>
                <w:sz w:val="20"/>
                <w:szCs w:val="20"/>
                <w:color w:val="auto"/>
              </w:rPr>
            </w:pPr>
            <w:r>
              <w:rPr>
                <w:rFonts w:ascii="Arial" w:cs="Arial" w:eastAsia="Arial" w:hAnsi="Arial"/>
                <w:sz w:val="13"/>
                <w:szCs w:val="13"/>
                <w:color w:val="0000FF"/>
              </w:rPr>
              <w:t>A</w:t>
            </w:r>
          </w:p>
        </w:tc>
        <w:tc>
          <w:tcPr>
            <w:tcW w:w="480" w:type="dxa"/>
            <w:vAlign w:val="bottom"/>
          </w:tcPr>
          <w:p>
            <w:pPr>
              <w:spacing w:after="0"/>
              <w:rPr>
                <w:sz w:val="10"/>
                <w:szCs w:val="10"/>
                <w:color w:val="auto"/>
              </w:rPr>
            </w:pPr>
          </w:p>
        </w:tc>
        <w:tc>
          <w:tcPr>
            <w:tcW w:w="620" w:type="dxa"/>
            <w:vAlign w:val="bottom"/>
          </w:tcPr>
          <w:p>
            <w:pPr>
              <w:jc w:val="center"/>
              <w:spacing w:after="0" w:line="126" w:lineRule="exact"/>
              <w:rPr>
                <w:sz w:val="20"/>
                <w:szCs w:val="20"/>
                <w:color w:val="auto"/>
              </w:rPr>
            </w:pPr>
            <w:r>
              <w:rPr>
                <w:rFonts w:ascii="Arial" w:cs="Arial" w:eastAsia="Arial" w:hAnsi="Arial"/>
                <w:sz w:val="13"/>
                <w:szCs w:val="13"/>
                <w:color w:val="0000FF"/>
                <w:w w:val="88"/>
              </w:rPr>
              <w:t>218.9435</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20" w:type="dxa"/>
            <w:vAlign w:val="bottom"/>
            <w:gridSpan w:val="3"/>
          </w:tcPr>
          <w:p>
            <w:pPr>
              <w:jc w:val="right"/>
              <w:ind w:right="181"/>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52.08</w:t>
            </w:r>
          </w:p>
        </w:tc>
        <w:tc>
          <w:tcPr>
            <w:tcW w:w="880" w:type="dxa"/>
            <w:vAlign w:val="bottom"/>
            <w:gridSpan w:val="2"/>
          </w:tcPr>
          <w:p>
            <w:pPr>
              <w:jc w:val="center"/>
              <w:ind w:right="2"/>
              <w:spacing w:after="0" w:line="126" w:lineRule="exact"/>
              <w:rPr>
                <w:sz w:val="20"/>
                <w:szCs w:val="20"/>
                <w:color w:val="auto"/>
              </w:rPr>
            </w:pPr>
            <w:r>
              <w:rPr>
                <w:rFonts w:ascii="Arial" w:cs="Arial" w:eastAsia="Arial" w:hAnsi="Arial"/>
                <w:sz w:val="13"/>
                <w:szCs w:val="13"/>
                <w:color w:val="0000FF"/>
                <w:w w:val="89"/>
              </w:rPr>
              <w:t>1,375.9462</w:t>
            </w:r>
          </w:p>
        </w:tc>
        <w:tc>
          <w:tcPr>
            <w:tcW w:w="740" w:type="dxa"/>
            <w:vAlign w:val="bottom"/>
          </w:tcPr>
          <w:p>
            <w:pPr>
              <w:ind w:left="340"/>
              <w:spacing w:after="0" w:line="126" w:lineRule="exact"/>
              <w:rPr>
                <w:sz w:val="20"/>
                <w:szCs w:val="20"/>
                <w:color w:val="auto"/>
              </w:rPr>
            </w:pPr>
            <w:r>
              <w:rPr>
                <w:rFonts w:ascii="Arial" w:cs="Arial" w:eastAsia="Arial" w:hAnsi="Arial"/>
                <w:sz w:val="13"/>
                <w:szCs w:val="13"/>
                <w:color w:val="0000FF"/>
              </w:rPr>
              <w:t>I</w:t>
            </w:r>
          </w:p>
        </w:tc>
        <w:tc>
          <w:tcPr>
            <w:tcW w:w="84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LM LTIP</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ind w:left="120"/>
              <w:spacing w:after="0" w:line="143" w:lineRule="exact"/>
              <w:rPr>
                <w:sz w:val="20"/>
                <w:szCs w:val="20"/>
                <w:color w:val="auto"/>
              </w:rPr>
            </w:pPr>
            <w:r>
              <w:rPr>
                <w:rFonts w:ascii="Arial" w:cs="Arial" w:eastAsia="Arial" w:hAnsi="Arial"/>
                <w:sz w:val="13"/>
                <w:szCs w:val="13"/>
                <w:color w:val="0000FF"/>
              </w:rPr>
              <w:t>Stock</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4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restart"/>
          </w:tcPr>
          <w:p>
            <w:pPr>
              <w:jc w:val="right"/>
              <w:ind w:right="324"/>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60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100" w:type="dxa"/>
            <w:vAlign w:val="bottom"/>
          </w:tcPr>
          <w:p>
            <w:pPr>
              <w:spacing w:after="0"/>
              <w:rPr>
                <w:sz w:val="16"/>
                <w:szCs w:val="16"/>
                <w:color w:val="auto"/>
              </w:rPr>
            </w:pPr>
          </w:p>
        </w:tc>
        <w:tc>
          <w:tcPr>
            <w:tcW w:w="580" w:type="dxa"/>
            <w:vAlign w:val="bottom"/>
            <w:vMerge w:val="restart"/>
          </w:tcPr>
          <w:p>
            <w:pPr>
              <w:jc w:val="center"/>
              <w:ind w:right="11"/>
              <w:spacing w:after="0"/>
              <w:rPr>
                <w:sz w:val="20"/>
                <w:szCs w:val="20"/>
                <w:color w:val="auto"/>
              </w:rPr>
            </w:pPr>
            <w:r>
              <w:rPr>
                <w:rFonts w:ascii="Arial" w:cs="Arial" w:eastAsia="Arial" w:hAnsi="Arial"/>
                <w:sz w:val="17"/>
                <w:szCs w:val="17"/>
                <w:color w:val="0000FF"/>
                <w:w w:val="88"/>
              </w:rPr>
              <w:t>4.8875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06/30/2004</w:t>
            </w:r>
          </w:p>
        </w:tc>
        <w:tc>
          <w:tcPr>
            <w:tcW w:w="1160" w:type="dxa"/>
            <w:vAlign w:val="bottom"/>
          </w:tcPr>
          <w:p>
            <w:pPr>
              <w:spacing w:after="0"/>
              <w:rPr>
                <w:sz w:val="5"/>
                <w:szCs w:val="5"/>
                <w:color w:val="auto"/>
              </w:rPr>
            </w:pPr>
          </w:p>
        </w:tc>
        <w:tc>
          <w:tcPr>
            <w:tcW w:w="360" w:type="dxa"/>
            <w:vAlign w:val="bottom"/>
            <w:gridSpan w:val="3"/>
            <w:vMerge w:val="restart"/>
          </w:tcPr>
          <w:p>
            <w:pPr>
              <w:ind w:left="160"/>
              <w:spacing w:after="0" w:line="143" w:lineRule="exact"/>
              <w:rPr>
                <w:sz w:val="20"/>
                <w:szCs w:val="20"/>
                <w:color w:val="auto"/>
              </w:rPr>
            </w:pPr>
            <w:r>
              <w:rPr>
                <w:rFonts w:ascii="Arial" w:cs="Arial" w:eastAsia="Arial" w:hAnsi="Arial"/>
                <w:sz w:val="13"/>
                <w:szCs w:val="13"/>
                <w:color w:val="0000FF"/>
              </w:rPr>
              <w:t>A</w:t>
            </w:r>
          </w:p>
        </w:tc>
        <w:tc>
          <w:tcPr>
            <w:tcW w:w="48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rPr>
              <w:t>V</w:t>
            </w:r>
          </w:p>
        </w:tc>
        <w:tc>
          <w:tcPr>
            <w:tcW w:w="62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0"/>
              </w:rPr>
              <w:t>4.8875</w:t>
            </w: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20" w:type="dxa"/>
            <w:vAlign w:val="bottom"/>
            <w:gridSpan w:val="3"/>
            <w:vMerge w:val="restart"/>
          </w:tcPr>
          <w:p>
            <w:pPr>
              <w:jc w:val="right"/>
              <w:ind w:right="18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52.08</w:t>
            </w:r>
          </w:p>
        </w:tc>
        <w:tc>
          <w:tcPr>
            <w:tcW w:w="880" w:type="dxa"/>
            <w:vAlign w:val="bottom"/>
            <w:gridSpan w:val="2"/>
            <w:vMerge w:val="restart"/>
          </w:tcPr>
          <w:p>
            <w:pPr>
              <w:jc w:val="center"/>
              <w:ind w:right="2"/>
              <w:spacing w:after="0" w:line="143" w:lineRule="exact"/>
              <w:rPr>
                <w:sz w:val="20"/>
                <w:szCs w:val="20"/>
                <w:color w:val="auto"/>
              </w:rPr>
            </w:pPr>
            <w:r>
              <w:rPr>
                <w:rFonts w:ascii="Arial" w:cs="Arial" w:eastAsia="Arial" w:hAnsi="Arial"/>
                <w:sz w:val="13"/>
                <w:szCs w:val="13"/>
                <w:color w:val="0000FF"/>
                <w:w w:val="89"/>
              </w:rPr>
              <w:t>1,380.8337</w:t>
            </w:r>
          </w:p>
        </w:tc>
        <w:tc>
          <w:tcPr>
            <w:tcW w:w="74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I</w:t>
            </w:r>
          </w:p>
        </w:tc>
        <w:tc>
          <w:tcPr>
            <w:tcW w:w="84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LM LTIP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360" w:type="dxa"/>
            <w:vAlign w:val="bottom"/>
            <w:gridSpan w:val="3"/>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4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restart"/>
          </w:tcPr>
          <w:p>
            <w:pPr>
              <w:jc w:val="right"/>
              <w:ind w:right="324"/>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(6)</w:t>
            </w:r>
          </w:p>
        </w:tc>
        <w:tc>
          <w:tcPr>
            <w:tcW w:w="60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6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0"/>
              </w:rPr>
              <w:t>655.4543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gridSpan w:val="3"/>
          </w:tcPr>
          <w:p>
            <w:pPr>
              <w:ind w:left="60"/>
              <w:spacing w:after="0"/>
              <w:rPr>
                <w:sz w:val="20"/>
                <w:szCs w:val="20"/>
                <w:color w:val="auto"/>
              </w:rPr>
            </w:pPr>
            <w:r>
              <w:rPr>
                <w:rFonts w:ascii="Arial" w:cs="Arial" w:eastAsia="Arial" w:hAnsi="Arial"/>
                <w:sz w:val="13"/>
                <w:szCs w:val="13"/>
                <w:color w:val="0000FF"/>
              </w:rPr>
              <w:t>LM</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tcPr>
          <w:p>
            <w:pPr>
              <w:ind w:left="60"/>
              <w:spacing w:after="0" w:line="126"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gridSpan w:val="2"/>
          </w:tcPr>
          <w:p>
            <w:pPr>
              <w:jc w:val="center"/>
              <w:ind w:right="2"/>
              <w:spacing w:after="0" w:line="126" w:lineRule="exact"/>
              <w:rPr>
                <w:sz w:val="20"/>
                <w:szCs w:val="20"/>
                <w:color w:val="auto"/>
              </w:rPr>
            </w:pPr>
            <w:r>
              <w:rPr>
                <w:rFonts w:ascii="Arial" w:cs="Arial" w:eastAsia="Arial" w:hAnsi="Arial"/>
                <w:sz w:val="13"/>
                <w:szCs w:val="13"/>
                <w:color w:val="0000FF"/>
                <w:w w:val="92"/>
              </w:rPr>
              <w:t>655.4543</w:t>
            </w:r>
          </w:p>
        </w:tc>
        <w:tc>
          <w:tcPr>
            <w:tcW w:w="740" w:type="dxa"/>
            <w:vAlign w:val="bottom"/>
          </w:tcPr>
          <w:p>
            <w:pPr>
              <w:ind w:left="340"/>
              <w:spacing w:after="0" w:line="126" w:lineRule="exact"/>
              <w:rPr>
                <w:sz w:val="20"/>
                <w:szCs w:val="20"/>
                <w:color w:val="auto"/>
              </w:rPr>
            </w:pPr>
            <w:r>
              <w:rPr>
                <w:rFonts w:ascii="Arial" w:cs="Arial" w:eastAsia="Arial" w:hAnsi="Arial"/>
                <w:sz w:val="13"/>
                <w:szCs w:val="13"/>
                <w:color w:val="0000FF"/>
              </w:rPr>
              <w:t>I</w:t>
            </w:r>
          </w:p>
        </w:tc>
        <w:tc>
          <w:tcPr>
            <w:tcW w:w="840" w:type="dxa"/>
            <w:vAlign w:val="bottom"/>
            <w:gridSpan w:val="3"/>
          </w:tcPr>
          <w:p>
            <w:pPr>
              <w:ind w:left="60"/>
              <w:spacing w:after="0" w:line="126" w:lineRule="exact"/>
              <w:rPr>
                <w:sz w:val="20"/>
                <w:szCs w:val="20"/>
                <w:color w:val="auto"/>
              </w:rPr>
            </w:pPr>
            <w:r>
              <w:rPr>
                <w:rFonts w:ascii="Arial" w:cs="Arial" w:eastAsia="Arial" w:hAnsi="Arial"/>
                <w:sz w:val="13"/>
                <w:szCs w:val="13"/>
                <w:color w:val="0000FF"/>
                <w:w w:val="95"/>
              </w:rPr>
              <w:t>Supplemental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ind w:left="120"/>
              <w:spacing w:after="0" w:line="143" w:lineRule="exact"/>
              <w:rPr>
                <w:sz w:val="20"/>
                <w:szCs w:val="20"/>
                <w:color w:val="auto"/>
              </w:rPr>
            </w:pPr>
            <w:r>
              <w:rPr>
                <w:rFonts w:ascii="Arial" w:cs="Arial" w:eastAsia="Arial" w:hAnsi="Arial"/>
                <w:sz w:val="13"/>
                <w:szCs w:val="13"/>
                <w:color w:val="0000FF"/>
              </w:rPr>
              <w:t>Stock</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SSP</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phantom stock units convert on a 1 for 1 basis.</w:t>
      </w:r>
    </w:p>
    <w:p>
      <w:pPr>
        <w:spacing w:after="0" w:line="44" w:lineRule="exact"/>
        <w:rPr>
          <w:rFonts w:ascii="Arial" w:cs="Arial" w:eastAsia="Arial" w:hAnsi="Arial"/>
          <w:sz w:val="13"/>
          <w:szCs w:val="13"/>
          <w:color w:val="008000"/>
        </w:rPr>
      </w:pPr>
    </w:p>
    <w:p>
      <w:pPr>
        <w:ind w:left="40" w:right="600" w:firstLine="3"/>
        <w:spacing w:after="0" w:line="25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information pertains to the phantom stock units acquired under the Lockheed Martin Deferred Management Incentive Compensation Plan exempt under Section 16(b) and will be settled in stock upon the reporting person's retirement or termination of service.</w:t>
      </w:r>
    </w:p>
    <w:p>
      <w:pPr>
        <w:spacing w:after="0" w:line="24" w:lineRule="exact"/>
        <w:rPr>
          <w:rFonts w:ascii="Arial" w:cs="Arial" w:eastAsia="Arial" w:hAnsi="Arial"/>
          <w:sz w:val="13"/>
          <w:szCs w:val="13"/>
          <w:color w:val="008000"/>
        </w:rPr>
      </w:pPr>
    </w:p>
    <w:p>
      <w:pPr>
        <w:ind w:left="40" w:right="460" w:firstLine="3"/>
        <w:spacing w:after="0" w:line="25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information pertains to phantom stock units acquired through dividend reinvestment under the Lockheed Martin Deferred Management Incentive Compensation Plan exempt under Section 16(b) and will be settled in stock upon the reporting person's retirement or termination of service.</w:t>
      </w:r>
    </w:p>
    <w:p>
      <w:pPr>
        <w:spacing w:after="0" w:line="24" w:lineRule="exact"/>
        <w:rPr>
          <w:rFonts w:ascii="Arial" w:cs="Arial" w:eastAsia="Arial" w:hAnsi="Arial"/>
          <w:sz w:val="13"/>
          <w:szCs w:val="13"/>
          <w:color w:val="008000"/>
        </w:rPr>
      </w:pPr>
    </w:p>
    <w:p>
      <w:pPr>
        <w:ind w:left="40" w:right="300" w:firstLine="3"/>
        <w:spacing w:after="0" w:line="25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information pertains to the phantom stock units acquired under the Lockheed Martin Long Term Incentive Plan exempt under Section 16(b) and will be settled in stock upon the reporting person's retirement or termination of service.</w:t>
      </w:r>
    </w:p>
    <w:p>
      <w:pPr>
        <w:spacing w:after="0" w:line="24" w:lineRule="exact"/>
        <w:rPr>
          <w:rFonts w:ascii="Arial" w:cs="Arial" w:eastAsia="Arial" w:hAnsi="Arial"/>
          <w:sz w:val="13"/>
          <w:szCs w:val="13"/>
          <w:color w:val="008000"/>
        </w:rPr>
      </w:pPr>
    </w:p>
    <w:p>
      <w:pPr>
        <w:ind w:left="40" w:right="540" w:firstLine="3"/>
        <w:spacing w:after="0" w:line="25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information pertains to phantom stock units acquired through dividend reinvestment under the Lockheed Martin Long Term Incentive Plan exempt under Section 16(b) and will be settled in stock upon the reporting person's retirement or termination of service.</w:t>
      </w:r>
    </w:p>
    <w:p>
      <w:pPr>
        <w:spacing w:after="0" w:line="24" w:lineRule="exact"/>
        <w:rPr>
          <w:rFonts w:ascii="Arial" w:cs="Arial" w:eastAsia="Arial" w:hAnsi="Arial"/>
          <w:sz w:val="13"/>
          <w:szCs w:val="13"/>
          <w:color w:val="008000"/>
        </w:rPr>
      </w:pPr>
    </w:p>
    <w:p>
      <w:pPr>
        <w:ind w:left="40" w:right="220" w:firstLine="3"/>
        <w:spacing w:after="0" w:line="25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information pertains to the phantom stock units acquired under the Lockheed Martin Supplemental Salaried Savings Plan exempt under Section 16(b) and will be settled upon the reporting person's retirement or termination of service.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David A. Dedman Attorney-in-</w:t>
            </w:r>
          </w:p>
        </w:tc>
        <w:tc>
          <w:tcPr>
            <w:tcW w:w="1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07/02/2004</w:t>
            </w:r>
          </w:p>
        </w:tc>
        <w:tc>
          <w:tcPr>
            <w:tcW w:w="0" w:type="dxa"/>
            <w:vAlign w:val="bottom"/>
          </w:tcPr>
          <w:p>
            <w:pPr>
              <w:spacing w:after="0"/>
              <w:rPr>
                <w:sz w:val="1"/>
                <w:szCs w:val="1"/>
                <w:color w:val="auto"/>
              </w:rPr>
            </w:pPr>
          </w:p>
        </w:tc>
      </w:tr>
      <w:tr>
        <w:trPr>
          <w:trHeight w:val="89"/>
        </w:trPr>
        <w:tc>
          <w:tcPr>
            <w:tcW w:w="260" w:type="dxa"/>
            <w:vAlign w:val="bottom"/>
            <w:vMerge w:val="restart"/>
          </w:tcPr>
          <w:p>
            <w:pPr>
              <w:spacing w:after="0" w:line="188" w:lineRule="exact"/>
              <w:rPr>
                <w:sz w:val="20"/>
                <w:szCs w:val="20"/>
                <w:color w:val="auto"/>
              </w:rPr>
            </w:pPr>
            <w:r>
              <w:rPr>
                <w:rFonts w:ascii="Arial" w:cs="Arial" w:eastAsia="Arial" w:hAnsi="Arial"/>
                <w:sz w:val="17"/>
                <w:szCs w:val="17"/>
                <w:color w:val="0000FF"/>
                <w:w w:val="87"/>
              </w:rPr>
              <w:t>fact</w:t>
            </w:r>
          </w:p>
        </w:tc>
        <w:tc>
          <w:tcPr>
            <w:tcW w:w="20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20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4000" w:firstLine="3"/>
        <w:spacing w:after="0" w:line="336"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001" TargetMode="External"/><Relationship Id="rId13" Type="http://schemas.openxmlformats.org/officeDocument/2006/relationships/hyperlink" Target="http://www.sec.gov/cgi-bin/browse-edgar?action=getcompany&amp;CIK=00009364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2019-12-18T09:30:16Z</dcterms:created>
  <dcterms:modified xsi:type="dcterms:W3CDTF">2019-12-18T09:30:16Z</dcterms:modified>
</cp:coreProperties>
</file>